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78C535" w14:textId="77777777" w:rsidR="0019548E" w:rsidRDefault="0019548E">
      <w:pPr>
        <w:spacing w:before="1440"/>
      </w:pPr>
    </w:p>
    <w:p w14:paraId="7D327D5C" w14:textId="77777777" w:rsidR="0019548E" w:rsidRDefault="00F323B8">
      <w:pPr>
        <w:spacing w:after="240"/>
        <w:jc w:val="center"/>
      </w:pPr>
      <w:r>
        <w:rPr>
          <w:b/>
          <w:bCs/>
        </w:rPr>
        <w:t>University of Wales Trinity Saint David</w:t>
      </w:r>
    </w:p>
    <w:p w14:paraId="15001CF9" w14:textId="77777777" w:rsidR="0019548E" w:rsidRDefault="00F323B8">
      <w:pPr>
        <w:spacing w:after="480"/>
        <w:jc w:val="center"/>
      </w:pPr>
      <w:r>
        <w:t>Certificate of Higher Education Skills for the Workplace (Health &amp; Social Care)</w:t>
      </w:r>
    </w:p>
    <w:p w14:paraId="40643B52" w14:textId="77777777" w:rsidR="0019548E" w:rsidRDefault="00F323B8">
      <w:pPr>
        <w:spacing w:after="200"/>
        <w:jc w:val="center"/>
      </w:pPr>
      <w:r>
        <w:rPr>
          <w:b/>
          <w:bCs/>
          <w:sz w:val="24"/>
          <w:szCs w:val="24"/>
        </w:rPr>
        <w:t>LCHS4007: Digital Skills and Research Methods</w:t>
      </w:r>
    </w:p>
    <w:p w14:paraId="6044A1D6" w14:textId="77777777" w:rsidR="0019548E" w:rsidRDefault="00F323B8">
      <w:pPr>
        <w:spacing w:after="480"/>
        <w:jc w:val="center"/>
      </w:pPr>
      <w:r w:rsidRPr="26810F9F">
        <w:rPr>
          <w:b/>
          <w:bCs/>
          <w:sz w:val="24"/>
          <w:szCs w:val="24"/>
          <w:lang w:val="en-US"/>
        </w:rPr>
        <w:t>Component 2: Research Report</w:t>
      </w:r>
    </w:p>
    <w:p w14:paraId="440181E8" w14:textId="77777777" w:rsidR="0019548E" w:rsidRDefault="00F323B8">
      <w:pPr>
        <w:spacing w:after="120"/>
        <w:jc w:val="center"/>
      </w:pPr>
      <w:r>
        <w:rPr>
          <w:i/>
          <w:iCs/>
        </w:rPr>
        <w:t>Research Literacy: Learning How to Read a Research Paper</w:t>
      </w:r>
    </w:p>
    <w:p w14:paraId="08E18218" w14:textId="4EB696AD" w:rsidR="0019548E" w:rsidRDefault="00F323B8">
      <w:pPr>
        <w:spacing w:before="480" w:after="120"/>
        <w:jc w:val="center"/>
      </w:pPr>
      <w:r>
        <w:t xml:space="preserve">Student Name: </w:t>
      </w:r>
      <w:r w:rsidR="4AEEFF07">
        <w:t>Melania Dias</w:t>
      </w:r>
    </w:p>
    <w:p w14:paraId="4E4879E8" w14:textId="24D36B70" w:rsidR="0019548E" w:rsidRDefault="00F323B8">
      <w:pPr>
        <w:spacing w:after="120"/>
        <w:jc w:val="center"/>
      </w:pPr>
      <w:r>
        <w:t xml:space="preserve">Student ID Number: </w:t>
      </w:r>
      <w:r w:rsidR="29E0823F">
        <w:t>2211689</w:t>
      </w:r>
    </w:p>
    <w:p w14:paraId="4D79930B" w14:textId="77777777" w:rsidR="0019548E" w:rsidRDefault="00F323B8">
      <w:pPr>
        <w:spacing w:after="120"/>
        <w:jc w:val="center"/>
      </w:pPr>
      <w:r>
        <w:t>Lecturer: Kwame Assa-Agyei</w:t>
      </w:r>
    </w:p>
    <w:p w14:paraId="4C0AFE10" w14:textId="77777777" w:rsidR="0019548E" w:rsidRDefault="00F323B8">
      <w:pPr>
        <w:spacing w:after="120"/>
        <w:jc w:val="center"/>
      </w:pPr>
      <w:r>
        <w:t>Submission Deadline: Tuesday 18th August 2026</w:t>
      </w:r>
    </w:p>
    <w:p w14:paraId="5CC18952" w14:textId="32488144" w:rsidR="0019548E" w:rsidRDefault="00F323B8">
      <w:pPr>
        <w:spacing w:after="120"/>
        <w:jc w:val="center"/>
      </w:pPr>
      <w:r>
        <w:t>Word Count: Approximately 1,</w:t>
      </w:r>
      <w:r w:rsidR="00CB7A4B">
        <w:rPr>
          <w:lang w:val="en-US"/>
        </w:rPr>
        <w:t>5</w:t>
      </w:r>
      <w:r>
        <w:t>00 words</w:t>
      </w:r>
    </w:p>
    <w:p w14:paraId="07BE0302" w14:textId="77777777" w:rsidR="0019548E" w:rsidRDefault="00F323B8">
      <w:r>
        <w:br w:type="page"/>
      </w:r>
    </w:p>
    <w:p w14:paraId="1F860CA4" w14:textId="77777777" w:rsidR="0019548E" w:rsidRDefault="0019548E">
      <w:pPr>
        <w:sectPr w:rsidR="0019548E">
          <w:headerReference w:type="default" r:id="rId7"/>
          <w:pgSz w:w="11906" w:h="16838"/>
          <w:pgMar w:top="1440" w:right="1440" w:bottom="1440" w:left="1440" w:header="708" w:footer="708" w:gutter="0"/>
          <w:cols w:space="720"/>
          <w:docGrid w:linePitch="360"/>
        </w:sectPr>
      </w:pPr>
    </w:p>
    <w:p w14:paraId="749FA9CB" w14:textId="77777777" w:rsidR="0019548E" w:rsidRDefault="00F323B8">
      <w:pPr>
        <w:pStyle w:val="Heading1"/>
      </w:pPr>
      <w:r>
        <w:t>Table of Contents</w:t>
      </w:r>
    </w:p>
    <w:p w14:paraId="2C41D61F" w14:textId="77777777" w:rsidR="0019548E" w:rsidRDefault="00F323B8">
      <w:pPr>
        <w:spacing w:before="160" w:after="80"/>
      </w:pPr>
      <w:r>
        <w:t>Section 1: Introducing the Research Paper and Topic Development.............................3</w:t>
      </w:r>
    </w:p>
    <w:p w14:paraId="74C02306" w14:textId="77777777" w:rsidR="0019548E" w:rsidRDefault="00F323B8">
      <w:pPr>
        <w:spacing w:before="80" w:after="80"/>
      </w:pPr>
      <w:r>
        <w:t>Section 2: Understanding the Purpose and Research Question...................................4</w:t>
      </w:r>
    </w:p>
    <w:p w14:paraId="0A0C8D20" w14:textId="77777777" w:rsidR="0019548E" w:rsidRDefault="00F323B8">
      <w:pPr>
        <w:spacing w:before="80" w:after="80"/>
      </w:pPr>
      <w:r>
        <w:t>Section 3: Understanding the Research Methods......................................................4</w:t>
      </w:r>
    </w:p>
    <w:p w14:paraId="1E8EC67D" w14:textId="77777777" w:rsidR="0019548E" w:rsidRDefault="00F323B8">
      <w:pPr>
        <w:spacing w:before="80" w:after="80"/>
      </w:pPr>
      <w:r>
        <w:t>Section 4: Conclusion................................................................................................7</w:t>
      </w:r>
    </w:p>
    <w:p w14:paraId="66617649" w14:textId="77777777" w:rsidR="0019548E" w:rsidRDefault="00F323B8">
      <w:pPr>
        <w:spacing w:before="80" w:after="80"/>
      </w:pPr>
      <w:r>
        <w:t>Reference List...........................................................................................................8</w:t>
      </w:r>
    </w:p>
    <w:p w14:paraId="4403B64C" w14:textId="77777777" w:rsidR="0019548E" w:rsidRDefault="00F323B8">
      <w:r>
        <w:br w:type="page"/>
      </w:r>
    </w:p>
    <w:p w14:paraId="5D754B0A" w14:textId="77777777" w:rsidR="0019548E" w:rsidRDefault="0019548E">
      <w:pPr>
        <w:sectPr w:rsidR="0019548E">
          <w:footerReference w:type="default" r:id="rId8"/>
          <w:pgSz w:w="11906" w:h="16838"/>
          <w:pgMar w:top="1440" w:right="1440" w:bottom="1440" w:left="1440" w:header="708" w:footer="708" w:gutter="0"/>
          <w:cols w:space="720"/>
          <w:docGrid w:linePitch="360"/>
        </w:sectPr>
      </w:pPr>
    </w:p>
    <w:p w14:paraId="77CC98C5" w14:textId="77777777" w:rsidR="0019548E" w:rsidRDefault="00F323B8">
      <w:pPr>
        <w:pStyle w:val="Heading1"/>
      </w:pPr>
      <w:r>
        <w:t>Section 1: Introducing the Research Paper and Topic Development</w:t>
      </w:r>
    </w:p>
    <w:p w14:paraId="380184E4" w14:textId="22276BF5" w:rsidR="00CB7A4B" w:rsidRPr="00CB7A4B" w:rsidRDefault="009F75F4">
      <w:pPr>
        <w:spacing w:after="160" w:line="360" w:lineRule="auto"/>
        <w:rPr>
          <w:lang w:val="en-US"/>
        </w:rPr>
      </w:pPr>
      <w:r w:rsidRPr="26810F9F">
        <w:rPr>
          <w:lang w:val="en-US"/>
        </w:rPr>
        <w:t>The study entitled A Cross-Sectional Study of the Perceptions of Graduate Nursing Students’ Discipline-Based Digital Literacy Competence was authored by Martzoukou, Luders, Mair, Kostagiolas, Johnson, and Work &amp; Fulton and published in the Journal of Advanced Nursing (80:656-672 This study was a quantitative, open access, peer-reviewed study carried out at Robert Gordon University (RGU), Aberdeen, Scotland, UK.</w:t>
      </w:r>
      <w:r>
        <w:br/>
      </w:r>
      <w:r w:rsidRPr="26810F9F">
        <w:rPr>
          <w:lang w:val="en-US"/>
        </w:rPr>
        <w:t>The study examines how nursing, midwifery and paramedic students define their digital competency, in terms of six key aspects: Information literacy, Digital research, Digital creation, Digital communication, Digital innovation and Digital well-being. This study is geared to first year undergraduate Nurses students and a total of 182 participants is involved.</w:t>
      </w:r>
      <w:r>
        <w:br/>
      </w:r>
      <w:r w:rsidRPr="26810F9F">
        <w:rPr>
          <w:lang w:val="en-US"/>
        </w:rPr>
        <w:t>The COVID-19 pandemic has seen healthcare organizations increasingly utilizing digital tools, therefore the value of these skills in effective practice (Whitelaw et al., 2020). The Royal College of Nursing (RCN, 2018) had previously highlighted the importance of having good technology skills for nurses, before the pandemic began. But there was a significant difference in levels of digital literacy across the health sector (Good Things Foundation, NHS England, 2015).</w:t>
      </w:r>
      <w:r>
        <w:br/>
      </w:r>
      <w:r w:rsidRPr="26810F9F">
        <w:rPr>
          <w:lang w:val="en-US"/>
        </w:rPr>
        <w:t>The work is pertinent as the NHS identified six key digital skills across health and social care extending beyond being a technical skill to encompass information management, communication, research and innovation (NHS, 2018). The necessity to equip professionals with digital competence is also underlined at an NHS level due to NHS Long Term Plan and the digital transformation agenda set out by Health Education England (Health Education England, 2019; Booth et al., 2021). It becomes critical then to define digital skill gaps in order to enable graduates to facilitate evidence-based, safe and effective practice in the digital world of Healthcare.</w:t>
      </w:r>
    </w:p>
    <w:p w14:paraId="77740EF1" w14:textId="77777777" w:rsidR="0019548E" w:rsidRDefault="00F323B8">
      <w:pPr>
        <w:pStyle w:val="Heading1"/>
      </w:pPr>
      <w:r>
        <w:t>Section 2: Understanding the Purpose and Research Question</w:t>
      </w:r>
    </w:p>
    <w:p w14:paraId="0AB1A2CC" w14:textId="694D5C43" w:rsidR="00CB7A4B" w:rsidRPr="00CB7A4B" w:rsidRDefault="00CB7A4B">
      <w:pPr>
        <w:spacing w:before="120" w:after="160" w:line="360" w:lineRule="auto"/>
        <w:rPr>
          <w:lang w:val="en-US"/>
        </w:rPr>
      </w:pPr>
      <w:r w:rsidRPr="00CB7A4B">
        <w:t>This was a general study that used an existing discipline-specific self-assessment survey tool to empirically investigate nursing, midwifery and paramedic students' self-assessed digital competencies. The researchers found four main objectives. To transform a general Digital Competencies Survey instrument to measure specific nursing and allied health students' digital competencies needs. Second, to investigate the students' digital competencies by dividing them into various demographic groups via the adapted survey. Third, discuss with students the difficulties they faced relating to the development of their digital skills. Fourth, to suggest a discipline-specific perspective to the development of digital competencies in students and gather digital literacy training tools (Martzoukou et al., 2024). The analysis also investigated two working hypotheses, namely, that there would be differences in self-assessment competencies related to age level groupings and that there would be differences in competencies between the pre-registration and post-registration students.</w:t>
      </w:r>
    </w:p>
    <w:p w14:paraId="31F21735" w14:textId="77777777" w:rsidR="0019548E" w:rsidRDefault="00F323B8">
      <w:pPr>
        <w:pStyle w:val="Heading1"/>
      </w:pPr>
      <w:r>
        <w:t>Section 3: Understanding the Research Methods</w:t>
      </w:r>
    </w:p>
    <w:p w14:paraId="2F711AEE" w14:textId="77777777" w:rsidR="0019548E" w:rsidRDefault="00F323B8">
      <w:pPr>
        <w:pStyle w:val="Heading2"/>
      </w:pPr>
      <w:r>
        <w:t>Defining Research Approaches</w:t>
      </w:r>
    </w:p>
    <w:p w14:paraId="39750F48" w14:textId="77777777" w:rsidR="00CB7A4B" w:rsidRDefault="00CB7A4B">
      <w:pPr>
        <w:spacing w:after="160" w:line="360" w:lineRule="auto"/>
        <w:rPr>
          <w:lang w:val="en-US"/>
        </w:rPr>
      </w:pPr>
      <w:r w:rsidRPr="00CB7A4B">
        <w:t>Before discussing the conducting of this particular study, it would be useful to define the three main methods of research that are used in health care and social care research.</w:t>
      </w:r>
    </w:p>
    <w:p w14:paraId="5F646698" w14:textId="77777777" w:rsidR="00CB7A4B" w:rsidRDefault="00F323B8">
      <w:pPr>
        <w:spacing w:after="160" w:line="360" w:lineRule="auto"/>
        <w:rPr>
          <w:lang w:val="en-US"/>
        </w:rPr>
      </w:pPr>
      <w:r>
        <w:rPr>
          <w:b/>
          <w:bCs/>
        </w:rPr>
        <w:t>Quantitative research</w:t>
      </w:r>
      <w:r>
        <w:t xml:space="preserve"> </w:t>
      </w:r>
      <w:r w:rsidR="00CB7A4B" w:rsidRPr="00CB7A4B">
        <w:t>involves gathering numerical information and analysis. Quantitative research uses numerical (quantitative) methods of measurement to obtain results. This kind of research is based on the use of either surveys, checks, or experimental designs to acquire answers that can then be analysed statistically (Creswell &amp; Plano Clark, 2010). This method can be used to generalise to larger populations and explore patterns between variables objectively and systematically. A survey of the group of nurses, asking them to rate their confidence from one to five on the use of digital health systems, would yield quantitative data.</w:t>
      </w:r>
    </w:p>
    <w:p w14:paraId="52AC1317" w14:textId="77777777" w:rsidR="00CB7A4B" w:rsidRDefault="00F323B8">
      <w:pPr>
        <w:spacing w:after="160" w:line="360" w:lineRule="auto"/>
        <w:rPr>
          <w:lang w:val="en-US"/>
        </w:rPr>
      </w:pPr>
      <w:r>
        <w:rPr>
          <w:b/>
          <w:bCs/>
        </w:rPr>
        <w:t>Qualitative research</w:t>
      </w:r>
      <w:r>
        <w:t xml:space="preserve">, </w:t>
      </w:r>
      <w:r w:rsidR="00CB7A4B" w:rsidRPr="00CB7A4B">
        <w:t>In contrast, it is interested in articulating experience, perception, opinions and meanings of individuals. This is generally done by in-depth interviews, focus groups and observations, and involves data analysis via interpretation rather than statistical calculations (Kiger and Varpio, 2020). In smaller-scale studies in health and social care, qualitative techniques particularly lend themselves to understanding the patient's, carer's or practitioner's life, for example, in an investigation into the attitudes of nurses towards the use of electronic patient records in their actual work.</w:t>
      </w:r>
    </w:p>
    <w:p w14:paraId="2B4CE089" w14:textId="77777777" w:rsidR="00CB7A4B" w:rsidRDefault="00F323B8" w:rsidP="00CB7A4B">
      <w:pPr>
        <w:spacing w:after="160" w:line="360" w:lineRule="auto"/>
        <w:rPr>
          <w:lang w:val="en-US"/>
        </w:rPr>
      </w:pPr>
      <w:r>
        <w:rPr>
          <w:b/>
          <w:bCs/>
        </w:rPr>
        <w:t>Mixed-methods research</w:t>
      </w:r>
      <w:r>
        <w:t xml:space="preserve"> </w:t>
      </w:r>
      <w:r w:rsidR="00CB7A4B" w:rsidRPr="00CB7A4B">
        <w:t>Uses a combination of quantitative and qualitative methods in one study. This enables researchers to benefit from quantitative sources of findings, which are broad and generalisable, and complementary to qualitative sources, which are rich in depth and context (Creswell and Plano Clark, 2010). In nursing research and healthcare research, there are many different situations where researchers need to look beyond the simple use of numbers to understand complex problems, which is why mixed methods are becoming increasingly popular for designing research studies.</w:t>
      </w:r>
    </w:p>
    <w:p w14:paraId="39E0E82A" w14:textId="5AF605E4" w:rsidR="0019548E" w:rsidRDefault="00F323B8" w:rsidP="00CB7A4B">
      <w:pPr>
        <w:spacing w:after="160" w:line="360" w:lineRule="auto"/>
      </w:pPr>
      <w:r>
        <w:rPr>
          <w:b/>
          <w:bCs/>
        </w:rPr>
        <w:t>Research Method Used in This Study</w:t>
      </w:r>
    </w:p>
    <w:p w14:paraId="4A49F142" w14:textId="1853F786" w:rsidR="00CB7A4B" w:rsidRPr="00CB7A4B" w:rsidRDefault="00CB7A4B">
      <w:pPr>
        <w:spacing w:before="120" w:after="160" w:line="360" w:lineRule="auto"/>
        <w:rPr>
          <w:lang w:val="en-US"/>
        </w:rPr>
      </w:pPr>
      <w:r w:rsidRPr="00CB7A4B">
        <w:t>Results obtained in the study by Martzoukou et al. (2024) These studies utilized mainly the cross-sectional quantitative (survey design) method and included some qualitative information through the utilization of open-ended questions within the surveys. All in all, the study consisted of a primary quantitative study with some qualitative data through open-ended questions in the surveys.</w:t>
      </w:r>
    </w:p>
    <w:p w14:paraId="5CDA0FD5" w14:textId="77777777" w:rsidR="0019548E" w:rsidRDefault="00F323B8">
      <w:pPr>
        <w:pStyle w:val="Heading2"/>
      </w:pPr>
      <w:r>
        <w:t>Primary and Secondary Data Collection</w:t>
      </w:r>
    </w:p>
    <w:p w14:paraId="3ED8AB80" w14:textId="77777777" w:rsidR="00FF31D6" w:rsidRDefault="00FF31D6" w:rsidP="00FF31D6">
      <w:pPr>
        <w:spacing w:after="160" w:line="360" w:lineRule="auto"/>
      </w:pPr>
      <w:r>
        <w:t xml:space="preserve">There is a need to recognise the difference between primary and secondary data collection. </w:t>
      </w:r>
      <w:r w:rsidRPr="00FF31D6">
        <w:rPr>
          <w:b/>
          <w:bCs/>
        </w:rPr>
        <w:t>Primary Data</w:t>
      </w:r>
      <w:r>
        <w:t xml:space="preserve"> is data that the researcher collects herself, for the study at hand, and for its original purpose. This could be as part of interviews, questionnaires, or observations, for instance. </w:t>
      </w:r>
      <w:r w:rsidRPr="00FF31D6">
        <w:rPr>
          <w:b/>
          <w:bCs/>
        </w:rPr>
        <w:t>Secondary Data</w:t>
      </w:r>
      <w:r>
        <w:t xml:space="preserve"> is data which has already been collected and published by other researchers or organisations, like hospital statistics, government health reports, or data from previous studies (O'Connor, 2020). The secondary data analysis, which is an accepted technique in nursing research, has the potential to yield new understanding to inform practice and health policy.</w:t>
      </w:r>
    </w:p>
    <w:p w14:paraId="302D4032" w14:textId="1938282A" w:rsidR="00FF31D6" w:rsidRDefault="00FF31D6" w:rsidP="00FF31D6">
      <w:pPr>
        <w:spacing w:after="160" w:line="360" w:lineRule="auto"/>
        <w:rPr>
          <w:lang w:val="en-US"/>
        </w:rPr>
      </w:pPr>
      <w:r>
        <w:t>The data used for this study were primary data. The questions represent a specially created questionnaire on the self-assessment survey administered directly to the students of the nursing profession. The survey has been devised with two phases. In the first phase, the research team met with the academic staff of the nursing, midwifery and paramedic practice departments and a student nursing representative to adapt the existing general digital competencies survey tool created by Martzoukou et al. (2020) to reflect the digital competencies of healthcare students specifically. During the second phase, the modified questionnaire was sent to all the students in the school (some 1200 students) in an informed, confidential manner on the internet and with voluntary participation. This survey had been carried out online, with the help of a General Data Protection Regulation (GDPR) compliant data collection tool named JISC 'Online Surveys'.</w:t>
      </w:r>
    </w:p>
    <w:p w14:paraId="61E637FA" w14:textId="77777777" w:rsidR="00FF31D6" w:rsidRPr="00FF31D6" w:rsidRDefault="00FF31D6" w:rsidP="00FF31D6">
      <w:pPr>
        <w:spacing w:after="160" w:line="360" w:lineRule="auto"/>
        <w:rPr>
          <w:lang w:val="en-US"/>
        </w:rPr>
      </w:pPr>
    </w:p>
    <w:p w14:paraId="2E91E4C4" w14:textId="77777777" w:rsidR="0019548E" w:rsidRDefault="00F323B8">
      <w:pPr>
        <w:pStyle w:val="Heading2"/>
      </w:pPr>
      <w:r>
        <w:t>Data Collection Tool</w:t>
      </w:r>
    </w:p>
    <w:p w14:paraId="3FA6990E" w14:textId="77777777" w:rsidR="00FF31D6" w:rsidRDefault="00FF31D6" w:rsidP="00FF31D6">
      <w:pPr>
        <w:spacing w:after="160" w:line="360" w:lineRule="auto"/>
      </w:pPr>
      <w:r>
        <w:t>The survey was composed of fourteen dimensions that span a wide variety of digital competencies, such as digital citizenship (everyday participation), information literacy, digital creation, digital research skills, digital communication, digital innovation, digital learning and development, digital identity management, and digital well-being (Martzoukou et al., 2024). There were several items in each dimension, and the students rated their competence in each item using the five-point Likert scale from Level 1 (Novice) to Level 5 (Expert). Three open-ended questions in the questionnaire asked students to describe with words how they had learned digital tools, how they maintained their digital skills and how their digital skills had been beneficial in their academic work.</w:t>
      </w:r>
    </w:p>
    <w:p w14:paraId="13DBAEB3" w14:textId="754A896C" w:rsidR="00FF31D6" w:rsidRPr="00FF31D6" w:rsidRDefault="00FF31D6" w:rsidP="00FF31D6">
      <w:pPr>
        <w:spacing w:after="160" w:line="360" w:lineRule="auto"/>
        <w:rPr>
          <w:lang w:val="en-US"/>
        </w:rPr>
      </w:pPr>
      <w:r>
        <w:t>A nursing-specific toolkit of examples and resources to support and guide the survey was used; these included the Critical Appraisals Skills Programme (CASP) tool, the British National Formulary (BNF) app, the Nursing Midwifery Council (NMC) social media guidance and search examples and references to CINAHL and MEDLINE databases for searching healthcare literature. The contextualisation of the survey resulted in increased relevance and meaningfulness for the particular student group under study.</w:t>
      </w:r>
    </w:p>
    <w:p w14:paraId="12C61813" w14:textId="77777777" w:rsidR="0019548E" w:rsidRDefault="00F323B8">
      <w:pPr>
        <w:pStyle w:val="Heading2"/>
      </w:pPr>
      <w:r>
        <w:t>Data Analysis</w:t>
      </w:r>
    </w:p>
    <w:p w14:paraId="1C0684EC" w14:textId="53A35BC7" w:rsidR="00FF31D6" w:rsidRPr="00FF31D6" w:rsidRDefault="00FF31D6">
      <w:pPr>
        <w:spacing w:after="160" w:line="360" w:lineRule="auto"/>
        <w:rPr>
          <w:lang w:val="en-US"/>
        </w:rPr>
      </w:pPr>
      <w:r w:rsidRPr="00FF31D6">
        <w:t>IBM SPSS Statistics (version 28) was used to analyse the quantitative data. The descriptive statistical analysis method was employed to describe students' competencies as evaluated by themselves on each dimension of the surveys through frequencies, percentages, average, median and mode values. The data were not normally distributed (Kolmogorov-Smirnov normality and Shapiro-Wilk normality tests), so non-parametric statistical tests were used. The statistical tests used were the Mann–Whitney U-test for comparing between two or more independent groups and the Kruskal–Wallis H-test for comparing among three or more groups. Statistical significance was set at a p-value of &lt; 0.05 (Martzoukou et al., 2024). Reliability for each instrument was assessed based on the Cronbach’s alpha internal consistency test, which revealed that all of them demonstrated sufficient reliability.</w:t>
      </w:r>
      <w:r w:rsidRPr="00FF31D6">
        <w:br/>
        <w:t>For analysing the data from open survey questions, thematic analysis was employed (Kiger and Varpio, 2020). It entailed manual coding of participants’ responses according to major themes that appeared in survey questions and identification of sub-themes revealed during data analysis. The qualitative results of the supplemental research were more detailed compared to statistical data, reflecting the richness of students' experiences.</w:t>
      </w:r>
    </w:p>
    <w:p w14:paraId="27586DCE" w14:textId="77777777" w:rsidR="0019548E" w:rsidRDefault="00F323B8">
      <w:pPr>
        <w:pStyle w:val="Heading2"/>
      </w:pPr>
      <w:r>
        <w:t>Key Findings</w:t>
      </w:r>
    </w:p>
    <w:p w14:paraId="4CC913CB" w14:textId="13B437AB" w:rsidR="00FF31D6" w:rsidRPr="00FF31D6" w:rsidRDefault="00FF31D6" w:rsidP="00FF31D6">
      <w:pPr>
        <w:spacing w:before="120" w:after="160" w:line="360" w:lineRule="auto"/>
        <w:rPr>
          <w:lang w:val="en-US"/>
        </w:rPr>
      </w:pPr>
      <w:r w:rsidRPr="00FF31D6">
        <w:t>The survey had a response rate of about 15% (a total of 182 students). The majority were female (93.4%), undergraduate (80.7%) and in pre-registration nursing courses (76.8%). The study revealed that pupils' achievements were generally good in regard to their everyday digital participation, their ICT competence, their communication with digital technologies and their digital wellbeing. This analysis revealed, however, that competencies related to information literacy, digital research and digital innovation are marked by learner achievement that is notably lower, and these are competencies of crucial importance in nursing practice using evidence-based approaches (Martzoukou et al., 2024). Also, younger students (Generation Z) generally rated themselves as more competent than older students from a self-evaluation perspective, and pre-registration students rated themselves as more competent than post-registration students in most areas. The qualitative results indicated that most students have acquired their digital competencies informally through trial and error and experiences in everyday life, rather than via formal and structured learning (Martzoukou et al., 2024).</w:t>
      </w:r>
    </w:p>
    <w:p w14:paraId="72F51CEB" w14:textId="77777777" w:rsidR="0019548E" w:rsidRDefault="00F323B8">
      <w:pPr>
        <w:pStyle w:val="Heading1"/>
      </w:pPr>
      <w:r>
        <w:t>Section 4: Conclusion</w:t>
      </w:r>
    </w:p>
    <w:p w14:paraId="46F206FA" w14:textId="2C45C1FA" w:rsidR="00D91E60" w:rsidRPr="00D91E60" w:rsidRDefault="00D91E60">
      <w:pPr>
        <w:spacing w:after="160" w:line="360" w:lineRule="auto"/>
        <w:rPr>
          <w:lang w:val="en-US"/>
        </w:rPr>
      </w:pPr>
      <w:r w:rsidRPr="00D91E60">
        <w:t>This is a summary of the results from the research of the digital competences of nurse which was conducted by Martzoukou et al. (2024). The following section (Section 1) provides an overview of some of the key concepts of study and the reasons for their importance in the UK health and social care sector and explores the growing significance of digital technology for the NHS. It emphasises that the students should acquire keener digital skills than just IT skills, such as Information literacy, Digital research and Professional communication.</w:t>
      </w:r>
      <w:r w:rsidRPr="00D91E60">
        <w:br/>
        <w:t>The aim of this study (Section 2) was to explore and articulate the discrepancy of students' digital competencies in nursing. In Section 3, the quantitative method is discussed by analysing the self-assessment questionnaire data by descriptive and non-parametric statistics with thematically analysis of the qualitative responses.</w:t>
      </w:r>
      <w:r w:rsidRPr="00D91E60">
        <w:br/>
        <w:t>This is a paper I greatly benefited from in research as a component of health and social care. I have learnt that using the appropriate methodologies, especially quantitative in their measurement of competencies, is helpful in gaining appreciation, and that it is also important to be ethical, which includes informed consent, anonymity and GDPR compliance. It turned out that the majority of students continue using the informal strategy of learning by trial and error, stressing the necessity for academic training in digital literacy. This training will assist in the development of the procedure of critical analysis of healthcare literature.</w:t>
      </w:r>
    </w:p>
    <w:p w14:paraId="49EC31CB" w14:textId="77777777" w:rsidR="0019548E" w:rsidRDefault="00F323B8">
      <w:r>
        <w:br w:type="page"/>
      </w:r>
    </w:p>
    <w:p w14:paraId="053F2758" w14:textId="77777777" w:rsidR="0019548E" w:rsidRDefault="00F323B8">
      <w:pPr>
        <w:pStyle w:val="Heading1"/>
      </w:pPr>
      <w:r>
        <w:t>Reference List</w:t>
      </w:r>
    </w:p>
    <w:p w14:paraId="62D51257" w14:textId="77777777" w:rsidR="0019548E" w:rsidRDefault="00F323B8">
      <w:pPr>
        <w:spacing w:before="160" w:after="120" w:line="360" w:lineRule="auto"/>
        <w:ind w:left="720" w:hanging="720"/>
      </w:pPr>
      <w:r>
        <w:t xml:space="preserve">Booth, R.G., Strudwick, G., McBride, S., O'Connor, S. and Solano Lopez, A.L. (2021) 'How the nursing profession should adapt for a digital future', </w:t>
      </w:r>
      <w:r>
        <w:rPr>
          <w:i/>
          <w:iCs/>
        </w:rPr>
        <w:t>British Medical Journal</w:t>
      </w:r>
      <w:r>
        <w:t>, 373, p.1190. Available at: https://doi.org/10.1136/bmj.n1190 (Accessed: 20 June 2026).</w:t>
      </w:r>
    </w:p>
    <w:p w14:paraId="232D765D" w14:textId="77777777" w:rsidR="0019548E" w:rsidRDefault="00F323B8">
      <w:pPr>
        <w:spacing w:after="120" w:line="360" w:lineRule="auto"/>
        <w:ind w:left="720" w:hanging="720"/>
      </w:pPr>
      <w:r>
        <w:t xml:space="preserve">Creswell, J.W. and Plano Clark, V.L. (2010) </w:t>
      </w:r>
      <w:r>
        <w:rPr>
          <w:i/>
          <w:iCs/>
        </w:rPr>
        <w:t>Designing and Conducting Mixed Methods Research</w:t>
      </w:r>
      <w:r>
        <w:t>. 2nd edn. London: Sage.</w:t>
      </w:r>
    </w:p>
    <w:p w14:paraId="222290B3" w14:textId="77777777" w:rsidR="0019548E" w:rsidRDefault="00F323B8">
      <w:pPr>
        <w:spacing w:after="120" w:line="360" w:lineRule="auto"/>
        <w:ind w:left="720" w:hanging="720"/>
      </w:pPr>
      <w:r>
        <w:t xml:space="preserve">Good Things Foundation and NHS England (2015) </w:t>
      </w:r>
      <w:r>
        <w:rPr>
          <w:i/>
          <w:iCs/>
        </w:rPr>
        <w:t>Improving Digital Health Skills in Communities: Findings from the Evaluation of Years 1 and 2 of the Widening Digital Participation Programme</w:t>
      </w:r>
      <w:r>
        <w:t>. London: Good Things Foundation and NHS England.</w:t>
      </w:r>
    </w:p>
    <w:p w14:paraId="2315DE5F" w14:textId="77777777" w:rsidR="0019548E" w:rsidRDefault="00F323B8">
      <w:pPr>
        <w:spacing w:after="120" w:line="360" w:lineRule="auto"/>
        <w:ind w:left="720" w:hanging="720"/>
      </w:pPr>
      <w:r>
        <w:t xml:space="preserve">Health Education England (2019) </w:t>
      </w:r>
      <w:r>
        <w:rPr>
          <w:i/>
          <w:iCs/>
        </w:rPr>
        <w:t>The Topol Review: Preparing the Healthcare Workforce to Deliver the Digital Future</w:t>
      </w:r>
      <w:r>
        <w:t>. Leeds: Health Education England. Available at: https://topol.hee.nhs.uk/ (Accessed: 20 June 2026).</w:t>
      </w:r>
    </w:p>
    <w:p w14:paraId="1900B6F5" w14:textId="77777777" w:rsidR="0019548E" w:rsidRDefault="00F323B8">
      <w:pPr>
        <w:spacing w:after="120" w:line="360" w:lineRule="auto"/>
        <w:ind w:left="720" w:hanging="720"/>
      </w:pPr>
      <w:r>
        <w:t xml:space="preserve">Kiger, M.E. and Varpio, L. (2020) 'Thematic analysis of qualitative data: AMEE Guide No. 131', </w:t>
      </w:r>
      <w:r>
        <w:rPr>
          <w:i/>
          <w:iCs/>
        </w:rPr>
        <w:t>Medical Teacher</w:t>
      </w:r>
      <w:r>
        <w:t>, 42(8), pp.846-854. Available at: https://doi.org/10.1080/0142159x.2020.1755030 (Accessed: 20 June 2026).</w:t>
      </w:r>
    </w:p>
    <w:p w14:paraId="4B77A3AE" w14:textId="77777777" w:rsidR="0019548E" w:rsidRDefault="00F323B8">
      <w:pPr>
        <w:spacing w:after="120" w:line="360" w:lineRule="auto"/>
        <w:ind w:left="720" w:hanging="720"/>
      </w:pPr>
      <w:r>
        <w:t xml:space="preserve">Martzoukou, K., Fulton, C., Kostagiolas, P. and Lavranos, C. (2020) 'A study of higher education students' self-perceived digital competences for learning and everyday life online participation', </w:t>
      </w:r>
      <w:r>
        <w:rPr>
          <w:i/>
          <w:iCs/>
        </w:rPr>
        <w:t>Journal of Documentation</w:t>
      </w:r>
      <w:r>
        <w:t>, 76(6), pp.1413-1458. Available at: https://doi.org/10.1108/jd-03-2020-0041 (Accessed: 20 June 2026).</w:t>
      </w:r>
    </w:p>
    <w:p w14:paraId="47CF1969" w14:textId="77777777" w:rsidR="0019548E" w:rsidRDefault="00F323B8">
      <w:pPr>
        <w:spacing w:after="120" w:line="360" w:lineRule="auto"/>
        <w:ind w:left="720" w:hanging="720"/>
      </w:pPr>
      <w:r>
        <w:t xml:space="preserve">Martzoukou, K., Luders, E.S., Mair, J., Kostagiolas, P., Johnson, N., Work, F. and Fulton, C. (2024) 'A cross-sectional study of discipline-based self-perceived digital literacy competencies of nursing students', </w:t>
      </w:r>
      <w:r>
        <w:rPr>
          <w:i/>
          <w:iCs/>
        </w:rPr>
        <w:t>Journal of Advanced Nursing</w:t>
      </w:r>
      <w:r>
        <w:t>, 80, pp.656-672. Available at: https://doi.org/10.1111/jan.15801 (Accessed: 20 June 2026).</w:t>
      </w:r>
    </w:p>
    <w:p w14:paraId="6F0EAAC2" w14:textId="77777777" w:rsidR="0019548E" w:rsidRDefault="00F323B8">
      <w:pPr>
        <w:spacing w:after="120" w:line="360" w:lineRule="auto"/>
        <w:ind w:left="720" w:hanging="720"/>
      </w:pPr>
      <w:r>
        <w:t xml:space="preserve">National Health Service (NHS) (2018) </w:t>
      </w:r>
      <w:r>
        <w:rPr>
          <w:i/>
          <w:iCs/>
        </w:rPr>
        <w:t>A Health and Care Digital Capabilities Framework</w:t>
      </w:r>
      <w:r>
        <w:t>. London: NHS. Available at: https://www.rcn.org.uk/-/media/Royal-College-Of-Nursing/Documents/Clinical-Topics/A-Health-and-Care-Digital-Capabilities-Framework.pdf (Accessed: 20 June 2026).</w:t>
      </w:r>
    </w:p>
    <w:p w14:paraId="20B9B79C" w14:textId="77777777" w:rsidR="0019548E" w:rsidRDefault="00F323B8">
      <w:pPr>
        <w:spacing w:after="120" w:line="360" w:lineRule="auto"/>
        <w:ind w:left="720" w:hanging="720"/>
      </w:pPr>
      <w:r>
        <w:t xml:space="preserve">O'Connor, S. (2020) 'Secondary data analysis in nursing research: a contemporary discussion', </w:t>
      </w:r>
      <w:r>
        <w:rPr>
          <w:i/>
          <w:iCs/>
        </w:rPr>
        <w:t>Clinical Nursing Research</w:t>
      </w:r>
      <w:r>
        <w:t>, 29(5), pp.279-284. Available at: https://doi.org/10.1177/1054773820927144 (Accessed: 20 June 2026).</w:t>
      </w:r>
    </w:p>
    <w:p w14:paraId="0FC59B24" w14:textId="77777777" w:rsidR="0019548E" w:rsidRDefault="00F323B8">
      <w:pPr>
        <w:spacing w:after="120" w:line="360" w:lineRule="auto"/>
        <w:ind w:left="720" w:hanging="720"/>
      </w:pPr>
      <w:r>
        <w:t xml:space="preserve">Royal College of Nursing (RCN) (2018) </w:t>
      </w:r>
      <w:r>
        <w:rPr>
          <w:i/>
          <w:iCs/>
        </w:rPr>
        <w:t>The UK Nursing Labour Market Review 2018</w:t>
      </w:r>
      <w:r>
        <w:t>. London: RCN. Available at: https://www.rcn.org.uk/professionaldevelopment/publications/pub-007397 (Accessed: 20 June 2026).</w:t>
      </w:r>
    </w:p>
    <w:p w14:paraId="2ADD61C9" w14:textId="77777777" w:rsidR="0019548E" w:rsidRDefault="00F323B8">
      <w:pPr>
        <w:spacing w:after="120" w:line="360" w:lineRule="auto"/>
        <w:ind w:left="720" w:hanging="720"/>
      </w:pPr>
      <w:r>
        <w:t xml:space="preserve">Whitelaw, S., Mamas, M.A., Topol, E. and Van Spall, H.G. (2020) 'Applications of digital technology in COVID-19 pandemic planning and response', </w:t>
      </w:r>
      <w:r>
        <w:rPr>
          <w:i/>
          <w:iCs/>
        </w:rPr>
        <w:t>The Lancet Digital Health</w:t>
      </w:r>
      <w:r>
        <w:t>, 2(8), pp.e435-440. Available at: https://doi.org/10.1016/s2589-7500(20)30142-4 (Accessed: 20 June 2026).</w:t>
      </w:r>
    </w:p>
    <w:sectPr w:rsidR="0019548E">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C8197A" w14:textId="77777777" w:rsidR="00D1140C" w:rsidRDefault="00D1140C">
      <w:r>
        <w:separator/>
      </w:r>
    </w:p>
  </w:endnote>
  <w:endnote w:type="continuationSeparator" w:id="0">
    <w:p w14:paraId="0CD3FF05" w14:textId="77777777" w:rsidR="00D1140C" w:rsidRDefault="00D11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9CC89B" w14:textId="77777777" w:rsidR="0019548E" w:rsidRDefault="00F323B8">
    <w:pPr>
      <w:jc w:val="center"/>
    </w:pPr>
    <w:r>
      <w:rPr>
        <w:sz w:val="20"/>
        <w:szCs w:val="20"/>
      </w:rPr>
      <w:fldChar w:fldCharType="begin"/>
    </w:r>
    <w:r>
      <w:rPr>
        <w:sz w:val="20"/>
        <w:szCs w:val="20"/>
      </w:rPr>
      <w:instrText>PAGE</w:instrText>
    </w:r>
    <w:r>
      <w:rPr>
        <w:sz w:val="20"/>
        <w:szCs w:val="20"/>
      </w:rPr>
      <w:fldChar w:fldCharType="separate"/>
    </w:r>
    <w:r w:rsidR="00CB7A4B">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36549CA" w14:textId="77777777" w:rsidR="0019548E" w:rsidRDefault="00F323B8">
    <w:pPr>
      <w:jc w:val="center"/>
    </w:pPr>
    <w:r>
      <w:rPr>
        <w:sz w:val="20"/>
        <w:szCs w:val="20"/>
      </w:rPr>
      <w:fldChar w:fldCharType="begin"/>
    </w:r>
    <w:r>
      <w:rPr>
        <w:sz w:val="20"/>
        <w:szCs w:val="20"/>
      </w:rPr>
      <w:instrText>PAGE</w:instrText>
    </w:r>
    <w:r>
      <w:rPr>
        <w:sz w:val="20"/>
        <w:szCs w:val="20"/>
      </w:rPr>
      <w:fldChar w:fldCharType="separate"/>
    </w:r>
    <w:r w:rsidR="00CB7A4B">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50CD6F" w14:textId="77777777" w:rsidR="00D1140C" w:rsidRDefault="00D1140C">
      <w:r>
        <w:separator/>
      </w:r>
    </w:p>
  </w:footnote>
  <w:footnote w:type="continuationSeparator" w:id="0">
    <w:p w14:paraId="37349B58" w14:textId="77777777" w:rsidR="00D1140C" w:rsidRDefault="00D114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4EE100F" w14:textId="0F4AF21B" w:rsidR="007D6C21" w:rsidRDefault="007D6C21">
    <w:pPr>
      <w:pStyle w:val="Header"/>
    </w:pPr>
    <w:r>
      <w:rPr>
        <w:noProof/>
      </w:rPr>
      <w:drawing>
        <wp:inline distT="0" distB="0" distL="0" distR="0" wp14:anchorId="49369FEB" wp14:editId="4FA1D75B">
          <wp:extent cx="1809750" cy="723900"/>
          <wp:effectExtent l="0" t="0" r="0" b="0"/>
          <wp:docPr id="339" name="Picture 339"/>
          <wp:cNvGraphicFramePr/>
          <a:graphic xmlns:a="http://schemas.openxmlformats.org/drawingml/2006/main">
            <a:graphicData uri="http://schemas.openxmlformats.org/drawingml/2006/picture">
              <pic:pic xmlns:pic="http://schemas.openxmlformats.org/drawingml/2006/picture">
                <pic:nvPicPr>
                  <pic:cNvPr id="339" name="Picture 339"/>
                  <pic:cNvPicPr/>
                </pic:nvPicPr>
                <pic:blipFill>
                  <a:blip r:embed="rId1"/>
                  <a:stretch>
                    <a:fillRect/>
                  </a:stretch>
                </pic:blipFill>
                <pic:spPr>
                  <a:xfrm>
                    <a:off x="0" y="0"/>
                    <a:ext cx="1809750" cy="7239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44602F"/>
    <w:multiLevelType w:val="hybridMultilevel"/>
    <w:tmpl w:val="A9E8D164"/>
    <w:lvl w:ilvl="0" w:tplc="88443C7E">
      <w:start w:val="1"/>
      <w:numFmt w:val="bullet"/>
      <w:lvlText w:val="●"/>
      <w:lvlJc w:val="left"/>
      <w:pPr>
        <w:ind w:left="720" w:hanging="360"/>
      </w:pPr>
    </w:lvl>
    <w:lvl w:ilvl="1" w:tplc="1E807FE6">
      <w:start w:val="1"/>
      <w:numFmt w:val="bullet"/>
      <w:lvlText w:val="○"/>
      <w:lvlJc w:val="left"/>
      <w:pPr>
        <w:ind w:left="1440" w:hanging="360"/>
      </w:pPr>
    </w:lvl>
    <w:lvl w:ilvl="2" w:tplc="20D4AA04">
      <w:start w:val="1"/>
      <w:numFmt w:val="bullet"/>
      <w:lvlText w:val="■"/>
      <w:lvlJc w:val="left"/>
      <w:pPr>
        <w:ind w:left="2160" w:hanging="360"/>
      </w:pPr>
    </w:lvl>
    <w:lvl w:ilvl="3" w:tplc="FA2AD2D0">
      <w:start w:val="1"/>
      <w:numFmt w:val="bullet"/>
      <w:lvlText w:val="●"/>
      <w:lvlJc w:val="left"/>
      <w:pPr>
        <w:ind w:left="2880" w:hanging="360"/>
      </w:pPr>
    </w:lvl>
    <w:lvl w:ilvl="4" w:tplc="2BA82650">
      <w:start w:val="1"/>
      <w:numFmt w:val="bullet"/>
      <w:lvlText w:val="○"/>
      <w:lvlJc w:val="left"/>
      <w:pPr>
        <w:ind w:left="3600" w:hanging="360"/>
      </w:pPr>
    </w:lvl>
    <w:lvl w:ilvl="5" w:tplc="198A014E">
      <w:start w:val="1"/>
      <w:numFmt w:val="bullet"/>
      <w:lvlText w:val="■"/>
      <w:lvlJc w:val="left"/>
      <w:pPr>
        <w:ind w:left="4320" w:hanging="360"/>
      </w:pPr>
    </w:lvl>
    <w:lvl w:ilvl="6" w:tplc="6F9E5FFC">
      <w:start w:val="1"/>
      <w:numFmt w:val="bullet"/>
      <w:lvlText w:val="●"/>
      <w:lvlJc w:val="left"/>
      <w:pPr>
        <w:ind w:left="5040" w:hanging="360"/>
      </w:pPr>
    </w:lvl>
    <w:lvl w:ilvl="7" w:tplc="D6DE962E">
      <w:start w:val="1"/>
      <w:numFmt w:val="bullet"/>
      <w:lvlText w:val="●"/>
      <w:lvlJc w:val="left"/>
      <w:pPr>
        <w:ind w:left="5760" w:hanging="360"/>
      </w:pPr>
    </w:lvl>
    <w:lvl w:ilvl="8" w:tplc="FFC4C7B0">
      <w:start w:val="1"/>
      <w:numFmt w:val="bullet"/>
      <w:lvlText w:val="●"/>
      <w:lvlJc w:val="left"/>
      <w:pPr>
        <w:ind w:left="6480" w:hanging="360"/>
      </w:pPr>
    </w:lvl>
  </w:abstractNum>
  <w:num w:numId="1" w16cid:durableId="1735271937">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48E"/>
    <w:rsid w:val="0019548E"/>
    <w:rsid w:val="00635F97"/>
    <w:rsid w:val="007D6C21"/>
    <w:rsid w:val="009F01FF"/>
    <w:rsid w:val="009F75F4"/>
    <w:rsid w:val="00B91515"/>
    <w:rsid w:val="00CB7A4B"/>
    <w:rsid w:val="00D1140C"/>
    <w:rsid w:val="00D91E60"/>
    <w:rsid w:val="00E72BB6"/>
    <w:rsid w:val="00F323B8"/>
    <w:rsid w:val="00FF31D6"/>
    <w:rsid w:val="26810F9F"/>
    <w:rsid w:val="29E0823F"/>
    <w:rsid w:val="4AEEF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E2C79"/>
  <w15:docId w15:val="{E09E0F80-8666-404D-9A45-31AE08364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20"/>
      <w:outlineLvl w:val="0"/>
    </w:pPr>
    <w:rPr>
      <w:b/>
      <w:bCs/>
      <w:color w:val="000000"/>
      <w:sz w:val="24"/>
      <w:szCs w:val="24"/>
    </w:rPr>
  </w:style>
  <w:style w:type="paragraph" w:styleId="Heading2">
    <w:name w:val="heading 2"/>
    <w:uiPriority w:val="9"/>
    <w:unhideWhenUsed/>
    <w:qFormat/>
    <w:pPr>
      <w:spacing w:before="200" w:after="100"/>
      <w:outlineLvl w:val="1"/>
    </w:pPr>
    <w:rPr>
      <w:b/>
      <w:bCs/>
      <w:color w:val="000000"/>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D6C21"/>
    <w:pPr>
      <w:tabs>
        <w:tab w:val="center" w:pos="4513"/>
        <w:tab w:val="right" w:pos="9026"/>
      </w:tabs>
    </w:pPr>
  </w:style>
  <w:style w:type="character" w:customStyle="1" w:styleId="HeaderChar">
    <w:name w:val="Header Char"/>
    <w:basedOn w:val="DefaultParagraphFont"/>
    <w:link w:val="Header"/>
    <w:uiPriority w:val="99"/>
    <w:rsid w:val="007D6C21"/>
  </w:style>
  <w:style w:type="paragraph" w:styleId="Footer">
    <w:name w:val="footer"/>
    <w:basedOn w:val="Normal"/>
    <w:link w:val="FooterChar"/>
    <w:uiPriority w:val="99"/>
    <w:unhideWhenUsed/>
    <w:rsid w:val="007D6C21"/>
    <w:pPr>
      <w:tabs>
        <w:tab w:val="center" w:pos="4513"/>
        <w:tab w:val="right" w:pos="9026"/>
      </w:tabs>
    </w:pPr>
  </w:style>
  <w:style w:type="character" w:customStyle="1" w:styleId="FooterChar">
    <w:name w:val="Footer Char"/>
    <w:basedOn w:val="DefaultParagraphFont"/>
    <w:link w:val="Footer"/>
    <w:uiPriority w:val="99"/>
    <w:rsid w:val="007D6C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2436</Words>
  <Characters>13888</Characters>
  <Application>Microsoft Office Word</Application>
  <DocSecurity>0</DocSecurity>
  <Lines>115</Lines>
  <Paragraphs>32</Paragraphs>
  <ScaleCrop>false</ScaleCrop>
  <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Melania Sano Dias (2211689)</cp:lastModifiedBy>
  <cp:revision>2</cp:revision>
  <dcterms:created xsi:type="dcterms:W3CDTF">2026-08-26T23:04:00Z</dcterms:created>
  <dcterms:modified xsi:type="dcterms:W3CDTF">2026-08-26T23:04:00Z</dcterms:modified>
</cp:coreProperties>
</file>