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06C56E" w14:textId="4670B689" w:rsidR="001F7B7A" w:rsidRDefault="001F7B7A"/>
    <w:p w14:paraId="0E860571" w14:textId="77777777" w:rsidR="001F7B7A" w:rsidRPr="001F7B7A" w:rsidRDefault="001F7B7A" w:rsidP="001F7B7A">
      <w:pPr>
        <w:pStyle w:val="Heading1"/>
        <w:rPr>
          <w:color w:val="auto"/>
          <w:sz w:val="40"/>
          <w:szCs w:val="40"/>
          <w:u w:val="single"/>
        </w:rPr>
      </w:pPr>
      <w:r w:rsidRPr="001F7B7A">
        <w:rPr>
          <w:color w:val="auto"/>
          <w:sz w:val="40"/>
          <w:szCs w:val="40"/>
          <w:u w:val="single"/>
        </w:rPr>
        <w:t>Task five – fact sheet (learning and development)</w:t>
      </w:r>
    </w:p>
    <w:p w14:paraId="6D1792B6" w14:textId="4AA8E1FC" w:rsidR="001F7B7A" w:rsidRPr="00C82568" w:rsidRDefault="00C82568" w:rsidP="001F7B7A">
      <w:pPr>
        <w:rPr>
          <w:rFonts w:ascii="Arial" w:hAnsi="Arial" w:cs="Arial"/>
          <w:sz w:val="24"/>
          <w:szCs w:val="24"/>
        </w:rPr>
      </w:pPr>
      <w:r w:rsidRPr="00C82568">
        <w:rPr>
          <w:rFonts w:ascii="Arial" w:hAnsi="Arial" w:cs="Arial"/>
          <w:sz w:val="24"/>
          <w:szCs w:val="24"/>
        </w:rPr>
        <w:t>Q6.1</w:t>
      </w:r>
    </w:p>
    <w:p w14:paraId="2D8CB64E" w14:textId="19D2C30C" w:rsidR="00AE1783" w:rsidRPr="00C82568" w:rsidRDefault="001F7B7A" w:rsidP="001F7B7A">
      <w:pPr>
        <w:rPr>
          <w:rFonts w:ascii="Arial" w:hAnsi="Arial" w:cs="Arial"/>
          <w:sz w:val="24"/>
          <w:szCs w:val="24"/>
        </w:rPr>
      </w:pPr>
      <w:r w:rsidRPr="00C82568">
        <w:rPr>
          <w:rFonts w:ascii="Arial" w:hAnsi="Arial" w:cs="Arial"/>
          <w:sz w:val="24"/>
          <w:szCs w:val="24"/>
        </w:rPr>
        <w:t xml:space="preserve">According to Waite </w:t>
      </w:r>
      <w:r w:rsidRPr="00C82568">
        <w:rPr>
          <w:rFonts w:ascii="Arial" w:hAnsi="Arial" w:cs="Arial"/>
          <w:i/>
          <w:iCs/>
          <w:sz w:val="24"/>
          <w:szCs w:val="24"/>
        </w:rPr>
        <w:t xml:space="preserve">et al </w:t>
      </w:r>
      <w:r w:rsidRPr="00C82568">
        <w:rPr>
          <w:rFonts w:ascii="Arial" w:hAnsi="Arial" w:cs="Arial"/>
          <w:sz w:val="24"/>
          <w:szCs w:val="24"/>
        </w:rPr>
        <w:t xml:space="preserve">(2021) ‘The CIPD Profession Map (2018 defines learning and development (L&amp;D) as ‘ensuring workers have the knowledge, skills and experience to fulfil individual and organisational needs and ambitions.’ </w:t>
      </w:r>
      <w:r w:rsidR="00AE1783" w:rsidRPr="00C82568">
        <w:rPr>
          <w:rFonts w:ascii="Arial" w:hAnsi="Arial" w:cs="Arial"/>
          <w:sz w:val="24"/>
          <w:szCs w:val="24"/>
        </w:rPr>
        <w:t xml:space="preserve">By providing learning and development opportunities to staff, such as the sales assistants, you are providing them with the tools necessary to be to perform their roles to a high standard. </w:t>
      </w:r>
    </w:p>
    <w:p w14:paraId="160FA10F" w14:textId="77777777" w:rsidR="00C82568" w:rsidRPr="00C82568" w:rsidRDefault="00AE1783" w:rsidP="001F7B7A">
      <w:pPr>
        <w:rPr>
          <w:rFonts w:ascii="Arial" w:hAnsi="Arial" w:cs="Arial"/>
          <w:sz w:val="24"/>
          <w:szCs w:val="24"/>
        </w:rPr>
      </w:pPr>
      <w:r w:rsidRPr="00C82568">
        <w:rPr>
          <w:rFonts w:ascii="Arial" w:hAnsi="Arial" w:cs="Arial"/>
          <w:sz w:val="24"/>
          <w:szCs w:val="24"/>
        </w:rPr>
        <w:t xml:space="preserve">L&amp;D can also provide opportunities for staff to develop further skills to specialise within their job-role or a different part of the company. According to CIPD (2024) L&amp;D can contribute to an organisations strategic goal by providing a clear strategy for development of staff. The CIPD suggest that L&amp;D can align employees to their business’s organisational needs by providing a clear strategy for an organisation to adapt to changing external </w:t>
      </w:r>
      <w:proofErr w:type="gramStart"/>
      <w:r w:rsidRPr="00C82568">
        <w:rPr>
          <w:rFonts w:ascii="Arial" w:hAnsi="Arial" w:cs="Arial"/>
          <w:sz w:val="24"/>
          <w:szCs w:val="24"/>
        </w:rPr>
        <w:t>pressures</w:t>
      </w:r>
      <w:proofErr w:type="gramEnd"/>
    </w:p>
    <w:p w14:paraId="6132E1E5" w14:textId="10E4F375" w:rsidR="00AE1783" w:rsidRDefault="00AE1783" w:rsidP="001F7B7A">
      <w:pPr>
        <w:rPr>
          <w:rFonts w:ascii="Arial" w:hAnsi="Arial" w:cs="Arial"/>
          <w:sz w:val="24"/>
          <w:szCs w:val="24"/>
        </w:rPr>
      </w:pPr>
      <w:r w:rsidRPr="00C82568">
        <w:rPr>
          <w:rFonts w:ascii="Arial" w:hAnsi="Arial" w:cs="Arial"/>
          <w:sz w:val="24"/>
          <w:szCs w:val="24"/>
        </w:rPr>
        <w:t xml:space="preserve">To do this, L&amp;D can undertake a ‘learning needs analysis’ which will allow them to understand the levels of skills and knowledge within the </w:t>
      </w:r>
      <w:proofErr w:type="gramStart"/>
      <w:r w:rsidRPr="00C82568">
        <w:rPr>
          <w:rFonts w:ascii="Arial" w:hAnsi="Arial" w:cs="Arial"/>
          <w:sz w:val="24"/>
          <w:szCs w:val="24"/>
        </w:rPr>
        <w:t>organisation</w:t>
      </w:r>
      <w:r w:rsidR="00C82568" w:rsidRPr="00C82568">
        <w:rPr>
          <w:rFonts w:ascii="Arial" w:hAnsi="Arial" w:cs="Arial"/>
          <w:sz w:val="24"/>
          <w:szCs w:val="24"/>
        </w:rPr>
        <w:t>, and</w:t>
      </w:r>
      <w:proofErr w:type="gramEnd"/>
      <w:r w:rsidR="00C82568" w:rsidRPr="00C82568">
        <w:rPr>
          <w:rFonts w:ascii="Arial" w:hAnsi="Arial" w:cs="Arial"/>
          <w:sz w:val="24"/>
          <w:szCs w:val="24"/>
        </w:rPr>
        <w:t xml:space="preserve"> see if the organisation has what it currently needs, and will have what it needs to thrive in the future. A learning needs analysis may show that staff in other areas of Clean Quarter Ltd. have strong sales experience and may be viable candidates to replace an older member of the sales team when they retire. By performing an analysis, and finding out what skills employees currently have, and which skills employees need, L&amp;D can future proof an organisation and reinforce and expand upon current employees’ experience and knowledge.  </w:t>
      </w:r>
    </w:p>
    <w:p w14:paraId="4D245448" w14:textId="17163053" w:rsidR="00C82568" w:rsidRDefault="00C82568" w:rsidP="001F7B7A">
      <w:pPr>
        <w:rPr>
          <w:rFonts w:ascii="Arial" w:hAnsi="Arial" w:cs="Arial"/>
          <w:sz w:val="24"/>
          <w:szCs w:val="24"/>
        </w:rPr>
      </w:pPr>
      <w:r>
        <w:rPr>
          <w:rFonts w:ascii="Arial" w:hAnsi="Arial" w:cs="Arial"/>
          <w:sz w:val="24"/>
          <w:szCs w:val="24"/>
        </w:rPr>
        <w:t xml:space="preserve">Q6.2 </w:t>
      </w:r>
    </w:p>
    <w:p w14:paraId="66D05FFC" w14:textId="1152BD52" w:rsidR="00C82568" w:rsidRDefault="00830CC2" w:rsidP="001F7B7A">
      <w:pPr>
        <w:rPr>
          <w:rFonts w:ascii="Arial" w:hAnsi="Arial" w:cs="Arial"/>
          <w:sz w:val="24"/>
          <w:szCs w:val="24"/>
        </w:rPr>
      </w:pPr>
      <w:r>
        <w:rPr>
          <w:rFonts w:ascii="Arial" w:hAnsi="Arial" w:cs="Arial"/>
          <w:sz w:val="24"/>
          <w:szCs w:val="24"/>
        </w:rPr>
        <w:t xml:space="preserve">Waite </w:t>
      </w:r>
      <w:r>
        <w:rPr>
          <w:rFonts w:ascii="Arial" w:hAnsi="Arial" w:cs="Arial"/>
          <w:i/>
          <w:iCs/>
          <w:sz w:val="24"/>
          <w:szCs w:val="24"/>
        </w:rPr>
        <w:t>et al</w:t>
      </w:r>
      <w:r>
        <w:rPr>
          <w:rFonts w:ascii="Arial" w:hAnsi="Arial" w:cs="Arial"/>
          <w:sz w:val="24"/>
          <w:szCs w:val="24"/>
        </w:rPr>
        <w:t xml:space="preserve"> (2021) says that learning needs </w:t>
      </w:r>
      <w:r w:rsidR="005A4224">
        <w:rPr>
          <w:rFonts w:ascii="Arial" w:hAnsi="Arial" w:cs="Arial"/>
          <w:sz w:val="24"/>
          <w:szCs w:val="24"/>
        </w:rPr>
        <w:t xml:space="preserve">‘usually exist where there is a gap between what someone wants, needs or is required to do, and what they can actually do’. </w:t>
      </w:r>
    </w:p>
    <w:p w14:paraId="5C748226" w14:textId="77777777" w:rsidR="005A4224" w:rsidRDefault="005A4224" w:rsidP="001F7B7A">
      <w:pPr>
        <w:rPr>
          <w:rFonts w:ascii="Arial" w:hAnsi="Arial" w:cs="Arial"/>
          <w:sz w:val="24"/>
          <w:szCs w:val="24"/>
        </w:rPr>
      </w:pPr>
    </w:p>
    <w:p w14:paraId="4BF5113B" w14:textId="16FAD259" w:rsidR="005A4224" w:rsidRPr="00830CC2" w:rsidRDefault="005A4224" w:rsidP="001F7B7A">
      <w:pPr>
        <w:rPr>
          <w:rFonts w:ascii="Arial" w:hAnsi="Arial" w:cs="Arial"/>
          <w:sz w:val="24"/>
          <w:szCs w:val="24"/>
        </w:rPr>
      </w:pPr>
      <w:r>
        <w:rPr>
          <w:rFonts w:ascii="Arial" w:hAnsi="Arial" w:cs="Arial"/>
          <w:sz w:val="24"/>
          <w:szCs w:val="24"/>
        </w:rPr>
        <w:t xml:space="preserve">Referring to the Learning Needs Analysis (LNA) previously discussed in Q6.1, an LNA can identify the different learning needs within an organisation. Perhaps there is a shortage of I.T knowledge within an organisation, 60% of the sales team have not been trained on relevant legislation relating to their role, or there is nobody first aid or fire marshal trained within the organisation, all of these scenarios would need to be addressed be Clean Quarter Ltd. to ensure that they can both continue to thrive as an organisation, and are able to meet regulatory standards for running a business in the UK on an open premises. </w:t>
      </w:r>
    </w:p>
    <w:p w14:paraId="01936ACF" w14:textId="77777777" w:rsidR="00C82568" w:rsidRDefault="00C82568" w:rsidP="001F7B7A">
      <w:pPr>
        <w:rPr>
          <w:rFonts w:ascii="Arial" w:hAnsi="Arial" w:cs="Arial"/>
          <w:sz w:val="24"/>
          <w:szCs w:val="24"/>
        </w:rPr>
      </w:pPr>
    </w:p>
    <w:p w14:paraId="05EC8326" w14:textId="545C7EAF" w:rsidR="00C82568" w:rsidRPr="00234F00" w:rsidRDefault="00234F00" w:rsidP="001F7B7A">
      <w:pPr>
        <w:rPr>
          <w:sz w:val="24"/>
          <w:szCs w:val="24"/>
        </w:rPr>
      </w:pPr>
      <w:r>
        <w:rPr>
          <w:sz w:val="24"/>
          <w:szCs w:val="24"/>
        </w:rPr>
        <w:lastRenderedPageBreak/>
        <w:t xml:space="preserve">By implementing a good L&amp;D strategy into the organisation, Clean Quarter can ensure that learning needs are identified early on and ensure that they are able to train their staff in areas which help the business grow and achieve their goals. By implementing performance reviews (CIPD, </w:t>
      </w:r>
      <w:r>
        <w:rPr>
          <w:i/>
          <w:iCs/>
          <w:sz w:val="24"/>
          <w:szCs w:val="24"/>
        </w:rPr>
        <w:t xml:space="preserve">Strategy and development, </w:t>
      </w:r>
      <w:r>
        <w:rPr>
          <w:sz w:val="24"/>
          <w:szCs w:val="24"/>
        </w:rPr>
        <w:t xml:space="preserve">2024) Clean quarter can ensure that line managers are able to help feed into the L&amp;D strategy of the company by appraising employees’ performance and identifying any areas where there may be capability or learning </w:t>
      </w:r>
      <w:proofErr w:type="gramStart"/>
      <w:r>
        <w:rPr>
          <w:sz w:val="24"/>
          <w:szCs w:val="24"/>
        </w:rPr>
        <w:t>issues, and</w:t>
      </w:r>
      <w:proofErr w:type="gramEnd"/>
      <w:r>
        <w:rPr>
          <w:sz w:val="24"/>
          <w:szCs w:val="24"/>
        </w:rPr>
        <w:t xml:space="preserve"> passing this onto the L&amp;D team to ensure that resources can be allocated to rectify any issues. Through this, L&amp;D can also gather valuable data which would help ensure that </w:t>
      </w:r>
      <w:proofErr w:type="spellStart"/>
      <w:r>
        <w:rPr>
          <w:sz w:val="24"/>
          <w:szCs w:val="24"/>
        </w:rPr>
        <w:t>hey</w:t>
      </w:r>
      <w:proofErr w:type="spellEnd"/>
      <w:r>
        <w:rPr>
          <w:sz w:val="24"/>
          <w:szCs w:val="24"/>
        </w:rPr>
        <w:t xml:space="preserve"> are able to provide all the required learning needed for the organisation to thrive, as well as notice trends in learning needs, which helps with future strategic planning.  </w:t>
      </w:r>
    </w:p>
    <w:p w14:paraId="2E6F7811" w14:textId="77777777" w:rsidR="001F7B7A" w:rsidRDefault="001F7B7A" w:rsidP="001F7B7A"/>
    <w:p w14:paraId="02486CBB" w14:textId="670C25EF" w:rsidR="001F7B7A" w:rsidRDefault="00234F00" w:rsidP="001F7B7A">
      <w:r>
        <w:t xml:space="preserve">Q6.3 </w:t>
      </w:r>
    </w:p>
    <w:p w14:paraId="5CE4F893" w14:textId="25880606" w:rsidR="001F7B7A" w:rsidRPr="003E1E99" w:rsidRDefault="00C520C5" w:rsidP="001F7B7A">
      <w:pPr>
        <w:rPr>
          <w:rFonts w:ascii="Arial" w:eastAsia="Times New Roman" w:hAnsi="Arial" w:cs="Arial"/>
          <w:strike/>
          <w:kern w:val="0"/>
          <w:sz w:val="24"/>
          <w:szCs w:val="24"/>
          <w:lang w:eastAsia="en-GB"/>
          <w14:ligatures w14:val="none"/>
        </w:rPr>
      </w:pPr>
      <w:r w:rsidRPr="003E1E99">
        <w:rPr>
          <w:rFonts w:ascii="Arial" w:eastAsia="Times New Roman" w:hAnsi="Arial" w:cs="Arial"/>
          <w:strike/>
          <w:kern w:val="0"/>
          <w:sz w:val="24"/>
          <w:szCs w:val="24"/>
          <w:lang w:eastAsia="en-GB"/>
          <w14:ligatures w14:val="none"/>
        </w:rPr>
        <w:t xml:space="preserve">Page-Tickell, R. (2014, p130) says ‘Learning and Development interventions may be delivered in a broad range of ways, including face-to-face, e-learning, small local group, off-site training course.’ CIPD (2024, </w:t>
      </w:r>
      <w:r w:rsidRPr="003E1E99">
        <w:rPr>
          <w:rFonts w:ascii="Arial" w:eastAsia="Times New Roman" w:hAnsi="Arial" w:cs="Arial"/>
          <w:i/>
          <w:iCs/>
          <w:strike/>
          <w:kern w:val="0"/>
          <w:sz w:val="24"/>
          <w:szCs w:val="24"/>
          <w:lang w:eastAsia="en-GB"/>
          <w14:ligatures w14:val="none"/>
        </w:rPr>
        <w:t>Coaching and mentoring)</w:t>
      </w:r>
      <w:r w:rsidRPr="003E1E99">
        <w:rPr>
          <w:rFonts w:ascii="Arial" w:eastAsia="Times New Roman" w:hAnsi="Arial" w:cs="Arial"/>
          <w:strike/>
          <w:kern w:val="0"/>
          <w:sz w:val="24"/>
          <w:szCs w:val="24"/>
          <w:lang w:eastAsia="en-GB"/>
          <w14:ligatures w14:val="none"/>
        </w:rPr>
        <w:t xml:space="preserve"> say that Coaching and mentoring is an effective form of learning in a workplace setting.</w:t>
      </w:r>
    </w:p>
    <w:p w14:paraId="21E794AD" w14:textId="77777777" w:rsidR="00C520C5" w:rsidRPr="003E1E99" w:rsidRDefault="00C520C5" w:rsidP="001F7B7A">
      <w:pPr>
        <w:rPr>
          <w:rFonts w:ascii="Arial" w:eastAsia="Times New Roman" w:hAnsi="Arial" w:cs="Arial"/>
          <w:strike/>
          <w:kern w:val="0"/>
          <w:sz w:val="24"/>
          <w:szCs w:val="24"/>
          <w:lang w:eastAsia="en-GB"/>
          <w14:ligatures w14:val="none"/>
        </w:rPr>
      </w:pPr>
    </w:p>
    <w:p w14:paraId="3A28F119" w14:textId="5EE174E5" w:rsidR="00C520C5" w:rsidRPr="003E1E99" w:rsidRDefault="00C520C5" w:rsidP="00C520C5">
      <w:pPr>
        <w:pStyle w:val="ListParagraph"/>
        <w:numPr>
          <w:ilvl w:val="0"/>
          <w:numId w:val="1"/>
        </w:numPr>
        <w:rPr>
          <w:rFonts w:ascii="Arial" w:hAnsi="Arial" w:cs="Arial"/>
          <w:strike/>
        </w:rPr>
      </w:pPr>
      <w:r w:rsidRPr="003E1E99">
        <w:rPr>
          <w:rFonts w:ascii="Arial" w:hAnsi="Arial" w:cs="Arial"/>
          <w:strike/>
        </w:rPr>
        <w:t xml:space="preserve">Face-to-Face learning – Face to face learning could include bringing in an external facilitator or subject matter expert (SME) into an organisation owned site or </w:t>
      </w:r>
      <w:proofErr w:type="gramStart"/>
      <w:r w:rsidRPr="003E1E99">
        <w:rPr>
          <w:rFonts w:ascii="Arial" w:hAnsi="Arial" w:cs="Arial"/>
          <w:strike/>
        </w:rPr>
        <w:t>venue, or</w:t>
      </w:r>
      <w:proofErr w:type="gramEnd"/>
      <w:r w:rsidRPr="003E1E99">
        <w:rPr>
          <w:rFonts w:ascii="Arial" w:hAnsi="Arial" w:cs="Arial"/>
          <w:strike/>
        </w:rPr>
        <w:t xml:space="preserve"> be delivered entirely externally to the organisation in their own venue. This type of training can be an effective way to deliver training to a group of people on specific subject areas, such as Fire Safety. </w:t>
      </w:r>
    </w:p>
    <w:p w14:paraId="6672AB55" w14:textId="77777777" w:rsidR="00961C7A" w:rsidRPr="003E1E99" w:rsidRDefault="00961C7A" w:rsidP="00961C7A">
      <w:pPr>
        <w:pStyle w:val="ListParagraph"/>
        <w:rPr>
          <w:rFonts w:ascii="Arial" w:hAnsi="Arial" w:cs="Arial"/>
          <w:strike/>
        </w:rPr>
      </w:pPr>
    </w:p>
    <w:p w14:paraId="78B95D65" w14:textId="75D3175C" w:rsidR="00C520C5" w:rsidRPr="003E1E99" w:rsidRDefault="00C520C5" w:rsidP="00C520C5">
      <w:pPr>
        <w:pStyle w:val="ListParagraph"/>
        <w:numPr>
          <w:ilvl w:val="0"/>
          <w:numId w:val="1"/>
        </w:numPr>
        <w:rPr>
          <w:rFonts w:ascii="Arial" w:hAnsi="Arial" w:cs="Arial"/>
          <w:strike/>
        </w:rPr>
      </w:pPr>
      <w:r w:rsidRPr="003E1E99">
        <w:rPr>
          <w:rFonts w:ascii="Arial" w:hAnsi="Arial" w:cs="Arial"/>
          <w:strike/>
        </w:rPr>
        <w:t xml:space="preserve">E-learning </w:t>
      </w:r>
      <w:r w:rsidR="00961C7A" w:rsidRPr="003E1E99">
        <w:rPr>
          <w:rFonts w:ascii="Arial" w:hAnsi="Arial" w:cs="Arial"/>
          <w:strike/>
        </w:rPr>
        <w:t xml:space="preserve">– E-learning </w:t>
      </w:r>
      <w:r w:rsidRPr="003E1E99">
        <w:rPr>
          <w:rFonts w:ascii="Arial" w:hAnsi="Arial" w:cs="Arial"/>
          <w:strike/>
        </w:rPr>
        <w:t>is used in a lot of organisations and is often used to deliver important learning where results must be recorded to ensure that the employee and organisation remains compliant to different legislation. An example of this, may be an e-learning module on the Data Protection Act (2010)</w:t>
      </w:r>
    </w:p>
    <w:p w14:paraId="27AA69D3" w14:textId="77777777" w:rsidR="001F7B7A" w:rsidRPr="003E1E99" w:rsidRDefault="001F7B7A" w:rsidP="001F7B7A">
      <w:pPr>
        <w:rPr>
          <w:strike/>
        </w:rPr>
      </w:pPr>
    </w:p>
    <w:p w14:paraId="16D8451C" w14:textId="77777777" w:rsidR="003E1E99" w:rsidRPr="003E1E99" w:rsidRDefault="003E1E99" w:rsidP="003E1E99">
      <w:pPr>
        <w:pStyle w:val="ListParagraph"/>
        <w:rPr>
          <w:rFonts w:ascii="Arial" w:hAnsi="Arial" w:cs="Arial"/>
          <w:strike/>
          <w:sz w:val="24"/>
          <w:szCs w:val="24"/>
        </w:rPr>
      </w:pPr>
    </w:p>
    <w:p w14:paraId="4BA86930" w14:textId="61664E93" w:rsidR="003E1E99" w:rsidRDefault="00C26292" w:rsidP="003E1E99">
      <w:pPr>
        <w:rPr>
          <w:rFonts w:ascii="Arial" w:hAnsi="Arial" w:cs="Arial"/>
          <w:color w:val="FF0000"/>
          <w:sz w:val="24"/>
          <w:szCs w:val="24"/>
        </w:rPr>
      </w:pPr>
      <w:r>
        <w:rPr>
          <w:rFonts w:ascii="Arial" w:hAnsi="Arial" w:cs="Arial"/>
          <w:color w:val="FF0000"/>
          <w:sz w:val="24"/>
          <w:szCs w:val="24"/>
        </w:rPr>
        <w:t xml:space="preserve">Thai </w:t>
      </w:r>
      <w:r>
        <w:rPr>
          <w:rFonts w:ascii="Arial" w:hAnsi="Arial" w:cs="Arial"/>
          <w:i/>
          <w:iCs/>
          <w:color w:val="FF0000"/>
          <w:sz w:val="24"/>
          <w:szCs w:val="24"/>
        </w:rPr>
        <w:t xml:space="preserve">et al </w:t>
      </w:r>
      <w:r>
        <w:rPr>
          <w:rFonts w:ascii="Arial" w:hAnsi="Arial" w:cs="Arial"/>
          <w:color w:val="FF0000"/>
          <w:sz w:val="24"/>
          <w:szCs w:val="24"/>
        </w:rPr>
        <w:t xml:space="preserve">(2020), </w:t>
      </w:r>
      <w:r w:rsidR="0050752E">
        <w:rPr>
          <w:rFonts w:ascii="Arial" w:hAnsi="Arial" w:cs="Arial"/>
          <w:color w:val="FF0000"/>
          <w:sz w:val="24"/>
          <w:szCs w:val="24"/>
        </w:rPr>
        <w:t xml:space="preserve">suggests that blended learning provides the </w:t>
      </w:r>
      <w:r w:rsidR="00F23423">
        <w:rPr>
          <w:rFonts w:ascii="Arial" w:hAnsi="Arial" w:cs="Arial"/>
          <w:color w:val="FF0000"/>
          <w:sz w:val="24"/>
          <w:szCs w:val="24"/>
        </w:rPr>
        <w:t>best features</w:t>
      </w:r>
      <w:r w:rsidR="0050752E">
        <w:rPr>
          <w:rFonts w:ascii="Arial" w:hAnsi="Arial" w:cs="Arial"/>
          <w:color w:val="FF0000"/>
          <w:sz w:val="24"/>
          <w:szCs w:val="24"/>
        </w:rPr>
        <w:t xml:space="preserve"> of </w:t>
      </w:r>
      <w:proofErr w:type="gramStart"/>
      <w:r w:rsidR="0050752E">
        <w:rPr>
          <w:rFonts w:ascii="Arial" w:hAnsi="Arial" w:cs="Arial"/>
          <w:color w:val="FF0000"/>
          <w:sz w:val="24"/>
          <w:szCs w:val="24"/>
        </w:rPr>
        <w:t>face to face</w:t>
      </w:r>
      <w:proofErr w:type="gramEnd"/>
      <w:r w:rsidR="0050752E">
        <w:rPr>
          <w:rFonts w:ascii="Arial" w:hAnsi="Arial" w:cs="Arial"/>
          <w:color w:val="FF0000"/>
          <w:sz w:val="24"/>
          <w:szCs w:val="24"/>
        </w:rPr>
        <w:t xml:space="preserve"> learning and eLearning</w:t>
      </w:r>
      <w:r w:rsidR="003E45A7">
        <w:rPr>
          <w:rFonts w:ascii="Arial" w:hAnsi="Arial" w:cs="Arial"/>
          <w:color w:val="FF0000"/>
          <w:sz w:val="24"/>
          <w:szCs w:val="24"/>
        </w:rPr>
        <w:t xml:space="preserve">. Blended learning is the use of different learning methods </w:t>
      </w:r>
      <w:r w:rsidR="00077DF7">
        <w:rPr>
          <w:rFonts w:ascii="Arial" w:hAnsi="Arial" w:cs="Arial"/>
          <w:color w:val="FF0000"/>
          <w:sz w:val="24"/>
          <w:szCs w:val="24"/>
        </w:rPr>
        <w:t xml:space="preserve">to teach a specific subject. For example, running a training session in person, then asking employees to complete e-learning modules to reinforce their learning. </w:t>
      </w:r>
      <w:r w:rsidR="00205219">
        <w:rPr>
          <w:rFonts w:ascii="Arial" w:hAnsi="Arial" w:cs="Arial"/>
          <w:color w:val="FF0000"/>
          <w:sz w:val="24"/>
          <w:szCs w:val="24"/>
        </w:rPr>
        <w:t xml:space="preserve">Face to face learning </w:t>
      </w:r>
      <w:r w:rsidR="008633EC">
        <w:rPr>
          <w:rFonts w:ascii="Arial" w:hAnsi="Arial" w:cs="Arial"/>
          <w:color w:val="FF0000"/>
          <w:sz w:val="24"/>
          <w:szCs w:val="24"/>
        </w:rPr>
        <w:t xml:space="preserve">can take different forms, such as </w:t>
      </w:r>
      <w:r w:rsidR="000D2A40">
        <w:rPr>
          <w:rFonts w:ascii="Arial" w:hAnsi="Arial" w:cs="Arial"/>
          <w:color w:val="FF0000"/>
          <w:sz w:val="24"/>
          <w:szCs w:val="24"/>
        </w:rPr>
        <w:t>coaching, or</w:t>
      </w:r>
      <w:r w:rsidR="008633EC">
        <w:rPr>
          <w:rFonts w:ascii="Arial" w:hAnsi="Arial" w:cs="Arial"/>
          <w:color w:val="FF0000"/>
          <w:sz w:val="24"/>
          <w:szCs w:val="24"/>
        </w:rPr>
        <w:t xml:space="preserve"> </w:t>
      </w:r>
      <w:r w:rsidR="000D2A40">
        <w:rPr>
          <w:rFonts w:ascii="Arial" w:hAnsi="Arial" w:cs="Arial"/>
          <w:color w:val="FF0000"/>
          <w:sz w:val="24"/>
          <w:szCs w:val="24"/>
        </w:rPr>
        <w:t xml:space="preserve">a classroom-based training session. It could be argued face to face training has benefits over e-learning as the learner is more engaged, although both are important tools to reinforce learning. </w:t>
      </w:r>
    </w:p>
    <w:p w14:paraId="518B6D98" w14:textId="77777777" w:rsidR="000D2A40" w:rsidRDefault="000D2A40" w:rsidP="003E1E99">
      <w:pPr>
        <w:rPr>
          <w:rFonts w:ascii="Arial" w:hAnsi="Arial" w:cs="Arial"/>
          <w:color w:val="FF0000"/>
          <w:sz w:val="24"/>
          <w:szCs w:val="24"/>
        </w:rPr>
      </w:pPr>
    </w:p>
    <w:p w14:paraId="0993263B" w14:textId="01153F44" w:rsidR="000D2A40" w:rsidRDefault="00311C94" w:rsidP="00357145">
      <w:pPr>
        <w:pStyle w:val="ListParagraph"/>
        <w:numPr>
          <w:ilvl w:val="0"/>
          <w:numId w:val="2"/>
        </w:numPr>
        <w:rPr>
          <w:rFonts w:ascii="Arial" w:hAnsi="Arial" w:cs="Arial"/>
          <w:color w:val="FF0000"/>
          <w:sz w:val="24"/>
          <w:szCs w:val="24"/>
        </w:rPr>
      </w:pPr>
      <w:r>
        <w:rPr>
          <w:rFonts w:ascii="Arial" w:hAnsi="Arial" w:cs="Arial"/>
          <w:color w:val="FF0000"/>
          <w:sz w:val="24"/>
          <w:szCs w:val="24"/>
        </w:rPr>
        <w:lastRenderedPageBreak/>
        <w:t>Facilitatio</w:t>
      </w:r>
      <w:r w:rsidR="00DE29A3">
        <w:rPr>
          <w:rFonts w:ascii="Arial" w:hAnsi="Arial" w:cs="Arial"/>
          <w:color w:val="FF0000"/>
          <w:sz w:val="24"/>
          <w:szCs w:val="24"/>
        </w:rPr>
        <w:t xml:space="preserve">n – Facilitation </w:t>
      </w:r>
      <w:r w:rsidR="004B70C2">
        <w:rPr>
          <w:rFonts w:ascii="Arial" w:hAnsi="Arial" w:cs="Arial"/>
          <w:color w:val="FF0000"/>
          <w:sz w:val="24"/>
          <w:szCs w:val="24"/>
        </w:rPr>
        <w:t xml:space="preserve">refers </w:t>
      </w:r>
      <w:r w:rsidR="00C63450">
        <w:rPr>
          <w:rFonts w:ascii="Arial" w:hAnsi="Arial" w:cs="Arial"/>
          <w:color w:val="FF0000"/>
          <w:sz w:val="24"/>
          <w:szCs w:val="24"/>
        </w:rPr>
        <w:t xml:space="preserve">to teaching through creating a space where learners </w:t>
      </w:r>
      <w:proofErr w:type="gramStart"/>
      <w:r w:rsidR="00C63450">
        <w:rPr>
          <w:rFonts w:ascii="Arial" w:hAnsi="Arial" w:cs="Arial"/>
          <w:color w:val="FF0000"/>
          <w:sz w:val="24"/>
          <w:szCs w:val="24"/>
        </w:rPr>
        <w:t>are able to</w:t>
      </w:r>
      <w:proofErr w:type="gramEnd"/>
      <w:r w:rsidR="00C63450">
        <w:rPr>
          <w:rFonts w:ascii="Arial" w:hAnsi="Arial" w:cs="Arial"/>
          <w:color w:val="FF0000"/>
          <w:sz w:val="24"/>
          <w:szCs w:val="24"/>
        </w:rPr>
        <w:t xml:space="preserve"> discuss and engage with each other in a safe environment. </w:t>
      </w:r>
    </w:p>
    <w:p w14:paraId="036358B0" w14:textId="70D1F94F" w:rsidR="00077BD6" w:rsidRDefault="00077BD6" w:rsidP="00357145">
      <w:pPr>
        <w:pStyle w:val="ListParagraph"/>
        <w:numPr>
          <w:ilvl w:val="0"/>
          <w:numId w:val="2"/>
        </w:numPr>
        <w:rPr>
          <w:rFonts w:ascii="Arial" w:hAnsi="Arial" w:cs="Arial"/>
          <w:color w:val="FF0000"/>
          <w:sz w:val="24"/>
          <w:szCs w:val="24"/>
        </w:rPr>
      </w:pPr>
      <w:r>
        <w:rPr>
          <w:rFonts w:ascii="Arial" w:hAnsi="Arial" w:cs="Arial"/>
          <w:color w:val="FF0000"/>
          <w:sz w:val="24"/>
          <w:szCs w:val="24"/>
        </w:rPr>
        <w:t xml:space="preserve">Training – </w:t>
      </w:r>
      <w:r w:rsidR="00C63450">
        <w:rPr>
          <w:rFonts w:ascii="Arial" w:hAnsi="Arial" w:cs="Arial"/>
          <w:color w:val="FF0000"/>
          <w:sz w:val="24"/>
          <w:szCs w:val="24"/>
        </w:rPr>
        <w:t xml:space="preserve">Training can relate to either face to face or online learning in which someone </w:t>
      </w:r>
      <w:r w:rsidR="00217DA1">
        <w:rPr>
          <w:rFonts w:ascii="Arial" w:hAnsi="Arial" w:cs="Arial"/>
          <w:color w:val="FF0000"/>
          <w:sz w:val="24"/>
          <w:szCs w:val="24"/>
        </w:rPr>
        <w:t>‘leads’ the training. It differs from facilitation as it is more instructive</w:t>
      </w:r>
      <w:r w:rsidR="00230BCD">
        <w:rPr>
          <w:rFonts w:ascii="Arial" w:hAnsi="Arial" w:cs="Arial"/>
          <w:color w:val="FF0000"/>
          <w:sz w:val="24"/>
          <w:szCs w:val="24"/>
        </w:rPr>
        <w:t xml:space="preserve"> compared to</w:t>
      </w:r>
      <w:r w:rsidR="00217DA1">
        <w:rPr>
          <w:rFonts w:ascii="Arial" w:hAnsi="Arial" w:cs="Arial"/>
          <w:color w:val="FF0000"/>
          <w:sz w:val="24"/>
          <w:szCs w:val="24"/>
        </w:rPr>
        <w:t xml:space="preserve"> facilitation where discussion would be encouraged.</w:t>
      </w:r>
    </w:p>
    <w:p w14:paraId="77ED8C3A" w14:textId="1A0740D3" w:rsidR="00077BD6" w:rsidRPr="00077BD6" w:rsidRDefault="00077BD6" w:rsidP="00077BD6">
      <w:pPr>
        <w:pStyle w:val="ListParagraph"/>
        <w:numPr>
          <w:ilvl w:val="0"/>
          <w:numId w:val="1"/>
        </w:numPr>
        <w:rPr>
          <w:rFonts w:ascii="Arial" w:hAnsi="Arial" w:cs="Arial"/>
          <w:sz w:val="24"/>
          <w:szCs w:val="24"/>
        </w:rPr>
      </w:pPr>
      <w:r w:rsidRPr="00077BD6">
        <w:rPr>
          <w:rFonts w:ascii="Arial" w:hAnsi="Arial" w:cs="Arial"/>
          <w:sz w:val="24"/>
          <w:szCs w:val="24"/>
        </w:rPr>
        <w:t xml:space="preserve">Coaching and mentoring – According to CIPD (2024) ‘Coaching and mentoring aims to produce optimal performance and improvement at work. It focuses on specific skills and </w:t>
      </w:r>
      <w:r w:rsidR="003255E7" w:rsidRPr="00077BD6">
        <w:rPr>
          <w:rFonts w:ascii="Arial" w:hAnsi="Arial" w:cs="Arial"/>
          <w:sz w:val="24"/>
          <w:szCs w:val="24"/>
        </w:rPr>
        <w:t>goals and</w:t>
      </w:r>
      <w:r w:rsidRPr="00077BD6">
        <w:rPr>
          <w:rFonts w:ascii="Arial" w:hAnsi="Arial" w:cs="Arial"/>
          <w:sz w:val="24"/>
          <w:szCs w:val="24"/>
        </w:rPr>
        <w:t xml:space="preserve"> may also have an impact on an individual’s personal attributes such as social interaction of confidence.’  Coaching and mentoring </w:t>
      </w:r>
      <w:proofErr w:type="gramStart"/>
      <w:r w:rsidRPr="00077BD6">
        <w:rPr>
          <w:rFonts w:ascii="Arial" w:hAnsi="Arial" w:cs="Arial"/>
          <w:sz w:val="24"/>
          <w:szCs w:val="24"/>
        </w:rPr>
        <w:t>is</w:t>
      </w:r>
      <w:proofErr w:type="gramEnd"/>
      <w:r w:rsidRPr="00077BD6">
        <w:rPr>
          <w:rFonts w:ascii="Arial" w:hAnsi="Arial" w:cs="Arial"/>
          <w:sz w:val="24"/>
          <w:szCs w:val="24"/>
        </w:rPr>
        <w:t xml:space="preserve"> effective for all staff, as it aims to assist them in improving all their skills and provides them someone who can on a one-on-one basis help them grow their personal and professional skills and knowledge. </w:t>
      </w:r>
    </w:p>
    <w:p w14:paraId="0227F8EA" w14:textId="6F29971E" w:rsidR="00077BD6" w:rsidRDefault="00077BD6" w:rsidP="00077BD6">
      <w:pPr>
        <w:pStyle w:val="ListParagraph"/>
        <w:rPr>
          <w:rFonts w:ascii="Arial" w:hAnsi="Arial" w:cs="Arial"/>
          <w:color w:val="FF0000"/>
          <w:sz w:val="24"/>
          <w:szCs w:val="24"/>
        </w:rPr>
      </w:pPr>
    </w:p>
    <w:p w14:paraId="5EA2655E" w14:textId="77777777" w:rsidR="001F7B7A" w:rsidRDefault="001F7B7A" w:rsidP="001F7B7A"/>
    <w:p w14:paraId="0115A755" w14:textId="77777777" w:rsidR="00520060" w:rsidRDefault="00520060" w:rsidP="001F7B7A">
      <w:pPr>
        <w:rPr>
          <w:rFonts w:ascii="Arial" w:hAnsi="Arial" w:cs="Arial"/>
          <w:sz w:val="24"/>
          <w:szCs w:val="24"/>
        </w:rPr>
      </w:pPr>
      <w:r w:rsidRPr="00520060">
        <w:rPr>
          <w:rFonts w:ascii="Arial" w:hAnsi="Arial" w:cs="Arial"/>
          <w:sz w:val="24"/>
          <w:szCs w:val="24"/>
        </w:rPr>
        <w:t xml:space="preserve">Q6.4 </w:t>
      </w:r>
    </w:p>
    <w:p w14:paraId="02D52113" w14:textId="164C5D08" w:rsidR="001F7B7A" w:rsidRPr="00E71F11" w:rsidRDefault="00520060" w:rsidP="001F7B7A">
      <w:pPr>
        <w:rPr>
          <w:rFonts w:ascii="Arial" w:hAnsi="Arial" w:cs="Arial"/>
          <w:strike/>
          <w:sz w:val="24"/>
          <w:szCs w:val="24"/>
        </w:rPr>
      </w:pPr>
      <w:r w:rsidRPr="00E71F11">
        <w:rPr>
          <w:rFonts w:ascii="Arial" w:hAnsi="Arial" w:cs="Arial"/>
          <w:strike/>
          <w:sz w:val="24"/>
          <w:szCs w:val="24"/>
        </w:rPr>
        <w:t>Stein. J and Graham. C.R (2020) Say that</w:t>
      </w:r>
      <w:r w:rsidR="005B701A" w:rsidRPr="00E71F11">
        <w:rPr>
          <w:rFonts w:ascii="Arial" w:hAnsi="Arial" w:cs="Arial"/>
          <w:strike/>
          <w:sz w:val="24"/>
          <w:szCs w:val="24"/>
        </w:rPr>
        <w:t xml:space="preserve"> blended learning is a combination of onsite (face to face) and online experiences. They discuss the purpose of blended learning, which they say is to make teaching and learning experiences ‘more flexible, efficient and effective by designing for the best of each mode.’ </w:t>
      </w:r>
      <w:r w:rsidRPr="00E71F11">
        <w:rPr>
          <w:rFonts w:ascii="Arial" w:hAnsi="Arial" w:cs="Arial"/>
          <w:strike/>
          <w:sz w:val="24"/>
          <w:szCs w:val="24"/>
        </w:rPr>
        <w:t xml:space="preserve">  </w:t>
      </w:r>
    </w:p>
    <w:p w14:paraId="700C421C" w14:textId="70935D42" w:rsidR="001F7B7A" w:rsidRPr="00E71F11" w:rsidRDefault="005B701A" w:rsidP="001F7B7A">
      <w:pPr>
        <w:rPr>
          <w:strike/>
        </w:rPr>
      </w:pPr>
      <w:r w:rsidRPr="00E71F11">
        <w:rPr>
          <w:strike/>
          <w:noProof/>
        </w:rPr>
        <w:drawing>
          <wp:inline distT="0" distB="0" distL="0" distR="0" wp14:anchorId="606DA6A9" wp14:editId="4113D0C7">
            <wp:extent cx="5731510" cy="1972945"/>
            <wp:effectExtent l="0" t="0" r="2540" b="8255"/>
            <wp:docPr id="82441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41934" name=""/>
                    <pic:cNvPicPr/>
                  </pic:nvPicPr>
                  <pic:blipFill>
                    <a:blip r:embed="rId7"/>
                    <a:stretch>
                      <a:fillRect/>
                    </a:stretch>
                  </pic:blipFill>
                  <pic:spPr>
                    <a:xfrm>
                      <a:off x="0" y="0"/>
                      <a:ext cx="5731510" cy="1972945"/>
                    </a:xfrm>
                    <a:prstGeom prst="rect">
                      <a:avLst/>
                    </a:prstGeom>
                  </pic:spPr>
                </pic:pic>
              </a:graphicData>
            </a:graphic>
          </wp:inline>
        </w:drawing>
      </w:r>
    </w:p>
    <w:p w14:paraId="3EC1D76C" w14:textId="3B488E4E" w:rsidR="001F7B7A" w:rsidRPr="00E71F11" w:rsidRDefault="005B701A" w:rsidP="001F7B7A">
      <w:pPr>
        <w:rPr>
          <w:rFonts w:ascii="Arial" w:hAnsi="Arial" w:cs="Arial"/>
          <w:strike/>
          <w:sz w:val="24"/>
          <w:szCs w:val="24"/>
        </w:rPr>
      </w:pPr>
      <w:r w:rsidRPr="00E71F11">
        <w:rPr>
          <w:strike/>
        </w:rPr>
        <w:t xml:space="preserve">(Taken from </w:t>
      </w:r>
      <w:r w:rsidRPr="00E71F11">
        <w:rPr>
          <w:rFonts w:ascii="Arial" w:hAnsi="Arial" w:cs="Arial"/>
          <w:strike/>
          <w:sz w:val="24"/>
          <w:szCs w:val="24"/>
        </w:rPr>
        <w:t xml:space="preserve">Stein. J and Graham. C.R 2020, p11) </w:t>
      </w:r>
    </w:p>
    <w:p w14:paraId="315A8AD9" w14:textId="0967CAB2" w:rsidR="005B701A" w:rsidRPr="00E71F11" w:rsidRDefault="005B701A" w:rsidP="001F7B7A">
      <w:pPr>
        <w:rPr>
          <w:rFonts w:ascii="Arial" w:hAnsi="Arial" w:cs="Arial"/>
          <w:strike/>
          <w:sz w:val="24"/>
          <w:szCs w:val="24"/>
        </w:rPr>
      </w:pPr>
      <w:r w:rsidRPr="00E71F11">
        <w:rPr>
          <w:rFonts w:ascii="Arial" w:hAnsi="Arial" w:cs="Arial"/>
          <w:strike/>
          <w:sz w:val="24"/>
          <w:szCs w:val="24"/>
        </w:rPr>
        <w:t xml:space="preserve">Blended learning attempts to make learning more interactive and engaging for people by implementing different methods of learning into an overall learning objective. For example, an induction for an organisation may use a ‘blended’ approach, by allowing staff members the opportunity to attend a </w:t>
      </w:r>
      <w:proofErr w:type="gramStart"/>
      <w:r w:rsidRPr="00E71F11">
        <w:rPr>
          <w:rFonts w:ascii="Arial" w:hAnsi="Arial" w:cs="Arial"/>
          <w:strike/>
          <w:sz w:val="24"/>
          <w:szCs w:val="24"/>
        </w:rPr>
        <w:t>face to face</w:t>
      </w:r>
      <w:proofErr w:type="gramEnd"/>
      <w:r w:rsidRPr="00E71F11">
        <w:rPr>
          <w:rFonts w:ascii="Arial" w:hAnsi="Arial" w:cs="Arial"/>
          <w:strike/>
          <w:sz w:val="24"/>
          <w:szCs w:val="24"/>
        </w:rPr>
        <w:t xml:space="preserve"> induction which would provide the staff member the opportunity to speak to someone face to face and learn about an organisations goals and objectives firsthand with someone they can interact with. Additionally, as part of the induction and onboarding process, a new employee could then be provided with e-learning modules which would cover key tasks within the organisation as well as check off any mandatory legislative training, such as mentioned in Q6.3 when referring to a Data Protection Act module. </w:t>
      </w:r>
    </w:p>
    <w:p w14:paraId="0AEEDD5B" w14:textId="77777777" w:rsidR="005B701A" w:rsidRPr="00E71F11" w:rsidRDefault="005B701A" w:rsidP="001F7B7A">
      <w:pPr>
        <w:rPr>
          <w:rFonts w:ascii="Arial" w:hAnsi="Arial" w:cs="Arial"/>
          <w:strike/>
          <w:sz w:val="24"/>
          <w:szCs w:val="24"/>
        </w:rPr>
      </w:pPr>
    </w:p>
    <w:p w14:paraId="2D7324B8" w14:textId="725B5D53" w:rsidR="005B701A" w:rsidRDefault="005B701A" w:rsidP="001F7B7A">
      <w:pPr>
        <w:rPr>
          <w:rFonts w:ascii="Arial" w:hAnsi="Arial" w:cs="Arial"/>
          <w:strike/>
          <w:sz w:val="24"/>
          <w:szCs w:val="24"/>
        </w:rPr>
      </w:pPr>
      <w:r w:rsidRPr="00E71F11">
        <w:rPr>
          <w:rFonts w:ascii="Arial" w:hAnsi="Arial" w:cs="Arial"/>
          <w:strike/>
          <w:sz w:val="24"/>
          <w:szCs w:val="24"/>
        </w:rPr>
        <w:t xml:space="preserve">When developing a blended learning approach for any training within an </w:t>
      </w:r>
      <w:proofErr w:type="gramStart"/>
      <w:r w:rsidRPr="00E71F11">
        <w:rPr>
          <w:rFonts w:ascii="Arial" w:hAnsi="Arial" w:cs="Arial"/>
          <w:strike/>
          <w:sz w:val="24"/>
          <w:szCs w:val="24"/>
        </w:rPr>
        <w:t>organisations</w:t>
      </w:r>
      <w:proofErr w:type="gramEnd"/>
      <w:r w:rsidRPr="00E71F11">
        <w:rPr>
          <w:rFonts w:ascii="Arial" w:hAnsi="Arial" w:cs="Arial"/>
          <w:strike/>
          <w:sz w:val="24"/>
          <w:szCs w:val="24"/>
        </w:rPr>
        <w:t xml:space="preserve"> such as Clean Quarter, it is important to ensure that blending the learning is an effective way of delivering the training by assessing if it’s necessary, and also ensuring that the learning regardless of delivery mode is accessible. Reviewing the training regularly will also ensure that the training is still entirely </w:t>
      </w:r>
      <w:proofErr w:type="gramStart"/>
      <w:r w:rsidRPr="00E71F11">
        <w:rPr>
          <w:rFonts w:ascii="Arial" w:hAnsi="Arial" w:cs="Arial"/>
          <w:strike/>
          <w:sz w:val="24"/>
          <w:szCs w:val="24"/>
        </w:rPr>
        <w:t>relevant</w:t>
      </w:r>
      <w:proofErr w:type="gramEnd"/>
      <w:r w:rsidRPr="00E71F11">
        <w:rPr>
          <w:rFonts w:ascii="Arial" w:hAnsi="Arial" w:cs="Arial"/>
          <w:strike/>
          <w:sz w:val="24"/>
          <w:szCs w:val="24"/>
        </w:rPr>
        <w:t xml:space="preserve"> and the information is up to date.   </w:t>
      </w:r>
    </w:p>
    <w:p w14:paraId="7C86C4E5" w14:textId="50D30924" w:rsidR="00C05B4C" w:rsidRDefault="00E242A6" w:rsidP="001F7B7A">
      <w:pPr>
        <w:rPr>
          <w:rFonts w:ascii="Arial" w:hAnsi="Arial" w:cs="Arial"/>
          <w:color w:val="FF0000"/>
          <w:sz w:val="24"/>
          <w:szCs w:val="24"/>
        </w:rPr>
      </w:pPr>
      <w:proofErr w:type="spellStart"/>
      <w:r>
        <w:rPr>
          <w:rFonts w:ascii="Arial" w:hAnsi="Arial" w:cs="Arial"/>
          <w:color w:val="FF0000"/>
          <w:sz w:val="24"/>
          <w:szCs w:val="24"/>
        </w:rPr>
        <w:t>Honevbourne</w:t>
      </w:r>
      <w:proofErr w:type="spellEnd"/>
      <w:r>
        <w:rPr>
          <w:rFonts w:ascii="Arial" w:hAnsi="Arial" w:cs="Arial"/>
          <w:color w:val="FF0000"/>
          <w:sz w:val="24"/>
          <w:szCs w:val="24"/>
        </w:rPr>
        <w:t xml:space="preserve"> (2018) describes Neurodiversity as </w:t>
      </w:r>
      <w:r w:rsidR="00A14E01">
        <w:rPr>
          <w:rFonts w:ascii="Arial" w:hAnsi="Arial" w:cs="Arial"/>
          <w:color w:val="FF0000"/>
          <w:sz w:val="24"/>
          <w:szCs w:val="24"/>
        </w:rPr>
        <w:t>a term which ‘</w:t>
      </w:r>
      <w:r w:rsidR="00C05B4C">
        <w:rPr>
          <w:rFonts w:ascii="Arial" w:hAnsi="Arial" w:cs="Arial"/>
          <w:color w:val="FF0000"/>
          <w:sz w:val="24"/>
          <w:szCs w:val="24"/>
        </w:rPr>
        <w:t>S</w:t>
      </w:r>
      <w:r w:rsidR="00A14E01">
        <w:rPr>
          <w:rFonts w:ascii="Arial" w:hAnsi="Arial" w:cs="Arial"/>
          <w:color w:val="FF0000"/>
          <w:sz w:val="24"/>
          <w:szCs w:val="24"/>
        </w:rPr>
        <w:t xml:space="preserve">imply means that there is a range, or diversity, of ways in which human brains function. A </w:t>
      </w:r>
      <w:r w:rsidR="00C05B4C">
        <w:rPr>
          <w:rFonts w:ascii="Arial" w:hAnsi="Arial" w:cs="Arial"/>
          <w:color w:val="FF0000"/>
          <w:sz w:val="24"/>
          <w:szCs w:val="24"/>
        </w:rPr>
        <w:t>r</w:t>
      </w:r>
      <w:r w:rsidR="00A14E01">
        <w:rPr>
          <w:rFonts w:ascii="Arial" w:hAnsi="Arial" w:cs="Arial"/>
          <w:color w:val="FF0000"/>
          <w:sz w:val="24"/>
          <w:szCs w:val="24"/>
        </w:rPr>
        <w:t xml:space="preserve">ange of ways in which we think, </w:t>
      </w:r>
      <w:r w:rsidR="00257B48">
        <w:rPr>
          <w:rFonts w:ascii="Arial" w:hAnsi="Arial" w:cs="Arial"/>
          <w:color w:val="FF0000"/>
          <w:sz w:val="24"/>
          <w:szCs w:val="24"/>
        </w:rPr>
        <w:t>learn,</w:t>
      </w:r>
      <w:r w:rsidR="00A14E01">
        <w:rPr>
          <w:rFonts w:ascii="Arial" w:hAnsi="Arial" w:cs="Arial"/>
          <w:color w:val="FF0000"/>
          <w:sz w:val="24"/>
          <w:szCs w:val="24"/>
        </w:rPr>
        <w:t xml:space="preserve"> and </w:t>
      </w:r>
      <w:r w:rsidR="00C05B4C">
        <w:rPr>
          <w:rFonts w:ascii="Arial" w:hAnsi="Arial" w:cs="Arial"/>
          <w:color w:val="FF0000"/>
          <w:sz w:val="24"/>
          <w:szCs w:val="24"/>
        </w:rPr>
        <w:t xml:space="preserve">relate to others.’ </w:t>
      </w:r>
      <w:proofErr w:type="gramStart"/>
      <w:r w:rsidR="00FE7BF2">
        <w:rPr>
          <w:rFonts w:ascii="Arial" w:hAnsi="Arial" w:cs="Arial"/>
          <w:color w:val="FF0000"/>
          <w:sz w:val="24"/>
          <w:szCs w:val="24"/>
        </w:rPr>
        <w:t>With this in mind</w:t>
      </w:r>
      <w:r w:rsidR="009B3140">
        <w:rPr>
          <w:rFonts w:ascii="Arial" w:hAnsi="Arial" w:cs="Arial"/>
          <w:color w:val="FF0000"/>
          <w:sz w:val="24"/>
          <w:szCs w:val="24"/>
        </w:rPr>
        <w:t>, it’s</w:t>
      </w:r>
      <w:proofErr w:type="gramEnd"/>
      <w:r w:rsidR="009B3140">
        <w:rPr>
          <w:rFonts w:ascii="Arial" w:hAnsi="Arial" w:cs="Arial"/>
          <w:color w:val="FF0000"/>
          <w:sz w:val="24"/>
          <w:szCs w:val="24"/>
        </w:rPr>
        <w:t xml:space="preserve"> important for those within the learning and development function to be able to accommodate those with different learning needs. An example of an additional learning need could </w:t>
      </w:r>
      <w:proofErr w:type="gramStart"/>
      <w:r w:rsidR="009B3140">
        <w:rPr>
          <w:rFonts w:ascii="Arial" w:hAnsi="Arial" w:cs="Arial"/>
          <w:color w:val="FF0000"/>
          <w:sz w:val="24"/>
          <w:szCs w:val="24"/>
        </w:rPr>
        <w:t xml:space="preserve">be someone </w:t>
      </w:r>
      <w:r w:rsidR="00895636">
        <w:rPr>
          <w:rFonts w:ascii="Arial" w:hAnsi="Arial" w:cs="Arial"/>
          <w:color w:val="FF0000"/>
          <w:sz w:val="24"/>
          <w:szCs w:val="24"/>
        </w:rPr>
        <w:t>who is</w:t>
      </w:r>
      <w:proofErr w:type="gramEnd"/>
      <w:r w:rsidR="00895636">
        <w:rPr>
          <w:rFonts w:ascii="Arial" w:hAnsi="Arial" w:cs="Arial"/>
          <w:color w:val="FF0000"/>
          <w:sz w:val="24"/>
          <w:szCs w:val="24"/>
        </w:rPr>
        <w:t xml:space="preserve"> deaf. L&amp;D would need to adapt their training </w:t>
      </w:r>
      <w:proofErr w:type="gramStart"/>
      <w:r w:rsidR="00895636">
        <w:rPr>
          <w:rFonts w:ascii="Arial" w:hAnsi="Arial" w:cs="Arial"/>
          <w:color w:val="FF0000"/>
          <w:sz w:val="24"/>
          <w:szCs w:val="24"/>
        </w:rPr>
        <w:t>method’s</w:t>
      </w:r>
      <w:proofErr w:type="gramEnd"/>
      <w:r w:rsidR="00895636">
        <w:rPr>
          <w:rFonts w:ascii="Arial" w:hAnsi="Arial" w:cs="Arial"/>
          <w:color w:val="FF0000"/>
          <w:sz w:val="24"/>
          <w:szCs w:val="24"/>
        </w:rPr>
        <w:t xml:space="preserve"> in this scenario to ensure that the learner is still able to receive all the same information as someone with no hearing impairment. Ensuring that there is a clear </w:t>
      </w:r>
      <w:r w:rsidR="00420838">
        <w:rPr>
          <w:rFonts w:ascii="Arial" w:hAnsi="Arial" w:cs="Arial"/>
          <w:color w:val="FF0000"/>
          <w:sz w:val="24"/>
          <w:szCs w:val="24"/>
        </w:rPr>
        <w:t xml:space="preserve">presentation for this learner, as well as providing a hearing aid solution to this learner may be able to </w:t>
      </w:r>
      <w:r w:rsidR="00EE2ED9">
        <w:rPr>
          <w:rFonts w:ascii="Arial" w:hAnsi="Arial" w:cs="Arial"/>
          <w:color w:val="FF0000"/>
          <w:sz w:val="24"/>
          <w:szCs w:val="24"/>
        </w:rPr>
        <w:t xml:space="preserve">resolve any difficulties in this scenario, as an example. </w:t>
      </w:r>
    </w:p>
    <w:p w14:paraId="1FDD25BC" w14:textId="77777777" w:rsidR="00EE2ED9" w:rsidRDefault="00EE2ED9" w:rsidP="001F7B7A">
      <w:pPr>
        <w:rPr>
          <w:rFonts w:ascii="Arial" w:hAnsi="Arial" w:cs="Arial"/>
          <w:color w:val="FF0000"/>
          <w:sz w:val="24"/>
          <w:szCs w:val="24"/>
        </w:rPr>
      </w:pPr>
    </w:p>
    <w:p w14:paraId="722C9E44" w14:textId="32B6A553" w:rsidR="00EE2ED9" w:rsidRDefault="00EE2ED9" w:rsidP="001F7B7A">
      <w:pPr>
        <w:rPr>
          <w:rFonts w:ascii="Arial" w:hAnsi="Arial" w:cs="Arial"/>
          <w:color w:val="FF0000"/>
          <w:sz w:val="24"/>
          <w:szCs w:val="24"/>
        </w:rPr>
      </w:pPr>
      <w:r>
        <w:rPr>
          <w:rFonts w:ascii="Arial" w:hAnsi="Arial" w:cs="Arial"/>
          <w:color w:val="FF0000"/>
          <w:sz w:val="24"/>
          <w:szCs w:val="24"/>
        </w:rPr>
        <w:t xml:space="preserve">Sometimes, learners may not be willing to engage in specific types of training, perhaps a learner would be unwilling to </w:t>
      </w:r>
      <w:r w:rsidR="009F1B91">
        <w:rPr>
          <w:rFonts w:ascii="Arial" w:hAnsi="Arial" w:cs="Arial"/>
          <w:color w:val="FF0000"/>
          <w:sz w:val="24"/>
          <w:szCs w:val="24"/>
        </w:rPr>
        <w:t xml:space="preserve">participate in eLearning. It is important to identify whether the learner is unwilling to engage due to </w:t>
      </w:r>
      <w:r w:rsidR="001555CB">
        <w:rPr>
          <w:rFonts w:ascii="Arial" w:hAnsi="Arial" w:cs="Arial"/>
          <w:color w:val="FF0000"/>
          <w:sz w:val="24"/>
          <w:szCs w:val="24"/>
        </w:rPr>
        <w:t xml:space="preserve">finding the learning method ineffective, in which case support could be given to provide the same information in a different format, or, if the learner finds the material unengaging. In this instance, again, support could be provided to the individual through </w:t>
      </w:r>
      <w:r w:rsidR="00FB4C65">
        <w:rPr>
          <w:rFonts w:ascii="Arial" w:hAnsi="Arial" w:cs="Arial"/>
          <w:color w:val="FF0000"/>
          <w:sz w:val="24"/>
          <w:szCs w:val="24"/>
        </w:rPr>
        <w:t xml:space="preserve">changing the learning environment, perhaps completing the eLearning with the support of a facilitator present </w:t>
      </w:r>
      <w:proofErr w:type="gramStart"/>
      <w:r w:rsidR="00FB4C65">
        <w:rPr>
          <w:rFonts w:ascii="Arial" w:hAnsi="Arial" w:cs="Arial"/>
          <w:color w:val="FF0000"/>
          <w:sz w:val="24"/>
          <w:szCs w:val="24"/>
        </w:rPr>
        <w:t>in order to</w:t>
      </w:r>
      <w:proofErr w:type="gramEnd"/>
      <w:r w:rsidR="00FB4C65">
        <w:rPr>
          <w:rFonts w:ascii="Arial" w:hAnsi="Arial" w:cs="Arial"/>
          <w:color w:val="FF0000"/>
          <w:sz w:val="24"/>
          <w:szCs w:val="24"/>
        </w:rPr>
        <w:t xml:space="preserve"> provide more engagement for the individual who is struggling with the learning. </w:t>
      </w:r>
    </w:p>
    <w:p w14:paraId="36F8A41D" w14:textId="371A06E1" w:rsidR="00E242A6" w:rsidRPr="00E242A6" w:rsidRDefault="00A14E01" w:rsidP="001F7B7A">
      <w:pPr>
        <w:rPr>
          <w:rFonts w:ascii="Arial" w:hAnsi="Arial" w:cs="Arial"/>
          <w:color w:val="FF0000"/>
          <w:sz w:val="24"/>
          <w:szCs w:val="24"/>
        </w:rPr>
      </w:pPr>
      <w:r>
        <w:rPr>
          <w:rFonts w:ascii="Arial" w:hAnsi="Arial" w:cs="Arial"/>
          <w:color w:val="FF0000"/>
          <w:sz w:val="24"/>
          <w:szCs w:val="24"/>
        </w:rPr>
        <w:t xml:space="preserve"> </w:t>
      </w:r>
    </w:p>
    <w:p w14:paraId="2F5B2C6C" w14:textId="77777777" w:rsidR="005B701A" w:rsidRDefault="005B701A" w:rsidP="001F7B7A">
      <w:pPr>
        <w:rPr>
          <w:rFonts w:ascii="Arial" w:hAnsi="Arial" w:cs="Arial"/>
          <w:sz w:val="24"/>
          <w:szCs w:val="24"/>
        </w:rPr>
      </w:pPr>
    </w:p>
    <w:p w14:paraId="14D88907" w14:textId="6DED6D66" w:rsidR="005B701A" w:rsidRDefault="005B701A" w:rsidP="001F7B7A">
      <w:pPr>
        <w:rPr>
          <w:rFonts w:ascii="Arial" w:hAnsi="Arial" w:cs="Arial"/>
          <w:sz w:val="24"/>
          <w:szCs w:val="24"/>
        </w:rPr>
      </w:pPr>
      <w:r>
        <w:rPr>
          <w:rFonts w:ascii="Arial" w:hAnsi="Arial" w:cs="Arial"/>
          <w:sz w:val="24"/>
          <w:szCs w:val="24"/>
        </w:rPr>
        <w:t>Q6.5</w:t>
      </w:r>
    </w:p>
    <w:p w14:paraId="18C8EF40" w14:textId="77777777" w:rsidR="004314CA" w:rsidRDefault="004314CA" w:rsidP="001F7B7A">
      <w:pPr>
        <w:rPr>
          <w:rFonts w:ascii="Arial" w:hAnsi="Arial" w:cs="Arial"/>
          <w:sz w:val="24"/>
          <w:szCs w:val="24"/>
        </w:rPr>
      </w:pPr>
      <w:r>
        <w:rPr>
          <w:rFonts w:ascii="Arial" w:hAnsi="Arial" w:cs="Arial"/>
          <w:sz w:val="24"/>
          <w:szCs w:val="24"/>
        </w:rPr>
        <w:t xml:space="preserve">Evaluating L&amp;D training initiatives is imperative in ensuring that the initiatives being used are still relevant and </w:t>
      </w:r>
      <w:proofErr w:type="gramStart"/>
      <w:r>
        <w:rPr>
          <w:rFonts w:ascii="Arial" w:hAnsi="Arial" w:cs="Arial"/>
          <w:sz w:val="24"/>
          <w:szCs w:val="24"/>
        </w:rPr>
        <w:t>necessary, and</w:t>
      </w:r>
      <w:proofErr w:type="gramEnd"/>
      <w:r>
        <w:rPr>
          <w:rFonts w:ascii="Arial" w:hAnsi="Arial" w:cs="Arial"/>
          <w:sz w:val="24"/>
          <w:szCs w:val="24"/>
        </w:rPr>
        <w:t xml:space="preserve"> allow L&amp;D as a department to ensure that their limited resources can be allocated effectively to ensure that their goals and objectives, which should align with the organisations, are being achieved. </w:t>
      </w:r>
    </w:p>
    <w:p w14:paraId="603D9CB3" w14:textId="77777777" w:rsidR="004314CA" w:rsidRDefault="004314CA" w:rsidP="001F7B7A">
      <w:pPr>
        <w:rPr>
          <w:rFonts w:ascii="Arial" w:hAnsi="Arial" w:cs="Arial"/>
          <w:sz w:val="24"/>
          <w:szCs w:val="24"/>
        </w:rPr>
      </w:pPr>
    </w:p>
    <w:p w14:paraId="0EFD9F01" w14:textId="6531EF52" w:rsidR="005B701A" w:rsidRDefault="004314CA" w:rsidP="001F7B7A">
      <w:pPr>
        <w:rPr>
          <w:rFonts w:ascii="Arial" w:hAnsi="Arial" w:cs="Arial"/>
          <w:sz w:val="24"/>
          <w:szCs w:val="24"/>
        </w:rPr>
      </w:pPr>
      <w:r>
        <w:rPr>
          <w:rFonts w:ascii="Arial" w:hAnsi="Arial" w:cs="Arial"/>
          <w:sz w:val="24"/>
          <w:szCs w:val="24"/>
        </w:rPr>
        <w:t xml:space="preserve">One model to evaluate the effectiveness of L&amp;D initiatives is the Kirkpatrick Model. Kirkpatrick (2024) lists the model as a four-tier system. Level 1, reaction, is the initial reaction that learners have of the training undertaken, did they enjoy, was it relevant.  Level two, learning, is how effective the learning was to the participants knowledge, </w:t>
      </w:r>
      <w:proofErr w:type="gramStart"/>
      <w:r>
        <w:rPr>
          <w:rFonts w:ascii="Arial" w:hAnsi="Arial" w:cs="Arial"/>
          <w:sz w:val="24"/>
          <w:szCs w:val="24"/>
        </w:rPr>
        <w:t>skills</w:t>
      </w:r>
      <w:proofErr w:type="gramEnd"/>
      <w:r>
        <w:rPr>
          <w:rFonts w:ascii="Arial" w:hAnsi="Arial" w:cs="Arial"/>
          <w:sz w:val="24"/>
          <w:szCs w:val="24"/>
        </w:rPr>
        <w:t xml:space="preserve"> and confidence. Level three, behaviour, did the learning change the </w:t>
      </w:r>
      <w:r>
        <w:rPr>
          <w:rFonts w:ascii="Arial" w:hAnsi="Arial" w:cs="Arial"/>
          <w:sz w:val="24"/>
          <w:szCs w:val="24"/>
        </w:rPr>
        <w:lastRenderedPageBreak/>
        <w:t xml:space="preserve">participants individual behaviour when returning to work. Finally, results, did the training provide the targeted organizational outcomes. </w:t>
      </w:r>
    </w:p>
    <w:p w14:paraId="53483754" w14:textId="6DFCB22A" w:rsidR="004314CA" w:rsidRDefault="004314CA" w:rsidP="001F7B7A">
      <w:pPr>
        <w:rPr>
          <w:rFonts w:ascii="Arial" w:hAnsi="Arial" w:cs="Arial"/>
          <w:sz w:val="24"/>
          <w:szCs w:val="24"/>
        </w:rPr>
      </w:pPr>
    </w:p>
    <w:p w14:paraId="059912B0" w14:textId="702F7D7C" w:rsidR="004314CA" w:rsidRDefault="004314CA" w:rsidP="001F7B7A">
      <w:pPr>
        <w:rPr>
          <w:rFonts w:ascii="Arial" w:hAnsi="Arial" w:cs="Arial"/>
          <w:sz w:val="24"/>
          <w:szCs w:val="24"/>
        </w:rPr>
      </w:pPr>
      <w:r>
        <w:rPr>
          <w:rFonts w:ascii="Arial" w:hAnsi="Arial" w:cs="Arial"/>
          <w:sz w:val="24"/>
          <w:szCs w:val="24"/>
        </w:rPr>
        <w:t xml:space="preserve">Through effective use of the Kirkpatrick model, an organisation could view the effectiveness of learning opportunities. To implement this model, an organisation could provide a feedback survey to their employees, which could cover level’s 1 &amp; 2 from the learner’s point of view, and then also follow up with </w:t>
      </w:r>
      <w:proofErr w:type="gramStart"/>
      <w:r>
        <w:rPr>
          <w:rFonts w:ascii="Arial" w:hAnsi="Arial" w:cs="Arial"/>
          <w:sz w:val="24"/>
          <w:szCs w:val="24"/>
        </w:rPr>
        <w:t>manager’s</w:t>
      </w:r>
      <w:proofErr w:type="gramEnd"/>
      <w:r>
        <w:rPr>
          <w:rFonts w:ascii="Arial" w:hAnsi="Arial" w:cs="Arial"/>
          <w:sz w:val="24"/>
          <w:szCs w:val="24"/>
        </w:rPr>
        <w:t xml:space="preserve"> to see if the staff member’s behaviour had changed, allowing L&amp;D to provide Level 4 themselves, the results. </w:t>
      </w:r>
    </w:p>
    <w:p w14:paraId="0A17F36A" w14:textId="77777777" w:rsidR="004314CA" w:rsidRDefault="004314CA" w:rsidP="001F7B7A">
      <w:pPr>
        <w:rPr>
          <w:rFonts w:ascii="Arial" w:hAnsi="Arial" w:cs="Arial"/>
          <w:sz w:val="24"/>
          <w:szCs w:val="24"/>
        </w:rPr>
      </w:pPr>
    </w:p>
    <w:p w14:paraId="1DFDFDA8" w14:textId="6B790BE1" w:rsidR="004314CA" w:rsidRPr="00313DC5" w:rsidRDefault="00313DC5" w:rsidP="001F7B7A">
      <w:pPr>
        <w:rPr>
          <w:rFonts w:ascii="Arial" w:hAnsi="Arial" w:cs="Arial"/>
          <w:sz w:val="24"/>
          <w:szCs w:val="24"/>
        </w:rPr>
      </w:pPr>
      <w:r>
        <w:rPr>
          <w:rFonts w:ascii="Arial" w:hAnsi="Arial" w:cs="Arial"/>
          <w:sz w:val="24"/>
          <w:szCs w:val="24"/>
        </w:rPr>
        <w:t xml:space="preserve">Brinkerhoff’s success case method (SCM) involves finding likely success cases, where individuals or teams have benefited from learning. These results can come from a survey, performance reports or organisational data. An SCM also looks at </w:t>
      </w:r>
      <w:proofErr w:type="spellStart"/>
      <w:r>
        <w:rPr>
          <w:rFonts w:ascii="Arial" w:hAnsi="Arial" w:cs="Arial"/>
          <w:sz w:val="24"/>
          <w:szCs w:val="24"/>
        </w:rPr>
        <w:t>non success</w:t>
      </w:r>
      <w:proofErr w:type="spellEnd"/>
      <w:r>
        <w:rPr>
          <w:rFonts w:ascii="Arial" w:hAnsi="Arial" w:cs="Arial"/>
          <w:sz w:val="24"/>
          <w:szCs w:val="24"/>
        </w:rPr>
        <w:t xml:space="preserve"> cases to discover those who found little to no value from the learning. Following analysis of both, the results are shared. (CIPD, 2024) Brinkerhoff’s method is similar to Kirkpatrick’s, but looks more at the pros and cons on an individual basis rather than a </w:t>
      </w:r>
      <w:proofErr w:type="gramStart"/>
      <w:r>
        <w:rPr>
          <w:rFonts w:ascii="Arial" w:hAnsi="Arial" w:cs="Arial"/>
          <w:sz w:val="24"/>
          <w:szCs w:val="24"/>
        </w:rPr>
        <w:t>whole, and</w:t>
      </w:r>
      <w:proofErr w:type="gramEnd"/>
      <w:r>
        <w:rPr>
          <w:rFonts w:ascii="Arial" w:hAnsi="Arial" w:cs="Arial"/>
          <w:sz w:val="24"/>
          <w:szCs w:val="24"/>
        </w:rPr>
        <w:t xml:space="preserve"> is a more broader way of looking at learning data. </w:t>
      </w:r>
    </w:p>
    <w:p w14:paraId="0B66868A" w14:textId="77777777" w:rsidR="001F7B7A" w:rsidRDefault="001F7B7A" w:rsidP="001F7B7A"/>
    <w:p w14:paraId="0A22F952" w14:textId="77777777" w:rsidR="001F7B7A" w:rsidRDefault="001F7B7A" w:rsidP="001F7B7A"/>
    <w:p w14:paraId="37036C60" w14:textId="77777777" w:rsidR="001F7B7A" w:rsidRDefault="001F7B7A" w:rsidP="001F7B7A"/>
    <w:p w14:paraId="4B5556AB" w14:textId="77777777" w:rsidR="001F7B7A" w:rsidRDefault="001F7B7A" w:rsidP="001F7B7A"/>
    <w:p w14:paraId="01074E5E" w14:textId="77777777" w:rsidR="001F7B7A" w:rsidRDefault="001F7B7A" w:rsidP="001F7B7A"/>
    <w:p w14:paraId="53080ECC" w14:textId="77777777" w:rsidR="001F7B7A" w:rsidRDefault="001F7B7A" w:rsidP="001F7B7A"/>
    <w:p w14:paraId="032A15EA" w14:textId="77777777" w:rsidR="001F7B7A" w:rsidRDefault="001F7B7A" w:rsidP="001F7B7A"/>
    <w:p w14:paraId="4C760834" w14:textId="77777777" w:rsidR="001F7B7A" w:rsidRDefault="001F7B7A" w:rsidP="001F7B7A"/>
    <w:p w14:paraId="24D6EE2F" w14:textId="77777777" w:rsidR="001F7B7A" w:rsidRDefault="001F7B7A" w:rsidP="001F7B7A"/>
    <w:p w14:paraId="0DD041B0" w14:textId="77777777" w:rsidR="001F7B7A" w:rsidRDefault="001F7B7A" w:rsidP="001F7B7A"/>
    <w:p w14:paraId="5EC2CB9B" w14:textId="77777777" w:rsidR="001F7B7A" w:rsidRDefault="001F7B7A" w:rsidP="001F7B7A"/>
    <w:p w14:paraId="01490433" w14:textId="77777777" w:rsidR="001F7B7A" w:rsidRDefault="001F7B7A" w:rsidP="001F7B7A"/>
    <w:p w14:paraId="5DE8871A" w14:textId="77777777" w:rsidR="001F7B7A" w:rsidRDefault="001F7B7A" w:rsidP="001F7B7A"/>
    <w:p w14:paraId="0FE6201D" w14:textId="77777777" w:rsidR="001F7B7A" w:rsidRDefault="001F7B7A" w:rsidP="001F7B7A"/>
    <w:p w14:paraId="396F9F99" w14:textId="77777777" w:rsidR="001F7B7A" w:rsidRDefault="001F7B7A" w:rsidP="001F7B7A"/>
    <w:p w14:paraId="3FD24AF6" w14:textId="77777777" w:rsidR="001F7B7A" w:rsidRDefault="001F7B7A" w:rsidP="001F7B7A"/>
    <w:p w14:paraId="6E742A4A" w14:textId="77777777" w:rsidR="001F7B7A" w:rsidRDefault="001F7B7A" w:rsidP="001F7B7A"/>
    <w:p w14:paraId="54163075" w14:textId="77777777" w:rsidR="001F7B7A" w:rsidRDefault="001F7B7A" w:rsidP="001F7B7A"/>
    <w:p w14:paraId="2D889748" w14:textId="77777777" w:rsidR="001F7B7A" w:rsidRDefault="001F7B7A" w:rsidP="001F7B7A"/>
    <w:p w14:paraId="19EF5D3A" w14:textId="4D35FF68" w:rsidR="001F7B7A" w:rsidRDefault="001F7B7A" w:rsidP="001F7B7A">
      <w:pPr>
        <w:jc w:val="center"/>
        <w:rPr>
          <w:rFonts w:cstheme="minorHAnsi"/>
          <w:sz w:val="24"/>
          <w:szCs w:val="24"/>
          <w:u w:val="single"/>
        </w:rPr>
      </w:pPr>
      <w:r w:rsidRPr="001F7B7A">
        <w:rPr>
          <w:rFonts w:cstheme="minorHAnsi"/>
          <w:sz w:val="24"/>
          <w:szCs w:val="24"/>
          <w:u w:val="single"/>
        </w:rPr>
        <w:t>Reference List</w:t>
      </w:r>
    </w:p>
    <w:p w14:paraId="6BE000D1" w14:textId="00715950" w:rsidR="001F7B7A" w:rsidRDefault="001F7B7A" w:rsidP="001F7B7A">
      <w:pPr>
        <w:jc w:val="center"/>
        <w:rPr>
          <w:rFonts w:cstheme="minorHAnsi"/>
          <w:sz w:val="24"/>
          <w:szCs w:val="24"/>
        </w:rPr>
      </w:pPr>
      <w:r>
        <w:rPr>
          <w:rFonts w:cstheme="minorHAnsi"/>
          <w:sz w:val="24"/>
          <w:szCs w:val="24"/>
        </w:rPr>
        <w:t xml:space="preserve">CIPD (2024) </w:t>
      </w:r>
      <w:r>
        <w:rPr>
          <w:rFonts w:cstheme="minorHAnsi"/>
          <w:i/>
          <w:iCs/>
          <w:sz w:val="24"/>
          <w:szCs w:val="24"/>
        </w:rPr>
        <w:t>Learning and Development</w:t>
      </w:r>
      <w:r>
        <w:rPr>
          <w:rFonts w:cstheme="minorHAnsi"/>
          <w:sz w:val="24"/>
          <w:szCs w:val="24"/>
        </w:rPr>
        <w:t xml:space="preserve"> Available at: </w:t>
      </w:r>
      <w:hyperlink r:id="rId8" w:history="1">
        <w:r w:rsidRPr="006B58DD">
          <w:rPr>
            <w:rStyle w:val="Hyperlink"/>
            <w:rFonts w:cstheme="minorHAnsi"/>
            <w:sz w:val="24"/>
            <w:szCs w:val="24"/>
          </w:rPr>
          <w:t>https://www.cipd.org/uk/the-people-profession/the-profession-map/explore-the-profession-map/specialist-knowledge/learning-development/</w:t>
        </w:r>
      </w:hyperlink>
      <w:r>
        <w:rPr>
          <w:rFonts w:cstheme="minorHAnsi"/>
          <w:sz w:val="24"/>
          <w:szCs w:val="24"/>
        </w:rPr>
        <w:t xml:space="preserve"> (Accessed 21/07/2024)</w:t>
      </w:r>
    </w:p>
    <w:p w14:paraId="2DB0E240" w14:textId="3CF9AC44" w:rsidR="00C520C5" w:rsidRDefault="00C520C5" w:rsidP="001F7B7A">
      <w:pPr>
        <w:jc w:val="center"/>
        <w:rPr>
          <w:rFonts w:cstheme="minorHAnsi"/>
          <w:sz w:val="24"/>
          <w:szCs w:val="24"/>
        </w:rPr>
      </w:pPr>
      <w:r>
        <w:rPr>
          <w:rFonts w:cstheme="minorHAnsi"/>
          <w:sz w:val="24"/>
          <w:szCs w:val="24"/>
        </w:rPr>
        <w:t xml:space="preserve">CIPD (2024) </w:t>
      </w:r>
      <w:r>
        <w:rPr>
          <w:rFonts w:cstheme="minorHAnsi"/>
          <w:i/>
          <w:iCs/>
          <w:sz w:val="24"/>
          <w:szCs w:val="24"/>
        </w:rPr>
        <w:t>Coaching and mentoring</w:t>
      </w:r>
      <w:r>
        <w:rPr>
          <w:rFonts w:cstheme="minorHAnsi"/>
          <w:sz w:val="24"/>
          <w:szCs w:val="24"/>
        </w:rPr>
        <w:t xml:space="preserve"> Available at:</w:t>
      </w:r>
      <w:r w:rsidRPr="00C520C5">
        <w:t xml:space="preserve"> </w:t>
      </w:r>
      <w:hyperlink r:id="rId9" w:history="1">
        <w:r w:rsidRPr="006B58DD">
          <w:rPr>
            <w:rStyle w:val="Hyperlink"/>
            <w:rFonts w:cstheme="minorHAnsi"/>
            <w:sz w:val="24"/>
            <w:szCs w:val="24"/>
          </w:rPr>
          <w:t>https://www.cipd.org/uk/knowledge/factsheets/coaching-mentoring-factsheet/</w:t>
        </w:r>
      </w:hyperlink>
      <w:r>
        <w:rPr>
          <w:rFonts w:cstheme="minorHAnsi"/>
          <w:sz w:val="24"/>
          <w:szCs w:val="24"/>
        </w:rPr>
        <w:t xml:space="preserve">  (Accessed 21/07/2024)</w:t>
      </w:r>
    </w:p>
    <w:p w14:paraId="723FCA5E" w14:textId="3AF8ADB2" w:rsidR="00313DC5" w:rsidRPr="00313DC5" w:rsidRDefault="00313DC5" w:rsidP="001F7B7A">
      <w:pPr>
        <w:jc w:val="center"/>
        <w:rPr>
          <w:rFonts w:cstheme="minorHAnsi"/>
          <w:sz w:val="24"/>
          <w:szCs w:val="24"/>
        </w:rPr>
      </w:pPr>
      <w:r>
        <w:rPr>
          <w:rFonts w:cstheme="minorHAnsi"/>
          <w:sz w:val="24"/>
          <w:szCs w:val="24"/>
        </w:rPr>
        <w:t xml:space="preserve">CIPD (2023) </w:t>
      </w:r>
      <w:r w:rsidRPr="00313DC5">
        <w:rPr>
          <w:rFonts w:cstheme="minorHAnsi"/>
          <w:i/>
          <w:iCs/>
          <w:sz w:val="24"/>
          <w:szCs w:val="24"/>
        </w:rPr>
        <w:t>Learning Evaluation, impact and transfe</w:t>
      </w:r>
      <w:r>
        <w:rPr>
          <w:rFonts w:cstheme="minorHAnsi"/>
          <w:i/>
          <w:iCs/>
          <w:sz w:val="24"/>
          <w:szCs w:val="24"/>
        </w:rPr>
        <w:t xml:space="preserve">r </w:t>
      </w:r>
      <w:r>
        <w:rPr>
          <w:rFonts w:cstheme="minorHAnsi"/>
          <w:sz w:val="24"/>
          <w:szCs w:val="24"/>
        </w:rPr>
        <w:t xml:space="preserve">Available at: </w:t>
      </w:r>
      <w:hyperlink r:id="rId10" w:history="1">
        <w:r w:rsidRPr="006B58DD">
          <w:rPr>
            <w:rStyle w:val="Hyperlink"/>
            <w:rFonts w:cstheme="minorHAnsi"/>
            <w:sz w:val="24"/>
            <w:szCs w:val="24"/>
          </w:rPr>
          <w:t>https://www.cipd.org/uk/knowledge/factsheets/evaluating-learning-factsheet/</w:t>
        </w:r>
      </w:hyperlink>
      <w:r>
        <w:rPr>
          <w:rFonts w:cstheme="minorHAnsi"/>
          <w:sz w:val="24"/>
          <w:szCs w:val="24"/>
        </w:rPr>
        <w:t xml:space="preserve"> (Accessed 21/07/2024) </w:t>
      </w:r>
    </w:p>
    <w:p w14:paraId="00142374" w14:textId="0E8A9302" w:rsidR="001F7B7A" w:rsidRDefault="001F7B7A" w:rsidP="001F7B7A">
      <w:pPr>
        <w:jc w:val="center"/>
        <w:rPr>
          <w:rFonts w:cstheme="minorHAnsi"/>
          <w:sz w:val="24"/>
          <w:szCs w:val="24"/>
        </w:rPr>
      </w:pPr>
      <w:r>
        <w:rPr>
          <w:rFonts w:cstheme="minorHAnsi"/>
          <w:sz w:val="24"/>
          <w:szCs w:val="24"/>
        </w:rPr>
        <w:t xml:space="preserve">CIPD (2024) </w:t>
      </w:r>
      <w:r>
        <w:rPr>
          <w:rFonts w:cstheme="minorHAnsi"/>
          <w:i/>
          <w:iCs/>
          <w:sz w:val="24"/>
          <w:szCs w:val="24"/>
        </w:rPr>
        <w:t>Learning and Development</w:t>
      </w:r>
      <w:r>
        <w:rPr>
          <w:rFonts w:cstheme="minorHAnsi"/>
          <w:sz w:val="24"/>
          <w:szCs w:val="24"/>
        </w:rPr>
        <w:t xml:space="preserve"> </w:t>
      </w:r>
      <w:r w:rsidRPr="001F7B7A">
        <w:rPr>
          <w:rFonts w:cstheme="minorHAnsi"/>
          <w:i/>
          <w:iCs/>
          <w:sz w:val="24"/>
          <w:szCs w:val="24"/>
        </w:rPr>
        <w:t>strategy and policy</w:t>
      </w:r>
      <w:r>
        <w:rPr>
          <w:rFonts w:cstheme="minorHAnsi"/>
          <w:sz w:val="24"/>
          <w:szCs w:val="24"/>
        </w:rPr>
        <w:t xml:space="preserve"> Available at: </w:t>
      </w:r>
      <w:hyperlink r:id="rId11" w:history="1">
        <w:r w:rsidRPr="006B58DD">
          <w:rPr>
            <w:rStyle w:val="Hyperlink"/>
            <w:rFonts w:cstheme="minorHAnsi"/>
            <w:sz w:val="24"/>
            <w:szCs w:val="24"/>
          </w:rPr>
          <w:t>https://www.cipd.org/uk/knowledge/factsheets/strategy-development-factsheet/</w:t>
        </w:r>
      </w:hyperlink>
      <w:r>
        <w:rPr>
          <w:rFonts w:cstheme="minorHAnsi"/>
          <w:sz w:val="24"/>
          <w:szCs w:val="24"/>
        </w:rPr>
        <w:t xml:space="preserve">  (Accessed 21/07/2024)</w:t>
      </w:r>
    </w:p>
    <w:p w14:paraId="47940E6F" w14:textId="16B09A9F" w:rsidR="00AE1783" w:rsidRDefault="00AE1783" w:rsidP="001F7B7A">
      <w:pPr>
        <w:jc w:val="center"/>
        <w:rPr>
          <w:rFonts w:cstheme="minorHAnsi"/>
          <w:sz w:val="24"/>
          <w:szCs w:val="24"/>
        </w:rPr>
      </w:pPr>
      <w:r>
        <w:rPr>
          <w:rFonts w:cstheme="minorHAnsi"/>
          <w:sz w:val="24"/>
          <w:szCs w:val="24"/>
        </w:rPr>
        <w:t xml:space="preserve">CIPD (2024) </w:t>
      </w:r>
      <w:r>
        <w:rPr>
          <w:rFonts w:cstheme="minorHAnsi"/>
          <w:i/>
          <w:iCs/>
          <w:sz w:val="24"/>
          <w:szCs w:val="24"/>
        </w:rPr>
        <w:t>Leaning needs analysis</w:t>
      </w:r>
      <w:r>
        <w:rPr>
          <w:rFonts w:cstheme="minorHAnsi"/>
          <w:sz w:val="24"/>
          <w:szCs w:val="24"/>
        </w:rPr>
        <w:t xml:space="preserve"> Available at: </w:t>
      </w:r>
      <w:hyperlink r:id="rId12" w:history="1">
        <w:r w:rsidRPr="006B58DD">
          <w:rPr>
            <w:rStyle w:val="Hyperlink"/>
            <w:rFonts w:cstheme="minorHAnsi"/>
            <w:sz w:val="24"/>
            <w:szCs w:val="24"/>
          </w:rPr>
          <w:t>https://www.cipd.org/uk/knowledge/factsheets/learning-needs-factsheet/</w:t>
        </w:r>
      </w:hyperlink>
      <w:r>
        <w:rPr>
          <w:rFonts w:cstheme="minorHAnsi"/>
          <w:sz w:val="24"/>
          <w:szCs w:val="24"/>
        </w:rPr>
        <w:t xml:space="preserve"> (Accessed 21/07/2024) </w:t>
      </w:r>
    </w:p>
    <w:p w14:paraId="2C104B0A" w14:textId="77777777" w:rsidR="00E242A6" w:rsidRPr="00E242A6" w:rsidRDefault="00E242A6" w:rsidP="00E242A6">
      <w:pPr>
        <w:spacing w:after="0" w:line="240" w:lineRule="auto"/>
        <w:rPr>
          <w:rFonts w:ascii="Times New Roman" w:eastAsia="Times New Roman" w:hAnsi="Times New Roman" w:cs="Times New Roman"/>
          <w:kern w:val="0"/>
          <w:sz w:val="24"/>
          <w:szCs w:val="24"/>
          <w:lang w:eastAsia="en-GB"/>
          <w14:ligatures w14:val="none"/>
        </w:rPr>
      </w:pPr>
      <w:r w:rsidRPr="00E242A6">
        <w:rPr>
          <w:rFonts w:ascii="Times New Roman" w:eastAsia="Times New Roman" w:hAnsi="Times New Roman" w:cs="Times New Roman"/>
          <w:kern w:val="0"/>
          <w:sz w:val="24"/>
          <w:szCs w:val="24"/>
          <w:lang w:eastAsia="en-GB"/>
          <w14:ligatures w14:val="none"/>
        </w:rPr>
        <w:t xml:space="preserve">Honeybourne, V. (2018) </w:t>
      </w:r>
      <w:r w:rsidRPr="00E242A6">
        <w:rPr>
          <w:rFonts w:ascii="Times New Roman" w:eastAsia="Times New Roman" w:hAnsi="Times New Roman" w:cs="Times New Roman"/>
          <w:i/>
          <w:iCs/>
          <w:kern w:val="0"/>
          <w:sz w:val="24"/>
          <w:szCs w:val="24"/>
          <w:lang w:eastAsia="en-GB"/>
          <w14:ligatures w14:val="none"/>
        </w:rPr>
        <w:t xml:space="preserve">The neurodiverse </w:t>
      </w:r>
      <w:proofErr w:type="gramStart"/>
      <w:r w:rsidRPr="00E242A6">
        <w:rPr>
          <w:rFonts w:ascii="Times New Roman" w:eastAsia="Times New Roman" w:hAnsi="Times New Roman" w:cs="Times New Roman"/>
          <w:i/>
          <w:iCs/>
          <w:kern w:val="0"/>
          <w:sz w:val="24"/>
          <w:szCs w:val="24"/>
          <w:lang w:eastAsia="en-GB"/>
          <w14:ligatures w14:val="none"/>
        </w:rPr>
        <w:t>classroom :</w:t>
      </w:r>
      <w:proofErr w:type="gramEnd"/>
      <w:r w:rsidRPr="00E242A6">
        <w:rPr>
          <w:rFonts w:ascii="Times New Roman" w:eastAsia="Times New Roman" w:hAnsi="Times New Roman" w:cs="Times New Roman"/>
          <w:i/>
          <w:iCs/>
          <w:kern w:val="0"/>
          <w:sz w:val="24"/>
          <w:szCs w:val="24"/>
          <w:lang w:eastAsia="en-GB"/>
          <w14:ligatures w14:val="none"/>
        </w:rPr>
        <w:t xml:space="preserve"> a teacher’s guide to individual learning needs and how to meet them</w:t>
      </w:r>
      <w:r w:rsidRPr="00E242A6">
        <w:rPr>
          <w:rFonts w:ascii="Times New Roman" w:eastAsia="Times New Roman" w:hAnsi="Times New Roman" w:cs="Times New Roman"/>
          <w:kern w:val="0"/>
          <w:sz w:val="24"/>
          <w:szCs w:val="24"/>
          <w:lang w:eastAsia="en-GB"/>
          <w14:ligatures w14:val="none"/>
        </w:rPr>
        <w:t xml:space="preserve">. </w:t>
      </w:r>
      <w:proofErr w:type="gramStart"/>
      <w:r w:rsidRPr="00E242A6">
        <w:rPr>
          <w:rFonts w:ascii="Times New Roman" w:eastAsia="Times New Roman" w:hAnsi="Times New Roman" w:cs="Times New Roman"/>
          <w:kern w:val="0"/>
          <w:sz w:val="24"/>
          <w:szCs w:val="24"/>
          <w:lang w:eastAsia="en-GB"/>
          <w14:ligatures w14:val="none"/>
        </w:rPr>
        <w:t>London ;</w:t>
      </w:r>
      <w:proofErr w:type="gramEnd"/>
      <w:r w:rsidRPr="00E242A6">
        <w:rPr>
          <w:rFonts w:ascii="Times New Roman" w:eastAsia="Times New Roman" w:hAnsi="Times New Roman" w:cs="Times New Roman"/>
          <w:kern w:val="0"/>
          <w:sz w:val="24"/>
          <w:szCs w:val="24"/>
          <w:lang w:eastAsia="en-GB"/>
          <w14:ligatures w14:val="none"/>
        </w:rPr>
        <w:t xml:space="preserve"> Jessica Kingsley Publishers.</w:t>
      </w:r>
    </w:p>
    <w:p w14:paraId="638EB637" w14:textId="77777777" w:rsidR="00E242A6" w:rsidRPr="00AE1783" w:rsidRDefault="00E242A6" w:rsidP="001F7B7A">
      <w:pPr>
        <w:jc w:val="center"/>
        <w:rPr>
          <w:rFonts w:cstheme="minorHAnsi"/>
          <w:sz w:val="24"/>
          <w:szCs w:val="24"/>
        </w:rPr>
      </w:pPr>
    </w:p>
    <w:p w14:paraId="0ADE5015" w14:textId="1F1C5041" w:rsidR="004314CA" w:rsidRDefault="004314CA" w:rsidP="0052006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Kirkpatrick, J (2024) </w:t>
      </w:r>
      <w:r>
        <w:rPr>
          <w:rFonts w:ascii="Times New Roman" w:eastAsia="Times New Roman" w:hAnsi="Times New Roman" w:cs="Times New Roman"/>
          <w:i/>
          <w:iCs/>
          <w:kern w:val="0"/>
          <w:sz w:val="24"/>
          <w:szCs w:val="24"/>
          <w:lang w:eastAsia="en-GB"/>
          <w14:ligatures w14:val="none"/>
        </w:rPr>
        <w:t>The Kirkpatrick Model</w:t>
      </w:r>
      <w:r>
        <w:rPr>
          <w:rFonts w:ascii="Times New Roman" w:eastAsia="Times New Roman" w:hAnsi="Times New Roman" w:cs="Times New Roman"/>
          <w:kern w:val="0"/>
          <w:sz w:val="24"/>
          <w:szCs w:val="24"/>
          <w:lang w:eastAsia="en-GB"/>
          <w14:ligatures w14:val="none"/>
        </w:rPr>
        <w:t xml:space="preserve"> Available at:  </w:t>
      </w:r>
      <w:hyperlink r:id="rId13" w:history="1">
        <w:r w:rsidRPr="006B58DD">
          <w:rPr>
            <w:rStyle w:val="Hyperlink"/>
            <w:rFonts w:ascii="Times New Roman" w:eastAsia="Times New Roman" w:hAnsi="Times New Roman" w:cs="Times New Roman"/>
            <w:kern w:val="0"/>
            <w:sz w:val="24"/>
            <w:szCs w:val="24"/>
            <w:lang w:eastAsia="en-GB"/>
            <w14:ligatures w14:val="none"/>
          </w:rPr>
          <w:t>https://www.kirkpatrickpartners.com/the-kirkpatrick-model/</w:t>
        </w:r>
      </w:hyperlink>
      <w:r>
        <w:rPr>
          <w:rFonts w:ascii="Times New Roman" w:eastAsia="Times New Roman" w:hAnsi="Times New Roman" w:cs="Times New Roman"/>
          <w:kern w:val="0"/>
          <w:sz w:val="24"/>
          <w:szCs w:val="24"/>
          <w:lang w:eastAsia="en-GB"/>
          <w14:ligatures w14:val="none"/>
        </w:rPr>
        <w:t xml:space="preserve"> (Accessed 21/07/2024) </w:t>
      </w:r>
    </w:p>
    <w:p w14:paraId="2F98CEA8" w14:textId="3D1FDFED" w:rsidR="00520060" w:rsidRPr="00520060" w:rsidRDefault="00520060" w:rsidP="00520060">
      <w:pPr>
        <w:spacing w:after="0" w:line="240" w:lineRule="auto"/>
        <w:rPr>
          <w:rFonts w:ascii="Times New Roman" w:eastAsia="Times New Roman" w:hAnsi="Times New Roman" w:cs="Times New Roman"/>
          <w:kern w:val="0"/>
          <w:sz w:val="24"/>
          <w:szCs w:val="24"/>
          <w:lang w:eastAsia="en-GB"/>
          <w14:ligatures w14:val="none"/>
        </w:rPr>
      </w:pPr>
      <w:r w:rsidRPr="00520060">
        <w:rPr>
          <w:rFonts w:ascii="Times New Roman" w:eastAsia="Times New Roman" w:hAnsi="Times New Roman" w:cs="Times New Roman"/>
          <w:kern w:val="0"/>
          <w:sz w:val="24"/>
          <w:szCs w:val="24"/>
          <w:lang w:eastAsia="en-GB"/>
          <w14:ligatures w14:val="none"/>
        </w:rPr>
        <w:t xml:space="preserve">Stein, J. and Graham, C.R. (2020) </w:t>
      </w:r>
      <w:r w:rsidRPr="00520060">
        <w:rPr>
          <w:rFonts w:ascii="Times New Roman" w:eastAsia="Times New Roman" w:hAnsi="Times New Roman" w:cs="Times New Roman"/>
          <w:i/>
          <w:iCs/>
          <w:kern w:val="0"/>
          <w:sz w:val="24"/>
          <w:szCs w:val="24"/>
          <w:lang w:eastAsia="en-GB"/>
          <w14:ligatures w14:val="none"/>
        </w:rPr>
        <w:t xml:space="preserve">Essentials for blended </w:t>
      </w:r>
      <w:proofErr w:type="gramStart"/>
      <w:r w:rsidRPr="00520060">
        <w:rPr>
          <w:rFonts w:ascii="Times New Roman" w:eastAsia="Times New Roman" w:hAnsi="Times New Roman" w:cs="Times New Roman"/>
          <w:i/>
          <w:iCs/>
          <w:kern w:val="0"/>
          <w:sz w:val="24"/>
          <w:szCs w:val="24"/>
          <w:lang w:eastAsia="en-GB"/>
          <w14:ligatures w14:val="none"/>
        </w:rPr>
        <w:t>learning :</w:t>
      </w:r>
      <w:proofErr w:type="gramEnd"/>
      <w:r w:rsidRPr="00520060">
        <w:rPr>
          <w:rFonts w:ascii="Times New Roman" w:eastAsia="Times New Roman" w:hAnsi="Times New Roman" w:cs="Times New Roman"/>
          <w:i/>
          <w:iCs/>
          <w:kern w:val="0"/>
          <w:sz w:val="24"/>
          <w:szCs w:val="24"/>
          <w:lang w:eastAsia="en-GB"/>
          <w14:ligatures w14:val="none"/>
        </w:rPr>
        <w:t xml:space="preserve"> a standards-based guide</w:t>
      </w:r>
      <w:r w:rsidRPr="00520060">
        <w:rPr>
          <w:rFonts w:ascii="Times New Roman" w:eastAsia="Times New Roman" w:hAnsi="Times New Roman" w:cs="Times New Roman"/>
          <w:kern w:val="0"/>
          <w:sz w:val="24"/>
          <w:szCs w:val="24"/>
          <w:lang w:eastAsia="en-GB"/>
          <w14:ligatures w14:val="none"/>
        </w:rPr>
        <w:t xml:space="preserve">. Second edition. New York, New </w:t>
      </w:r>
      <w:proofErr w:type="gramStart"/>
      <w:r w:rsidRPr="00520060">
        <w:rPr>
          <w:rFonts w:ascii="Times New Roman" w:eastAsia="Times New Roman" w:hAnsi="Times New Roman" w:cs="Times New Roman"/>
          <w:kern w:val="0"/>
          <w:sz w:val="24"/>
          <w:szCs w:val="24"/>
          <w:lang w:eastAsia="en-GB"/>
          <w14:ligatures w14:val="none"/>
        </w:rPr>
        <w:t>York ;</w:t>
      </w:r>
      <w:proofErr w:type="gramEnd"/>
      <w:r w:rsidRPr="00520060">
        <w:rPr>
          <w:rFonts w:ascii="Times New Roman" w:eastAsia="Times New Roman" w:hAnsi="Times New Roman" w:cs="Times New Roman"/>
          <w:kern w:val="0"/>
          <w:sz w:val="24"/>
          <w:szCs w:val="24"/>
          <w:lang w:eastAsia="en-GB"/>
          <w14:ligatures w14:val="none"/>
        </w:rPr>
        <w:t xml:space="preserve"> Routledge.</w:t>
      </w:r>
    </w:p>
    <w:p w14:paraId="048211E5" w14:textId="209A9A91" w:rsidR="00520060" w:rsidRDefault="00520060" w:rsidP="001F7B7A">
      <w:pPr>
        <w:spacing w:after="0" w:line="240" w:lineRule="auto"/>
        <w:rPr>
          <w:rFonts w:ascii="Times New Roman" w:eastAsia="Times New Roman" w:hAnsi="Times New Roman" w:cs="Times New Roman"/>
          <w:kern w:val="0"/>
          <w:sz w:val="24"/>
          <w:szCs w:val="24"/>
          <w:lang w:eastAsia="en-GB"/>
          <w14:ligatures w14:val="none"/>
        </w:rPr>
      </w:pPr>
    </w:p>
    <w:p w14:paraId="2FDEEF37" w14:textId="217E474D" w:rsidR="001F7B7A" w:rsidRPr="001F7B7A" w:rsidRDefault="001F7B7A" w:rsidP="001F7B7A">
      <w:pPr>
        <w:spacing w:after="0" w:line="240" w:lineRule="auto"/>
        <w:rPr>
          <w:rFonts w:ascii="Times New Roman" w:eastAsia="Times New Roman" w:hAnsi="Times New Roman" w:cs="Times New Roman"/>
          <w:kern w:val="0"/>
          <w:sz w:val="24"/>
          <w:szCs w:val="24"/>
          <w:lang w:eastAsia="en-GB"/>
          <w14:ligatures w14:val="none"/>
        </w:rPr>
      </w:pPr>
      <w:r w:rsidRPr="001F7B7A">
        <w:rPr>
          <w:rFonts w:ascii="Times New Roman" w:eastAsia="Times New Roman" w:hAnsi="Times New Roman" w:cs="Times New Roman"/>
          <w:kern w:val="0"/>
          <w:sz w:val="24"/>
          <w:szCs w:val="24"/>
          <w:lang w:eastAsia="en-GB"/>
          <w14:ligatures w14:val="none"/>
        </w:rPr>
        <w:t xml:space="preserve">Page-Tickell, R. (2014) </w:t>
      </w:r>
      <w:r w:rsidRPr="001F7B7A">
        <w:rPr>
          <w:rFonts w:ascii="Times New Roman" w:eastAsia="Times New Roman" w:hAnsi="Times New Roman" w:cs="Times New Roman"/>
          <w:i/>
          <w:iCs/>
          <w:kern w:val="0"/>
          <w:sz w:val="24"/>
          <w:szCs w:val="24"/>
          <w:lang w:eastAsia="en-GB"/>
          <w14:ligatures w14:val="none"/>
        </w:rPr>
        <w:t>Learning and development</w:t>
      </w:r>
      <w:r w:rsidRPr="001F7B7A">
        <w:rPr>
          <w:rFonts w:ascii="Times New Roman" w:eastAsia="Times New Roman" w:hAnsi="Times New Roman" w:cs="Times New Roman"/>
          <w:kern w:val="0"/>
          <w:sz w:val="24"/>
          <w:szCs w:val="24"/>
          <w:lang w:eastAsia="en-GB"/>
          <w14:ligatures w14:val="none"/>
        </w:rPr>
        <w:t>. London: Kogan Page.</w:t>
      </w:r>
    </w:p>
    <w:p w14:paraId="2B7BF074" w14:textId="77777777" w:rsidR="000E2AFD" w:rsidRDefault="000E2AFD" w:rsidP="000E2AFD">
      <w:pPr>
        <w:spacing w:after="0" w:line="240" w:lineRule="auto"/>
        <w:rPr>
          <w:rFonts w:ascii="Times New Roman" w:eastAsia="Times New Roman" w:hAnsi="Times New Roman" w:cs="Times New Roman"/>
          <w:kern w:val="0"/>
          <w:sz w:val="24"/>
          <w:szCs w:val="24"/>
          <w:lang w:eastAsia="en-GB"/>
          <w14:ligatures w14:val="none"/>
        </w:rPr>
      </w:pPr>
    </w:p>
    <w:p w14:paraId="550D4857" w14:textId="4E83A5C9" w:rsidR="000E2AFD" w:rsidRPr="000E2AFD" w:rsidRDefault="000E2AFD" w:rsidP="000E2AFD">
      <w:pPr>
        <w:spacing w:after="0" w:line="240" w:lineRule="auto"/>
        <w:rPr>
          <w:rFonts w:ascii="Times New Roman" w:eastAsia="Times New Roman" w:hAnsi="Times New Roman" w:cs="Times New Roman"/>
          <w:kern w:val="0"/>
          <w:sz w:val="24"/>
          <w:szCs w:val="24"/>
          <w:lang w:eastAsia="en-GB"/>
          <w14:ligatures w14:val="none"/>
        </w:rPr>
      </w:pPr>
      <w:r w:rsidRPr="000E2AFD">
        <w:rPr>
          <w:rFonts w:ascii="Times New Roman" w:eastAsia="Times New Roman" w:hAnsi="Times New Roman" w:cs="Times New Roman"/>
          <w:kern w:val="0"/>
          <w:sz w:val="24"/>
          <w:szCs w:val="24"/>
          <w:lang w:eastAsia="en-GB"/>
          <w14:ligatures w14:val="none"/>
        </w:rPr>
        <w:t xml:space="preserve">Thai, N.T.T., De </w:t>
      </w:r>
      <w:proofErr w:type="spellStart"/>
      <w:r w:rsidRPr="000E2AFD">
        <w:rPr>
          <w:rFonts w:ascii="Times New Roman" w:eastAsia="Times New Roman" w:hAnsi="Times New Roman" w:cs="Times New Roman"/>
          <w:kern w:val="0"/>
          <w:sz w:val="24"/>
          <w:szCs w:val="24"/>
          <w:lang w:eastAsia="en-GB"/>
          <w14:ligatures w14:val="none"/>
        </w:rPr>
        <w:t>Wever</w:t>
      </w:r>
      <w:proofErr w:type="spellEnd"/>
      <w:r w:rsidRPr="000E2AFD">
        <w:rPr>
          <w:rFonts w:ascii="Times New Roman" w:eastAsia="Times New Roman" w:hAnsi="Times New Roman" w:cs="Times New Roman"/>
          <w:kern w:val="0"/>
          <w:sz w:val="24"/>
          <w:szCs w:val="24"/>
          <w:lang w:eastAsia="en-GB"/>
          <w14:ligatures w14:val="none"/>
        </w:rPr>
        <w:t xml:space="preserve">, B. and Valcke, M. (2020) ‘Face‐to‐face, blended, flipped, or online learning environment? Impact on learning performance and student cognitions’, </w:t>
      </w:r>
      <w:r w:rsidRPr="000E2AFD">
        <w:rPr>
          <w:rFonts w:ascii="Times New Roman" w:eastAsia="Times New Roman" w:hAnsi="Times New Roman" w:cs="Times New Roman"/>
          <w:i/>
          <w:iCs/>
          <w:kern w:val="0"/>
          <w:sz w:val="24"/>
          <w:szCs w:val="24"/>
          <w:lang w:eastAsia="en-GB"/>
          <w14:ligatures w14:val="none"/>
        </w:rPr>
        <w:t>Journal of computer assisted learning</w:t>
      </w:r>
      <w:r w:rsidRPr="000E2AFD">
        <w:rPr>
          <w:rFonts w:ascii="Times New Roman" w:eastAsia="Times New Roman" w:hAnsi="Times New Roman" w:cs="Times New Roman"/>
          <w:kern w:val="0"/>
          <w:sz w:val="24"/>
          <w:szCs w:val="24"/>
          <w:lang w:eastAsia="en-GB"/>
          <w14:ligatures w14:val="none"/>
        </w:rPr>
        <w:t>, 36(3), pp. 397–411. Available at: https://doi.org/10.1111/jcal.12423.</w:t>
      </w:r>
    </w:p>
    <w:p w14:paraId="0C49A38E" w14:textId="77777777" w:rsidR="001F7B7A" w:rsidRPr="001F7B7A" w:rsidRDefault="001F7B7A" w:rsidP="000E2AFD">
      <w:pPr>
        <w:rPr>
          <w:rFonts w:cstheme="minorHAnsi"/>
          <w:b/>
          <w:bCs/>
          <w:sz w:val="24"/>
          <w:szCs w:val="24"/>
        </w:rPr>
      </w:pPr>
    </w:p>
    <w:p w14:paraId="3C64545E" w14:textId="7005648D" w:rsidR="001F7B7A" w:rsidRDefault="001F7B7A" w:rsidP="001F7B7A">
      <w:pPr>
        <w:rPr>
          <w:rFonts w:cstheme="minorHAnsi"/>
          <w:sz w:val="24"/>
          <w:szCs w:val="24"/>
        </w:rPr>
      </w:pPr>
      <w:r w:rsidRPr="008E0F90">
        <w:rPr>
          <w:rFonts w:cstheme="minorHAnsi"/>
          <w:sz w:val="24"/>
          <w:szCs w:val="24"/>
        </w:rPr>
        <w:t xml:space="preserve">Waite, K </w:t>
      </w:r>
      <w:r w:rsidRPr="008E0F90">
        <w:rPr>
          <w:rFonts w:cstheme="minorHAnsi"/>
          <w:i/>
          <w:iCs/>
          <w:sz w:val="24"/>
          <w:szCs w:val="24"/>
        </w:rPr>
        <w:t xml:space="preserve">et al. </w:t>
      </w:r>
      <w:r w:rsidRPr="008E0F90">
        <w:rPr>
          <w:rFonts w:cstheme="minorHAnsi"/>
          <w:sz w:val="24"/>
          <w:szCs w:val="24"/>
        </w:rPr>
        <w:t xml:space="preserve">(2021) </w:t>
      </w:r>
      <w:r w:rsidRPr="008E0F90">
        <w:rPr>
          <w:rFonts w:cstheme="minorHAnsi"/>
          <w:i/>
          <w:iCs/>
          <w:sz w:val="24"/>
          <w:szCs w:val="24"/>
        </w:rPr>
        <w:t>People Practise, a complete guide.</w:t>
      </w:r>
      <w:r w:rsidRPr="008E0F90">
        <w:rPr>
          <w:rFonts w:cstheme="minorHAnsi"/>
          <w:sz w:val="24"/>
          <w:szCs w:val="24"/>
        </w:rPr>
        <w:t xml:space="preserve"> London: Kogan Page </w:t>
      </w:r>
    </w:p>
    <w:p w14:paraId="6A2C7426" w14:textId="77777777" w:rsidR="001F7B7A" w:rsidRPr="001F7B7A" w:rsidRDefault="001F7B7A">
      <w:pPr>
        <w:rPr>
          <w:i/>
          <w:iCs/>
        </w:rPr>
      </w:pPr>
    </w:p>
    <w:sectPr w:rsidR="001F7B7A" w:rsidRPr="001F7B7A">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7D485" w14:textId="77777777" w:rsidR="00C878F5" w:rsidRDefault="00C878F5" w:rsidP="001F7B7A">
      <w:pPr>
        <w:spacing w:after="0" w:line="240" w:lineRule="auto"/>
      </w:pPr>
      <w:r>
        <w:separator/>
      </w:r>
    </w:p>
  </w:endnote>
  <w:endnote w:type="continuationSeparator" w:id="0">
    <w:p w14:paraId="21870F62" w14:textId="77777777" w:rsidR="00C878F5" w:rsidRDefault="00C878F5" w:rsidP="001F7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DFEE7" w14:textId="77777777" w:rsidR="00C878F5" w:rsidRDefault="00C878F5" w:rsidP="001F7B7A">
      <w:pPr>
        <w:spacing w:after="0" w:line="240" w:lineRule="auto"/>
      </w:pPr>
      <w:r>
        <w:separator/>
      </w:r>
    </w:p>
  </w:footnote>
  <w:footnote w:type="continuationSeparator" w:id="0">
    <w:p w14:paraId="0FCB51F4" w14:textId="77777777" w:rsidR="00C878F5" w:rsidRDefault="00C878F5" w:rsidP="001F7B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019D6" w14:textId="2E064018" w:rsidR="001F7B7A" w:rsidRDefault="001F7B7A" w:rsidP="001F7B7A">
    <w:pPr>
      <w:pStyle w:val="Header"/>
    </w:pPr>
    <w:r>
      <w:t xml:space="preserve">Word Count:  </w:t>
    </w:r>
    <w:proofErr w:type="gramStart"/>
    <w:r>
      <w:t>–  Centre</w:t>
    </w:r>
    <w:proofErr w:type="gramEnd"/>
    <w:r>
      <w:t xml:space="preserve"> Number 669 CIPD membership number - 88202293</w:t>
    </w:r>
  </w:p>
  <w:p w14:paraId="33115B75" w14:textId="77777777" w:rsidR="001F7B7A" w:rsidRDefault="001F7B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EB7691"/>
    <w:multiLevelType w:val="hybridMultilevel"/>
    <w:tmpl w:val="F85A5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C11694"/>
    <w:multiLevelType w:val="hybridMultilevel"/>
    <w:tmpl w:val="1E064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7267932">
    <w:abstractNumId w:val="1"/>
  </w:num>
  <w:num w:numId="2" w16cid:durableId="467433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B7A"/>
    <w:rsid w:val="00077BD6"/>
    <w:rsid w:val="00077DF7"/>
    <w:rsid w:val="000D2A40"/>
    <w:rsid w:val="000E2AFD"/>
    <w:rsid w:val="001257CD"/>
    <w:rsid w:val="001555CB"/>
    <w:rsid w:val="001F7B7A"/>
    <w:rsid w:val="00205219"/>
    <w:rsid w:val="00217DA1"/>
    <w:rsid w:val="00230BCD"/>
    <w:rsid w:val="00234F00"/>
    <w:rsid w:val="00257B48"/>
    <w:rsid w:val="00311C94"/>
    <w:rsid w:val="00313DC5"/>
    <w:rsid w:val="003255E7"/>
    <w:rsid w:val="00357145"/>
    <w:rsid w:val="003E1E99"/>
    <w:rsid w:val="003E45A7"/>
    <w:rsid w:val="00420838"/>
    <w:rsid w:val="004314CA"/>
    <w:rsid w:val="00495BC8"/>
    <w:rsid w:val="004B70C2"/>
    <w:rsid w:val="0050752E"/>
    <w:rsid w:val="00520060"/>
    <w:rsid w:val="00531194"/>
    <w:rsid w:val="005A4224"/>
    <w:rsid w:val="005B701A"/>
    <w:rsid w:val="00636236"/>
    <w:rsid w:val="00830CC2"/>
    <w:rsid w:val="008633EC"/>
    <w:rsid w:val="00895636"/>
    <w:rsid w:val="008E45C0"/>
    <w:rsid w:val="00961C7A"/>
    <w:rsid w:val="009B3140"/>
    <w:rsid w:val="009F1B91"/>
    <w:rsid w:val="00A14E01"/>
    <w:rsid w:val="00AE1783"/>
    <w:rsid w:val="00BD3874"/>
    <w:rsid w:val="00C05B4C"/>
    <w:rsid w:val="00C26292"/>
    <w:rsid w:val="00C520C5"/>
    <w:rsid w:val="00C63450"/>
    <w:rsid w:val="00C82568"/>
    <w:rsid w:val="00C878F5"/>
    <w:rsid w:val="00DE29A3"/>
    <w:rsid w:val="00E242A6"/>
    <w:rsid w:val="00E71F11"/>
    <w:rsid w:val="00EE2ED9"/>
    <w:rsid w:val="00F23423"/>
    <w:rsid w:val="00F97A19"/>
    <w:rsid w:val="00FB4C65"/>
    <w:rsid w:val="00FE7B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07095"/>
  <w15:chartTrackingRefBased/>
  <w15:docId w15:val="{CBCB716F-F429-4CCD-AE0E-14F1F196B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7B7A"/>
    <w:pPr>
      <w:spacing w:before="120" w:after="360" w:line="264" w:lineRule="auto"/>
      <w:outlineLvl w:val="0"/>
    </w:pPr>
    <w:rPr>
      <w:rFonts w:ascii="Georgia" w:hAnsi="Georgia" w:cstheme="minorHAnsi"/>
      <w:i/>
      <w:iCs/>
      <w:color w:val="4472C4" w:themeColor="accent1"/>
      <w:kern w:val="0"/>
      <w:sz w:val="48"/>
      <w:szCs w:val="4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7B7A"/>
    <w:rPr>
      <w:color w:val="0563C1" w:themeColor="hyperlink"/>
      <w:u w:val="single"/>
    </w:rPr>
  </w:style>
  <w:style w:type="character" w:styleId="UnresolvedMention">
    <w:name w:val="Unresolved Mention"/>
    <w:basedOn w:val="DefaultParagraphFont"/>
    <w:uiPriority w:val="99"/>
    <w:semiHidden/>
    <w:unhideWhenUsed/>
    <w:rsid w:val="001F7B7A"/>
    <w:rPr>
      <w:color w:val="605E5C"/>
      <w:shd w:val="clear" w:color="auto" w:fill="E1DFDD"/>
    </w:rPr>
  </w:style>
  <w:style w:type="character" w:customStyle="1" w:styleId="Heading1Char">
    <w:name w:val="Heading 1 Char"/>
    <w:basedOn w:val="DefaultParagraphFont"/>
    <w:link w:val="Heading1"/>
    <w:uiPriority w:val="9"/>
    <w:rsid w:val="001F7B7A"/>
    <w:rPr>
      <w:rFonts w:ascii="Georgia" w:hAnsi="Georgia" w:cstheme="minorHAnsi"/>
      <w:i/>
      <w:iCs/>
      <w:color w:val="4472C4" w:themeColor="accent1"/>
      <w:kern w:val="0"/>
      <w:sz w:val="48"/>
      <w:szCs w:val="48"/>
      <w14:ligatures w14:val="none"/>
    </w:rPr>
  </w:style>
  <w:style w:type="paragraph" w:styleId="Header">
    <w:name w:val="header"/>
    <w:basedOn w:val="Normal"/>
    <w:link w:val="HeaderChar"/>
    <w:uiPriority w:val="99"/>
    <w:unhideWhenUsed/>
    <w:rsid w:val="001F7B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7B7A"/>
  </w:style>
  <w:style w:type="paragraph" w:styleId="Footer">
    <w:name w:val="footer"/>
    <w:basedOn w:val="Normal"/>
    <w:link w:val="FooterChar"/>
    <w:uiPriority w:val="99"/>
    <w:unhideWhenUsed/>
    <w:rsid w:val="001F7B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7B7A"/>
  </w:style>
  <w:style w:type="paragraph" w:styleId="ListParagraph">
    <w:name w:val="List Paragraph"/>
    <w:basedOn w:val="Normal"/>
    <w:uiPriority w:val="34"/>
    <w:qFormat/>
    <w:rsid w:val="00C520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828373">
      <w:bodyDiv w:val="1"/>
      <w:marLeft w:val="0"/>
      <w:marRight w:val="0"/>
      <w:marTop w:val="0"/>
      <w:marBottom w:val="0"/>
      <w:divBdr>
        <w:top w:val="none" w:sz="0" w:space="0" w:color="auto"/>
        <w:left w:val="none" w:sz="0" w:space="0" w:color="auto"/>
        <w:bottom w:val="none" w:sz="0" w:space="0" w:color="auto"/>
        <w:right w:val="none" w:sz="0" w:space="0" w:color="auto"/>
      </w:divBdr>
      <w:divsChild>
        <w:div w:id="516774411">
          <w:marLeft w:val="0"/>
          <w:marRight w:val="0"/>
          <w:marTop w:val="0"/>
          <w:marBottom w:val="0"/>
          <w:divBdr>
            <w:top w:val="none" w:sz="0" w:space="0" w:color="auto"/>
            <w:left w:val="none" w:sz="0" w:space="0" w:color="auto"/>
            <w:bottom w:val="none" w:sz="0" w:space="0" w:color="auto"/>
            <w:right w:val="none" w:sz="0" w:space="0" w:color="auto"/>
          </w:divBdr>
          <w:divsChild>
            <w:div w:id="1123041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063974">
      <w:bodyDiv w:val="1"/>
      <w:marLeft w:val="0"/>
      <w:marRight w:val="0"/>
      <w:marTop w:val="0"/>
      <w:marBottom w:val="0"/>
      <w:divBdr>
        <w:top w:val="none" w:sz="0" w:space="0" w:color="auto"/>
        <w:left w:val="none" w:sz="0" w:space="0" w:color="auto"/>
        <w:bottom w:val="none" w:sz="0" w:space="0" w:color="auto"/>
        <w:right w:val="none" w:sz="0" w:space="0" w:color="auto"/>
      </w:divBdr>
      <w:divsChild>
        <w:div w:id="7414641">
          <w:marLeft w:val="0"/>
          <w:marRight w:val="0"/>
          <w:marTop w:val="0"/>
          <w:marBottom w:val="0"/>
          <w:divBdr>
            <w:top w:val="none" w:sz="0" w:space="0" w:color="auto"/>
            <w:left w:val="none" w:sz="0" w:space="0" w:color="auto"/>
            <w:bottom w:val="none" w:sz="0" w:space="0" w:color="auto"/>
            <w:right w:val="none" w:sz="0" w:space="0" w:color="auto"/>
          </w:divBdr>
          <w:divsChild>
            <w:div w:id="38175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334216">
      <w:bodyDiv w:val="1"/>
      <w:marLeft w:val="0"/>
      <w:marRight w:val="0"/>
      <w:marTop w:val="0"/>
      <w:marBottom w:val="0"/>
      <w:divBdr>
        <w:top w:val="none" w:sz="0" w:space="0" w:color="auto"/>
        <w:left w:val="none" w:sz="0" w:space="0" w:color="auto"/>
        <w:bottom w:val="none" w:sz="0" w:space="0" w:color="auto"/>
        <w:right w:val="none" w:sz="0" w:space="0" w:color="auto"/>
      </w:divBdr>
      <w:divsChild>
        <w:div w:id="1678269704">
          <w:marLeft w:val="0"/>
          <w:marRight w:val="0"/>
          <w:marTop w:val="0"/>
          <w:marBottom w:val="0"/>
          <w:divBdr>
            <w:top w:val="none" w:sz="0" w:space="0" w:color="auto"/>
            <w:left w:val="none" w:sz="0" w:space="0" w:color="auto"/>
            <w:bottom w:val="none" w:sz="0" w:space="0" w:color="auto"/>
            <w:right w:val="none" w:sz="0" w:space="0" w:color="auto"/>
          </w:divBdr>
          <w:divsChild>
            <w:div w:id="53080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695487">
      <w:bodyDiv w:val="1"/>
      <w:marLeft w:val="0"/>
      <w:marRight w:val="0"/>
      <w:marTop w:val="0"/>
      <w:marBottom w:val="0"/>
      <w:divBdr>
        <w:top w:val="none" w:sz="0" w:space="0" w:color="auto"/>
        <w:left w:val="none" w:sz="0" w:space="0" w:color="auto"/>
        <w:bottom w:val="none" w:sz="0" w:space="0" w:color="auto"/>
        <w:right w:val="none" w:sz="0" w:space="0" w:color="auto"/>
      </w:divBdr>
      <w:divsChild>
        <w:div w:id="648749501">
          <w:marLeft w:val="0"/>
          <w:marRight w:val="0"/>
          <w:marTop w:val="0"/>
          <w:marBottom w:val="0"/>
          <w:divBdr>
            <w:top w:val="none" w:sz="0" w:space="0" w:color="auto"/>
            <w:left w:val="none" w:sz="0" w:space="0" w:color="auto"/>
            <w:bottom w:val="none" w:sz="0" w:space="0" w:color="auto"/>
            <w:right w:val="none" w:sz="0" w:space="0" w:color="auto"/>
          </w:divBdr>
          <w:divsChild>
            <w:div w:id="205719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129904">
      <w:bodyDiv w:val="1"/>
      <w:marLeft w:val="0"/>
      <w:marRight w:val="0"/>
      <w:marTop w:val="0"/>
      <w:marBottom w:val="0"/>
      <w:divBdr>
        <w:top w:val="none" w:sz="0" w:space="0" w:color="auto"/>
        <w:left w:val="none" w:sz="0" w:space="0" w:color="auto"/>
        <w:bottom w:val="none" w:sz="0" w:space="0" w:color="auto"/>
        <w:right w:val="none" w:sz="0" w:space="0" w:color="auto"/>
      </w:divBdr>
      <w:divsChild>
        <w:div w:id="256450762">
          <w:marLeft w:val="0"/>
          <w:marRight w:val="0"/>
          <w:marTop w:val="0"/>
          <w:marBottom w:val="0"/>
          <w:divBdr>
            <w:top w:val="none" w:sz="0" w:space="0" w:color="auto"/>
            <w:left w:val="none" w:sz="0" w:space="0" w:color="auto"/>
            <w:bottom w:val="none" w:sz="0" w:space="0" w:color="auto"/>
            <w:right w:val="none" w:sz="0" w:space="0" w:color="auto"/>
          </w:divBdr>
          <w:divsChild>
            <w:div w:id="87550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the-people-profession/the-profession-map/explore-the-profession-map/specialist-knowledge/learning-development/" TargetMode="External"/><Relationship Id="rId13" Type="http://schemas.openxmlformats.org/officeDocument/2006/relationships/hyperlink" Target="https://www.kirkpatrickpartners.com/the-kirkpatrick-mode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cipd.org/uk/knowledge/factsheets/learning-needs-factshee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org/uk/knowledge/factsheets/strategy-development-factshee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cipd.org/uk/knowledge/factsheets/evaluating-learning-factsheet/" TargetMode="External"/><Relationship Id="rId4" Type="http://schemas.openxmlformats.org/officeDocument/2006/relationships/webSettings" Target="webSettings.xml"/><Relationship Id="rId9" Type="http://schemas.openxmlformats.org/officeDocument/2006/relationships/hyperlink" Target="https://www.cipd.org/uk/knowledge/factsheets/coaching-mentoring-factsheet/"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1975</Words>
  <Characters>11261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Bond</dc:creator>
  <cp:keywords/>
  <dc:description/>
  <cp:lastModifiedBy>Iwan Bond (Hywel Dda UHB - Administrator)</cp:lastModifiedBy>
  <cp:revision>2</cp:revision>
  <dcterms:created xsi:type="dcterms:W3CDTF">2024-08-23T13:26:00Z</dcterms:created>
  <dcterms:modified xsi:type="dcterms:W3CDTF">2024-08-23T13:26:00Z</dcterms:modified>
</cp:coreProperties>
</file>