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rPr>
          <w:rFonts w:ascii="Arial" w:cs="Arial" w:eastAsia="Arial" w:hAnsi="Arial"/>
          <w:b w:val="1"/>
          <w:bCs w:val="1"/>
        </w:rPr>
      </w:pPr>
      <w:r w:rsidDel="00000000" w:rsidR="00000000" w:rsidRPr="00000000">
        <w:rPr>
          <w:rFonts w:ascii="Arial" w:cs="Arial" w:eastAsia="Arial" w:hAnsi="Arial"/>
          <w:b w:val="1"/>
          <w:bCs w:val="1"/>
          <w:rtl w:val="0"/>
        </w:rPr>
        <w:t xml:space="preserve">Written Assignment</w:t>
      </w:r>
    </w:p>
    <w:p w:rsidR="00000000" w:rsidDel="00000000" w:rsidP="00000000" w:rsidRDefault="00000000" w:rsidRPr="00000000" w14:paraId="0000000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Name: Rudolf Balog</w:t>
      </w:r>
    </w:p>
    <w:p w:rsidR="00000000" w:rsidDel="00000000" w:rsidP="00000000" w:rsidRDefault="00000000" w:rsidRPr="00000000" w14:paraId="00000005">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Number: 2119447</w:t>
      </w:r>
    </w:p>
    <w:p w:rsidR="00000000" w:rsidDel="00000000" w:rsidP="00000000" w:rsidRDefault="00000000" w:rsidRPr="00000000" w14:paraId="00000006">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 Code:</w:t>
      </w:r>
      <w:r w:rsidDel="00000000" w:rsidR="00000000" w:rsidRPr="00000000">
        <w:rPr>
          <w:rFonts w:ascii="Arial" w:cs="Arial" w:eastAsia="Arial" w:hAnsi="Arial"/>
          <w:rtl w:val="0"/>
        </w:rPr>
        <w:t xml:space="preserve"> LCHS4003</w:t>
      </w: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 Title:</w:t>
      </w:r>
      <w:r w:rsidDel="00000000" w:rsidR="00000000" w:rsidRPr="00000000">
        <w:rPr>
          <w:rFonts w:ascii="Arial" w:cs="Arial" w:eastAsia="Arial" w:hAnsi="Arial"/>
          <w:rtl w:val="0"/>
        </w:rPr>
        <w:t xml:space="preserve"> Introduction to Health and Social Care</w:t>
      </w: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Lecturer’s name:</w:t>
      </w:r>
      <w:r w:rsidDel="00000000" w:rsidR="00000000" w:rsidRPr="00000000">
        <w:rPr>
          <w:rFonts w:ascii="Arial" w:cs="Arial" w:eastAsia="Arial" w:hAnsi="Arial"/>
          <w:rtl w:val="0"/>
        </w:rPr>
        <w:t xml:space="preserve"> Muhammad Aliyu</w:t>
      </w: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bookmarkStart w:colFirst="0" w:colLast="0" w:name="_heading=h.4p9bsqb8o3mj" w:id="0"/>
      <w:bookmarkEnd w:id="0"/>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p w:rsidR="00000000" w:rsidDel="00000000" w:rsidP="00000000" w:rsidRDefault="00000000" w:rsidRPr="00000000" w14:paraId="0000001E">
      <w:pPr>
        <w:rPr/>
      </w:pPr>
      <w:r w:rsidDel="00000000" w:rsidR="00000000" w:rsidRPr="00000000">
        <w:rPr>
          <w:rtl w:val="0"/>
        </w:rPr>
      </w:r>
    </w:p>
    <w:sdt>
      <w:sdtPr>
        <w:id w:val="1526232911"/>
        <w:docPartObj>
          <w:docPartGallery w:val="Table of Contents"/>
          <w:docPartUnique w:val="1"/>
        </w:docPartObj>
      </w:sdtPr>
      <w:sdtConten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jl3myf55vva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9wbun33hsu0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Importance of Effective Communication</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p0htckhjwyd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Importance of Administrative Skills and Record Keeping</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tib7ijumodm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Significance of Collaborative Working</w:t>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ed879jv6a9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z1ald5tczy4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1"/>
        <w:spacing w:after="280" w:before="280" w:line="360" w:lineRule="auto"/>
        <w:jc w:val="both"/>
        <w:rPr>
          <w:rFonts w:ascii="Arial" w:cs="Arial" w:eastAsia="Arial" w:hAnsi="Arial"/>
          <w:color w:val="000000"/>
          <w:sz w:val="22"/>
          <w:szCs w:val="22"/>
        </w:rPr>
      </w:pPr>
      <w:bookmarkStart w:colFirst="0" w:colLast="0" w:name="_heading=h.jl3myf55vvaz" w:id="1"/>
      <w:bookmarkEnd w:id="1"/>
      <w:r w:rsidDel="00000000" w:rsidR="00000000" w:rsidRPr="00000000">
        <w:rPr>
          <w:rFonts w:ascii="Arial" w:cs="Arial" w:eastAsia="Arial" w:hAnsi="Arial"/>
          <w:color w:val="000000"/>
          <w:sz w:val="22"/>
          <w:szCs w:val="22"/>
          <w:rtl w:val="0"/>
        </w:rPr>
        <w:t xml:space="preserve">Introduction </w:t>
      </w:r>
    </w:p>
    <w:p w:rsidR="00000000" w:rsidDel="00000000" w:rsidP="00000000" w:rsidRDefault="00000000" w:rsidRPr="00000000" w14:paraId="0000003C">
      <w:pPr>
        <w:spacing w:after="280" w:before="2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health and social care systems in UK are organised to provide safe, effective, and person-centred care by integrated services and multidisciplinary collaboration. Good communication, strong administration practices and teamwork are some of the key attributes in high quality delivery of care especially to the vulnerable individuals with complex needs. The case of Mr Ahmed, a 68-year-old stroke patient, who needs domiciliary and multidisciplinary care demonstrates certain issues accompanying modern care delivery, such as communication issues, service coordination and safety concerns. This report is a critical analysis of the significance of communication, administrative competence and interprofessional collaboration in the context of Mr Ahmed’s care. It incorporates the applicable legislation (Equality Act 2010 and Data Protection Act 2018), theoretical framework and research findings to support analysis and recommendations.</w:t>
      </w:r>
    </w:p>
    <w:p w:rsidR="00000000" w:rsidDel="00000000" w:rsidP="00000000" w:rsidRDefault="00000000" w:rsidRPr="00000000" w14:paraId="0000003D">
      <w:pPr>
        <w:pStyle w:val="Heading1"/>
        <w:spacing w:after="280" w:before="280" w:line="360" w:lineRule="auto"/>
        <w:jc w:val="both"/>
        <w:rPr>
          <w:rFonts w:ascii="Arial" w:cs="Arial" w:eastAsia="Arial" w:hAnsi="Arial"/>
          <w:color w:val="000000"/>
          <w:sz w:val="22"/>
          <w:szCs w:val="22"/>
        </w:rPr>
      </w:pPr>
      <w:bookmarkStart w:colFirst="0" w:colLast="0" w:name="_heading=h.9wbun33hsu0m" w:id="2"/>
      <w:bookmarkEnd w:id="2"/>
      <w:r w:rsidDel="00000000" w:rsidR="00000000" w:rsidRPr="00000000">
        <w:rPr>
          <w:rFonts w:ascii="Arial" w:cs="Arial" w:eastAsia="Arial" w:hAnsi="Arial"/>
          <w:b w:val="1"/>
          <w:bCs w:val="1"/>
          <w:color w:val="000000"/>
          <w:sz w:val="22"/>
          <w:szCs w:val="22"/>
          <w:rtl w:val="0"/>
        </w:rPr>
        <w:t xml:space="preserve">1. Importance of Effective Communication</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Effective communication is important to delivering safe, person-centred care, especially in complicated cases like the one of Mr Ahmed, where language barriers and cognitive deficits post-stroke can greatly influence understanding and involvement in care (Batool, 2020). In this case, the poor command of English and the reliance on his wife as an interpreter by Mr Ahmed lead to the risks of misinterpretation, exclusion, and lack of autonomy that may undermine the quality and safety of care (Hong and Oh, 2020). It is thus necessary to ensure effective, inclusive communication to ensure patient dignity, informed consent, and treatment plan adherence (Pryce et al., 2025).</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According to the Equality Act 2010, healthcare providers are required to make reasonable modifications to prevent the disadvantage of individuals based on characteristics like race and language. In the case of Mr Ahmed, this involves hiring professional translators instead of merely using family members because informal translation also gives rise to inaccuracies and confidentiality issues (Karliner et al., 2007). Moreover, culturally competent communication strategies are recommended with the aim of honoring his language and cultural heritage, which will increase the levels of trust and involvement (Kaihlanen et al., 2019).</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 applicable theoretical framework to explain communication in this context is the Shannon-Weaver Model, which describes communication as a process that involves a sender, message, channel, a receiver and possible noise. The language barrier, cognitive impairment, and emotional stress act as “noise,” in the case of Mr Ahmed which prevents a successful transmission of the message. Healthcare professionals are advised to reduce these barriers by using simplified language, visuals, and non-verbal communication strategies and ensuring comprehension by feedback mechanisms, such as the so-called teach-back techniques (Ha Dinh et al., 2016).</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Moreover, the communication with the family members, especially the wife of Mr Ahmed, should be handled carefully so that her involvement supports rather than replaces his autonomy (Clayman et al., 2016). Both individuals should be involved by the professionals, but Mr Ahmed should be central to the decision-making process with his wife playing a supportive role. It is in line with the principles of person-centred care, which focus on respect, empowerment, and shared decision-making (Evén et al., 2024).</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Finally, effective communication in the care of Mr Ahmed is essential in avoiding errors, including missing medication administration, and continuity across services (Manias et al., 2020). Communication failure may have a direct negative impact, which underscores the importance of the existence of the structured, culturally competent, and legally valid communication strategies (Rawlinson et al., 2021).</w:t>
      </w:r>
    </w:p>
    <w:p w:rsidR="00000000" w:rsidDel="00000000" w:rsidP="00000000" w:rsidRDefault="00000000" w:rsidRPr="00000000" w14:paraId="00000043">
      <w:pPr>
        <w:pStyle w:val="Heading1"/>
        <w:spacing w:after="280" w:before="280" w:line="360" w:lineRule="auto"/>
        <w:jc w:val="both"/>
        <w:rPr>
          <w:rFonts w:ascii="Arial" w:cs="Arial" w:eastAsia="Arial" w:hAnsi="Arial"/>
          <w:color w:val="000000"/>
          <w:sz w:val="22"/>
          <w:szCs w:val="22"/>
        </w:rPr>
      </w:pPr>
      <w:bookmarkStart w:colFirst="0" w:colLast="0" w:name="_heading=h.p0htckhjwydu" w:id="3"/>
      <w:bookmarkEnd w:id="3"/>
      <w:r w:rsidDel="00000000" w:rsidR="00000000" w:rsidRPr="00000000">
        <w:rPr>
          <w:rFonts w:ascii="Arial" w:cs="Arial" w:eastAsia="Arial" w:hAnsi="Arial"/>
          <w:b w:val="1"/>
          <w:bCs w:val="1"/>
          <w:color w:val="000000"/>
          <w:sz w:val="22"/>
          <w:szCs w:val="22"/>
          <w:rtl w:val="0"/>
        </w:rPr>
        <w:t xml:space="preserve">2. Importance of Administrative Skills and Record Keeping</w: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and social care practice require good administrative skills, which ensure proper documentation, continuity of care, and legal compliance. The case of Mr Ahmed, who has had a domiciliary care visit missed and thus has received a late medication, represents possible shortcomings in record keeping, scheduling, and communication systems (Häyrinen et al., 2008). Good administration ensures that care plans are followed, risks are recorded and accountability is upheld throughout services (Blijleven et al., 2017).</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Record keeping is fundamental aspect of professional practice, which entails proper, timely and safe record keeping of patient data, care plans, administration of medication, and incident reporting. High quality records facilitate continuity of care, especially in multidisciplinary environments, where various professionals are able to use common information to make effective decisions (Shahmorabi-Koolaee and Habibi, 2016). Poor documentation may lead to severe outcomes, such as medication errors, service duplications, and risks of safeguarding (Manias et al., 2020).</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Data Protection Act 2018, aligned with the UK GDPR offers a legal framework of managing personal data so that it is processed in a lawful, fair, and transparent manner (Goddard, 2017). In the case of Mr Ahmed, medical practitioners should make sure that his personal and medical data are stored safely and that they can only be provided to authorised medical personnel who should be a part of his care. Confidentiality is also crucial because of the engagement of several agencies and family members and the necessity of clear consent procedures and information-sharing policies (Karliner et al., 2007).</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minimisation, accuracy, storage limitation and integrity are key concepts of data protection. These principles are applicable in ensuring that the information stored is only relevant, and it is updated frequently and is not accessible to an unauthorised person (Goddard, 2017). As an example, it is necessary to document the missed visit incident correctly and factually, which helps to investigate and enhance the quality of services, while maintaining confidentiality (Häyrinen et al., 2008).</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NHS Records Management Code of Practice (2021) is one of the policy frameworks that focus on ensuring that documentation is clear, legible, and contemporaneous. The correct documentation of care visits, medications and communication between professionals is the most important in preventing future errors and accountability in Mr Ahmed’s situation. Moreover, collaborative practices across teams are also beneficial in maintaining proper and consistent documentation (Karam et al., 2018).</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Additionally, the digital health system, such as electronic health records (EHRs) has the potential to increase administrative efficiency and information transfer, lowering the chances of missed visits or communication failures (Blijteveld et al., 2017). But these systems need appropriate training and management to ensure that they comply with the law and ethics (Rawlinson et al., 2021).</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general, effective, safe, and legally acceptable care delivery is based on strong administrative skills, which have a direct impact on the patient outcomes and service quality (Manias et al., 2020). Care coordination and service reliability are further enhanced using integrated systems and structured documentation practices (Shahmorabi and Habibi-Koolaee, 2016).</w:t>
      </w:r>
    </w:p>
    <w:p w:rsidR="00000000" w:rsidDel="00000000" w:rsidP="00000000" w:rsidRDefault="00000000" w:rsidRPr="00000000" w14:paraId="0000004B">
      <w:pPr>
        <w:pStyle w:val="Heading1"/>
        <w:spacing w:after="280" w:before="280" w:line="360" w:lineRule="auto"/>
        <w:jc w:val="both"/>
        <w:rPr>
          <w:rFonts w:ascii="Arial" w:cs="Arial" w:eastAsia="Arial" w:hAnsi="Arial"/>
          <w:color w:val="000000"/>
          <w:sz w:val="22"/>
          <w:szCs w:val="22"/>
        </w:rPr>
      </w:pPr>
      <w:bookmarkStart w:colFirst="0" w:colLast="0" w:name="_heading=h.tib7ijumodm4" w:id="4"/>
      <w:bookmarkEnd w:id="4"/>
      <w:r w:rsidDel="00000000" w:rsidR="00000000" w:rsidRPr="00000000">
        <w:rPr>
          <w:rFonts w:ascii="Arial" w:cs="Arial" w:eastAsia="Arial" w:hAnsi="Arial"/>
          <w:b w:val="1"/>
          <w:bCs w:val="1"/>
          <w:color w:val="000000"/>
          <w:sz w:val="22"/>
          <w:szCs w:val="22"/>
          <w:rtl w:val="0"/>
        </w:rPr>
        <w:t xml:space="preserve">3. Significance of Collaborative Working</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Teamwork is very critical in the provision of holistic care, especially to patients such as Mr Ahmed who need the contributions of different professionals in the form of GPs, district nurses, domiciliary care workers, as well as speech and language therapists (Karam et al., 2018). Effective multidisciplinary collaboration ensures that patient care is coordinated, comprehensive, and responsive to the changing needs of the patient (Rawlinson et al., 2021).</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main strategies to promote collaboration are frequent multidisciplinary team (MDT) meetings, shared care plans, and effective channels of communication (Karam et al., 2018). In the case of Mr Ahmed, the care agency and healthcare professionals should talk with each other to achieve uniformity in medication and rehab support. Integrated care pathways and shared electronic records may also help improve coordination and decrease fragmentation (Shahmoradi and Habibi-Koolaee, 2016).</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Nevertheless, there are several obstacles to multi-agency working, including communication failures, role conflicts, and organisation differences (Rawlinson et al., 2021). It has been implied in the case of Mr Ahmed that there might be some coordination failures between the domiciliary care agency and other professionals as indicated by the missed visit. To overcome these difficulties, it is necessary to define the roles, structures of accountability, and good leadership (Karam et al., 2018).</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Some strategies that can be used to address these challenges are interprofessional training, the utilisation of standardised tools of communication (e.g., SBAR), and the ability to build a culture of mutual respect and shared responsibility (Rawlinson et al., 2021). Moreover, engagement of patients and families in care planning improves cooperation and makes care person-centred (Clayman et al., 2016).</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Ultimately, patient safety, service duplication, and service outcome are better when there is effective collaboration, which is a crucial factor in high-quality health and social care delivery (Manias et al., 2020). Person-centred and integrated solutions also enhance collaborative practice and enhance the overall care delivery (Evén et al., 2024).</w:t>
      </w:r>
    </w:p>
    <w:p w:rsidR="00000000" w:rsidDel="00000000" w:rsidP="00000000" w:rsidRDefault="00000000" w:rsidRPr="00000000" w14:paraId="00000051">
      <w:pPr>
        <w:pStyle w:val="Heading1"/>
        <w:spacing w:after="280" w:before="280" w:line="360" w:lineRule="auto"/>
        <w:jc w:val="both"/>
        <w:rPr>
          <w:rFonts w:ascii="Arial" w:cs="Arial" w:eastAsia="Arial" w:hAnsi="Arial"/>
          <w:color w:val="000000"/>
          <w:sz w:val="22"/>
          <w:szCs w:val="22"/>
        </w:rPr>
      </w:pPr>
      <w:bookmarkStart w:colFirst="0" w:colLast="0" w:name="_heading=h.ed879jv6a9z" w:id="5"/>
      <w:bookmarkEnd w:id="5"/>
      <w:r w:rsidDel="00000000" w:rsidR="00000000" w:rsidRPr="00000000">
        <w:rPr>
          <w:rFonts w:ascii="Arial" w:cs="Arial" w:eastAsia="Arial" w:hAnsi="Arial"/>
          <w:color w:val="000000"/>
          <w:sz w:val="22"/>
          <w:szCs w:val="22"/>
          <w:rtl w:val="0"/>
        </w:rPr>
        <w:t xml:space="preserve">Conclusion </w:t>
      </w:r>
    </w:p>
    <w:p w:rsidR="00000000" w:rsidDel="00000000" w:rsidP="00000000" w:rsidRDefault="00000000" w:rsidRPr="00000000" w14:paraId="00000052">
      <w:pPr>
        <w:spacing w:after="280" w:before="2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To sum up, the case of Mr Ahmed demonstrates that communication, administrative competence, and collaborative working are extremely important in providing safe and effective health and social care. Communication should be both inclusive and culturally sensitive and should not conflict with legal provisions like Equality Act 2010 to provide patient-centred care. The continuity, accountability, and confidentiality can only be ensured by strong administrative habits, such as proper record keeping and adherence to the Data Protection Act 2018. Moreover, multidisciplinary cooperation should be effectively employed to align complicated care requirements and avoid service failures. The holistic approach to these areas can greatly enhance the quality of care, patient safety, and overall outcomes in the UK health and social care system.</w:t>
      </w:r>
    </w:p>
    <w:p w:rsidR="00000000" w:rsidDel="00000000" w:rsidP="00000000" w:rsidRDefault="00000000" w:rsidRPr="00000000" w14:paraId="00000053">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after="280" w:before="28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pStyle w:val="Heading1"/>
        <w:rPr>
          <w:rFonts w:ascii="Arial" w:cs="Arial" w:eastAsia="Arial" w:hAnsi="Arial"/>
          <w:sz w:val="22"/>
          <w:szCs w:val="22"/>
        </w:rPr>
      </w:pPr>
      <w:bookmarkStart w:colFirst="0" w:colLast="0" w:name="_heading=h.z1ald5tczy4s" w:id="6"/>
      <w:bookmarkEnd w:id="6"/>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67">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Batool, N. (2020) Communication Barriers Perceived By Nurse And Patient. </w:t>
      </w:r>
      <w:r w:rsidDel="00000000" w:rsidR="00000000" w:rsidRPr="00000000">
        <w:rPr>
          <w:rFonts w:ascii="Arial" w:cs="Arial" w:eastAsia="Arial" w:hAnsi="Arial"/>
          <w:i w:val="1"/>
          <w:iCs w:val="1"/>
          <w:color w:val="222222"/>
          <w:highlight w:val="white"/>
          <w:rtl w:val="0"/>
        </w:rPr>
        <w:t xml:space="preserve">Independent Journal of Allied Health Sciences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3</w:t>
      </w:r>
      <w:r w:rsidDel="00000000" w:rsidR="00000000" w:rsidRPr="00000000">
        <w:rPr>
          <w:rFonts w:ascii="Arial" w:cs="Arial" w:eastAsia="Arial" w:hAnsi="Arial"/>
          <w:color w:val="222222"/>
          <w:highlight w:val="white"/>
          <w:rtl w:val="0"/>
        </w:rPr>
        <w:t xml:space="preserve">(03), pp.171-180.</w:t>
      </w:r>
    </w:p>
    <w:p w:rsidR="00000000" w:rsidDel="00000000" w:rsidP="00000000" w:rsidRDefault="00000000" w:rsidRPr="00000000" w14:paraId="00000068">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Blijleven, V., Koelemeijer, K., Wetzels, M. and Jaspers, M. (2017) Workarounds emerging from electronic health record system usage: consequences for patient safety, effectiveness of care, and efficiency of care. </w:t>
      </w:r>
      <w:r w:rsidDel="00000000" w:rsidR="00000000" w:rsidRPr="00000000">
        <w:rPr>
          <w:rFonts w:ascii="Arial" w:cs="Arial" w:eastAsia="Arial" w:hAnsi="Arial"/>
          <w:i w:val="1"/>
          <w:iCs w:val="1"/>
          <w:color w:val="222222"/>
          <w:highlight w:val="white"/>
          <w:rtl w:val="0"/>
        </w:rPr>
        <w:t xml:space="preserve">JMIR human factors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4</w:t>
      </w:r>
      <w:r w:rsidDel="00000000" w:rsidR="00000000" w:rsidRPr="00000000">
        <w:rPr>
          <w:rFonts w:ascii="Arial" w:cs="Arial" w:eastAsia="Arial" w:hAnsi="Arial"/>
          <w:color w:val="222222"/>
          <w:highlight w:val="white"/>
          <w:rtl w:val="0"/>
        </w:rPr>
        <w:t xml:space="preserve">(4), </w:t>
      </w:r>
      <w:r w:rsidDel="00000000" w:rsidR="00000000" w:rsidRPr="00000000">
        <w:rPr>
          <w:rFonts w:ascii="Arial" w:cs="Arial" w:eastAsia="Arial" w:hAnsi="Arial"/>
          <w:color w:val="1b1b1b"/>
          <w:rtl w:val="0"/>
        </w:rPr>
        <w:t xml:space="preserve">e27.</w:t>
      </w:r>
      <w:r w:rsidDel="00000000" w:rsidR="00000000" w:rsidRPr="00000000">
        <w:rPr>
          <w:rtl w:val="0"/>
        </w:rPr>
      </w:r>
    </w:p>
    <w:p w:rsidR="00000000" w:rsidDel="00000000" w:rsidP="00000000" w:rsidRDefault="00000000" w:rsidRPr="00000000" w14:paraId="00000069">
      <w:pPr>
        <w:spacing w:after="280" w:before="280" w:line="360" w:lineRule="auto"/>
        <w:ind w:left="360" w:firstLine="0"/>
        <w:rPr>
          <w:rFonts w:ascii="Arial" w:cs="Arial" w:eastAsia="Arial" w:hAnsi="Arial"/>
          <w:color w:val="212121"/>
          <w:highlight w:val="white"/>
        </w:rPr>
      </w:pPr>
      <w:r w:rsidDel="00000000" w:rsidR="00000000" w:rsidRPr="00000000">
        <w:rPr>
          <w:rFonts w:ascii="Arial" w:cs="Arial" w:eastAsia="Arial" w:hAnsi="Arial"/>
          <w:color w:val="212121"/>
          <w:highlight w:val="white"/>
          <w:rtl w:val="0"/>
        </w:rPr>
        <w:t xml:space="preserve">Clayman, M. L., Bylund, C. L., Chewning, B., and Makoul, G. (2016) The Impact of Patient Participation in Health Decisions Within Medical Encounters: A Systematic Review. </w:t>
      </w:r>
      <w:r w:rsidDel="00000000" w:rsidR="00000000" w:rsidRPr="00000000">
        <w:rPr>
          <w:rFonts w:ascii="Arial" w:cs="Arial" w:eastAsia="Arial" w:hAnsi="Arial"/>
          <w:i w:val="1"/>
          <w:iCs w:val="1"/>
          <w:color w:val="212121"/>
          <w:highlight w:val="white"/>
          <w:rtl w:val="0"/>
        </w:rPr>
        <w:t xml:space="preserve"> Medical Decision Making</w:t>
      </w:r>
      <w:r w:rsidDel="00000000" w:rsidR="00000000" w:rsidRPr="00000000">
        <w:rPr>
          <w:rFonts w:ascii="Arial" w:cs="Arial" w:eastAsia="Arial" w:hAnsi="Arial"/>
          <w:color w:val="212121"/>
          <w:highlight w:val="white"/>
          <w:rtl w:val="0"/>
        </w:rPr>
        <w:t xml:space="preserve">, </w:t>
      </w:r>
      <w:r w:rsidDel="00000000" w:rsidR="00000000" w:rsidRPr="00000000">
        <w:rPr>
          <w:rFonts w:ascii="Arial" w:cs="Arial" w:eastAsia="Arial" w:hAnsi="Arial"/>
          <w:i w:val="1"/>
          <w:iCs w:val="1"/>
          <w:color w:val="212121"/>
          <w:highlight w:val="white"/>
          <w:rtl w:val="0"/>
        </w:rPr>
        <w:t xml:space="preserve">36</w:t>
      </w:r>
      <w:r w:rsidDel="00000000" w:rsidR="00000000" w:rsidRPr="00000000">
        <w:rPr>
          <w:rFonts w:ascii="Arial" w:cs="Arial" w:eastAsia="Arial" w:hAnsi="Arial"/>
          <w:color w:val="212121"/>
          <w:highlight w:val="white"/>
          <w:rtl w:val="0"/>
        </w:rPr>
        <w:t xml:space="preserve">(4), 427- 452. </w:t>
      </w:r>
    </w:p>
    <w:p w:rsidR="00000000" w:rsidDel="00000000" w:rsidP="00000000" w:rsidRDefault="00000000" w:rsidRPr="00000000" w14:paraId="0000006A">
      <w:pPr>
        <w:spacing w:after="280" w:before="280" w:line="360" w:lineRule="auto"/>
        <w:ind w:left="360" w:firstLine="0"/>
        <w:rPr>
          <w:rFonts w:ascii="Arial" w:cs="Arial" w:eastAsia="Arial" w:hAnsi="Arial"/>
        </w:rPr>
      </w:pPr>
      <w:r w:rsidDel="00000000" w:rsidR="00000000" w:rsidRPr="00000000">
        <w:rPr>
          <w:rFonts w:ascii="Arial" w:cs="Arial" w:eastAsia="Arial" w:hAnsi="Arial"/>
          <w:color w:val="222222"/>
          <w:highlight w:val="white"/>
          <w:rtl w:val="0"/>
        </w:rPr>
        <w:t xml:space="preserve">Evén, G., Stenfors, T., Jacobson, S.H., Jernberg, T., Franzén-Dahlin, Å., Jäghult, S., Kahan, T. and Spaak, J. (2024) Integrated, person-centred care for patients with complex cardiovascular disease, diabetes mellitus and chronic kidney disease: a randomized trial. </w:t>
      </w:r>
      <w:r w:rsidDel="00000000" w:rsidR="00000000" w:rsidRPr="00000000">
        <w:rPr>
          <w:rFonts w:ascii="Arial" w:cs="Arial" w:eastAsia="Arial" w:hAnsi="Arial"/>
          <w:i w:val="1"/>
          <w:iCs w:val="1"/>
          <w:color w:val="222222"/>
          <w:highlight w:val="white"/>
          <w:rtl w:val="0"/>
        </w:rPr>
        <w:t xml:space="preserve">Clinical kidney journal</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17</w:t>
      </w:r>
      <w:r w:rsidDel="00000000" w:rsidR="00000000" w:rsidRPr="00000000">
        <w:rPr>
          <w:rFonts w:ascii="Arial" w:cs="Arial" w:eastAsia="Arial" w:hAnsi="Arial"/>
          <w:color w:val="222222"/>
          <w:highlight w:val="white"/>
          <w:rtl w:val="0"/>
        </w:rPr>
        <w:t xml:space="preserve">(11), p.sfae331.</w:t>
      </w:r>
      <w:r w:rsidDel="00000000" w:rsidR="00000000" w:rsidRPr="00000000">
        <w:rPr>
          <w:rtl w:val="0"/>
        </w:rPr>
      </w:r>
    </w:p>
    <w:p w:rsidR="00000000" w:rsidDel="00000000" w:rsidP="00000000" w:rsidRDefault="00000000" w:rsidRPr="00000000" w14:paraId="0000006B">
      <w:pPr>
        <w:spacing w:after="280" w:before="280" w:line="360" w:lineRule="auto"/>
        <w:ind w:left="360" w:firstLine="0"/>
        <w:rPr>
          <w:rFonts w:ascii="Arial" w:cs="Arial" w:eastAsia="Arial" w:hAnsi="Arial"/>
        </w:rPr>
      </w:pPr>
      <w:r w:rsidDel="00000000" w:rsidR="00000000" w:rsidRPr="00000000">
        <w:rPr>
          <w:rFonts w:ascii="Arial" w:cs="Arial" w:eastAsia="Arial" w:hAnsi="Arial"/>
          <w:color w:val="222222"/>
          <w:highlight w:val="white"/>
          <w:rtl w:val="0"/>
        </w:rPr>
        <w:t xml:space="preserve">Goddard, M. (2017) The EU General Data Protection Regulation (GDPR): European regulation that has a global impact. </w:t>
      </w:r>
      <w:r w:rsidDel="00000000" w:rsidR="00000000" w:rsidRPr="00000000">
        <w:rPr>
          <w:rFonts w:ascii="Arial" w:cs="Arial" w:eastAsia="Arial" w:hAnsi="Arial"/>
          <w:i w:val="1"/>
          <w:iCs w:val="1"/>
          <w:color w:val="222222"/>
          <w:highlight w:val="white"/>
          <w:rtl w:val="0"/>
        </w:rPr>
        <w:t xml:space="preserve">International Journal of Market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59</w:t>
      </w:r>
      <w:r w:rsidDel="00000000" w:rsidR="00000000" w:rsidRPr="00000000">
        <w:rPr>
          <w:rFonts w:ascii="Arial" w:cs="Arial" w:eastAsia="Arial" w:hAnsi="Arial"/>
          <w:color w:val="222222"/>
          <w:highlight w:val="white"/>
          <w:rtl w:val="0"/>
        </w:rPr>
        <w:t xml:space="preserve">(6), pp.703-705.</w:t>
      </w:r>
      <w:r w:rsidDel="00000000" w:rsidR="00000000" w:rsidRPr="00000000">
        <w:rPr>
          <w:rtl w:val="0"/>
        </w:rPr>
      </w:r>
    </w:p>
    <w:p w:rsidR="00000000" w:rsidDel="00000000" w:rsidP="00000000" w:rsidRDefault="00000000" w:rsidRPr="00000000" w14:paraId="0000006C">
      <w:pPr>
        <w:spacing w:after="280" w:before="280" w:line="360" w:lineRule="auto"/>
        <w:ind w:left="360" w:firstLine="0"/>
        <w:rPr>
          <w:rFonts w:ascii="Arial" w:cs="Arial" w:eastAsia="Arial" w:hAnsi="Arial"/>
          <w:color w:val="212121"/>
          <w:highlight w:val="white"/>
        </w:rPr>
      </w:pPr>
      <w:r w:rsidDel="00000000" w:rsidR="00000000" w:rsidRPr="00000000">
        <w:rPr>
          <w:rFonts w:ascii="Arial" w:cs="Arial" w:eastAsia="Arial" w:hAnsi="Arial"/>
          <w:color w:val="212121"/>
          <w:highlight w:val="white"/>
          <w:rtl w:val="0"/>
        </w:rPr>
        <w:t xml:space="preserve">Ha Dinh, T. T., Bonner, A., Clark, R., Ramsbotham, J., and Hines, S. (2016) The effectiveness of the teach-back method on adherence and self-management in health education for people with chronic disease: a systematic review. </w:t>
      </w:r>
      <w:r w:rsidDel="00000000" w:rsidR="00000000" w:rsidRPr="00000000">
        <w:rPr>
          <w:rFonts w:ascii="Arial" w:cs="Arial" w:eastAsia="Arial" w:hAnsi="Arial"/>
          <w:i w:val="1"/>
          <w:iCs w:val="1"/>
          <w:color w:val="212121"/>
          <w:highlight w:val="white"/>
          <w:rtl w:val="0"/>
        </w:rPr>
        <w:t xml:space="preserve">JBI database of systematic reviews and implementation reports</w:t>
      </w:r>
      <w:r w:rsidDel="00000000" w:rsidR="00000000" w:rsidRPr="00000000">
        <w:rPr>
          <w:rFonts w:ascii="Arial" w:cs="Arial" w:eastAsia="Arial" w:hAnsi="Arial"/>
          <w:color w:val="212121"/>
          <w:highlight w:val="white"/>
          <w:rtl w:val="0"/>
        </w:rPr>
        <w:t xml:space="preserve">, </w:t>
      </w:r>
      <w:r w:rsidDel="00000000" w:rsidR="00000000" w:rsidRPr="00000000">
        <w:rPr>
          <w:rFonts w:ascii="Arial" w:cs="Arial" w:eastAsia="Arial" w:hAnsi="Arial"/>
          <w:i w:val="1"/>
          <w:iCs w:val="1"/>
          <w:color w:val="212121"/>
          <w:highlight w:val="white"/>
          <w:rtl w:val="0"/>
        </w:rPr>
        <w:t xml:space="preserve">14</w:t>
      </w:r>
      <w:r w:rsidDel="00000000" w:rsidR="00000000" w:rsidRPr="00000000">
        <w:rPr>
          <w:rFonts w:ascii="Arial" w:cs="Arial" w:eastAsia="Arial" w:hAnsi="Arial"/>
          <w:color w:val="212121"/>
          <w:highlight w:val="white"/>
          <w:rtl w:val="0"/>
        </w:rPr>
        <w:t xml:space="preserve">(1),pp. 210- 247. </w:t>
      </w:r>
    </w:p>
    <w:p w:rsidR="00000000" w:rsidDel="00000000" w:rsidP="00000000" w:rsidRDefault="00000000" w:rsidRPr="00000000" w14:paraId="0000006D">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Häyrinen, K., Saranto, K. and Nykänen, P. (2008) Definition, structure, content, use and impacts of electronic health records: a review of the research literature. </w:t>
      </w:r>
      <w:r w:rsidDel="00000000" w:rsidR="00000000" w:rsidRPr="00000000">
        <w:rPr>
          <w:rFonts w:ascii="Arial" w:cs="Arial" w:eastAsia="Arial" w:hAnsi="Arial"/>
          <w:i w:val="1"/>
          <w:iCs w:val="1"/>
          <w:color w:val="222222"/>
          <w:highlight w:val="white"/>
          <w:rtl w:val="0"/>
        </w:rPr>
        <w:t xml:space="preserve">International journal of medical informatics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77</w:t>
      </w:r>
      <w:r w:rsidDel="00000000" w:rsidR="00000000" w:rsidRPr="00000000">
        <w:rPr>
          <w:rFonts w:ascii="Arial" w:cs="Arial" w:eastAsia="Arial" w:hAnsi="Arial"/>
          <w:color w:val="222222"/>
          <w:highlight w:val="white"/>
          <w:rtl w:val="0"/>
        </w:rPr>
        <w:t xml:space="preserve">(5), pp.291-304.</w:t>
      </w:r>
    </w:p>
    <w:p w:rsidR="00000000" w:rsidDel="00000000" w:rsidP="00000000" w:rsidRDefault="00000000" w:rsidRPr="00000000" w14:paraId="0000006E">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Hong, H. and Oh, H.J. (2020) The effects of patient-centered communication: exploring the mediating role of trust in healthcare providers. </w:t>
      </w:r>
      <w:r w:rsidDel="00000000" w:rsidR="00000000" w:rsidRPr="00000000">
        <w:rPr>
          <w:rFonts w:ascii="Arial" w:cs="Arial" w:eastAsia="Arial" w:hAnsi="Arial"/>
          <w:i w:val="1"/>
          <w:iCs w:val="1"/>
          <w:color w:val="222222"/>
          <w:highlight w:val="white"/>
          <w:rtl w:val="0"/>
        </w:rPr>
        <w:t xml:space="preserve">Health communication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35</w:t>
      </w:r>
      <w:r w:rsidDel="00000000" w:rsidR="00000000" w:rsidRPr="00000000">
        <w:rPr>
          <w:rFonts w:ascii="Arial" w:cs="Arial" w:eastAsia="Arial" w:hAnsi="Arial"/>
          <w:color w:val="222222"/>
          <w:highlight w:val="white"/>
          <w:rtl w:val="0"/>
        </w:rPr>
        <w:t xml:space="preserve">(4), pp.502-511.</w:t>
      </w:r>
    </w:p>
    <w:p w:rsidR="00000000" w:rsidDel="00000000" w:rsidP="00000000" w:rsidRDefault="00000000" w:rsidRPr="00000000" w14:paraId="0000006F">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Kaihlanen, A.M., Hietapakka, L. and Heponiemi, T. (2019) Increasing cultural awareness: qualitative study of nurses’ perceptions about cultural competence training. </w:t>
      </w:r>
      <w:r w:rsidDel="00000000" w:rsidR="00000000" w:rsidRPr="00000000">
        <w:rPr>
          <w:rFonts w:ascii="Arial" w:cs="Arial" w:eastAsia="Arial" w:hAnsi="Arial"/>
          <w:i w:val="1"/>
          <w:iCs w:val="1"/>
          <w:color w:val="222222"/>
          <w:highlight w:val="white"/>
          <w:rtl w:val="0"/>
        </w:rPr>
        <w:t xml:space="preserve">BMC nursing</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18</w:t>
      </w:r>
      <w:r w:rsidDel="00000000" w:rsidR="00000000" w:rsidRPr="00000000">
        <w:rPr>
          <w:rFonts w:ascii="Arial" w:cs="Arial" w:eastAsia="Arial" w:hAnsi="Arial"/>
          <w:color w:val="222222"/>
          <w:highlight w:val="white"/>
          <w:rtl w:val="0"/>
        </w:rPr>
        <w:t xml:space="preserve">(1), p.38.</w:t>
      </w:r>
    </w:p>
    <w:p w:rsidR="00000000" w:rsidDel="00000000" w:rsidP="00000000" w:rsidRDefault="00000000" w:rsidRPr="00000000" w14:paraId="00000070">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Karam, M., Brault, I., Van Durme, T. and Macq, J. (2018) Comparing interprofessional and interorganizational collaboration in healthcare: A systematic review of the qualitative research. </w:t>
      </w:r>
      <w:r w:rsidDel="00000000" w:rsidR="00000000" w:rsidRPr="00000000">
        <w:rPr>
          <w:rFonts w:ascii="Arial" w:cs="Arial" w:eastAsia="Arial" w:hAnsi="Arial"/>
          <w:i w:val="1"/>
          <w:iCs w:val="1"/>
          <w:color w:val="222222"/>
          <w:highlight w:val="white"/>
          <w:rtl w:val="0"/>
        </w:rPr>
        <w:t xml:space="preserve">International journal of nursing studies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79</w:t>
      </w:r>
      <w:r w:rsidDel="00000000" w:rsidR="00000000" w:rsidRPr="00000000">
        <w:rPr>
          <w:rFonts w:ascii="Arial" w:cs="Arial" w:eastAsia="Arial" w:hAnsi="Arial"/>
          <w:color w:val="222222"/>
          <w:highlight w:val="white"/>
          <w:rtl w:val="0"/>
        </w:rPr>
        <w:t xml:space="preserve">, pp.70-83.</w:t>
      </w:r>
    </w:p>
    <w:p w:rsidR="00000000" w:rsidDel="00000000" w:rsidP="00000000" w:rsidRDefault="00000000" w:rsidRPr="00000000" w14:paraId="00000071">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Karliner, L.S., Jacobs, E.A., Chen, A.H. and Mutha, S. (2007) Do professional interpreters improve clinical care for patients with limited English proficiency? A systematic review of the literature. </w:t>
      </w:r>
      <w:r w:rsidDel="00000000" w:rsidR="00000000" w:rsidRPr="00000000">
        <w:rPr>
          <w:rFonts w:ascii="Arial" w:cs="Arial" w:eastAsia="Arial" w:hAnsi="Arial"/>
          <w:i w:val="1"/>
          <w:iCs w:val="1"/>
          <w:color w:val="222222"/>
          <w:highlight w:val="white"/>
          <w:rtl w:val="0"/>
        </w:rPr>
        <w:t xml:space="preserve">Health services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42</w:t>
      </w:r>
      <w:r w:rsidDel="00000000" w:rsidR="00000000" w:rsidRPr="00000000">
        <w:rPr>
          <w:rFonts w:ascii="Arial" w:cs="Arial" w:eastAsia="Arial" w:hAnsi="Arial"/>
          <w:color w:val="222222"/>
          <w:highlight w:val="white"/>
          <w:rtl w:val="0"/>
        </w:rPr>
        <w:t xml:space="preserve">(2), pp.727-754.</w:t>
      </w:r>
    </w:p>
    <w:p w:rsidR="00000000" w:rsidDel="00000000" w:rsidP="00000000" w:rsidRDefault="00000000" w:rsidRPr="00000000" w14:paraId="00000072">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Manias, E., Kusljic, S. and Wu, A. (2020) Interventions to reduce medication errors in adult medical and surgical settings: a systematic review. </w:t>
      </w:r>
      <w:r w:rsidDel="00000000" w:rsidR="00000000" w:rsidRPr="00000000">
        <w:rPr>
          <w:rFonts w:ascii="Arial" w:cs="Arial" w:eastAsia="Arial" w:hAnsi="Arial"/>
          <w:i w:val="1"/>
          <w:iCs w:val="1"/>
          <w:color w:val="222222"/>
          <w:highlight w:val="white"/>
          <w:rtl w:val="0"/>
        </w:rPr>
        <w:t xml:space="preserve">Therapeutic advances in drug safety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11</w:t>
      </w:r>
      <w:r w:rsidDel="00000000" w:rsidR="00000000" w:rsidRPr="00000000">
        <w:rPr>
          <w:rFonts w:ascii="Arial" w:cs="Arial" w:eastAsia="Arial" w:hAnsi="Arial"/>
          <w:color w:val="222222"/>
          <w:highlight w:val="white"/>
          <w:rtl w:val="0"/>
        </w:rPr>
        <w:t xml:space="preserve">, p.2042098620968309.</w:t>
      </w:r>
    </w:p>
    <w:p w:rsidR="00000000" w:rsidDel="00000000" w:rsidP="00000000" w:rsidRDefault="00000000" w:rsidRPr="00000000" w14:paraId="00000073">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Pryce, H., Dhanda, N. and Straus, J. (2025) Exploring the purpose and stages of patient and public involvement and engagement (PPIE) in audiology research: a case study approach. </w:t>
      </w:r>
      <w:r w:rsidDel="00000000" w:rsidR="00000000" w:rsidRPr="00000000">
        <w:rPr>
          <w:rFonts w:ascii="Arial" w:cs="Arial" w:eastAsia="Arial" w:hAnsi="Arial"/>
          <w:i w:val="1"/>
          <w:iCs w:val="1"/>
          <w:color w:val="222222"/>
          <w:highlight w:val="white"/>
          <w:rtl w:val="0"/>
        </w:rPr>
        <w:t xml:space="preserve">Research Involvement and Engagement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11</w:t>
      </w:r>
      <w:r w:rsidDel="00000000" w:rsidR="00000000" w:rsidRPr="00000000">
        <w:rPr>
          <w:rFonts w:ascii="Arial" w:cs="Arial" w:eastAsia="Arial" w:hAnsi="Arial"/>
          <w:color w:val="222222"/>
          <w:highlight w:val="white"/>
          <w:rtl w:val="0"/>
        </w:rPr>
        <w:t xml:space="preserve">(1), p.4.</w:t>
      </w:r>
    </w:p>
    <w:p w:rsidR="00000000" w:rsidDel="00000000" w:rsidP="00000000" w:rsidRDefault="00000000" w:rsidRPr="00000000" w14:paraId="00000074">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Rawlinson, C., Carron, T., Cohidon, C., Arditi, C., Hong, Q.N., Pluye, P., Peytremann-Bridevaux, I. and Gilles, I. (2021) An overview of reviews on interprofessional collaboration in primary care: barriers and facilitators. </w:t>
      </w:r>
      <w:r w:rsidDel="00000000" w:rsidR="00000000" w:rsidRPr="00000000">
        <w:rPr>
          <w:rFonts w:ascii="Arial" w:cs="Arial" w:eastAsia="Arial" w:hAnsi="Arial"/>
          <w:i w:val="1"/>
          <w:iCs w:val="1"/>
          <w:color w:val="222222"/>
          <w:highlight w:val="white"/>
          <w:rtl w:val="0"/>
        </w:rPr>
        <w:t xml:space="preserve">International journal of integrated care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21</w:t>
      </w:r>
      <w:r w:rsidDel="00000000" w:rsidR="00000000" w:rsidRPr="00000000">
        <w:rPr>
          <w:rFonts w:ascii="Arial" w:cs="Arial" w:eastAsia="Arial" w:hAnsi="Arial"/>
          <w:color w:val="222222"/>
          <w:highlight w:val="white"/>
          <w:rtl w:val="0"/>
        </w:rPr>
        <w:t xml:space="preserve">(2), p.32.</w:t>
      </w:r>
    </w:p>
    <w:p w:rsidR="00000000" w:rsidDel="00000000" w:rsidP="00000000" w:rsidRDefault="00000000" w:rsidRPr="00000000" w14:paraId="00000075">
      <w:pPr>
        <w:spacing w:after="280" w:before="280" w:line="360" w:lineRule="auto"/>
        <w:ind w:left="360" w:firstLine="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Shahmoradi, L. and Habibi-Koolaee, M. (2016) Integration of health information systems to promote health. </w:t>
      </w:r>
      <w:r w:rsidDel="00000000" w:rsidR="00000000" w:rsidRPr="00000000">
        <w:rPr>
          <w:rFonts w:ascii="Arial" w:cs="Arial" w:eastAsia="Arial" w:hAnsi="Arial"/>
          <w:i w:val="1"/>
          <w:iCs w:val="1"/>
          <w:color w:val="222222"/>
          <w:highlight w:val="white"/>
          <w:rtl w:val="0"/>
        </w:rPr>
        <w:t xml:space="preserve">Iranian journal of public health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45</w:t>
      </w:r>
      <w:r w:rsidDel="00000000" w:rsidR="00000000" w:rsidRPr="00000000">
        <w:rPr>
          <w:rFonts w:ascii="Arial" w:cs="Arial" w:eastAsia="Arial" w:hAnsi="Arial"/>
          <w:color w:val="222222"/>
          <w:highlight w:val="white"/>
          <w:rtl w:val="0"/>
        </w:rPr>
        <w:t xml:space="preserve">(8), pp.</w:t>
      </w:r>
      <w:r w:rsidDel="00000000" w:rsidR="00000000" w:rsidRPr="00000000">
        <w:rPr>
          <w:rFonts w:ascii="Arial" w:cs="Arial" w:eastAsia="Arial" w:hAnsi="Arial"/>
          <w:color w:val="1b1b1b"/>
          <w:highlight w:val="white"/>
          <w:rtl w:val="0"/>
        </w:rPr>
        <w:t xml:space="preserve">1096–1097.</w:t>
      </w:r>
      <w:r w:rsidDel="00000000" w:rsidR="00000000" w:rsidRPr="00000000">
        <w:rPr>
          <w:rtl w:val="0"/>
        </w:rPr>
      </w:r>
    </w:p>
    <w:p w:rsidR="00000000" w:rsidDel="00000000" w:rsidP="00000000" w:rsidRDefault="00000000" w:rsidRPr="00000000" w14:paraId="00000076">
      <w:pPr>
        <w:spacing w:line="360" w:lineRule="auto"/>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Page |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240" w:lineRule="auto"/>
    </w:pPr>
    <w:rPr>
      <w:rFonts w:ascii="Times New Roman" w:cs="Times New Roman" w:eastAsia="Times New Roman" w:hAnsi="Times New Roman"/>
      <w:b w:val="1"/>
      <w:bCs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vjsHbcttD5GsCSi9HSCaiDyE/g==">CgMxLjAyDmguNHA5YnNxYjhvM21qMg5oLmpsM215ZjU1dnZhejIOaC45d2J1bjMzaHN1MG0yDmgucDBodGNraGp3eWR1Mg5oLnRpYjdpanVtb2RtNDINaC5lZDg3OWp2NmE5ejIOaC56MWFsZDV0Y3p5NHM4AHIhMVg5SlJsTEVNNFl1cE5Md2dSVUxBeThleW1SSGNrYkxf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