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602E5A" w14:textId="77777777" w:rsidR="000D2108" w:rsidRDefault="000D2108" w:rsidP="000D2108">
      <w:pPr>
        <w:spacing w:line="480" w:lineRule="auto"/>
        <w:jc w:val="center"/>
        <w:rPr>
          <w:rFonts w:ascii="Times New Roman" w:hAnsi="Times New Roman" w:cs="Times New Roman"/>
          <w:sz w:val="24"/>
          <w:szCs w:val="24"/>
        </w:rPr>
      </w:pPr>
    </w:p>
    <w:tbl>
      <w:tblPr>
        <w:tblW w:w="9915"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915"/>
      </w:tblGrid>
      <w:tr w:rsidR="000E7B7E" w14:paraId="4ABEA7AD" w14:textId="77777777" w:rsidTr="000E7B7E">
        <w:tc>
          <w:tcPr>
            <w:tcW w:w="9922" w:type="dxa"/>
            <w:tcBorders>
              <w:top w:val="single" w:sz="4" w:space="0" w:color="000000"/>
              <w:left w:val="single" w:sz="4" w:space="0" w:color="000000"/>
              <w:bottom w:val="single" w:sz="4" w:space="0" w:color="000000"/>
              <w:right w:val="single" w:sz="4" w:space="0" w:color="000000"/>
            </w:tcBorders>
            <w:shd w:val="clear" w:color="auto" w:fill="C0C0C0"/>
            <w:hideMark/>
          </w:tcPr>
          <w:p w14:paraId="2DDB2246" w14:textId="77777777" w:rsidR="000E7B7E" w:rsidRDefault="000E7B7E">
            <w:pPr>
              <w:pStyle w:val="Heading4"/>
              <w:rPr>
                <w:rFonts w:ascii="Arial" w:eastAsia="Arial" w:hAnsi="Arial" w:cs="Arial"/>
                <w:b/>
              </w:rPr>
            </w:pPr>
            <w:r>
              <w:rPr>
                <w:rFonts w:ascii="Arial" w:eastAsia="Arial" w:hAnsi="Arial" w:cs="Arial"/>
                <w:b/>
              </w:rPr>
              <w:t xml:space="preserve">LEVEL 4 ASSESSMENT SPECIFICATION </w:t>
            </w:r>
          </w:p>
        </w:tc>
      </w:tr>
    </w:tbl>
    <w:p w14:paraId="0F33864C" w14:textId="77777777" w:rsidR="000E7B7E" w:rsidRDefault="000E7B7E" w:rsidP="000E7B7E">
      <w:pPr>
        <w:jc w:val="center"/>
        <w:rPr>
          <w:rFonts w:ascii="Arial" w:eastAsia="Arial" w:hAnsi="Arial" w:cs="Arial"/>
          <w:b/>
          <w:i/>
          <w:sz w:val="32"/>
          <w:szCs w:val="32"/>
          <w:lang w:eastAsia="zh-CN"/>
        </w:rPr>
      </w:pPr>
    </w:p>
    <w:tbl>
      <w:tblPr>
        <w:tblW w:w="9915"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092"/>
        <w:gridCol w:w="3291"/>
        <w:gridCol w:w="2266"/>
        <w:gridCol w:w="2266"/>
      </w:tblGrid>
      <w:tr w:rsidR="000E7B7E" w14:paraId="72F63415" w14:textId="77777777" w:rsidTr="000E7B7E">
        <w:tc>
          <w:tcPr>
            <w:tcW w:w="2093" w:type="dxa"/>
            <w:tcBorders>
              <w:top w:val="single" w:sz="4" w:space="0" w:color="000000"/>
              <w:left w:val="single" w:sz="4" w:space="0" w:color="000000"/>
              <w:bottom w:val="single" w:sz="4" w:space="0" w:color="000000"/>
              <w:right w:val="single" w:sz="4" w:space="0" w:color="000000"/>
            </w:tcBorders>
            <w:shd w:val="clear" w:color="auto" w:fill="D9D9D9"/>
            <w:hideMark/>
          </w:tcPr>
          <w:p w14:paraId="46B3BB0B" w14:textId="77777777" w:rsidR="000E7B7E" w:rsidRDefault="000E7B7E">
            <w:pPr>
              <w:spacing w:before="120" w:after="120"/>
              <w:jc w:val="both"/>
              <w:rPr>
                <w:rFonts w:ascii="Arial" w:eastAsia="Arial" w:hAnsi="Arial" w:cs="Arial"/>
                <w:b/>
              </w:rPr>
            </w:pPr>
            <w:r>
              <w:rPr>
                <w:rFonts w:ascii="Arial" w:eastAsia="Arial" w:hAnsi="Arial" w:cs="Arial"/>
                <w:b/>
              </w:rPr>
              <w:t>Student name:</w:t>
            </w:r>
          </w:p>
        </w:tc>
        <w:tc>
          <w:tcPr>
            <w:tcW w:w="3293" w:type="dxa"/>
            <w:tcBorders>
              <w:top w:val="single" w:sz="4" w:space="0" w:color="000000"/>
              <w:left w:val="single" w:sz="4" w:space="0" w:color="000000"/>
              <w:bottom w:val="single" w:sz="4" w:space="0" w:color="000000"/>
              <w:right w:val="single" w:sz="4" w:space="0" w:color="000000"/>
            </w:tcBorders>
            <w:hideMark/>
          </w:tcPr>
          <w:p w14:paraId="781B7FFE" w14:textId="7B54B3E6" w:rsidR="000E7B7E" w:rsidRDefault="000E7B7E">
            <w:pPr>
              <w:spacing w:before="120" w:after="120"/>
              <w:jc w:val="both"/>
              <w:rPr>
                <w:rFonts w:ascii="Arial" w:eastAsia="Arial" w:hAnsi="Arial" w:cs="Arial"/>
                <w:b/>
              </w:rPr>
            </w:pPr>
            <w:r>
              <w:rPr>
                <w:rFonts w:ascii="Arial" w:eastAsia="Arial" w:hAnsi="Arial" w:cs="Arial"/>
                <w:b/>
              </w:rPr>
              <w:t>Raqia Bibi</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14:paraId="520A1BCC" w14:textId="77777777" w:rsidR="000E7B7E" w:rsidRDefault="000E7B7E">
            <w:pPr>
              <w:spacing w:before="120" w:after="120"/>
              <w:jc w:val="both"/>
              <w:rPr>
                <w:rFonts w:ascii="Arial" w:eastAsia="Arial" w:hAnsi="Arial" w:cs="Arial"/>
                <w:b/>
              </w:rPr>
            </w:pPr>
            <w:r>
              <w:rPr>
                <w:rFonts w:ascii="Arial" w:eastAsia="Arial" w:hAnsi="Arial" w:cs="Arial"/>
                <w:b/>
              </w:rPr>
              <w:t>Student ID number:</w:t>
            </w:r>
          </w:p>
        </w:tc>
        <w:tc>
          <w:tcPr>
            <w:tcW w:w="2268" w:type="dxa"/>
            <w:tcBorders>
              <w:top w:val="single" w:sz="4" w:space="0" w:color="000000"/>
              <w:left w:val="single" w:sz="4" w:space="0" w:color="000000"/>
              <w:bottom w:val="single" w:sz="4" w:space="0" w:color="000000"/>
              <w:right w:val="single" w:sz="4" w:space="0" w:color="000000"/>
            </w:tcBorders>
          </w:tcPr>
          <w:p w14:paraId="68D949EF" w14:textId="5C0FFF19" w:rsidR="000E7B7E" w:rsidRDefault="000E7B7E">
            <w:pPr>
              <w:spacing w:before="120" w:after="120"/>
              <w:jc w:val="both"/>
              <w:rPr>
                <w:rFonts w:ascii="Arial" w:eastAsia="Arial" w:hAnsi="Arial" w:cs="Arial"/>
                <w:b/>
              </w:rPr>
            </w:pPr>
            <w:r>
              <w:rPr>
                <w:rFonts w:ascii="Arial" w:eastAsia="Arial" w:hAnsi="Arial" w:cs="Arial"/>
                <w:b/>
              </w:rPr>
              <w:t>2217112</w:t>
            </w:r>
          </w:p>
        </w:tc>
      </w:tr>
      <w:tr w:rsidR="000E7B7E" w14:paraId="6DF055C0" w14:textId="77777777" w:rsidTr="000E7B7E">
        <w:tc>
          <w:tcPr>
            <w:tcW w:w="2093" w:type="dxa"/>
            <w:tcBorders>
              <w:top w:val="single" w:sz="4" w:space="0" w:color="000000"/>
              <w:left w:val="single" w:sz="4" w:space="0" w:color="000000"/>
              <w:bottom w:val="single" w:sz="4" w:space="0" w:color="000000"/>
              <w:right w:val="single" w:sz="4" w:space="0" w:color="000000"/>
            </w:tcBorders>
            <w:shd w:val="clear" w:color="auto" w:fill="D9D9D9"/>
            <w:hideMark/>
          </w:tcPr>
          <w:p w14:paraId="6A38F6CC" w14:textId="77777777" w:rsidR="000E7B7E" w:rsidRDefault="000E7B7E">
            <w:pPr>
              <w:spacing w:before="120" w:after="120"/>
              <w:jc w:val="both"/>
              <w:rPr>
                <w:rFonts w:ascii="Arial" w:eastAsia="Arial" w:hAnsi="Arial" w:cs="Arial"/>
                <w:b/>
              </w:rPr>
            </w:pPr>
            <w:proofErr w:type="spellStart"/>
            <w:r>
              <w:rPr>
                <w:rFonts w:ascii="Arial" w:eastAsia="Arial" w:hAnsi="Arial" w:cs="Arial"/>
                <w:b/>
              </w:rPr>
              <w:t>Programme</w:t>
            </w:r>
            <w:proofErr w:type="spellEnd"/>
            <w:r>
              <w:rPr>
                <w:rFonts w:ascii="Arial" w:eastAsia="Arial" w:hAnsi="Arial" w:cs="Arial"/>
                <w:b/>
              </w:rPr>
              <w:t>:</w:t>
            </w:r>
          </w:p>
        </w:tc>
        <w:tc>
          <w:tcPr>
            <w:tcW w:w="7829" w:type="dxa"/>
            <w:gridSpan w:val="3"/>
            <w:tcBorders>
              <w:top w:val="single" w:sz="4" w:space="0" w:color="000000"/>
              <w:left w:val="single" w:sz="4" w:space="0" w:color="000000"/>
              <w:bottom w:val="single" w:sz="4" w:space="0" w:color="000000"/>
              <w:right w:val="single" w:sz="4" w:space="0" w:color="000000"/>
            </w:tcBorders>
            <w:hideMark/>
          </w:tcPr>
          <w:p w14:paraId="2660E2FA" w14:textId="77777777" w:rsidR="000E7B7E" w:rsidRDefault="000E7B7E">
            <w:pPr>
              <w:spacing w:before="120" w:after="120"/>
              <w:jc w:val="both"/>
              <w:rPr>
                <w:rFonts w:ascii="Arial" w:eastAsia="Arial" w:hAnsi="Arial" w:cs="Arial"/>
                <w:b/>
              </w:rPr>
            </w:pPr>
            <w:r>
              <w:rPr>
                <w:rFonts w:ascii="Arial" w:eastAsia="Arial" w:hAnsi="Arial" w:cs="Arial"/>
                <w:b/>
              </w:rPr>
              <w:t>Law portfolio</w:t>
            </w:r>
          </w:p>
        </w:tc>
      </w:tr>
      <w:tr w:rsidR="000E7B7E" w14:paraId="0C55D034" w14:textId="77777777" w:rsidTr="000E7B7E">
        <w:tc>
          <w:tcPr>
            <w:tcW w:w="2093" w:type="dxa"/>
            <w:tcBorders>
              <w:top w:val="single" w:sz="4" w:space="0" w:color="000000"/>
              <w:left w:val="single" w:sz="4" w:space="0" w:color="000000"/>
              <w:bottom w:val="single" w:sz="4" w:space="0" w:color="000000"/>
              <w:right w:val="single" w:sz="4" w:space="0" w:color="000000"/>
            </w:tcBorders>
            <w:shd w:val="clear" w:color="auto" w:fill="D9D9D9"/>
            <w:hideMark/>
          </w:tcPr>
          <w:p w14:paraId="3816AB26" w14:textId="77777777" w:rsidR="000E7B7E" w:rsidRDefault="000E7B7E">
            <w:pPr>
              <w:spacing w:before="120" w:after="120"/>
              <w:jc w:val="both"/>
              <w:rPr>
                <w:rFonts w:ascii="Arial" w:eastAsia="Arial" w:hAnsi="Arial" w:cs="Arial"/>
                <w:b/>
              </w:rPr>
            </w:pPr>
            <w:r>
              <w:rPr>
                <w:rFonts w:ascii="Arial" w:eastAsia="Arial" w:hAnsi="Arial" w:cs="Arial"/>
                <w:b/>
              </w:rPr>
              <w:t>Module:</w:t>
            </w:r>
          </w:p>
        </w:tc>
        <w:tc>
          <w:tcPr>
            <w:tcW w:w="7829" w:type="dxa"/>
            <w:gridSpan w:val="3"/>
            <w:tcBorders>
              <w:top w:val="single" w:sz="4" w:space="0" w:color="000000"/>
              <w:left w:val="single" w:sz="4" w:space="0" w:color="000000"/>
              <w:bottom w:val="single" w:sz="4" w:space="0" w:color="000000"/>
              <w:right w:val="single" w:sz="4" w:space="0" w:color="000000"/>
            </w:tcBorders>
            <w:hideMark/>
          </w:tcPr>
          <w:p w14:paraId="58B0A925" w14:textId="77777777" w:rsidR="000E7B7E" w:rsidRDefault="000E7B7E">
            <w:pPr>
              <w:spacing w:before="120" w:after="120"/>
              <w:jc w:val="both"/>
              <w:rPr>
                <w:rFonts w:ascii="Arial" w:eastAsia="Arial" w:hAnsi="Arial" w:cs="Arial"/>
                <w:b/>
              </w:rPr>
            </w:pPr>
            <w:r>
              <w:rPr>
                <w:rFonts w:ascii="Arial" w:eastAsia="Arial" w:hAnsi="Arial" w:cs="Arial"/>
                <w:b/>
              </w:rPr>
              <w:t>Criminal law – Assignment 1</w:t>
            </w:r>
          </w:p>
        </w:tc>
      </w:tr>
      <w:tr w:rsidR="000E7B7E" w14:paraId="65D3BF45" w14:textId="77777777" w:rsidTr="000E7B7E">
        <w:tc>
          <w:tcPr>
            <w:tcW w:w="2093" w:type="dxa"/>
            <w:tcBorders>
              <w:top w:val="single" w:sz="4" w:space="0" w:color="000000"/>
              <w:left w:val="single" w:sz="4" w:space="0" w:color="000000"/>
              <w:bottom w:val="single" w:sz="4" w:space="0" w:color="000000"/>
              <w:right w:val="single" w:sz="4" w:space="0" w:color="000000"/>
            </w:tcBorders>
            <w:shd w:val="clear" w:color="auto" w:fill="D9D9D9"/>
            <w:hideMark/>
          </w:tcPr>
          <w:p w14:paraId="5321139C" w14:textId="77777777" w:rsidR="000E7B7E" w:rsidRDefault="000E7B7E">
            <w:pPr>
              <w:spacing w:before="120" w:after="120"/>
              <w:jc w:val="both"/>
              <w:rPr>
                <w:rFonts w:ascii="Arial" w:eastAsia="Arial" w:hAnsi="Arial" w:cs="Arial"/>
                <w:b/>
              </w:rPr>
            </w:pPr>
            <w:r>
              <w:rPr>
                <w:rFonts w:ascii="Arial" w:eastAsia="Arial" w:hAnsi="Arial" w:cs="Arial"/>
                <w:b/>
              </w:rPr>
              <w:t>Module code:</w:t>
            </w:r>
          </w:p>
        </w:tc>
        <w:tc>
          <w:tcPr>
            <w:tcW w:w="3293" w:type="dxa"/>
            <w:tcBorders>
              <w:top w:val="single" w:sz="4" w:space="0" w:color="000000"/>
              <w:left w:val="single" w:sz="4" w:space="0" w:color="000000"/>
              <w:bottom w:val="single" w:sz="4" w:space="0" w:color="000000"/>
              <w:right w:val="single" w:sz="4" w:space="0" w:color="000000"/>
            </w:tcBorders>
            <w:hideMark/>
          </w:tcPr>
          <w:p w14:paraId="36FA34C5" w14:textId="77777777" w:rsidR="000E7B7E" w:rsidRDefault="000E7B7E">
            <w:pPr>
              <w:spacing w:before="120" w:after="120"/>
              <w:jc w:val="both"/>
              <w:rPr>
                <w:rFonts w:ascii="Arial" w:eastAsia="Arial" w:hAnsi="Arial" w:cs="Arial"/>
                <w:b/>
              </w:rPr>
            </w:pPr>
            <w:r>
              <w:rPr>
                <w:rFonts w:ascii="Arial" w:eastAsia="Arial" w:hAnsi="Arial" w:cs="Arial"/>
                <w:b/>
              </w:rPr>
              <w:t>BMLW4005/BMPL4009</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14:paraId="37C72F07" w14:textId="77777777" w:rsidR="000E7B7E" w:rsidRDefault="000E7B7E">
            <w:pPr>
              <w:pStyle w:val="Heading2"/>
              <w:rPr>
                <w:rFonts w:ascii="Arial" w:eastAsia="Arial" w:hAnsi="Arial" w:cs="Arial"/>
                <w:sz w:val="22"/>
                <w:szCs w:val="22"/>
              </w:rPr>
            </w:pPr>
            <w:r>
              <w:rPr>
                <w:rFonts w:ascii="Arial" w:eastAsia="Arial" w:hAnsi="Arial" w:cs="Arial"/>
                <w:sz w:val="22"/>
                <w:szCs w:val="22"/>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hideMark/>
          </w:tcPr>
          <w:p w14:paraId="6F63E1A1" w14:textId="77777777" w:rsidR="000E7B7E" w:rsidRDefault="000E7B7E">
            <w:pPr>
              <w:spacing w:before="120" w:after="120"/>
              <w:jc w:val="both"/>
              <w:rPr>
                <w:rFonts w:ascii="Arial" w:eastAsia="Arial" w:hAnsi="Arial" w:cs="Arial"/>
                <w:b/>
              </w:rPr>
            </w:pPr>
            <w:r>
              <w:rPr>
                <w:rFonts w:ascii="Arial" w:eastAsia="Arial" w:hAnsi="Arial" w:cs="Arial"/>
                <w:b/>
              </w:rPr>
              <w:t>50%</w:t>
            </w:r>
          </w:p>
        </w:tc>
      </w:tr>
      <w:tr w:rsidR="000E7B7E" w14:paraId="0D0EE93A" w14:textId="77777777" w:rsidTr="000E7B7E">
        <w:tc>
          <w:tcPr>
            <w:tcW w:w="2093" w:type="dxa"/>
            <w:tcBorders>
              <w:top w:val="single" w:sz="4" w:space="0" w:color="000000"/>
              <w:left w:val="single" w:sz="4" w:space="0" w:color="000000"/>
              <w:bottom w:val="single" w:sz="4" w:space="0" w:color="000000"/>
              <w:right w:val="single" w:sz="4" w:space="0" w:color="000000"/>
            </w:tcBorders>
            <w:shd w:val="clear" w:color="auto" w:fill="D9D9D9"/>
            <w:hideMark/>
          </w:tcPr>
          <w:p w14:paraId="075D958F" w14:textId="77777777" w:rsidR="000E7B7E" w:rsidRDefault="000E7B7E">
            <w:pPr>
              <w:spacing w:before="120" w:after="120"/>
              <w:jc w:val="both"/>
              <w:rPr>
                <w:rFonts w:ascii="Arial" w:eastAsia="Arial" w:hAnsi="Arial" w:cs="Arial"/>
                <w:b/>
              </w:rPr>
            </w:pPr>
            <w:r>
              <w:rPr>
                <w:rFonts w:ascii="Arial" w:eastAsia="Arial" w:hAnsi="Arial" w:cs="Arial"/>
                <w:b/>
              </w:rPr>
              <w:t>Lecturer:</w:t>
            </w:r>
          </w:p>
        </w:tc>
        <w:tc>
          <w:tcPr>
            <w:tcW w:w="3293" w:type="dxa"/>
            <w:tcBorders>
              <w:top w:val="single" w:sz="4" w:space="0" w:color="000000"/>
              <w:left w:val="single" w:sz="4" w:space="0" w:color="000000"/>
              <w:bottom w:val="single" w:sz="4" w:space="0" w:color="000000"/>
              <w:right w:val="single" w:sz="4" w:space="0" w:color="000000"/>
            </w:tcBorders>
            <w:hideMark/>
          </w:tcPr>
          <w:p w14:paraId="2C3F3A1C" w14:textId="77777777" w:rsidR="000E7B7E" w:rsidRDefault="000E7B7E">
            <w:pPr>
              <w:spacing w:before="120" w:after="120"/>
              <w:jc w:val="both"/>
              <w:rPr>
                <w:rFonts w:ascii="Arial" w:eastAsia="Arial" w:hAnsi="Arial" w:cs="Arial"/>
                <w:b/>
              </w:rPr>
            </w:pPr>
            <w:r>
              <w:rPr>
                <w:rFonts w:ascii="Arial" w:eastAsia="Arial" w:hAnsi="Arial" w:cs="Arial"/>
                <w:b/>
              </w:rPr>
              <w:t>Laura Knight</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14:paraId="10A50FA1" w14:textId="77777777" w:rsidR="000E7B7E" w:rsidRDefault="000E7B7E">
            <w:pPr>
              <w:spacing w:before="120" w:after="120"/>
              <w:jc w:val="both"/>
              <w:rPr>
                <w:rFonts w:ascii="Arial" w:eastAsia="Arial" w:hAnsi="Arial" w:cs="Arial"/>
                <w:b/>
              </w:rPr>
            </w:pPr>
            <w:r>
              <w:rPr>
                <w:rFonts w:ascii="Arial" w:eastAsia="Arial" w:hAnsi="Arial" w:cs="Arial"/>
                <w:b/>
              </w:rPr>
              <w:t>Internal Verifier:</w:t>
            </w:r>
          </w:p>
        </w:tc>
        <w:tc>
          <w:tcPr>
            <w:tcW w:w="2268" w:type="dxa"/>
            <w:tcBorders>
              <w:top w:val="single" w:sz="4" w:space="0" w:color="000000"/>
              <w:left w:val="single" w:sz="4" w:space="0" w:color="000000"/>
              <w:bottom w:val="single" w:sz="4" w:space="0" w:color="000000"/>
              <w:right w:val="single" w:sz="4" w:space="0" w:color="000000"/>
            </w:tcBorders>
            <w:hideMark/>
          </w:tcPr>
          <w:p w14:paraId="27554398" w14:textId="77777777" w:rsidR="000E7B7E" w:rsidRDefault="000E7B7E">
            <w:pPr>
              <w:spacing w:before="120" w:after="120"/>
              <w:jc w:val="both"/>
              <w:rPr>
                <w:rFonts w:ascii="Arial" w:eastAsia="Arial" w:hAnsi="Arial" w:cs="Arial"/>
                <w:b/>
              </w:rPr>
            </w:pPr>
            <w:r>
              <w:rPr>
                <w:rFonts w:ascii="Arial" w:eastAsia="Arial" w:hAnsi="Arial" w:cs="Arial"/>
                <w:b/>
              </w:rPr>
              <w:t>Sian Turvey</w:t>
            </w:r>
          </w:p>
        </w:tc>
      </w:tr>
      <w:tr w:rsidR="000E7B7E" w14:paraId="5C7CDF6A" w14:textId="77777777" w:rsidTr="000E7B7E">
        <w:tc>
          <w:tcPr>
            <w:tcW w:w="2093" w:type="dxa"/>
            <w:tcBorders>
              <w:top w:val="single" w:sz="4" w:space="0" w:color="000000"/>
              <w:left w:val="single" w:sz="4" w:space="0" w:color="000000"/>
              <w:bottom w:val="single" w:sz="4" w:space="0" w:color="000000"/>
              <w:right w:val="single" w:sz="4" w:space="0" w:color="000000"/>
            </w:tcBorders>
            <w:shd w:val="clear" w:color="auto" w:fill="D9D9D9"/>
            <w:hideMark/>
          </w:tcPr>
          <w:p w14:paraId="101602BB" w14:textId="77777777" w:rsidR="000E7B7E" w:rsidRDefault="000E7B7E">
            <w:pPr>
              <w:spacing w:before="120" w:after="120"/>
              <w:jc w:val="both"/>
              <w:rPr>
                <w:rFonts w:ascii="Arial" w:eastAsia="Arial" w:hAnsi="Arial" w:cs="Arial"/>
                <w:b/>
              </w:rPr>
            </w:pPr>
            <w:r>
              <w:rPr>
                <w:rFonts w:ascii="Arial" w:eastAsia="Arial" w:hAnsi="Arial" w:cs="Arial"/>
                <w:b/>
              </w:rPr>
              <w:t>Assignment Title:</w:t>
            </w:r>
          </w:p>
        </w:tc>
        <w:tc>
          <w:tcPr>
            <w:tcW w:w="3293" w:type="dxa"/>
            <w:tcBorders>
              <w:top w:val="single" w:sz="4" w:space="0" w:color="000000"/>
              <w:left w:val="single" w:sz="4" w:space="0" w:color="000000"/>
              <w:bottom w:val="single" w:sz="4" w:space="0" w:color="000000"/>
              <w:right w:val="single" w:sz="4" w:space="0" w:color="000000"/>
            </w:tcBorders>
            <w:hideMark/>
          </w:tcPr>
          <w:p w14:paraId="37737D4D" w14:textId="77777777" w:rsidR="000E7B7E" w:rsidRDefault="000E7B7E">
            <w:pPr>
              <w:spacing w:before="120" w:after="120"/>
              <w:jc w:val="both"/>
              <w:rPr>
                <w:rFonts w:ascii="Arial" w:eastAsia="Arial" w:hAnsi="Arial" w:cs="Arial"/>
                <w:b/>
              </w:rPr>
            </w:pPr>
            <w:r>
              <w:rPr>
                <w:rFonts w:ascii="Arial" w:eastAsia="Arial" w:hAnsi="Arial" w:cs="Arial"/>
                <w:b/>
              </w:rPr>
              <w:t>Liability by Omission</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14:paraId="649AC3BE" w14:textId="77777777" w:rsidR="000E7B7E" w:rsidRDefault="000E7B7E">
            <w:pPr>
              <w:spacing w:before="120" w:after="120"/>
              <w:jc w:val="both"/>
              <w:rPr>
                <w:rFonts w:ascii="Arial" w:eastAsia="Arial" w:hAnsi="Arial" w:cs="Arial"/>
                <w:b/>
              </w:rPr>
            </w:pPr>
            <w:r>
              <w:rPr>
                <w:rFonts w:ascii="Arial" w:eastAsia="Arial" w:hAnsi="Arial" w:cs="Arial"/>
                <w:b/>
              </w:rPr>
              <w:t>Word count (or equivalent):</w:t>
            </w:r>
          </w:p>
        </w:tc>
        <w:tc>
          <w:tcPr>
            <w:tcW w:w="2268" w:type="dxa"/>
            <w:tcBorders>
              <w:top w:val="single" w:sz="4" w:space="0" w:color="000000"/>
              <w:left w:val="single" w:sz="4" w:space="0" w:color="000000"/>
              <w:bottom w:val="single" w:sz="4" w:space="0" w:color="000000"/>
              <w:right w:val="single" w:sz="4" w:space="0" w:color="000000"/>
            </w:tcBorders>
            <w:hideMark/>
          </w:tcPr>
          <w:p w14:paraId="205448E3" w14:textId="77777777" w:rsidR="000E7B7E" w:rsidRDefault="000E7B7E">
            <w:pPr>
              <w:spacing w:before="120" w:after="120"/>
              <w:jc w:val="both"/>
              <w:rPr>
                <w:rFonts w:ascii="Arial" w:eastAsia="Arial" w:hAnsi="Arial" w:cs="Arial"/>
                <w:b/>
              </w:rPr>
            </w:pPr>
            <w:r>
              <w:rPr>
                <w:rFonts w:ascii="Arial" w:eastAsia="Arial" w:hAnsi="Arial" w:cs="Arial"/>
                <w:b/>
              </w:rPr>
              <w:t>1500</w:t>
            </w:r>
          </w:p>
        </w:tc>
      </w:tr>
      <w:tr w:rsidR="000E7B7E" w14:paraId="1EE5BF77" w14:textId="77777777" w:rsidTr="000E7B7E">
        <w:tc>
          <w:tcPr>
            <w:tcW w:w="2093" w:type="dxa"/>
            <w:tcBorders>
              <w:top w:val="single" w:sz="4" w:space="0" w:color="000000"/>
              <w:left w:val="single" w:sz="4" w:space="0" w:color="000000"/>
              <w:bottom w:val="single" w:sz="4" w:space="0" w:color="000000"/>
              <w:right w:val="single" w:sz="4" w:space="0" w:color="000000"/>
            </w:tcBorders>
            <w:shd w:val="clear" w:color="auto" w:fill="D9D9D9"/>
            <w:hideMark/>
          </w:tcPr>
          <w:p w14:paraId="3D93D321" w14:textId="77777777" w:rsidR="000E7B7E" w:rsidRDefault="000E7B7E">
            <w:pPr>
              <w:spacing w:before="120" w:after="120"/>
              <w:jc w:val="both"/>
              <w:rPr>
                <w:rFonts w:ascii="Arial" w:eastAsia="Arial" w:hAnsi="Arial" w:cs="Arial"/>
                <w:b/>
              </w:rPr>
            </w:pPr>
            <w:r>
              <w:rPr>
                <w:rFonts w:ascii="Arial" w:eastAsia="Arial" w:hAnsi="Arial" w:cs="Arial"/>
                <w:b/>
              </w:rPr>
              <w:t>Submission deadline:</w:t>
            </w:r>
          </w:p>
        </w:tc>
        <w:tc>
          <w:tcPr>
            <w:tcW w:w="3293" w:type="dxa"/>
            <w:tcBorders>
              <w:top w:val="single" w:sz="4" w:space="0" w:color="000000"/>
              <w:left w:val="single" w:sz="4" w:space="0" w:color="000000"/>
              <w:bottom w:val="single" w:sz="4" w:space="0" w:color="000000"/>
              <w:right w:val="single" w:sz="4" w:space="0" w:color="000000"/>
            </w:tcBorders>
            <w:hideMark/>
          </w:tcPr>
          <w:p w14:paraId="6B1768DC" w14:textId="77777777" w:rsidR="000E7B7E" w:rsidRDefault="000E7B7E">
            <w:pPr>
              <w:spacing w:before="120" w:after="120"/>
              <w:jc w:val="both"/>
              <w:rPr>
                <w:rFonts w:ascii="Arial" w:eastAsia="Arial" w:hAnsi="Arial" w:cs="Arial"/>
                <w:b/>
              </w:rPr>
            </w:pPr>
            <w:r>
              <w:rPr>
                <w:rFonts w:ascii="Arial" w:eastAsia="Arial" w:hAnsi="Arial" w:cs="Arial"/>
                <w:b/>
              </w:rPr>
              <w:t>Friday 11th November 2022</w:t>
            </w:r>
          </w:p>
          <w:p w14:paraId="7C1EB1E2" w14:textId="77777777" w:rsidR="000E7B7E" w:rsidRDefault="000E7B7E">
            <w:pPr>
              <w:spacing w:before="120" w:after="120"/>
              <w:jc w:val="both"/>
              <w:rPr>
                <w:rFonts w:ascii="Times New Roman" w:eastAsia="Times New Roman" w:hAnsi="Times New Roman" w:cs="Times New Roman"/>
                <w:sz w:val="20"/>
                <w:szCs w:val="20"/>
              </w:rPr>
            </w:pPr>
            <w:r>
              <w:rPr>
                <w:rFonts w:ascii="Arial" w:eastAsia="Arial" w:hAnsi="Arial" w:cs="Arial"/>
                <w:b/>
              </w:rPr>
              <w:t>23:59</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14:paraId="409B35F2" w14:textId="77777777" w:rsidR="000E7B7E" w:rsidRDefault="000E7B7E">
            <w:pPr>
              <w:spacing w:before="120" w:after="120"/>
              <w:jc w:val="both"/>
              <w:rPr>
                <w:rFonts w:ascii="Arial" w:eastAsia="Arial" w:hAnsi="Arial" w:cs="Arial"/>
                <w:b/>
              </w:rPr>
            </w:pPr>
            <w:r>
              <w:rPr>
                <w:rFonts w:ascii="Arial" w:eastAsia="Arial" w:hAnsi="Arial" w:cs="Arial"/>
                <w:b/>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hideMark/>
          </w:tcPr>
          <w:p w14:paraId="1D714EB9" w14:textId="77777777" w:rsidR="000E7B7E" w:rsidRDefault="000E7B7E">
            <w:pPr>
              <w:spacing w:before="120" w:after="120"/>
              <w:jc w:val="both"/>
              <w:rPr>
                <w:rFonts w:ascii="Times New Roman" w:eastAsia="Times New Roman" w:hAnsi="Times New Roman" w:cs="Times New Roman"/>
                <w:sz w:val="20"/>
                <w:szCs w:val="20"/>
              </w:rPr>
            </w:pPr>
            <w:r>
              <w:rPr>
                <w:rFonts w:ascii="Arial" w:eastAsia="Arial" w:hAnsi="Arial" w:cs="Arial"/>
                <w:b/>
              </w:rPr>
              <w:t>Monday 12</w:t>
            </w:r>
            <w:r>
              <w:rPr>
                <w:rFonts w:ascii="Arial" w:eastAsia="Arial" w:hAnsi="Arial" w:cs="Arial"/>
                <w:b/>
                <w:vertAlign w:val="superscript"/>
              </w:rPr>
              <w:t>th</w:t>
            </w:r>
            <w:r>
              <w:rPr>
                <w:rFonts w:ascii="Arial" w:eastAsia="Arial" w:hAnsi="Arial" w:cs="Arial"/>
                <w:b/>
              </w:rPr>
              <w:t xml:space="preserve"> December</w:t>
            </w:r>
          </w:p>
        </w:tc>
      </w:tr>
      <w:tr w:rsidR="000E7B7E" w14:paraId="285B4BD3" w14:textId="77777777" w:rsidTr="000E7B7E">
        <w:tc>
          <w:tcPr>
            <w:tcW w:w="2093" w:type="dxa"/>
            <w:tcBorders>
              <w:top w:val="single" w:sz="4" w:space="0" w:color="000000"/>
              <w:left w:val="single" w:sz="4" w:space="0" w:color="000000"/>
              <w:bottom w:val="single" w:sz="4" w:space="0" w:color="000000"/>
              <w:right w:val="single" w:sz="4" w:space="0" w:color="000000"/>
            </w:tcBorders>
            <w:shd w:val="clear" w:color="auto" w:fill="D9D9D9"/>
            <w:hideMark/>
          </w:tcPr>
          <w:p w14:paraId="6EEEEACE" w14:textId="77777777" w:rsidR="000E7B7E" w:rsidRDefault="000E7B7E">
            <w:pPr>
              <w:spacing w:before="120" w:after="120"/>
              <w:jc w:val="both"/>
              <w:rPr>
                <w:rFonts w:ascii="Arial" w:eastAsia="Arial" w:hAnsi="Arial" w:cs="Arial"/>
                <w:b/>
              </w:rPr>
            </w:pPr>
            <w:r>
              <w:rPr>
                <w:rFonts w:ascii="Arial" w:eastAsia="Arial" w:hAnsi="Arial" w:cs="Arial"/>
                <w:b/>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hideMark/>
          </w:tcPr>
          <w:p w14:paraId="5EB2D1FA" w14:textId="77777777" w:rsidR="000E7B7E" w:rsidRDefault="000E7B7E">
            <w:pPr>
              <w:rPr>
                <w:rFonts w:ascii="Arial" w:eastAsia="Arial" w:hAnsi="Arial" w:cs="Arial"/>
              </w:rPr>
            </w:pPr>
            <w:r>
              <w:rPr>
                <w:rFonts w:ascii="Arial" w:eastAsia="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D2E4874" w14:textId="77777777" w:rsidR="000E7B7E" w:rsidRDefault="000E7B7E">
            <w:pPr>
              <w:spacing w:before="120" w:after="120"/>
              <w:jc w:val="both"/>
              <w:rPr>
                <w:rFonts w:ascii="Arial" w:eastAsia="Arial" w:hAnsi="Arial" w:cs="Arial"/>
                <w:b/>
              </w:rPr>
            </w:pPr>
            <w:r>
              <w:rPr>
                <w:rFonts w:ascii="Arial" w:eastAsia="Arial" w:hAnsi="Arial" w:cs="Arial"/>
                <w:b/>
              </w:rPr>
              <w:t xml:space="preserve">Alternative submission method (if applicable): </w:t>
            </w:r>
          </w:p>
          <w:p w14:paraId="439E3B72" w14:textId="77777777" w:rsidR="000E7B7E" w:rsidRDefault="000E7B7E">
            <w:pPr>
              <w:spacing w:before="120" w:after="120"/>
              <w:jc w:val="both"/>
              <w:rPr>
                <w:rFonts w:ascii="Arial" w:eastAsia="Arial" w:hAnsi="Arial" w:cs="Arial"/>
                <w:b/>
              </w:rPr>
            </w:pPr>
            <w:r>
              <w:rPr>
                <w:rFonts w:ascii="Arial" w:eastAsia="Arial" w:hAnsi="Arial" w:cs="Arial"/>
                <w:b/>
              </w:rPr>
              <w:t xml:space="preserve">Late submission of the assessment will result in a late penalty mark.  </w:t>
            </w:r>
            <w:r>
              <w:rPr>
                <w:rFonts w:ascii="Arial" w:eastAsia="Arial" w:hAnsi="Arial" w:cs="Arial"/>
              </w:rPr>
              <w:t>Penalties for late submission: Up to one week late, maximum mark of 40%.  Over one week late, 0%.  Only the Extenuating Circumstances Panel may approve a change to submission dates.</w:t>
            </w:r>
          </w:p>
        </w:tc>
      </w:tr>
      <w:tr w:rsidR="000E7B7E" w14:paraId="11D6C8FE" w14:textId="77777777" w:rsidTr="000E7B7E">
        <w:tc>
          <w:tcPr>
            <w:tcW w:w="2093" w:type="dxa"/>
            <w:tcBorders>
              <w:top w:val="single" w:sz="4" w:space="0" w:color="000000"/>
              <w:left w:val="single" w:sz="4" w:space="0" w:color="000000"/>
              <w:bottom w:val="single" w:sz="4" w:space="0" w:color="000000"/>
              <w:right w:val="single" w:sz="4" w:space="0" w:color="000000"/>
            </w:tcBorders>
            <w:shd w:val="clear" w:color="auto" w:fill="D9D9D9"/>
            <w:hideMark/>
          </w:tcPr>
          <w:p w14:paraId="51789519" w14:textId="77777777" w:rsidR="000E7B7E" w:rsidRDefault="000E7B7E">
            <w:pPr>
              <w:spacing w:before="120" w:after="120"/>
              <w:rPr>
                <w:rFonts w:ascii="Arial" w:eastAsia="Arial" w:hAnsi="Arial" w:cs="Arial"/>
                <w:b/>
              </w:rPr>
            </w:pPr>
            <w:r>
              <w:rPr>
                <w:rFonts w:ascii="Arial" w:eastAsia="Arial" w:hAnsi="Arial" w:cs="Arial"/>
                <w:b/>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hideMark/>
          </w:tcPr>
          <w:p w14:paraId="19FCC9CF" w14:textId="77777777" w:rsidR="000E7B7E" w:rsidRDefault="000E7B7E">
            <w:pPr>
              <w:spacing w:before="120" w:after="120"/>
              <w:jc w:val="both"/>
              <w:rPr>
                <w:rFonts w:ascii="Arial" w:eastAsia="Arial" w:hAnsi="Arial" w:cs="Arial"/>
              </w:rPr>
            </w:pPr>
            <w:r>
              <w:rPr>
                <w:rFonts w:ascii="Arial" w:eastAsia="Arial" w:hAnsi="Arial" w:cs="Arial"/>
              </w:rPr>
              <w:t xml:space="preserve">Academic honesty is required. In the main body of your </w:t>
            </w:r>
            <w:proofErr w:type="gramStart"/>
            <w:r>
              <w:rPr>
                <w:rFonts w:ascii="Arial" w:eastAsia="Arial" w:hAnsi="Arial" w:cs="Arial"/>
              </w:rPr>
              <w:t>submission</w:t>
            </w:r>
            <w:proofErr w:type="gramEnd"/>
            <w:r>
              <w:rPr>
                <w:rFonts w:ascii="Arial" w:eastAsia="Arial" w:hAnsi="Arial" w:cs="Arial"/>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74E815D4" w14:textId="77777777" w:rsidR="000D2108" w:rsidRDefault="000D2108" w:rsidP="000D2108">
      <w:pPr>
        <w:spacing w:line="480" w:lineRule="auto"/>
        <w:jc w:val="center"/>
        <w:rPr>
          <w:rFonts w:ascii="Times New Roman" w:hAnsi="Times New Roman" w:cs="Times New Roman"/>
          <w:sz w:val="24"/>
          <w:szCs w:val="24"/>
        </w:rPr>
      </w:pPr>
    </w:p>
    <w:p w14:paraId="685991D1" w14:textId="77777777" w:rsidR="000D2108" w:rsidRDefault="000D2108" w:rsidP="000D2108">
      <w:pPr>
        <w:spacing w:line="480" w:lineRule="auto"/>
        <w:jc w:val="center"/>
        <w:rPr>
          <w:rFonts w:ascii="Times New Roman" w:hAnsi="Times New Roman" w:cs="Times New Roman"/>
          <w:sz w:val="24"/>
          <w:szCs w:val="24"/>
        </w:rPr>
      </w:pPr>
    </w:p>
    <w:p w14:paraId="478736E6" w14:textId="77777777" w:rsidR="000D2108" w:rsidRDefault="000D2108" w:rsidP="000D2108">
      <w:pPr>
        <w:spacing w:line="480" w:lineRule="auto"/>
        <w:jc w:val="center"/>
        <w:rPr>
          <w:rFonts w:ascii="Times New Roman" w:hAnsi="Times New Roman" w:cs="Times New Roman"/>
          <w:sz w:val="24"/>
          <w:szCs w:val="24"/>
        </w:rPr>
      </w:pPr>
    </w:p>
    <w:p w14:paraId="3C095C68" w14:textId="4ECFF8B1" w:rsidR="000D2108" w:rsidRPr="00DB387E" w:rsidRDefault="000832CD" w:rsidP="000D2108">
      <w:pPr>
        <w:spacing w:line="480" w:lineRule="auto"/>
        <w:jc w:val="center"/>
        <w:rPr>
          <w:rFonts w:ascii="Times New Roman" w:hAnsi="Times New Roman" w:cs="Times New Roman"/>
          <w:sz w:val="24"/>
          <w:szCs w:val="24"/>
        </w:rPr>
      </w:pPr>
      <w:r w:rsidRPr="00DB387E">
        <w:rPr>
          <w:rFonts w:ascii="Times New Roman" w:hAnsi="Times New Roman" w:cs="Times New Roman"/>
          <w:sz w:val="24"/>
          <w:szCs w:val="24"/>
        </w:rPr>
        <w:lastRenderedPageBreak/>
        <w:t xml:space="preserve">Liability </w:t>
      </w:r>
      <w:r w:rsidR="00DB387E" w:rsidRPr="00DB387E">
        <w:rPr>
          <w:rFonts w:ascii="Times New Roman" w:hAnsi="Times New Roman" w:cs="Times New Roman"/>
          <w:sz w:val="24"/>
          <w:szCs w:val="24"/>
        </w:rPr>
        <w:t>b</w:t>
      </w:r>
      <w:r w:rsidRPr="00DB387E">
        <w:rPr>
          <w:rFonts w:ascii="Times New Roman" w:hAnsi="Times New Roman" w:cs="Times New Roman"/>
          <w:sz w:val="24"/>
          <w:szCs w:val="24"/>
        </w:rPr>
        <w:t xml:space="preserve">y </w:t>
      </w:r>
      <w:r w:rsidR="00DB387E" w:rsidRPr="00DB387E">
        <w:rPr>
          <w:rFonts w:ascii="Times New Roman" w:hAnsi="Times New Roman" w:cs="Times New Roman"/>
          <w:sz w:val="24"/>
          <w:szCs w:val="24"/>
        </w:rPr>
        <w:t>o</w:t>
      </w:r>
      <w:r w:rsidRPr="00DB387E">
        <w:rPr>
          <w:rFonts w:ascii="Times New Roman" w:hAnsi="Times New Roman" w:cs="Times New Roman"/>
          <w:sz w:val="24"/>
          <w:szCs w:val="24"/>
        </w:rPr>
        <w:t xml:space="preserve">mission </w:t>
      </w:r>
    </w:p>
    <w:p w14:paraId="5C173389" w14:textId="355BC8DE" w:rsidR="000D2108" w:rsidRPr="00DB387E" w:rsidRDefault="000D2108" w:rsidP="000D2108">
      <w:pPr>
        <w:spacing w:line="480" w:lineRule="auto"/>
        <w:jc w:val="center"/>
        <w:rPr>
          <w:rFonts w:ascii="Times New Roman" w:hAnsi="Times New Roman" w:cs="Times New Roman"/>
          <w:sz w:val="24"/>
          <w:szCs w:val="24"/>
        </w:rPr>
      </w:pPr>
      <w:r w:rsidRPr="00DB387E">
        <w:rPr>
          <w:rFonts w:ascii="Times New Roman" w:hAnsi="Times New Roman" w:cs="Times New Roman"/>
          <w:sz w:val="24"/>
          <w:szCs w:val="24"/>
        </w:rPr>
        <w:t>by</w:t>
      </w:r>
    </w:p>
    <w:p w14:paraId="2FE175CF" w14:textId="77716295" w:rsidR="00703669" w:rsidRPr="00DB387E" w:rsidRDefault="00703669" w:rsidP="00703669">
      <w:pPr>
        <w:spacing w:line="480" w:lineRule="auto"/>
        <w:jc w:val="center"/>
        <w:rPr>
          <w:rFonts w:ascii="Times New Roman" w:hAnsi="Times New Roman" w:cs="Times New Roman"/>
          <w:sz w:val="24"/>
          <w:szCs w:val="24"/>
        </w:rPr>
      </w:pPr>
      <w:r w:rsidRPr="00DB387E">
        <w:rPr>
          <w:rFonts w:ascii="Times New Roman" w:hAnsi="Times New Roman" w:cs="Times New Roman"/>
          <w:sz w:val="24"/>
          <w:szCs w:val="24"/>
        </w:rPr>
        <w:t>Raqia Bibi</w:t>
      </w:r>
    </w:p>
    <w:p w14:paraId="53DFECE8" w14:textId="77777777" w:rsidR="00703669" w:rsidRPr="00DB387E" w:rsidRDefault="00703669" w:rsidP="00703669">
      <w:pPr>
        <w:spacing w:line="480" w:lineRule="auto"/>
        <w:jc w:val="center"/>
        <w:rPr>
          <w:rFonts w:ascii="Times New Roman" w:hAnsi="Times New Roman" w:cs="Times New Roman"/>
          <w:sz w:val="24"/>
          <w:szCs w:val="24"/>
        </w:rPr>
      </w:pPr>
    </w:p>
    <w:p w14:paraId="19C0FA3D" w14:textId="5D8CF6B7" w:rsidR="0060460A" w:rsidRPr="00DB387E" w:rsidRDefault="0060460A" w:rsidP="00D75939">
      <w:pPr>
        <w:spacing w:after="0" w:line="480" w:lineRule="auto"/>
        <w:jc w:val="both"/>
        <w:rPr>
          <w:rFonts w:ascii="Times New Roman" w:hAnsi="Times New Roman" w:cs="Times New Roman"/>
          <w:sz w:val="24"/>
          <w:szCs w:val="24"/>
        </w:rPr>
      </w:pPr>
      <w:r w:rsidRPr="00DB387E">
        <w:rPr>
          <w:rFonts w:ascii="Times New Roman" w:hAnsi="Times New Roman" w:cs="Times New Roman"/>
          <w:sz w:val="24"/>
          <w:szCs w:val="24"/>
        </w:rPr>
        <w:t xml:space="preserve">In some cases, failing to act can result in criminal culpability. A person may be charged with a crime for failing to act when they should, such as the duty to protect another person from danger. People may also be held criminally accountable if they neglect to take legal action when required, such as reporting a crime. Criminal culpability results when an action results in a legal violation and the perpetrator was in a guilty state of mind at the time. </w:t>
      </w:r>
      <w:r w:rsidR="008242F6" w:rsidRPr="00DB387E">
        <w:rPr>
          <w:rFonts w:ascii="Times New Roman" w:hAnsi="Times New Roman" w:cs="Times New Roman"/>
          <w:sz w:val="24"/>
          <w:szCs w:val="24"/>
        </w:rPr>
        <w:t>T</w:t>
      </w:r>
      <w:r w:rsidRPr="00DB387E">
        <w:rPr>
          <w:rFonts w:ascii="Times New Roman" w:hAnsi="Times New Roman" w:cs="Times New Roman"/>
          <w:sz w:val="24"/>
          <w:szCs w:val="24"/>
        </w:rPr>
        <w:t>he actus reus and the men</w:t>
      </w:r>
      <w:r w:rsidR="008242F6" w:rsidRPr="00DB387E">
        <w:rPr>
          <w:rFonts w:ascii="Times New Roman" w:hAnsi="Times New Roman" w:cs="Times New Roman"/>
          <w:sz w:val="24"/>
          <w:szCs w:val="24"/>
        </w:rPr>
        <w:t>'</w:t>
      </w:r>
      <w:r w:rsidRPr="00DB387E">
        <w:rPr>
          <w:rFonts w:ascii="Times New Roman" w:hAnsi="Times New Roman" w:cs="Times New Roman"/>
          <w:sz w:val="24"/>
          <w:szCs w:val="24"/>
        </w:rPr>
        <w:t xml:space="preserve">s rea must be present for criminal responsibility. The defendant was accused of killing a man who had been beaten to death in the case R v. </w:t>
      </w:r>
      <w:proofErr w:type="spellStart"/>
      <w:r w:rsidRPr="00DB387E">
        <w:rPr>
          <w:rFonts w:ascii="Times New Roman" w:hAnsi="Times New Roman" w:cs="Times New Roman"/>
          <w:sz w:val="24"/>
          <w:szCs w:val="24"/>
        </w:rPr>
        <w:t>Dytham</w:t>
      </w:r>
      <w:proofErr w:type="spellEnd"/>
      <w:r w:rsidRPr="00DB387E">
        <w:rPr>
          <w:rFonts w:ascii="Times New Roman" w:hAnsi="Times New Roman" w:cs="Times New Roman"/>
          <w:sz w:val="24"/>
          <w:szCs w:val="24"/>
        </w:rPr>
        <w:t xml:space="preserve">. The defendant </w:t>
      </w:r>
      <w:r w:rsidR="00D75939" w:rsidRPr="00DB387E">
        <w:rPr>
          <w:rFonts w:ascii="Times New Roman" w:hAnsi="Times New Roman" w:cs="Times New Roman"/>
          <w:sz w:val="24"/>
          <w:szCs w:val="24"/>
        </w:rPr>
        <w:t xml:space="preserve">who was a police officer, </w:t>
      </w:r>
      <w:r w:rsidRPr="00DB387E">
        <w:rPr>
          <w:rFonts w:ascii="Times New Roman" w:hAnsi="Times New Roman" w:cs="Times New Roman"/>
          <w:sz w:val="24"/>
          <w:szCs w:val="24"/>
        </w:rPr>
        <w:t xml:space="preserve">was present at the site of the crime, yet he did nothing to halt the assault or assist the victim. Despite not being physically involved in the attack, the court determined that the defendant was criminally responsible for the victim's death. </w:t>
      </w:r>
      <w:r w:rsidR="00D75939" w:rsidRPr="00DB387E">
        <w:rPr>
          <w:rFonts w:ascii="Times New Roman" w:hAnsi="Times New Roman" w:cs="Times New Roman"/>
          <w:sz w:val="24"/>
          <w:szCs w:val="24"/>
        </w:rPr>
        <w:t>The police officer</w:t>
      </w:r>
      <w:r w:rsidR="00D75939" w:rsidRPr="00DB387E">
        <w:rPr>
          <w:rFonts w:ascii="Times New Roman" w:hAnsi="Times New Roman" w:cs="Times New Roman"/>
          <w:color w:val="323D4F"/>
          <w:sz w:val="24"/>
          <w:szCs w:val="24"/>
          <w:shd w:val="clear" w:color="auto" w:fill="FFFFFF"/>
        </w:rPr>
        <w:t xml:space="preserve"> </w:t>
      </w:r>
      <w:r w:rsidR="00D75939" w:rsidRPr="00DB387E">
        <w:rPr>
          <w:rFonts w:ascii="Times New Roman" w:hAnsi="Times New Roman" w:cs="Times New Roman"/>
          <w:sz w:val="24"/>
          <w:szCs w:val="24"/>
          <w:shd w:val="clear" w:color="auto" w:fill="FFFFFF"/>
        </w:rPr>
        <w:t>was charged with the offence of misconduct in a public officer. He argued that the offence could not be committed by an omission as it specifically requires misconduct</w:t>
      </w:r>
      <w:r w:rsidR="00D75939" w:rsidRPr="00DB387E">
        <w:rPr>
          <w:rFonts w:ascii="Times New Roman" w:hAnsi="Times New Roman" w:cs="Times New Roman"/>
          <w:color w:val="323D4F"/>
          <w:sz w:val="24"/>
          <w:szCs w:val="24"/>
          <w:shd w:val="clear" w:color="auto" w:fill="FFFFFF"/>
        </w:rPr>
        <w:t>.</w:t>
      </w:r>
      <w:r w:rsidR="00D75939" w:rsidRPr="00DB387E">
        <w:rPr>
          <w:rFonts w:ascii="Times New Roman" w:hAnsi="Times New Roman" w:cs="Times New Roman"/>
          <w:sz w:val="24"/>
          <w:szCs w:val="24"/>
        </w:rPr>
        <w:t xml:space="preserve"> </w:t>
      </w:r>
      <w:r w:rsidR="00C660D4" w:rsidRPr="00DB387E">
        <w:rPr>
          <w:rFonts w:ascii="Times New Roman" w:hAnsi="Times New Roman" w:cs="Times New Roman"/>
          <w:sz w:val="24"/>
          <w:szCs w:val="24"/>
        </w:rPr>
        <w:t xml:space="preserve">Even if it isn't specifically specified in their job description, someone in a position of responsibility may be obliged to act to stop or lessen harm. For instance, even if their primary responsibility is to patrol the area, a police officer may be required to interfere if they see a crime being committed. </w:t>
      </w:r>
      <w:r w:rsidR="00D75939" w:rsidRPr="00DB387E">
        <w:rPr>
          <w:rFonts w:ascii="Times New Roman" w:hAnsi="Times New Roman" w:cs="Times New Roman"/>
          <w:sz w:val="24"/>
          <w:szCs w:val="24"/>
        </w:rPr>
        <w:t>The</w:t>
      </w:r>
      <w:r w:rsidRPr="00DB387E">
        <w:rPr>
          <w:rFonts w:ascii="Times New Roman" w:hAnsi="Times New Roman" w:cs="Times New Roman"/>
          <w:sz w:val="24"/>
          <w:szCs w:val="24"/>
        </w:rPr>
        <w:t xml:space="preserve"> key component of a crime is the actus reus. To be declared guilty, the accused must have done something wrong. The men's rea is a crime's mental component. A person is only guilty of a crime if they intend to do the actus reus. There are, however, some instances where actus reus and men</w:t>
      </w:r>
      <w:r w:rsidR="008242F6" w:rsidRPr="00DB387E">
        <w:rPr>
          <w:rFonts w:ascii="Times New Roman" w:hAnsi="Times New Roman" w:cs="Times New Roman"/>
          <w:sz w:val="24"/>
          <w:szCs w:val="24"/>
        </w:rPr>
        <w:t>'</w:t>
      </w:r>
      <w:r w:rsidRPr="00DB387E">
        <w:rPr>
          <w:rFonts w:ascii="Times New Roman" w:hAnsi="Times New Roman" w:cs="Times New Roman"/>
          <w:sz w:val="24"/>
          <w:szCs w:val="24"/>
        </w:rPr>
        <w:t xml:space="preserve">s rea do not have to coincide:  When the necessary </w:t>
      </w:r>
      <w:r w:rsidR="003A5006" w:rsidRPr="00DB387E">
        <w:rPr>
          <w:rFonts w:ascii="Times New Roman" w:hAnsi="Times New Roman" w:cs="Times New Roman"/>
          <w:sz w:val="24"/>
          <w:szCs w:val="24"/>
        </w:rPr>
        <w:t>men’s</w:t>
      </w:r>
      <w:r w:rsidR="000E7B7E" w:rsidRPr="00DB387E">
        <w:rPr>
          <w:rFonts w:ascii="Times New Roman" w:hAnsi="Times New Roman" w:cs="Times New Roman"/>
          <w:sz w:val="24"/>
          <w:szCs w:val="24"/>
        </w:rPr>
        <w:t xml:space="preserve"> </w:t>
      </w:r>
      <w:r w:rsidRPr="00DB387E">
        <w:rPr>
          <w:rFonts w:ascii="Times New Roman" w:hAnsi="Times New Roman" w:cs="Times New Roman"/>
          <w:sz w:val="24"/>
          <w:szCs w:val="24"/>
        </w:rPr>
        <w:t xml:space="preserve">rea </w:t>
      </w:r>
      <w:r w:rsidRPr="00DB387E">
        <w:rPr>
          <w:rFonts w:ascii="Times New Roman" w:hAnsi="Times New Roman" w:cs="Times New Roman"/>
          <w:sz w:val="24"/>
          <w:szCs w:val="24"/>
        </w:rPr>
        <w:lastRenderedPageBreak/>
        <w:t xml:space="preserve">is present, the symbolic act treats the actus reus as a single, continuous transaction. The most crucial aspect of the crime in </w:t>
      </w:r>
      <w:r w:rsidR="003A5006" w:rsidRPr="00DB387E">
        <w:rPr>
          <w:rFonts w:ascii="Times New Roman" w:hAnsi="Times New Roman" w:cs="Times New Roman"/>
          <w:sz w:val="24"/>
          <w:szCs w:val="24"/>
        </w:rPr>
        <w:t xml:space="preserve">R v Yaqoob </w:t>
      </w:r>
      <w:r w:rsidRPr="00DB387E">
        <w:rPr>
          <w:rFonts w:ascii="Times New Roman" w:hAnsi="Times New Roman" w:cs="Times New Roman"/>
          <w:sz w:val="24"/>
          <w:szCs w:val="24"/>
        </w:rPr>
        <w:t>was the actus reus. After colliding with another vehicle and killing it</w:t>
      </w:r>
      <w:r w:rsidR="003A5006" w:rsidRPr="00DB387E">
        <w:rPr>
          <w:rFonts w:ascii="Times New Roman" w:hAnsi="Times New Roman" w:cs="Times New Roman"/>
          <w:sz w:val="24"/>
          <w:szCs w:val="24"/>
        </w:rPr>
        <w:t xml:space="preserve"> one of the passengers</w:t>
      </w:r>
      <w:r w:rsidRPr="00DB387E">
        <w:rPr>
          <w:rFonts w:ascii="Times New Roman" w:hAnsi="Times New Roman" w:cs="Times New Roman"/>
          <w:sz w:val="24"/>
          <w:szCs w:val="24"/>
        </w:rPr>
        <w:t xml:space="preserve">, the defendant was accused of </w:t>
      </w:r>
      <w:r w:rsidR="003A5006" w:rsidRPr="00DB387E">
        <w:rPr>
          <w:rFonts w:ascii="Times New Roman" w:hAnsi="Times New Roman" w:cs="Times New Roman"/>
          <w:sz w:val="24"/>
          <w:szCs w:val="24"/>
        </w:rPr>
        <w:t xml:space="preserve">dangerous driving and </w:t>
      </w:r>
      <w:r w:rsidR="00804327" w:rsidRPr="00DB387E">
        <w:rPr>
          <w:rFonts w:ascii="Times New Roman" w:hAnsi="Times New Roman" w:cs="Times New Roman"/>
          <w:sz w:val="24"/>
          <w:szCs w:val="24"/>
        </w:rPr>
        <w:t>manslaughter.</w:t>
      </w:r>
      <w:r w:rsidRPr="00DB387E">
        <w:rPr>
          <w:rFonts w:ascii="Times New Roman" w:hAnsi="Times New Roman" w:cs="Times New Roman"/>
          <w:sz w:val="24"/>
          <w:szCs w:val="24"/>
        </w:rPr>
        <w:t xml:space="preserve"> According to the court</w:t>
      </w:r>
      <w:r w:rsidR="003A5006" w:rsidRPr="00DB387E">
        <w:rPr>
          <w:rFonts w:ascii="Times New Roman" w:hAnsi="Times New Roman" w:cs="Times New Roman"/>
          <w:color w:val="021936"/>
          <w:sz w:val="24"/>
          <w:szCs w:val="24"/>
          <w:shd w:val="clear" w:color="auto" w:fill="FFFFFF"/>
        </w:rPr>
        <w:t xml:space="preserve">, </w:t>
      </w:r>
      <w:r w:rsidR="003A5006" w:rsidRPr="00DB387E">
        <w:rPr>
          <w:rFonts w:ascii="Times New Roman" w:hAnsi="Times New Roman" w:cs="Times New Roman"/>
          <w:sz w:val="24"/>
          <w:szCs w:val="24"/>
          <w:shd w:val="clear" w:color="auto" w:fill="FFFFFF"/>
        </w:rPr>
        <w:t>a sentence of four years' imprisonment was more than within the general range of sentences for manslaughter by gross negligence due to a failure to properly maintain a minibus</w:t>
      </w:r>
      <w:r w:rsidR="003A5006" w:rsidRPr="00DB387E">
        <w:rPr>
          <w:rFonts w:ascii="Times New Roman" w:hAnsi="Times New Roman" w:cs="Times New Roman"/>
          <w:color w:val="021936"/>
          <w:sz w:val="24"/>
          <w:szCs w:val="24"/>
          <w:shd w:val="clear" w:color="auto" w:fill="FFFFFF"/>
        </w:rPr>
        <w:t>.</w:t>
      </w:r>
    </w:p>
    <w:p w14:paraId="6A75DCF5" w14:textId="5E08E0F2" w:rsidR="0060460A" w:rsidRPr="00DB387E" w:rsidRDefault="00A3669F" w:rsidP="008F4A16">
      <w:pPr>
        <w:spacing w:after="0" w:line="480" w:lineRule="auto"/>
        <w:ind w:firstLine="720"/>
        <w:jc w:val="both"/>
        <w:rPr>
          <w:rFonts w:ascii="Times New Roman" w:hAnsi="Times New Roman" w:cs="Times New Roman"/>
          <w:sz w:val="24"/>
          <w:szCs w:val="24"/>
        </w:rPr>
      </w:pPr>
      <w:r w:rsidRPr="00DB387E">
        <w:rPr>
          <w:rFonts w:ascii="Times New Roman" w:hAnsi="Times New Roman" w:cs="Times New Roman"/>
          <w:sz w:val="24"/>
          <w:szCs w:val="24"/>
        </w:rPr>
        <w:t xml:space="preserve">In the case of R v Miller where he was accused of arson, </w:t>
      </w:r>
      <w:r w:rsidRPr="00DB387E">
        <w:rPr>
          <w:rFonts w:ascii="Times New Roman" w:hAnsi="Times New Roman" w:cs="Times New Roman"/>
          <w:color w:val="212529"/>
          <w:sz w:val="24"/>
          <w:szCs w:val="24"/>
          <w:shd w:val="clear" w:color="auto" w:fill="FFFFFF"/>
        </w:rPr>
        <w:t>Because the prosecution relied on the ground that the defendant had failed to take any action to extinguish the fire in addition to the fact that he had been reckless in starting the fire by falling asleep with a lit cigarette, the question arose whether the defendant could be liable for an omission. If it was not, then the </w:t>
      </w:r>
      <w:r w:rsidRPr="00DB387E">
        <w:rPr>
          <w:rStyle w:val="Emphasis"/>
          <w:rFonts w:ascii="Times New Roman" w:hAnsi="Times New Roman" w:cs="Times New Roman"/>
          <w:color w:val="212529"/>
          <w:sz w:val="24"/>
          <w:szCs w:val="24"/>
          <w:shd w:val="clear" w:color="auto" w:fill="FFFFFF"/>
        </w:rPr>
        <w:t>actus reus </w:t>
      </w:r>
      <w:r w:rsidRPr="00DB387E">
        <w:rPr>
          <w:rFonts w:ascii="Times New Roman" w:hAnsi="Times New Roman" w:cs="Times New Roman"/>
          <w:color w:val="212529"/>
          <w:sz w:val="24"/>
          <w:szCs w:val="24"/>
          <w:shd w:val="clear" w:color="auto" w:fill="FFFFFF"/>
        </w:rPr>
        <w:t xml:space="preserve">of arson was not present and no conviction for arson would be </w:t>
      </w:r>
      <w:r w:rsidR="00C660D4" w:rsidRPr="00DB387E">
        <w:rPr>
          <w:rFonts w:ascii="Times New Roman" w:hAnsi="Times New Roman" w:cs="Times New Roman"/>
          <w:color w:val="212529"/>
          <w:sz w:val="24"/>
          <w:szCs w:val="24"/>
          <w:shd w:val="clear" w:color="auto" w:fill="FFFFFF"/>
        </w:rPr>
        <w:t>possible.</w:t>
      </w:r>
      <w:r w:rsidR="00C660D4" w:rsidRPr="00DB387E">
        <w:rPr>
          <w:rFonts w:ascii="Times New Roman" w:hAnsi="Times New Roman" w:cs="Times New Roman"/>
          <w:sz w:val="24"/>
          <w:szCs w:val="24"/>
        </w:rPr>
        <w:t xml:space="preserve"> Criminal</w:t>
      </w:r>
      <w:r w:rsidR="0060460A" w:rsidRPr="00DB387E">
        <w:rPr>
          <w:rFonts w:ascii="Times New Roman" w:hAnsi="Times New Roman" w:cs="Times New Roman"/>
          <w:sz w:val="24"/>
          <w:szCs w:val="24"/>
        </w:rPr>
        <w:t xml:space="preserve"> responsibility for an act is only established when there is an unbroken chain of cause and effect, meaning the harm can be directly linked to the accused's act. The accused is only released from responsibility if another unrelated factor disrupts the chain of events that his act started. </w:t>
      </w:r>
      <w:r w:rsidR="008F4A16" w:rsidRPr="00DB387E">
        <w:rPr>
          <w:rFonts w:ascii="Times New Roman" w:hAnsi="Times New Roman" w:cs="Times New Roman"/>
          <w:sz w:val="24"/>
          <w:szCs w:val="24"/>
        </w:rPr>
        <w:t xml:space="preserve">In the case of Gibbons and Proctor (1918) where </w:t>
      </w:r>
      <w:r w:rsidR="008F4A16" w:rsidRPr="00DB387E">
        <w:rPr>
          <w:rFonts w:ascii="Times New Roman" w:eastAsia="Times New Roman" w:hAnsi="Times New Roman" w:cs="Times New Roman"/>
          <w:color w:val="1E1E1E"/>
          <w:sz w:val="24"/>
          <w:szCs w:val="24"/>
          <w:lang w:val="en-GB" w:eastAsia="en-GB"/>
        </w:rPr>
        <w:t xml:space="preserve">a reward was offered for the arrest of </w:t>
      </w:r>
      <w:r w:rsidR="00C660D4" w:rsidRPr="00DB387E">
        <w:rPr>
          <w:rFonts w:ascii="Times New Roman" w:eastAsia="Times New Roman" w:hAnsi="Times New Roman" w:cs="Times New Roman"/>
          <w:color w:val="1E1E1E"/>
          <w:sz w:val="24"/>
          <w:szCs w:val="24"/>
          <w:lang w:val="en-GB" w:eastAsia="en-GB"/>
        </w:rPr>
        <w:t>an</w:t>
      </w:r>
      <w:r w:rsidR="008F4A16" w:rsidRPr="00DB387E">
        <w:rPr>
          <w:rFonts w:ascii="Times New Roman" w:eastAsia="Times New Roman" w:hAnsi="Times New Roman" w:cs="Times New Roman"/>
          <w:color w:val="1E1E1E"/>
          <w:sz w:val="24"/>
          <w:szCs w:val="24"/>
          <w:lang w:val="en-GB" w:eastAsia="en-GB"/>
        </w:rPr>
        <w:t xml:space="preserve"> individual, </w:t>
      </w:r>
      <w:r w:rsidR="00C660D4" w:rsidRPr="00DB387E">
        <w:rPr>
          <w:rFonts w:ascii="Times New Roman" w:eastAsia="Times New Roman" w:hAnsi="Times New Roman" w:cs="Times New Roman"/>
          <w:color w:val="1E1E1E"/>
          <w:sz w:val="24"/>
          <w:szCs w:val="24"/>
          <w:lang w:val="en-GB" w:eastAsia="en-GB"/>
        </w:rPr>
        <w:t>the officer sent some information to the superintendent</w:t>
      </w:r>
      <w:r w:rsidR="008F4A16" w:rsidRPr="00DB387E">
        <w:rPr>
          <w:rFonts w:ascii="Times New Roman" w:eastAsia="Times New Roman" w:hAnsi="Times New Roman" w:cs="Times New Roman"/>
          <w:color w:val="1E1E1E"/>
          <w:sz w:val="24"/>
          <w:szCs w:val="24"/>
          <w:lang w:val="en-GB" w:eastAsia="en-GB"/>
        </w:rPr>
        <w:t xml:space="preserve"> </w:t>
      </w:r>
      <w:r w:rsidR="00C660D4" w:rsidRPr="00DB387E">
        <w:rPr>
          <w:rFonts w:ascii="Times New Roman" w:eastAsia="Times New Roman" w:hAnsi="Times New Roman" w:cs="Times New Roman"/>
          <w:color w:val="1E1E1E"/>
          <w:sz w:val="24"/>
          <w:szCs w:val="24"/>
          <w:lang w:val="en-GB" w:eastAsia="en-GB"/>
        </w:rPr>
        <w:t>but was still able to claim the reward. This is because a person can accept a contract without knowledge of the offer.</w:t>
      </w:r>
    </w:p>
    <w:p w14:paraId="46AA95F2" w14:textId="01348373" w:rsidR="0060460A" w:rsidRPr="00DB387E" w:rsidRDefault="0060460A" w:rsidP="00150FA2">
      <w:pPr>
        <w:spacing w:after="0" w:line="480" w:lineRule="auto"/>
        <w:ind w:firstLine="720"/>
        <w:jc w:val="both"/>
        <w:rPr>
          <w:rFonts w:ascii="Times New Roman" w:hAnsi="Times New Roman" w:cs="Times New Roman"/>
          <w:sz w:val="24"/>
          <w:szCs w:val="24"/>
        </w:rPr>
      </w:pPr>
      <w:r w:rsidRPr="00DB387E">
        <w:rPr>
          <w:rFonts w:ascii="Times New Roman" w:hAnsi="Times New Roman" w:cs="Times New Roman"/>
          <w:sz w:val="24"/>
          <w:szCs w:val="24"/>
        </w:rPr>
        <w:t xml:space="preserve">There may be a fixed duty to act when there is a reasonable anticipation that someone will suffer harm if the obligation is not fulfilled. In </w:t>
      </w:r>
      <w:r w:rsidR="000E7B7E" w:rsidRPr="00DB387E">
        <w:rPr>
          <w:rFonts w:ascii="Times New Roman" w:hAnsi="Times New Roman" w:cs="Times New Roman"/>
          <w:sz w:val="24"/>
          <w:szCs w:val="24"/>
        </w:rPr>
        <w:t>Airedale</w:t>
      </w:r>
      <w:r w:rsidRPr="00DB387E">
        <w:rPr>
          <w:rFonts w:ascii="Times New Roman" w:hAnsi="Times New Roman" w:cs="Times New Roman"/>
          <w:sz w:val="24"/>
          <w:szCs w:val="24"/>
        </w:rPr>
        <w:t xml:space="preserve"> N</w:t>
      </w:r>
      <w:r w:rsidR="008242F6" w:rsidRPr="00DB387E">
        <w:rPr>
          <w:rFonts w:ascii="Times New Roman" w:hAnsi="Times New Roman" w:cs="Times New Roman"/>
          <w:sz w:val="24"/>
          <w:szCs w:val="24"/>
        </w:rPr>
        <w:t>.H.S.</w:t>
      </w:r>
      <w:r w:rsidRPr="00DB387E">
        <w:rPr>
          <w:rFonts w:ascii="Times New Roman" w:hAnsi="Times New Roman" w:cs="Times New Roman"/>
          <w:sz w:val="24"/>
          <w:szCs w:val="24"/>
        </w:rPr>
        <w:t xml:space="preserve"> Trust v. Bland, a 14-year-old child who sustained a brain injury spent several years in a vegetative state. The hospital staff was responsible for catering to his basic needs, but they were not obligated to actively treat him because doing so would not have been in his best interests. The hospital staff did not have a duty to try to </w:t>
      </w:r>
      <w:r w:rsidRPr="00DB387E">
        <w:rPr>
          <w:rFonts w:ascii="Times New Roman" w:hAnsi="Times New Roman" w:cs="Times New Roman"/>
          <w:sz w:val="24"/>
          <w:szCs w:val="24"/>
        </w:rPr>
        <w:lastRenderedPageBreak/>
        <w:t>keep him alive actively, the court ruled, but they did have a duty to take reasonable precautions to preserve him from injury.</w:t>
      </w:r>
    </w:p>
    <w:p w14:paraId="194730D2" w14:textId="72AEAD08" w:rsidR="0060460A" w:rsidRPr="00DB387E" w:rsidRDefault="0060460A" w:rsidP="00C660D4">
      <w:pPr>
        <w:spacing w:after="0" w:line="480" w:lineRule="auto"/>
        <w:jc w:val="both"/>
        <w:rPr>
          <w:rFonts w:ascii="Times New Roman" w:hAnsi="Times New Roman" w:cs="Times New Roman"/>
          <w:sz w:val="24"/>
          <w:szCs w:val="24"/>
        </w:rPr>
      </w:pPr>
      <w:r w:rsidRPr="00DB387E">
        <w:rPr>
          <w:rFonts w:ascii="Times New Roman" w:hAnsi="Times New Roman" w:cs="Times New Roman"/>
          <w:sz w:val="24"/>
          <w:szCs w:val="24"/>
        </w:rPr>
        <w:t xml:space="preserve">Even though it wasn't explicitly specified in their job description, the court concluded that the employer in the </w:t>
      </w:r>
      <w:proofErr w:type="spellStart"/>
      <w:r w:rsidRPr="00DB387E">
        <w:rPr>
          <w:rFonts w:ascii="Times New Roman" w:hAnsi="Times New Roman" w:cs="Times New Roman"/>
          <w:sz w:val="24"/>
          <w:szCs w:val="24"/>
        </w:rPr>
        <w:t>Pittwood</w:t>
      </w:r>
      <w:proofErr w:type="spellEnd"/>
      <w:r w:rsidRPr="00DB387E">
        <w:rPr>
          <w:rFonts w:ascii="Times New Roman" w:hAnsi="Times New Roman" w:cs="Times New Roman"/>
          <w:sz w:val="24"/>
          <w:szCs w:val="24"/>
        </w:rPr>
        <w:t xml:space="preserve"> case had a duty to act to stop or lessen harm. The employer </w:t>
      </w:r>
      <w:r w:rsidR="008242F6" w:rsidRPr="00DB387E">
        <w:rPr>
          <w:rFonts w:ascii="Times New Roman" w:hAnsi="Times New Roman" w:cs="Times New Roman"/>
          <w:sz w:val="24"/>
          <w:szCs w:val="24"/>
        </w:rPr>
        <w:t>was obliged</w:t>
      </w:r>
      <w:r w:rsidRPr="00DB387E">
        <w:rPr>
          <w:rFonts w:ascii="Times New Roman" w:hAnsi="Times New Roman" w:cs="Times New Roman"/>
          <w:sz w:val="24"/>
          <w:szCs w:val="24"/>
        </w:rPr>
        <w:t xml:space="preserve"> to take steps to prevent or </w:t>
      </w:r>
      <w:r w:rsidR="008242F6" w:rsidRPr="00DB387E">
        <w:rPr>
          <w:rFonts w:ascii="Times New Roman" w:hAnsi="Times New Roman" w:cs="Times New Roman"/>
          <w:sz w:val="24"/>
          <w:szCs w:val="24"/>
        </w:rPr>
        <w:t>reduce</w:t>
      </w:r>
      <w:r w:rsidRPr="00DB387E">
        <w:rPr>
          <w:rFonts w:ascii="Times New Roman" w:hAnsi="Times New Roman" w:cs="Times New Roman"/>
          <w:sz w:val="24"/>
          <w:szCs w:val="24"/>
        </w:rPr>
        <w:t xml:space="preserve"> the harm, so the court determined that the employer was responsible for the damages brought on by the employee's negligence.</w:t>
      </w:r>
    </w:p>
    <w:p w14:paraId="5B289BD7" w14:textId="77777777" w:rsidR="0060460A" w:rsidRPr="00DB387E" w:rsidRDefault="0060460A" w:rsidP="00150FA2">
      <w:pPr>
        <w:spacing w:after="0" w:line="480" w:lineRule="auto"/>
        <w:ind w:firstLine="720"/>
        <w:jc w:val="both"/>
        <w:rPr>
          <w:rFonts w:ascii="Times New Roman" w:hAnsi="Times New Roman" w:cs="Times New Roman"/>
          <w:sz w:val="24"/>
          <w:szCs w:val="24"/>
        </w:rPr>
      </w:pPr>
      <w:r w:rsidRPr="00DB387E">
        <w:rPr>
          <w:rFonts w:ascii="Times New Roman" w:hAnsi="Times New Roman" w:cs="Times New Roman"/>
          <w:sz w:val="24"/>
          <w:szCs w:val="24"/>
        </w:rPr>
        <w:t>When one person has a relationship with another person that gives rise to a reasonable expectation that the other person will act to prevent reasonably foreseeable harm, there is a common law obligation to act. Wacker (2009) describes two people strolling along a sidewalk next to a busy street. When one person notices a car speeding in their direction, they yell at the other person to move out of the path. The person who received a warning can move out of the way and prevent being struck by the car. In this instance, the person who alerted the other party to the speeding car performed their common law obligation to take appropriate action.</w:t>
      </w:r>
    </w:p>
    <w:p w14:paraId="3FEF5FBF" w14:textId="77777777" w:rsidR="0060460A" w:rsidRPr="00DB387E" w:rsidRDefault="0060460A" w:rsidP="00150FA2">
      <w:pPr>
        <w:spacing w:after="0" w:line="480" w:lineRule="auto"/>
        <w:ind w:firstLine="720"/>
        <w:jc w:val="both"/>
        <w:rPr>
          <w:rFonts w:ascii="Times New Roman" w:hAnsi="Times New Roman" w:cs="Times New Roman"/>
          <w:sz w:val="24"/>
          <w:szCs w:val="24"/>
        </w:rPr>
      </w:pPr>
    </w:p>
    <w:p w14:paraId="5D38F7A7" w14:textId="3BC163B1" w:rsidR="0060460A" w:rsidRPr="00DB387E" w:rsidRDefault="0060460A" w:rsidP="00150FA2">
      <w:pPr>
        <w:spacing w:after="0" w:line="480" w:lineRule="auto"/>
        <w:ind w:firstLine="720"/>
        <w:jc w:val="both"/>
        <w:rPr>
          <w:rFonts w:ascii="Times New Roman" w:hAnsi="Times New Roman" w:cs="Times New Roman"/>
          <w:sz w:val="24"/>
          <w:szCs w:val="24"/>
        </w:rPr>
      </w:pPr>
      <w:r w:rsidRPr="00DB387E">
        <w:rPr>
          <w:rFonts w:ascii="Times New Roman" w:hAnsi="Times New Roman" w:cs="Times New Roman"/>
          <w:sz w:val="24"/>
          <w:szCs w:val="24"/>
        </w:rPr>
        <w:t xml:space="preserve">An obligation to act may become necessary in a variety of circumstances. For instance, you are responsible for attempting to save the </w:t>
      </w:r>
      <w:r w:rsidR="008242F6" w:rsidRPr="00DB387E">
        <w:rPr>
          <w:rFonts w:ascii="Times New Roman" w:hAnsi="Times New Roman" w:cs="Times New Roman"/>
          <w:sz w:val="24"/>
          <w:szCs w:val="24"/>
        </w:rPr>
        <w:t>drowning person</w:t>
      </w:r>
      <w:r w:rsidRPr="00DB387E">
        <w:rPr>
          <w:rFonts w:ascii="Times New Roman" w:hAnsi="Times New Roman" w:cs="Times New Roman"/>
          <w:sz w:val="24"/>
          <w:szCs w:val="24"/>
        </w:rPr>
        <w:t xml:space="preserve"> if you are the only person close and you observe them. There are three basic categories in which a responsibility to intervene can arise, according to the Stone and Dobinson case law: 1) When the parties have an established relationship, 2) when one party </w:t>
      </w:r>
      <w:proofErr w:type="gramStart"/>
      <w:r w:rsidRPr="00DB387E">
        <w:rPr>
          <w:rFonts w:ascii="Times New Roman" w:hAnsi="Times New Roman" w:cs="Times New Roman"/>
          <w:sz w:val="24"/>
          <w:szCs w:val="24"/>
        </w:rPr>
        <w:t>is in charge of</w:t>
      </w:r>
      <w:proofErr w:type="gramEnd"/>
      <w:r w:rsidRPr="00DB387E">
        <w:rPr>
          <w:rFonts w:ascii="Times New Roman" w:hAnsi="Times New Roman" w:cs="Times New Roman"/>
          <w:sz w:val="24"/>
          <w:szCs w:val="24"/>
        </w:rPr>
        <w:t xml:space="preserve"> another's safety, and 3) when one party has brought about a hazardous scenario. An obligation to act may result from an earlier connection between the parties in the first group. This might be the situation, for instance, where a parent is responsible for taking care of their child or a doctor is responsible for taking care of their patient. When one person assumes liability for the safety of another, a duty to act may result in the second category. </w:t>
      </w:r>
      <w:r w:rsidRPr="00DB387E">
        <w:rPr>
          <w:rFonts w:ascii="Times New Roman" w:hAnsi="Times New Roman" w:cs="Times New Roman"/>
          <w:sz w:val="24"/>
          <w:szCs w:val="24"/>
        </w:rPr>
        <w:lastRenderedPageBreak/>
        <w:t xml:space="preserve">This might apply, for instance, when a lifeguard </w:t>
      </w:r>
      <w:proofErr w:type="gramStart"/>
      <w:r w:rsidRPr="00DB387E">
        <w:rPr>
          <w:rFonts w:ascii="Times New Roman" w:hAnsi="Times New Roman" w:cs="Times New Roman"/>
          <w:sz w:val="24"/>
          <w:szCs w:val="24"/>
        </w:rPr>
        <w:t>is in charge of</w:t>
      </w:r>
      <w:proofErr w:type="gramEnd"/>
      <w:r w:rsidRPr="00DB387E">
        <w:rPr>
          <w:rFonts w:ascii="Times New Roman" w:hAnsi="Times New Roman" w:cs="Times New Roman"/>
          <w:sz w:val="24"/>
          <w:szCs w:val="24"/>
        </w:rPr>
        <w:t xml:space="preserve"> ensuring the safety of swimmers in a pool or when a teacher is in charge of ensuring the safety of children in a classroom. A duty to act may occur in the third category when one party has brought about a hazardous situation. This can be the case, for instance, when a motorist causes a </w:t>
      </w:r>
      <w:r w:rsidR="000E7B7E" w:rsidRPr="00DB387E">
        <w:rPr>
          <w:rFonts w:ascii="Times New Roman" w:hAnsi="Times New Roman" w:cs="Times New Roman"/>
          <w:sz w:val="24"/>
          <w:szCs w:val="24"/>
        </w:rPr>
        <w:t>collision,</w:t>
      </w:r>
      <w:r w:rsidRPr="00DB387E">
        <w:rPr>
          <w:rFonts w:ascii="Times New Roman" w:hAnsi="Times New Roman" w:cs="Times New Roman"/>
          <w:sz w:val="24"/>
          <w:szCs w:val="24"/>
        </w:rPr>
        <w:t xml:space="preserve"> or a property owner neglects to fix a hazardous situation on their land.</w:t>
      </w:r>
    </w:p>
    <w:p w14:paraId="6D81B6A1" w14:textId="0E940620" w:rsidR="00E2252C" w:rsidRPr="00DB387E" w:rsidRDefault="0060460A" w:rsidP="00150FA2">
      <w:pPr>
        <w:spacing w:after="0" w:line="480" w:lineRule="auto"/>
        <w:ind w:firstLine="720"/>
        <w:jc w:val="both"/>
        <w:rPr>
          <w:rFonts w:ascii="Times New Roman" w:hAnsi="Times New Roman" w:cs="Times New Roman"/>
          <w:sz w:val="24"/>
          <w:szCs w:val="24"/>
        </w:rPr>
      </w:pPr>
      <w:r w:rsidRPr="00DB387E">
        <w:rPr>
          <w:rFonts w:ascii="Times New Roman" w:hAnsi="Times New Roman" w:cs="Times New Roman"/>
          <w:sz w:val="24"/>
          <w:szCs w:val="24"/>
        </w:rPr>
        <w:t>A universal obligation act has benefits and drawbacks. A general obligation law would establish a precedent that businesses are responsible for safeguarding their workers. This might result in lawsuits against companies for workplace accidents or fatalities, regardless of whether they were preventable. Employers might incur higher costs</w:t>
      </w:r>
      <w:r w:rsidR="008242F6" w:rsidRPr="00DB387E">
        <w:rPr>
          <w:rFonts w:ascii="Times New Roman" w:hAnsi="Times New Roman" w:cs="Times New Roman"/>
          <w:sz w:val="24"/>
          <w:szCs w:val="24"/>
        </w:rPr>
        <w:t>;</w:t>
      </w:r>
      <w:r w:rsidRPr="00DB387E">
        <w:rPr>
          <w:rFonts w:ascii="Times New Roman" w:hAnsi="Times New Roman" w:cs="Times New Roman"/>
          <w:sz w:val="24"/>
          <w:szCs w:val="24"/>
        </w:rPr>
        <w:t xml:space="preserve"> as a result, making it harder for them to remain in operation. A general duty law, on the other hand, would hold businesses more responsible for the safety of their workers, which would increase workplace safety.</w:t>
      </w:r>
    </w:p>
    <w:p w14:paraId="5FBBABAD" w14:textId="2F96BD76" w:rsidR="0064619D" w:rsidRPr="00DB387E" w:rsidRDefault="0064619D" w:rsidP="0064619D">
      <w:pPr>
        <w:spacing w:after="0" w:line="480" w:lineRule="auto"/>
        <w:jc w:val="both"/>
        <w:rPr>
          <w:rFonts w:ascii="Times New Roman" w:hAnsi="Times New Roman" w:cs="Times New Roman"/>
          <w:sz w:val="24"/>
          <w:szCs w:val="24"/>
        </w:rPr>
      </w:pPr>
      <w:r w:rsidRPr="00DB387E">
        <w:rPr>
          <w:rFonts w:ascii="Times New Roman" w:hAnsi="Times New Roman" w:cs="Times New Roman"/>
          <w:sz w:val="24"/>
          <w:szCs w:val="24"/>
        </w:rPr>
        <w:t>There will be some situations where a failure to act could have severe consequences for members of the public and society as a whole and it is therefore important that business organizations can be prosecuted for their failure to act.  They have the resources to deal with dangerous situations and to protect the public. Furthermore, the existence of any such duty might raise standards and have a wider benefit to society in general.</w:t>
      </w:r>
    </w:p>
    <w:p w14:paraId="44EF1289" w14:textId="22A6F43A" w:rsidR="007439BA" w:rsidRPr="00DB387E" w:rsidRDefault="007439BA" w:rsidP="0064619D">
      <w:pPr>
        <w:spacing w:after="0" w:line="480" w:lineRule="auto"/>
        <w:jc w:val="both"/>
        <w:rPr>
          <w:rFonts w:ascii="Times New Roman" w:hAnsi="Times New Roman" w:cs="Times New Roman"/>
          <w:sz w:val="24"/>
          <w:szCs w:val="24"/>
        </w:rPr>
      </w:pPr>
    </w:p>
    <w:p w14:paraId="79F42278" w14:textId="7380BE82" w:rsidR="007439BA" w:rsidRPr="00DB387E" w:rsidRDefault="007439BA" w:rsidP="0064619D">
      <w:pPr>
        <w:spacing w:after="0" w:line="480" w:lineRule="auto"/>
        <w:jc w:val="both"/>
        <w:rPr>
          <w:rFonts w:ascii="Times New Roman" w:hAnsi="Times New Roman" w:cs="Times New Roman"/>
          <w:sz w:val="24"/>
          <w:szCs w:val="24"/>
        </w:rPr>
      </w:pPr>
      <w:r w:rsidRPr="00DB387E">
        <w:rPr>
          <w:rFonts w:ascii="Times New Roman" w:hAnsi="Times New Roman" w:cs="Times New Roman"/>
          <w:sz w:val="24"/>
          <w:szCs w:val="24"/>
        </w:rPr>
        <w:t>There is no general duty to act law in place. For example, if you saw a crime being committed you have no duty to act upon it if you didn’t want to. Even though situations like this are frowned upon and most people’s natural instinct of helping will kick in. You would not be held in a court of law for failing to act upon any crime you see being committed. So, in conclusion you would only be held liable if you had a duty to act for example being a public servant like a police officer.</w:t>
      </w:r>
    </w:p>
    <w:p w14:paraId="04EC77E5" w14:textId="7EC03AA5" w:rsidR="007439BA" w:rsidRPr="007439BA" w:rsidRDefault="00150FA2">
      <w:pPr>
        <w:rPr>
          <w:rFonts w:ascii="Times New Roman" w:hAnsi="Times New Roman" w:cs="Times New Roman"/>
          <w:sz w:val="24"/>
          <w:szCs w:val="24"/>
        </w:rPr>
      </w:pPr>
      <w:r w:rsidRPr="00DB387E">
        <w:rPr>
          <w:rFonts w:ascii="Times New Roman" w:hAnsi="Times New Roman" w:cs="Times New Roman"/>
          <w:sz w:val="24"/>
          <w:szCs w:val="24"/>
        </w:rPr>
        <w:br w:type="page"/>
      </w:r>
    </w:p>
    <w:p w14:paraId="24482D16" w14:textId="1A22AE68" w:rsidR="0060460A" w:rsidRPr="00150FA2" w:rsidRDefault="0060460A" w:rsidP="00150FA2">
      <w:pPr>
        <w:spacing w:after="0" w:line="480" w:lineRule="auto"/>
        <w:ind w:firstLine="720"/>
        <w:jc w:val="center"/>
        <w:rPr>
          <w:rFonts w:ascii="Times New Roman" w:hAnsi="Times New Roman" w:cs="Times New Roman"/>
          <w:b/>
          <w:bCs/>
          <w:sz w:val="24"/>
          <w:szCs w:val="24"/>
        </w:rPr>
      </w:pPr>
      <w:r w:rsidRPr="00150FA2">
        <w:rPr>
          <w:rFonts w:ascii="Times New Roman" w:hAnsi="Times New Roman" w:cs="Times New Roman"/>
          <w:b/>
          <w:bCs/>
          <w:sz w:val="24"/>
          <w:szCs w:val="24"/>
        </w:rPr>
        <w:lastRenderedPageBreak/>
        <w:t>References</w:t>
      </w:r>
    </w:p>
    <w:p w14:paraId="2AF6EAA5" w14:textId="77777777" w:rsidR="00703669" w:rsidRPr="003A5006" w:rsidRDefault="00000000" w:rsidP="00150FA2">
      <w:pPr>
        <w:spacing w:after="0" w:line="480" w:lineRule="auto"/>
        <w:jc w:val="both"/>
        <w:rPr>
          <w:rFonts w:ascii="Times New Roman" w:hAnsi="Times New Roman" w:cs="Times New Roman"/>
          <w:i/>
          <w:iCs/>
          <w:color w:val="222222"/>
          <w:sz w:val="24"/>
          <w:szCs w:val="24"/>
          <w:shd w:val="clear" w:color="auto" w:fill="FFFFFF"/>
        </w:rPr>
      </w:pPr>
      <w:sdt>
        <w:sdtPr>
          <w:rPr>
            <w:rFonts w:ascii="Times New Roman" w:hAnsi="Times New Roman" w:cs="Times New Roman"/>
            <w:i/>
            <w:iCs/>
            <w:color w:val="222222"/>
            <w:sz w:val="24"/>
            <w:szCs w:val="24"/>
            <w:shd w:val="clear" w:color="auto" w:fill="FFFFFF"/>
          </w:rPr>
          <w:id w:val="1944655458"/>
          <w:citation/>
        </w:sdtPr>
        <w:sdtContent>
          <w:r w:rsidR="00703669" w:rsidRPr="003A5006">
            <w:rPr>
              <w:rFonts w:ascii="Times New Roman" w:hAnsi="Times New Roman" w:cs="Times New Roman"/>
              <w:i/>
              <w:iCs/>
              <w:color w:val="222222"/>
              <w:sz w:val="24"/>
              <w:szCs w:val="24"/>
              <w:shd w:val="clear" w:color="auto" w:fill="FFFFFF"/>
            </w:rPr>
            <w:fldChar w:fldCharType="begin"/>
          </w:r>
          <w:r w:rsidR="00703669" w:rsidRPr="003A5006">
            <w:rPr>
              <w:rFonts w:ascii="Times New Roman" w:hAnsi="Times New Roman" w:cs="Times New Roman"/>
              <w:i/>
              <w:iCs/>
              <w:color w:val="222222"/>
              <w:sz w:val="24"/>
              <w:szCs w:val="24"/>
              <w:shd w:val="clear" w:color="auto" w:fill="FFFFFF"/>
              <w:lang w:val="en-GB"/>
            </w:rPr>
            <w:instrText xml:space="preserve"> CITATION Air93 \l 2057 </w:instrText>
          </w:r>
          <w:r w:rsidR="00703669" w:rsidRPr="003A5006">
            <w:rPr>
              <w:rFonts w:ascii="Times New Roman" w:hAnsi="Times New Roman" w:cs="Times New Roman"/>
              <w:i/>
              <w:iCs/>
              <w:color w:val="222222"/>
              <w:sz w:val="24"/>
              <w:szCs w:val="24"/>
              <w:shd w:val="clear" w:color="auto" w:fill="FFFFFF"/>
            </w:rPr>
            <w:fldChar w:fldCharType="separate"/>
          </w:r>
          <w:r w:rsidR="00703669" w:rsidRPr="003A5006">
            <w:rPr>
              <w:rFonts w:ascii="Times New Roman" w:hAnsi="Times New Roman" w:cs="Times New Roman"/>
              <w:i/>
              <w:iCs/>
              <w:noProof/>
              <w:color w:val="222222"/>
              <w:sz w:val="24"/>
              <w:szCs w:val="24"/>
              <w:shd w:val="clear" w:color="auto" w:fill="FFFFFF"/>
              <w:lang w:val="en-GB"/>
            </w:rPr>
            <w:t>(Airedale National Health Service Trust v. Bland, 2 W.L.R. 316 (1993)., 1993)</w:t>
          </w:r>
          <w:r w:rsidR="00703669" w:rsidRPr="003A5006">
            <w:rPr>
              <w:rFonts w:ascii="Times New Roman" w:hAnsi="Times New Roman" w:cs="Times New Roman"/>
              <w:i/>
              <w:iCs/>
              <w:color w:val="222222"/>
              <w:sz w:val="24"/>
              <w:szCs w:val="24"/>
              <w:shd w:val="clear" w:color="auto" w:fill="FFFFFF"/>
            </w:rPr>
            <w:fldChar w:fldCharType="end"/>
          </w:r>
        </w:sdtContent>
      </w:sdt>
    </w:p>
    <w:p w14:paraId="04DC730D" w14:textId="3789CEDC" w:rsidR="00703669" w:rsidRPr="003A5006" w:rsidRDefault="00000000" w:rsidP="00150FA2">
      <w:pPr>
        <w:spacing w:after="0" w:line="480" w:lineRule="auto"/>
        <w:jc w:val="both"/>
        <w:rPr>
          <w:rFonts w:ascii="Times New Roman" w:hAnsi="Times New Roman" w:cs="Times New Roman"/>
          <w:i/>
          <w:iCs/>
          <w:color w:val="222222"/>
          <w:sz w:val="24"/>
          <w:szCs w:val="24"/>
          <w:shd w:val="clear" w:color="auto" w:fill="FFFFFF"/>
        </w:rPr>
      </w:pPr>
      <w:sdt>
        <w:sdtPr>
          <w:rPr>
            <w:rFonts w:ascii="Times New Roman" w:hAnsi="Times New Roman" w:cs="Times New Roman"/>
            <w:i/>
            <w:iCs/>
            <w:color w:val="222222"/>
            <w:sz w:val="24"/>
            <w:szCs w:val="24"/>
            <w:shd w:val="clear" w:color="auto" w:fill="FFFFFF"/>
          </w:rPr>
          <w:id w:val="-264302477"/>
          <w:citation/>
        </w:sdtPr>
        <w:sdtContent>
          <w:r w:rsidR="00703669" w:rsidRPr="003A5006">
            <w:rPr>
              <w:rFonts w:ascii="Times New Roman" w:hAnsi="Times New Roman" w:cs="Times New Roman"/>
              <w:i/>
              <w:iCs/>
              <w:color w:val="222222"/>
              <w:sz w:val="24"/>
              <w:szCs w:val="24"/>
              <w:shd w:val="clear" w:color="auto" w:fill="FFFFFF"/>
            </w:rPr>
            <w:fldChar w:fldCharType="begin"/>
          </w:r>
          <w:r w:rsidR="00703669" w:rsidRPr="003A5006">
            <w:rPr>
              <w:rFonts w:ascii="Times New Roman" w:hAnsi="Times New Roman" w:cs="Times New Roman"/>
              <w:i/>
              <w:iCs/>
              <w:color w:val="222222"/>
              <w:sz w:val="24"/>
              <w:szCs w:val="24"/>
              <w:shd w:val="clear" w:color="auto" w:fill="FFFFFF"/>
              <w:lang w:val="en-GB"/>
            </w:rPr>
            <w:instrText xml:space="preserve"> CITATION RvD79 \l 2057 </w:instrText>
          </w:r>
          <w:r w:rsidR="00703669" w:rsidRPr="003A5006">
            <w:rPr>
              <w:rFonts w:ascii="Times New Roman" w:hAnsi="Times New Roman" w:cs="Times New Roman"/>
              <w:i/>
              <w:iCs/>
              <w:color w:val="222222"/>
              <w:sz w:val="24"/>
              <w:szCs w:val="24"/>
              <w:shd w:val="clear" w:color="auto" w:fill="FFFFFF"/>
            </w:rPr>
            <w:fldChar w:fldCharType="separate"/>
          </w:r>
          <w:r w:rsidR="00703669" w:rsidRPr="003A5006">
            <w:rPr>
              <w:rFonts w:ascii="Times New Roman" w:hAnsi="Times New Roman" w:cs="Times New Roman"/>
              <w:i/>
              <w:iCs/>
              <w:noProof/>
              <w:color w:val="222222"/>
              <w:sz w:val="24"/>
              <w:szCs w:val="24"/>
              <w:shd w:val="clear" w:color="auto" w:fill="FFFFFF"/>
              <w:lang w:val="en-GB"/>
            </w:rPr>
            <w:t>(R v. Dytham, 1979 Q.B. 722 (1979)., 1979)</w:t>
          </w:r>
          <w:r w:rsidR="00703669" w:rsidRPr="003A5006">
            <w:rPr>
              <w:rFonts w:ascii="Times New Roman" w:hAnsi="Times New Roman" w:cs="Times New Roman"/>
              <w:i/>
              <w:iCs/>
              <w:color w:val="222222"/>
              <w:sz w:val="24"/>
              <w:szCs w:val="24"/>
              <w:shd w:val="clear" w:color="auto" w:fill="FFFFFF"/>
            </w:rPr>
            <w:fldChar w:fldCharType="end"/>
          </w:r>
        </w:sdtContent>
      </w:sdt>
    </w:p>
    <w:p w14:paraId="7FF65C5C" w14:textId="58138095" w:rsidR="0060460A" w:rsidRPr="003A5006" w:rsidRDefault="00000000" w:rsidP="0060460A">
      <w:pPr>
        <w:rPr>
          <w:rFonts w:ascii="Times New Roman" w:hAnsi="Times New Roman" w:cs="Times New Roman"/>
          <w:i/>
          <w:iCs/>
          <w:sz w:val="24"/>
          <w:szCs w:val="24"/>
        </w:rPr>
      </w:pPr>
      <w:sdt>
        <w:sdtPr>
          <w:rPr>
            <w:rFonts w:ascii="Times New Roman" w:hAnsi="Times New Roman" w:cs="Times New Roman"/>
            <w:i/>
            <w:iCs/>
            <w:sz w:val="24"/>
            <w:szCs w:val="24"/>
          </w:rPr>
          <w:id w:val="-1842303564"/>
          <w:citation/>
        </w:sdtPr>
        <w:sdtContent>
          <w:r w:rsidR="00703669" w:rsidRPr="003A5006">
            <w:rPr>
              <w:rFonts w:ascii="Times New Roman" w:hAnsi="Times New Roman" w:cs="Times New Roman"/>
              <w:i/>
              <w:iCs/>
              <w:sz w:val="24"/>
              <w:szCs w:val="24"/>
            </w:rPr>
            <w:fldChar w:fldCharType="begin"/>
          </w:r>
          <w:r w:rsidR="00703669" w:rsidRPr="003A5006">
            <w:rPr>
              <w:rFonts w:ascii="Times New Roman" w:hAnsi="Times New Roman" w:cs="Times New Roman"/>
              <w:i/>
              <w:iCs/>
              <w:color w:val="222222"/>
              <w:sz w:val="24"/>
              <w:szCs w:val="24"/>
              <w:shd w:val="clear" w:color="auto" w:fill="FFFFFF"/>
              <w:lang w:val="en-GB"/>
            </w:rPr>
            <w:instrText xml:space="preserve"> CITATION USv95 \l 2057 </w:instrText>
          </w:r>
          <w:r w:rsidR="00703669" w:rsidRPr="003A5006">
            <w:rPr>
              <w:rFonts w:ascii="Times New Roman" w:hAnsi="Times New Roman" w:cs="Times New Roman"/>
              <w:i/>
              <w:iCs/>
              <w:sz w:val="24"/>
              <w:szCs w:val="24"/>
            </w:rPr>
            <w:fldChar w:fldCharType="separate"/>
          </w:r>
          <w:r w:rsidR="00703669" w:rsidRPr="003A5006">
            <w:rPr>
              <w:rFonts w:ascii="Times New Roman" w:hAnsi="Times New Roman" w:cs="Times New Roman"/>
              <w:i/>
              <w:iCs/>
              <w:noProof/>
              <w:color w:val="222222"/>
              <w:sz w:val="24"/>
              <w:szCs w:val="24"/>
              <w:shd w:val="clear" w:color="auto" w:fill="FFFFFF"/>
              <w:lang w:val="en-GB"/>
            </w:rPr>
            <w:t>(US v. Wacker, 72 F.3d 1453 (10th Cir. 1995)., 1995)</w:t>
          </w:r>
          <w:r w:rsidR="00703669" w:rsidRPr="003A5006">
            <w:rPr>
              <w:rFonts w:ascii="Times New Roman" w:hAnsi="Times New Roman" w:cs="Times New Roman"/>
              <w:i/>
              <w:iCs/>
              <w:sz w:val="24"/>
              <w:szCs w:val="24"/>
            </w:rPr>
            <w:fldChar w:fldCharType="end"/>
          </w:r>
        </w:sdtContent>
      </w:sdt>
    </w:p>
    <w:p w14:paraId="7F38BEAC" w14:textId="64B12959" w:rsidR="003A5006" w:rsidRDefault="00000000" w:rsidP="0060460A">
      <w:pPr>
        <w:rPr>
          <w:rFonts w:ascii="Times New Roman" w:hAnsi="Times New Roman" w:cs="Times New Roman"/>
          <w:i/>
          <w:iCs/>
          <w:sz w:val="24"/>
          <w:szCs w:val="24"/>
        </w:rPr>
      </w:pPr>
      <w:sdt>
        <w:sdtPr>
          <w:rPr>
            <w:rFonts w:ascii="Times New Roman" w:hAnsi="Times New Roman" w:cs="Times New Roman"/>
            <w:i/>
            <w:iCs/>
            <w:sz w:val="24"/>
            <w:szCs w:val="24"/>
          </w:rPr>
          <w:id w:val="-1795665305"/>
          <w:citation/>
        </w:sdtPr>
        <w:sdtContent>
          <w:r w:rsidR="003A5006" w:rsidRPr="003A5006">
            <w:rPr>
              <w:rFonts w:ascii="Times New Roman" w:hAnsi="Times New Roman" w:cs="Times New Roman"/>
              <w:i/>
              <w:iCs/>
              <w:sz w:val="24"/>
              <w:szCs w:val="24"/>
            </w:rPr>
            <w:fldChar w:fldCharType="begin"/>
          </w:r>
          <w:r w:rsidR="003A5006" w:rsidRPr="003A5006">
            <w:rPr>
              <w:rFonts w:ascii="Times New Roman" w:hAnsi="Times New Roman" w:cs="Times New Roman"/>
              <w:i/>
              <w:iCs/>
              <w:sz w:val="24"/>
              <w:szCs w:val="24"/>
              <w:lang w:val="en-GB"/>
            </w:rPr>
            <w:instrText xml:space="preserve"> CITATION htt051 \l 2057 </w:instrText>
          </w:r>
          <w:r w:rsidR="003A5006" w:rsidRPr="003A5006">
            <w:rPr>
              <w:rFonts w:ascii="Times New Roman" w:hAnsi="Times New Roman" w:cs="Times New Roman"/>
              <w:i/>
              <w:iCs/>
              <w:sz w:val="24"/>
              <w:szCs w:val="24"/>
            </w:rPr>
            <w:fldChar w:fldCharType="separate"/>
          </w:r>
          <w:r w:rsidR="003A5006" w:rsidRPr="003A5006">
            <w:rPr>
              <w:rFonts w:ascii="Times New Roman" w:hAnsi="Times New Roman" w:cs="Times New Roman"/>
              <w:i/>
              <w:iCs/>
              <w:noProof/>
              <w:sz w:val="24"/>
              <w:szCs w:val="24"/>
              <w:lang w:val="en-GB"/>
            </w:rPr>
            <w:t>(https://www.lccsa.org.uk/r-v-mohammed-yaqoob-2005/, 2005)</w:t>
          </w:r>
          <w:r w:rsidR="003A5006" w:rsidRPr="003A5006">
            <w:rPr>
              <w:rFonts w:ascii="Times New Roman" w:hAnsi="Times New Roman" w:cs="Times New Roman"/>
              <w:i/>
              <w:iCs/>
              <w:sz w:val="24"/>
              <w:szCs w:val="24"/>
            </w:rPr>
            <w:fldChar w:fldCharType="end"/>
          </w:r>
        </w:sdtContent>
      </w:sdt>
    </w:p>
    <w:p w14:paraId="7B8C2DAB" w14:textId="77777777" w:rsidR="00C660D4" w:rsidRPr="00C660D4" w:rsidRDefault="00000000" w:rsidP="0060460A">
      <w:pPr>
        <w:rPr>
          <w:rFonts w:ascii="Times New Roman" w:hAnsi="Times New Roman" w:cs="Times New Roman"/>
          <w:i/>
          <w:iCs/>
          <w:sz w:val="24"/>
          <w:szCs w:val="24"/>
        </w:rPr>
      </w:pPr>
      <w:sdt>
        <w:sdtPr>
          <w:rPr>
            <w:rFonts w:ascii="Times New Roman" w:hAnsi="Times New Roman" w:cs="Times New Roman"/>
            <w:i/>
            <w:iCs/>
            <w:sz w:val="24"/>
            <w:szCs w:val="24"/>
          </w:rPr>
          <w:id w:val="-1338376074"/>
          <w:citation/>
        </w:sdtPr>
        <w:sdtContent>
          <w:r w:rsidR="00C660D4" w:rsidRPr="00C660D4">
            <w:rPr>
              <w:rFonts w:ascii="Times New Roman" w:hAnsi="Times New Roman" w:cs="Times New Roman"/>
              <w:i/>
              <w:iCs/>
              <w:sz w:val="24"/>
              <w:szCs w:val="24"/>
            </w:rPr>
            <w:fldChar w:fldCharType="begin"/>
          </w:r>
          <w:r w:rsidR="00C660D4" w:rsidRPr="00C660D4">
            <w:rPr>
              <w:rFonts w:ascii="Times New Roman" w:hAnsi="Times New Roman" w:cs="Times New Roman"/>
              <w:i/>
              <w:iCs/>
              <w:sz w:val="24"/>
              <w:szCs w:val="24"/>
              <w:lang w:val="en-GB"/>
            </w:rPr>
            <w:instrText xml:space="preserve"> CITATION htt91 \l 2057 </w:instrText>
          </w:r>
          <w:r w:rsidR="00C660D4" w:rsidRPr="00C660D4">
            <w:rPr>
              <w:rFonts w:ascii="Times New Roman" w:hAnsi="Times New Roman" w:cs="Times New Roman"/>
              <w:i/>
              <w:iCs/>
              <w:sz w:val="24"/>
              <w:szCs w:val="24"/>
            </w:rPr>
            <w:fldChar w:fldCharType="separate"/>
          </w:r>
          <w:r w:rsidR="00C660D4" w:rsidRPr="00C660D4">
            <w:rPr>
              <w:rFonts w:ascii="Times New Roman" w:hAnsi="Times New Roman" w:cs="Times New Roman"/>
              <w:i/>
              <w:iCs/>
              <w:noProof/>
              <w:sz w:val="24"/>
              <w:szCs w:val="24"/>
              <w:lang w:val="en-GB"/>
            </w:rPr>
            <w:t>(https://lawprof.co/contract/contract-formation-cases/gibbons-v-proctor-1891-64-lt-594/, 1891)</w:t>
          </w:r>
          <w:r w:rsidR="00C660D4" w:rsidRPr="00C660D4">
            <w:rPr>
              <w:rFonts w:ascii="Times New Roman" w:hAnsi="Times New Roman" w:cs="Times New Roman"/>
              <w:i/>
              <w:iCs/>
              <w:sz w:val="24"/>
              <w:szCs w:val="24"/>
            </w:rPr>
            <w:fldChar w:fldCharType="end"/>
          </w:r>
        </w:sdtContent>
      </w:sdt>
    </w:p>
    <w:sectPr w:rsidR="00C660D4" w:rsidRPr="00C660D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689B7B" w14:textId="77777777" w:rsidR="00227768" w:rsidRDefault="00227768" w:rsidP="000D2108">
      <w:pPr>
        <w:spacing w:after="0" w:line="240" w:lineRule="auto"/>
      </w:pPr>
      <w:r>
        <w:separator/>
      </w:r>
    </w:p>
  </w:endnote>
  <w:endnote w:type="continuationSeparator" w:id="0">
    <w:p w14:paraId="6B0777AB" w14:textId="77777777" w:rsidR="00227768" w:rsidRDefault="00227768" w:rsidP="000D21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EF484" w14:textId="77777777" w:rsidR="00227768" w:rsidRDefault="00227768" w:rsidP="000D2108">
      <w:pPr>
        <w:spacing w:after="0" w:line="240" w:lineRule="auto"/>
      </w:pPr>
      <w:r>
        <w:separator/>
      </w:r>
    </w:p>
  </w:footnote>
  <w:footnote w:type="continuationSeparator" w:id="0">
    <w:p w14:paraId="3B225BDE" w14:textId="77777777" w:rsidR="00227768" w:rsidRDefault="00227768" w:rsidP="000D21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7A60BB"/>
    <w:multiLevelType w:val="multilevel"/>
    <w:tmpl w:val="60981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71173013">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I1N7c0NTM1sDQ3NTRT0lEKTi0uzszPAykwqgUAF6e3bywAAAA="/>
  </w:docVars>
  <w:rsids>
    <w:rsidRoot w:val="009F33DB"/>
    <w:rsid w:val="000308FB"/>
    <w:rsid w:val="00071A6C"/>
    <w:rsid w:val="000832CD"/>
    <w:rsid w:val="000B7997"/>
    <w:rsid w:val="000C086A"/>
    <w:rsid w:val="000D2108"/>
    <w:rsid w:val="000E7B7E"/>
    <w:rsid w:val="000E7C4F"/>
    <w:rsid w:val="00150FA2"/>
    <w:rsid w:val="00227768"/>
    <w:rsid w:val="00253F63"/>
    <w:rsid w:val="002921DA"/>
    <w:rsid w:val="00345398"/>
    <w:rsid w:val="003A5006"/>
    <w:rsid w:val="004172E8"/>
    <w:rsid w:val="00476274"/>
    <w:rsid w:val="004E041F"/>
    <w:rsid w:val="004E1918"/>
    <w:rsid w:val="005152F9"/>
    <w:rsid w:val="00517F83"/>
    <w:rsid w:val="005763EA"/>
    <w:rsid w:val="0060460A"/>
    <w:rsid w:val="0064619D"/>
    <w:rsid w:val="006867CA"/>
    <w:rsid w:val="006C7E14"/>
    <w:rsid w:val="00703669"/>
    <w:rsid w:val="00727A7E"/>
    <w:rsid w:val="007439BA"/>
    <w:rsid w:val="00804327"/>
    <w:rsid w:val="008242F6"/>
    <w:rsid w:val="00893290"/>
    <w:rsid w:val="008F4A16"/>
    <w:rsid w:val="009B03EA"/>
    <w:rsid w:val="009F33DB"/>
    <w:rsid w:val="00A3669F"/>
    <w:rsid w:val="00B00505"/>
    <w:rsid w:val="00C660D4"/>
    <w:rsid w:val="00D75939"/>
    <w:rsid w:val="00DB387E"/>
    <w:rsid w:val="00DC0069"/>
    <w:rsid w:val="00DF306C"/>
    <w:rsid w:val="00E2252C"/>
    <w:rsid w:val="00E8408D"/>
    <w:rsid w:val="00F110D0"/>
    <w:rsid w:val="00F343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661D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0E7B7E"/>
    <w:pPr>
      <w:keepNext/>
      <w:spacing w:after="0" w:line="240" w:lineRule="auto"/>
      <w:jc w:val="both"/>
      <w:outlineLvl w:val="1"/>
    </w:pPr>
    <w:rPr>
      <w:rFonts w:ascii="Times New Roman" w:eastAsia="Times New Roman" w:hAnsi="Times New Roman" w:cs="Times New Roman"/>
      <w:b/>
      <w:sz w:val="24"/>
      <w:szCs w:val="24"/>
      <w:lang w:val="en-GB" w:eastAsia="zh-CN"/>
    </w:rPr>
  </w:style>
  <w:style w:type="paragraph" w:styleId="Heading4">
    <w:name w:val="heading 4"/>
    <w:basedOn w:val="Normal"/>
    <w:next w:val="Normal"/>
    <w:link w:val="Heading4Char"/>
    <w:uiPriority w:val="9"/>
    <w:semiHidden/>
    <w:unhideWhenUsed/>
    <w:qFormat/>
    <w:rsid w:val="000E7B7E"/>
    <w:pPr>
      <w:keepNext/>
      <w:spacing w:before="120" w:after="120" w:line="240" w:lineRule="auto"/>
      <w:jc w:val="center"/>
      <w:outlineLvl w:val="3"/>
    </w:pPr>
    <w:rPr>
      <w:rFonts w:ascii="Times New Roman" w:eastAsia="Times New Roman" w:hAnsi="Times New Roman" w:cs="Times New Roman"/>
      <w:sz w:val="40"/>
      <w:szCs w:val="4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
    <w:name w:val="t"/>
    <w:basedOn w:val="DefaultParagraphFont"/>
    <w:rsid w:val="00476274"/>
  </w:style>
  <w:style w:type="paragraph" w:styleId="Header">
    <w:name w:val="header"/>
    <w:basedOn w:val="Normal"/>
    <w:link w:val="HeaderChar"/>
    <w:uiPriority w:val="99"/>
    <w:unhideWhenUsed/>
    <w:rsid w:val="000D21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2108"/>
  </w:style>
  <w:style w:type="paragraph" w:styleId="Footer">
    <w:name w:val="footer"/>
    <w:basedOn w:val="Normal"/>
    <w:link w:val="FooterChar"/>
    <w:uiPriority w:val="99"/>
    <w:unhideWhenUsed/>
    <w:rsid w:val="000D21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2108"/>
  </w:style>
  <w:style w:type="character" w:customStyle="1" w:styleId="Heading2Char">
    <w:name w:val="Heading 2 Char"/>
    <w:basedOn w:val="DefaultParagraphFont"/>
    <w:link w:val="Heading2"/>
    <w:uiPriority w:val="9"/>
    <w:semiHidden/>
    <w:rsid w:val="000E7B7E"/>
    <w:rPr>
      <w:rFonts w:ascii="Times New Roman" w:eastAsia="Times New Roman" w:hAnsi="Times New Roman" w:cs="Times New Roman"/>
      <w:b/>
      <w:sz w:val="24"/>
      <w:szCs w:val="24"/>
      <w:lang w:val="en-GB" w:eastAsia="zh-CN"/>
    </w:rPr>
  </w:style>
  <w:style w:type="character" w:customStyle="1" w:styleId="Heading4Char">
    <w:name w:val="Heading 4 Char"/>
    <w:basedOn w:val="DefaultParagraphFont"/>
    <w:link w:val="Heading4"/>
    <w:uiPriority w:val="9"/>
    <w:semiHidden/>
    <w:rsid w:val="000E7B7E"/>
    <w:rPr>
      <w:rFonts w:ascii="Times New Roman" w:eastAsia="Times New Roman" w:hAnsi="Times New Roman" w:cs="Times New Roman"/>
      <w:sz w:val="40"/>
      <w:szCs w:val="40"/>
      <w:lang w:val="en-GB" w:eastAsia="zh-CN"/>
    </w:rPr>
  </w:style>
  <w:style w:type="character" w:styleId="Emphasis">
    <w:name w:val="Emphasis"/>
    <w:basedOn w:val="DefaultParagraphFont"/>
    <w:uiPriority w:val="20"/>
    <w:qFormat/>
    <w:rsid w:val="00A3669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504345">
      <w:bodyDiv w:val="1"/>
      <w:marLeft w:val="0"/>
      <w:marRight w:val="0"/>
      <w:marTop w:val="0"/>
      <w:marBottom w:val="0"/>
      <w:divBdr>
        <w:top w:val="none" w:sz="0" w:space="0" w:color="auto"/>
        <w:left w:val="none" w:sz="0" w:space="0" w:color="auto"/>
        <w:bottom w:val="none" w:sz="0" w:space="0" w:color="auto"/>
        <w:right w:val="none" w:sz="0" w:space="0" w:color="auto"/>
      </w:divBdr>
    </w:div>
    <w:div w:id="98836993">
      <w:bodyDiv w:val="1"/>
      <w:marLeft w:val="0"/>
      <w:marRight w:val="0"/>
      <w:marTop w:val="0"/>
      <w:marBottom w:val="0"/>
      <w:divBdr>
        <w:top w:val="none" w:sz="0" w:space="0" w:color="auto"/>
        <w:left w:val="none" w:sz="0" w:space="0" w:color="auto"/>
        <w:bottom w:val="none" w:sz="0" w:space="0" w:color="auto"/>
        <w:right w:val="none" w:sz="0" w:space="0" w:color="auto"/>
      </w:divBdr>
    </w:div>
    <w:div w:id="172496452">
      <w:bodyDiv w:val="1"/>
      <w:marLeft w:val="0"/>
      <w:marRight w:val="0"/>
      <w:marTop w:val="0"/>
      <w:marBottom w:val="0"/>
      <w:divBdr>
        <w:top w:val="none" w:sz="0" w:space="0" w:color="auto"/>
        <w:left w:val="none" w:sz="0" w:space="0" w:color="auto"/>
        <w:bottom w:val="none" w:sz="0" w:space="0" w:color="auto"/>
        <w:right w:val="none" w:sz="0" w:space="0" w:color="auto"/>
      </w:divBdr>
    </w:div>
    <w:div w:id="489368060">
      <w:bodyDiv w:val="1"/>
      <w:marLeft w:val="0"/>
      <w:marRight w:val="0"/>
      <w:marTop w:val="0"/>
      <w:marBottom w:val="0"/>
      <w:divBdr>
        <w:top w:val="none" w:sz="0" w:space="0" w:color="auto"/>
        <w:left w:val="none" w:sz="0" w:space="0" w:color="auto"/>
        <w:bottom w:val="none" w:sz="0" w:space="0" w:color="auto"/>
        <w:right w:val="none" w:sz="0" w:space="0" w:color="auto"/>
      </w:divBdr>
    </w:div>
    <w:div w:id="565453534">
      <w:bodyDiv w:val="1"/>
      <w:marLeft w:val="0"/>
      <w:marRight w:val="0"/>
      <w:marTop w:val="0"/>
      <w:marBottom w:val="0"/>
      <w:divBdr>
        <w:top w:val="none" w:sz="0" w:space="0" w:color="auto"/>
        <w:left w:val="none" w:sz="0" w:space="0" w:color="auto"/>
        <w:bottom w:val="none" w:sz="0" w:space="0" w:color="auto"/>
        <w:right w:val="none" w:sz="0" w:space="0" w:color="auto"/>
      </w:divBdr>
    </w:div>
    <w:div w:id="1026714683">
      <w:bodyDiv w:val="1"/>
      <w:marLeft w:val="0"/>
      <w:marRight w:val="0"/>
      <w:marTop w:val="0"/>
      <w:marBottom w:val="0"/>
      <w:divBdr>
        <w:top w:val="none" w:sz="0" w:space="0" w:color="auto"/>
        <w:left w:val="none" w:sz="0" w:space="0" w:color="auto"/>
        <w:bottom w:val="none" w:sz="0" w:space="0" w:color="auto"/>
        <w:right w:val="none" w:sz="0" w:space="0" w:color="auto"/>
      </w:divBdr>
    </w:div>
    <w:div w:id="1371765407">
      <w:bodyDiv w:val="1"/>
      <w:marLeft w:val="0"/>
      <w:marRight w:val="0"/>
      <w:marTop w:val="0"/>
      <w:marBottom w:val="0"/>
      <w:divBdr>
        <w:top w:val="none" w:sz="0" w:space="0" w:color="auto"/>
        <w:left w:val="none" w:sz="0" w:space="0" w:color="auto"/>
        <w:bottom w:val="none" w:sz="0" w:space="0" w:color="auto"/>
        <w:right w:val="none" w:sz="0" w:space="0" w:color="auto"/>
      </w:divBdr>
    </w:div>
    <w:div w:id="1400983916">
      <w:bodyDiv w:val="1"/>
      <w:marLeft w:val="0"/>
      <w:marRight w:val="0"/>
      <w:marTop w:val="0"/>
      <w:marBottom w:val="0"/>
      <w:divBdr>
        <w:top w:val="none" w:sz="0" w:space="0" w:color="auto"/>
        <w:left w:val="none" w:sz="0" w:space="0" w:color="auto"/>
        <w:bottom w:val="none" w:sz="0" w:space="0" w:color="auto"/>
        <w:right w:val="none" w:sz="0" w:space="0" w:color="auto"/>
      </w:divBdr>
    </w:div>
    <w:div w:id="1427923938">
      <w:bodyDiv w:val="1"/>
      <w:marLeft w:val="0"/>
      <w:marRight w:val="0"/>
      <w:marTop w:val="0"/>
      <w:marBottom w:val="0"/>
      <w:divBdr>
        <w:top w:val="none" w:sz="0" w:space="0" w:color="auto"/>
        <w:left w:val="none" w:sz="0" w:space="0" w:color="auto"/>
        <w:bottom w:val="none" w:sz="0" w:space="0" w:color="auto"/>
        <w:right w:val="none" w:sz="0" w:space="0" w:color="auto"/>
      </w:divBdr>
    </w:div>
    <w:div w:id="1572038229">
      <w:bodyDiv w:val="1"/>
      <w:marLeft w:val="0"/>
      <w:marRight w:val="0"/>
      <w:marTop w:val="0"/>
      <w:marBottom w:val="0"/>
      <w:divBdr>
        <w:top w:val="none" w:sz="0" w:space="0" w:color="auto"/>
        <w:left w:val="none" w:sz="0" w:space="0" w:color="auto"/>
        <w:bottom w:val="none" w:sz="0" w:space="0" w:color="auto"/>
        <w:right w:val="none" w:sz="0" w:space="0" w:color="auto"/>
      </w:divBdr>
    </w:div>
    <w:div w:id="1674912934">
      <w:bodyDiv w:val="1"/>
      <w:marLeft w:val="0"/>
      <w:marRight w:val="0"/>
      <w:marTop w:val="0"/>
      <w:marBottom w:val="0"/>
      <w:divBdr>
        <w:top w:val="none" w:sz="0" w:space="0" w:color="auto"/>
        <w:left w:val="none" w:sz="0" w:space="0" w:color="auto"/>
        <w:bottom w:val="none" w:sz="0" w:space="0" w:color="auto"/>
        <w:right w:val="none" w:sz="0" w:space="0" w:color="auto"/>
      </w:divBdr>
    </w:div>
    <w:div w:id="1739590386">
      <w:bodyDiv w:val="1"/>
      <w:marLeft w:val="0"/>
      <w:marRight w:val="0"/>
      <w:marTop w:val="0"/>
      <w:marBottom w:val="0"/>
      <w:divBdr>
        <w:top w:val="none" w:sz="0" w:space="0" w:color="auto"/>
        <w:left w:val="none" w:sz="0" w:space="0" w:color="auto"/>
        <w:bottom w:val="none" w:sz="0" w:space="0" w:color="auto"/>
        <w:right w:val="none" w:sz="0" w:space="0" w:color="auto"/>
      </w:divBdr>
    </w:div>
    <w:div w:id="1789005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Air93</b:Tag>
    <b:SourceType>Book</b:SourceType>
    <b:Guid>{C362F14C-7D98-4DD5-9060-8C5CEBF739DF}</b:Guid>
    <b:Title>Airedale National Health Service Trust v. Bland, 2 W.L.R. 316 (1993).</b:Title>
    <b:Year>1993</b:Year>
    <b:Author>
      <b:Author>
        <b:Corporate>Airedale National Health Service Trust v. Bland, 2 W.L.R. 316 (1993).</b:Corporate>
      </b:Author>
    </b:Author>
    <b:RefOrder>1</b:RefOrder>
  </b:Source>
  <b:Source>
    <b:Tag>Mil83</b:Tag>
    <b:SourceType>Book</b:SourceType>
    <b:Guid>{980EB11D-20E2-4CA6-9FFA-C0C275B9852B}</b:Guid>
    <b:Author>
      <b:Author>
        <b:Corporate>Miller v. United States, 710 F.2d 656 (10th Cir. 1983).</b:Corporate>
      </b:Author>
    </b:Author>
    <b:Title>Miller v. United States, 710 F.2d 656 (10th Cir. 1983).</b:Title>
    <b:Year>1983</b:Year>
    <b:City>united states</b:City>
    <b:RefOrder>6</b:RefOrder>
  </b:Source>
  <b:Source>
    <b:Tag>RvD79</b:Tag>
    <b:SourceType>Book</b:SourceType>
    <b:Guid>{EA8E3844-4519-4A65-BD35-A47F768D02AE}</b:Guid>
    <b:Author>
      <b:Author>
        <b:Corporate>R v. Dytham, 1979 Q.B. 722 (1979).</b:Corporate>
      </b:Author>
    </b:Author>
    <b:Title>R v. Dytham, 1979 Q.B. 722 (1979).</b:Title>
    <b:Year>1979</b:Year>
    <b:RefOrder>2</b:RefOrder>
  </b:Source>
  <b:Source>
    <b:Tag>RvD791</b:Tag>
    <b:SourceType>Book</b:SourceType>
    <b:Guid>{0BBB0E3B-74E2-41E3-9395-B4573AB70F5D}</b:Guid>
    <b:Author>
      <b:Author>
        <b:Corporate>R v. Dytham, 1979 Q.B. 722 (1979).</b:Corporate>
      </b:Author>
    </b:Author>
    <b:Title>R v. Dytham, 1979 Q.B. 722 (1979).</b:Title>
    <b:Year>1979</b:Year>
    <b:RefOrder>7</b:RefOrder>
  </b:Source>
  <b:Source>
    <b:Tag>USv95</b:Tag>
    <b:SourceType>Book</b:SourceType>
    <b:Guid>{0C71AE4D-9C6A-43EC-8A78-CA9FFEFD7B98}</b:Guid>
    <b:Author>
      <b:Author>
        <b:Corporate>US v. Wacker, 72 F.3d 1453 (10th Cir. 1995).</b:Corporate>
      </b:Author>
    </b:Author>
    <b:Title>US v. Wacker, 72 F.3d 1453 (10th Cir. 1995).</b:Title>
    <b:Year>1995</b:Year>
    <b:RefOrder>3</b:RefOrder>
  </b:Source>
  <b:Source>
    <b:Tag>htt05</b:Tag>
    <b:SourceType>InternetSite</b:SourceType>
    <b:Guid>{8ABC20AC-41F3-45C7-A1F5-30FC0FDFD4D9}</b:Guid>
    <b:Title>https://www.lccsa.org.uk/r-v-mohammed-yaqoob-2005/</b:Title>
    <b:Year>2005</b:Year>
    <b:YearAccessed>2023</b:YearAccessed>
    <b:URL>https://www.lccsa.org.uk/r-v-mohammed-yaqoob-2005/</b:URL>
    <b:RefOrder>8</b:RefOrder>
  </b:Source>
  <b:Source>
    <b:Tag>htt051</b:Tag>
    <b:SourceType>InternetSite</b:SourceType>
    <b:Guid>{940BC3A1-2AB1-4BA9-BB2F-0673C94899C8}</b:Guid>
    <b:Author>
      <b:Author>
        <b:NameList>
          <b:Person>
            <b:Last>https://www.lccsa.org.uk/r-v-mohammed-yaqoob-2005/</b:Last>
          </b:Person>
        </b:NameList>
      </b:Author>
    </b:Author>
    <b:Title>https://www.lccsa.org.uk/r-v-mohammed-yaqoob-2005/</b:Title>
    <b:Year>2005</b:Year>
    <b:YearAccessed>2023</b:YearAccessed>
    <b:MonthAccessed>april</b:MonthAccessed>
    <b:URL>https://www.lccsa.org.uk/r-v-mohammed-yaqoob-2005/</b:URL>
    <b:RefOrder>4</b:RefOrder>
  </b:Source>
  <b:Source>
    <b:Tag>RvY05</b:Tag>
    <b:SourceType>InternetSite</b:SourceType>
    <b:Guid>{DA4719E7-EC36-42D5-A177-ADB59A0AC008}</b:Guid>
    <b:Author>
      <b:Author>
        <b:NameList>
          <b:Person>
            <b:Last>Yaqoob</b:Last>
            <b:First>R</b:First>
            <b:Middle>v</b:Middle>
          </b:Person>
        </b:NameList>
      </b:Author>
    </b:Author>
    <b:Title>https://www.casemine.com/judgement/uk/5b46f23a2c94e0775e7f3d60</b:Title>
    <b:Year>2005</b:Year>
    <b:YearAccessed>2023</b:YearAccessed>
    <b:URL>https://www.casemine.com/judgement/uk/5b46f23a2c94e0775e7f3d60</b:URL>
    <b:RefOrder>9</b:RefOrder>
  </b:Source>
  <b:Source>
    <b:Tag>htt221</b:Tag>
    <b:SourceType>InternetSite</b:SourceType>
    <b:Guid>{7EE371F8-6AE8-48F8-8C5B-2DE525D718A9}</b:Guid>
    <b:Title>https://lawprof.co/contract/contract-formation-cases/gibbons-v-proctor-1891-64-lt-594/</b:Title>
    <b:YearAccessed>2022</b:YearAccessed>
    <b:URL>https://lawprof.co/contract/contract-formation-cases/gibbons-v-proctor-1891-64-lt-594/</b:URL>
    <b:RefOrder>10</b:RefOrder>
  </b:Source>
  <b:Source>
    <b:Tag>htt91</b:Tag>
    <b:SourceType>InternetSite</b:SourceType>
    <b:Guid>{8C8F6896-A5D0-47D1-9F5D-D6685B13D44A}</b:Guid>
    <b:Author>
      <b:Author>
        <b:NameList>
          <b:Person>
            <b:Last>https://lawprof.co/contract/contract-formation-cases/gibbons-v-proctor-1891-64-lt-594/</b:Last>
          </b:Person>
        </b:NameList>
      </b:Author>
    </b:Author>
    <b:Title>https://lawprof.co/contract/contract-formation-cases/gibbons-v-proctor-1891-64-lt-594/</b:Title>
    <b:Year>1891</b:Year>
    <b:YearAccessed>2023</b:YearAccessed>
    <b:URL>https://lawprof.co/contract/contract-formation-cases/gibbons-v-proctor-1891-64-lt-594/</b:URL>
    <b:RefOrder>5</b:RefOrder>
  </b:Source>
</b:Sources>
</file>

<file path=customXml/itemProps1.xml><?xml version="1.0" encoding="utf-8"?>
<ds:datastoreItem xmlns:ds="http://schemas.openxmlformats.org/officeDocument/2006/customXml" ds:itemID="{A72F33AE-B5C0-495B-B0F7-9AB0D897FD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1442</Words>
  <Characters>8224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2023-04-24T17:10:00Z</dcterms:created>
  <dcterms:modified xsi:type="dcterms:W3CDTF">2023-04-24T18:09:00Z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ec8c3ac3dc86051a50159519bd33b08dd608511a4bbd74fdd746ef93bf8f9aa8</vt:lpwstr>
  </property>
</Properties>
</file>