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D03FB" w14:textId="0E599798" w:rsidR="00A933EC" w:rsidRPr="00A933EC" w:rsidRDefault="00A933EC" w:rsidP="00A933EC">
      <w:r w:rsidRPr="00A933EC">
        <w:t>Academic Discussion Two</w:t>
      </w:r>
    </w:p>
    <w:p w14:paraId="4B4A32BC" w14:textId="434BE8A3" w:rsidR="00A933EC" w:rsidRPr="00A933EC" w:rsidRDefault="00A933EC" w:rsidP="00A933EC">
      <w:r w:rsidRPr="00A933EC">
        <w:t>Module: Clinical Decision Making for Therapy Assistant Practitioners</w:t>
      </w:r>
    </w:p>
    <w:p w14:paraId="769AD98F" w14:textId="2B3B0D12" w:rsidR="00A933EC" w:rsidRPr="00A933EC" w:rsidRDefault="00A933EC" w:rsidP="00A933EC">
      <w:r w:rsidRPr="00A933EC">
        <w:t>Module Code: BMAC4018 / PJ14CY019: CDQ100</w:t>
      </w:r>
    </w:p>
    <w:p w14:paraId="7A855729" w14:textId="08EEFDA0" w:rsidR="00A933EC" w:rsidRPr="00A933EC" w:rsidRDefault="00A933EC" w:rsidP="00A933EC">
      <w:r w:rsidRPr="00A933EC">
        <w:t>Assignment Title: Academic Discussion Two</w:t>
      </w:r>
    </w:p>
    <w:p w14:paraId="21EE33F9" w14:textId="65702354" w:rsidR="00A933EC" w:rsidRPr="00A933EC" w:rsidRDefault="00A933EC" w:rsidP="00A933EC">
      <w:r w:rsidRPr="00A933EC">
        <w:t>Name: Kerry O’Brien</w:t>
      </w:r>
    </w:p>
    <w:p w14:paraId="4A8949CD" w14:textId="3DA5E182" w:rsidR="00A933EC" w:rsidRPr="00A933EC" w:rsidRDefault="00A933EC" w:rsidP="00A933EC">
      <w:r w:rsidRPr="00A933EC">
        <w:t>Student Number: 1200244</w:t>
      </w:r>
    </w:p>
    <w:p w14:paraId="7EDB3273" w14:textId="77777777" w:rsidR="00A933EC" w:rsidRPr="00A933EC" w:rsidRDefault="00A933EC" w:rsidP="00A933EC"/>
    <w:p w14:paraId="48938C0A" w14:textId="77777777" w:rsidR="00A933EC" w:rsidRPr="00A933EC" w:rsidRDefault="00A933EC" w:rsidP="00A933EC"/>
    <w:p w14:paraId="7189148E" w14:textId="77777777" w:rsidR="00A933EC" w:rsidRPr="00A933EC" w:rsidRDefault="00A933EC" w:rsidP="00A933EC"/>
    <w:p w14:paraId="4DCD8153" w14:textId="77777777" w:rsidR="00A933EC" w:rsidRPr="00A933EC" w:rsidRDefault="00A933EC" w:rsidP="00A933EC"/>
    <w:p w14:paraId="42178CB6" w14:textId="77777777" w:rsidR="00A933EC" w:rsidRPr="00A933EC" w:rsidRDefault="00A933EC" w:rsidP="00A933EC"/>
    <w:p w14:paraId="29F543A2" w14:textId="77777777" w:rsidR="00A933EC" w:rsidRPr="00A933EC" w:rsidRDefault="00A933EC" w:rsidP="00A933EC"/>
    <w:p w14:paraId="779E1ED0" w14:textId="77777777" w:rsidR="00A933EC" w:rsidRPr="00A933EC" w:rsidRDefault="00A933EC" w:rsidP="00A933EC"/>
    <w:p w14:paraId="0E76A553" w14:textId="77777777" w:rsidR="00A933EC" w:rsidRPr="00A933EC" w:rsidRDefault="00A933EC" w:rsidP="00A933EC"/>
    <w:p w14:paraId="3B042696" w14:textId="77777777" w:rsidR="00A933EC" w:rsidRPr="00A933EC" w:rsidRDefault="00A933EC" w:rsidP="00A933EC"/>
    <w:p w14:paraId="739A80DC" w14:textId="77777777" w:rsidR="00A933EC" w:rsidRPr="00A933EC" w:rsidRDefault="00A933EC" w:rsidP="00A933EC"/>
    <w:p w14:paraId="23716938" w14:textId="77777777" w:rsidR="00A933EC" w:rsidRPr="00A933EC" w:rsidRDefault="00A933EC" w:rsidP="00A933EC"/>
    <w:p w14:paraId="793A712C" w14:textId="77777777" w:rsidR="00A933EC" w:rsidRPr="00A933EC" w:rsidRDefault="00A933EC" w:rsidP="00A933EC"/>
    <w:p w14:paraId="7D261333" w14:textId="77777777" w:rsidR="00A933EC" w:rsidRPr="00A933EC" w:rsidRDefault="00A933EC" w:rsidP="00A933EC"/>
    <w:p w14:paraId="0F4826F6" w14:textId="77777777" w:rsidR="00A933EC" w:rsidRPr="00A933EC" w:rsidRDefault="00A933EC" w:rsidP="00A933EC"/>
    <w:p w14:paraId="7533F6C9" w14:textId="77777777" w:rsidR="00A933EC" w:rsidRPr="00A933EC" w:rsidRDefault="00A933EC" w:rsidP="00A933EC"/>
    <w:p w14:paraId="4A0944CE" w14:textId="77777777" w:rsidR="00A933EC" w:rsidRPr="00A933EC" w:rsidRDefault="00A933EC" w:rsidP="00A933EC"/>
    <w:p w14:paraId="2C5A1471" w14:textId="77777777" w:rsidR="00A933EC" w:rsidRPr="00A933EC" w:rsidRDefault="00A933EC" w:rsidP="00A933EC"/>
    <w:p w14:paraId="1FD53C83" w14:textId="77777777" w:rsidR="00A933EC" w:rsidRPr="00A933EC" w:rsidRDefault="00A933EC" w:rsidP="00A933EC"/>
    <w:p w14:paraId="73F8E5C4" w14:textId="77777777" w:rsidR="00A933EC" w:rsidRPr="00A933EC" w:rsidRDefault="00A933EC" w:rsidP="00A933EC"/>
    <w:p w14:paraId="2CC92D62" w14:textId="77777777" w:rsidR="00A933EC" w:rsidRDefault="00A933EC" w:rsidP="00A933EC"/>
    <w:p w14:paraId="49D9264E" w14:textId="77777777" w:rsidR="00A933EC" w:rsidRDefault="00A933EC" w:rsidP="00A933EC"/>
    <w:p w14:paraId="3F1D5B7A" w14:textId="77777777" w:rsidR="00A933EC" w:rsidRDefault="00A933EC" w:rsidP="00A933EC"/>
    <w:p w14:paraId="312E8026" w14:textId="77777777" w:rsidR="00A933EC" w:rsidRPr="00A933EC" w:rsidRDefault="00A933EC" w:rsidP="00A933EC"/>
    <w:p w14:paraId="71082103" w14:textId="3A2B5E30" w:rsidR="003768C1" w:rsidRPr="00A933EC" w:rsidRDefault="00A933EC" w:rsidP="00A933EC">
      <w:r w:rsidRPr="00A933EC">
        <w:lastRenderedPageBreak/>
        <w:t>Reference List</w:t>
      </w:r>
    </w:p>
    <w:p w14:paraId="03D7F7D2" w14:textId="1B4503A0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Chen, Y., Xie, W., Gunter, C. A., </w:t>
      </w:r>
      <w:proofErr w:type="spellStart"/>
      <w:r w:rsidRPr="00A933EC">
        <w:rPr>
          <w:rFonts w:ascii="Aptos" w:hAnsi="Aptos" w:cs="Arial"/>
        </w:rPr>
        <w:t>Liebovitz</w:t>
      </w:r>
      <w:proofErr w:type="spellEnd"/>
      <w:r w:rsidRPr="00A933EC">
        <w:rPr>
          <w:rFonts w:ascii="Aptos" w:hAnsi="Aptos" w:cs="Arial"/>
        </w:rPr>
        <w:t xml:space="preserve">, D., Mehrotra, S., Zhang, H., and Malin, B., (2015), ‘Inferring clinical workflow efficiency via electronic medical record utilisation’, </w:t>
      </w:r>
      <w:r w:rsidRPr="00A933EC">
        <w:rPr>
          <w:rFonts w:ascii="Aptos" w:hAnsi="Aptos" w:cs="Arial"/>
          <w:i/>
          <w:iCs/>
        </w:rPr>
        <w:t xml:space="preserve">Annual Symposium Proceedings, </w:t>
      </w:r>
      <w:r w:rsidRPr="00A933EC">
        <w:rPr>
          <w:rFonts w:ascii="Aptos" w:hAnsi="Aptos" w:cs="Arial"/>
        </w:rPr>
        <w:t>Volume 2015, pp. 416-425</w:t>
      </w:r>
      <w:r>
        <w:rPr>
          <w:rFonts w:ascii="Aptos" w:hAnsi="Aptos" w:cs="Arial"/>
        </w:rPr>
        <w:t>.</w:t>
      </w:r>
    </w:p>
    <w:p w14:paraId="0F4ADB74" w14:textId="78DDE5E3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Grehan, O., Meehan, C., Shinners, D., Concannon, E., Lennon, R., Flattery, V., and O’Connell, K., (2024), ‘The impact of Introducing Generic Therapy Assistants to an Acute Occupational Therapy Stroke Service’, </w:t>
      </w:r>
      <w:r w:rsidRPr="00A933EC">
        <w:rPr>
          <w:rFonts w:ascii="Aptos" w:hAnsi="Aptos" w:cs="Arial"/>
          <w:i/>
          <w:iCs/>
        </w:rPr>
        <w:t xml:space="preserve">Age and Ageing, </w:t>
      </w:r>
      <w:r w:rsidRPr="00A933EC">
        <w:rPr>
          <w:rFonts w:ascii="Aptos" w:hAnsi="Aptos" w:cs="Arial"/>
        </w:rPr>
        <w:t>Volume 53, (4), Available at: https://doi.org/10.1093/ageing/afae178.095</w:t>
      </w:r>
      <w:r>
        <w:rPr>
          <w:rFonts w:ascii="Aptos" w:hAnsi="Aptos" w:cs="Arial"/>
        </w:rPr>
        <w:t>.</w:t>
      </w:r>
    </w:p>
    <w:p w14:paraId="45D1B267" w14:textId="07288960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Jakubowski, E., and Sahai S., (2024), ‘Social determinants of health in hospitalised children’, </w:t>
      </w:r>
      <w:r w:rsidRPr="00A933EC">
        <w:rPr>
          <w:rFonts w:ascii="Aptos" w:hAnsi="Aptos" w:cs="Arial"/>
          <w:i/>
          <w:iCs/>
        </w:rPr>
        <w:t xml:space="preserve">Paediatric Annals, </w:t>
      </w:r>
      <w:r w:rsidRPr="00A933EC">
        <w:rPr>
          <w:rFonts w:ascii="Aptos" w:hAnsi="Aptos" w:cs="Arial"/>
        </w:rPr>
        <w:t>Volume 53, (Issue 9), pp.337-344, Available at: doi:10.3928/19382359-20240703-02</w:t>
      </w:r>
      <w:r>
        <w:rPr>
          <w:rFonts w:ascii="Aptos" w:hAnsi="Aptos" w:cs="Arial"/>
        </w:rPr>
        <w:t>.</w:t>
      </w:r>
    </w:p>
    <w:p w14:paraId="18B5FB47" w14:textId="392AD61B" w:rsidR="00A933EC" w:rsidRPr="00A933EC" w:rsidRDefault="00A933EC" w:rsidP="00A933EC">
      <w:pPr>
        <w:spacing w:line="360" w:lineRule="auto"/>
        <w:rPr>
          <w:rFonts w:ascii="Aptos" w:hAnsi="Aptos" w:cs="Arial"/>
        </w:rPr>
      </w:pPr>
      <w:proofErr w:type="spellStart"/>
      <w:r w:rsidRPr="00A933EC">
        <w:rPr>
          <w:rFonts w:ascii="Aptos" w:hAnsi="Aptos" w:cs="Arial"/>
        </w:rPr>
        <w:t>Moscrop</w:t>
      </w:r>
      <w:proofErr w:type="spellEnd"/>
      <w:r w:rsidRPr="00A933EC">
        <w:rPr>
          <w:rFonts w:ascii="Aptos" w:hAnsi="Aptos" w:cs="Arial"/>
        </w:rPr>
        <w:t xml:space="preserve">, A., </w:t>
      </w:r>
      <w:proofErr w:type="spellStart"/>
      <w:r w:rsidRPr="00A933EC">
        <w:rPr>
          <w:rFonts w:ascii="Aptos" w:hAnsi="Aptos" w:cs="Arial"/>
        </w:rPr>
        <w:t>Ziebland</w:t>
      </w:r>
      <w:proofErr w:type="spellEnd"/>
      <w:r w:rsidRPr="00A933EC">
        <w:rPr>
          <w:rFonts w:ascii="Aptos" w:hAnsi="Aptos" w:cs="Arial"/>
        </w:rPr>
        <w:t xml:space="preserve">, S., Bloch, G., Iraola., J, R., (2020), ‘If social determinants of health are so important, shouldn’t we ask patients about them’, </w:t>
      </w:r>
      <w:r w:rsidRPr="00A933EC">
        <w:rPr>
          <w:rFonts w:ascii="Aptos" w:hAnsi="Aptos" w:cs="Arial"/>
          <w:i/>
          <w:iCs/>
        </w:rPr>
        <w:t xml:space="preserve">British Medical Journal (online), </w:t>
      </w:r>
      <w:r w:rsidRPr="00A933EC">
        <w:rPr>
          <w:rFonts w:ascii="Aptos" w:hAnsi="Aptos" w:cs="Arial"/>
        </w:rPr>
        <w:t>Volume 371, Available at: doi:10.1136/bmi.m4150</w:t>
      </w:r>
      <w:r>
        <w:rPr>
          <w:rFonts w:ascii="Aptos" w:hAnsi="Aptos" w:cs="Arial"/>
        </w:rPr>
        <w:t>.</w:t>
      </w:r>
    </w:p>
    <w:p w14:paraId="18758ED0" w14:textId="3B64A66C" w:rsidR="00A933EC" w:rsidRPr="00A933EC" w:rsidRDefault="00A933EC" w:rsidP="00A933EC">
      <w:pPr>
        <w:spacing w:line="360" w:lineRule="auto"/>
        <w:rPr>
          <w:rFonts w:ascii="Aptos" w:hAnsi="Aptos" w:cs="Arial"/>
        </w:rPr>
      </w:pPr>
      <w:proofErr w:type="spellStart"/>
      <w:r w:rsidRPr="00A933EC">
        <w:rPr>
          <w:rFonts w:ascii="Aptos" w:hAnsi="Aptos" w:cs="Arial"/>
        </w:rPr>
        <w:t>Omidvari</w:t>
      </w:r>
      <w:proofErr w:type="spellEnd"/>
      <w:r w:rsidRPr="00A933EC">
        <w:rPr>
          <w:rFonts w:ascii="Aptos" w:hAnsi="Aptos" w:cs="Arial"/>
        </w:rPr>
        <w:t xml:space="preserve">, A., H., Vali, Y., Murray, S, M., Wonderling, D., and </w:t>
      </w:r>
      <w:proofErr w:type="spellStart"/>
      <w:r w:rsidRPr="00A933EC">
        <w:rPr>
          <w:rFonts w:ascii="Aptos" w:hAnsi="Aptos" w:cs="Arial"/>
        </w:rPr>
        <w:t>Rashindian</w:t>
      </w:r>
      <w:proofErr w:type="spellEnd"/>
      <w:r w:rsidRPr="00A933EC">
        <w:rPr>
          <w:rFonts w:ascii="Aptos" w:hAnsi="Aptos" w:cs="Arial"/>
        </w:rPr>
        <w:t xml:space="preserve">, A., (2021), ‘Nutritional screening for improving professional practice for patient outcomes in hospital and primary care settings’, </w:t>
      </w:r>
      <w:r w:rsidRPr="00A933EC">
        <w:rPr>
          <w:rFonts w:ascii="Aptos" w:hAnsi="Aptos" w:cs="Arial"/>
          <w:i/>
          <w:iCs/>
        </w:rPr>
        <w:t xml:space="preserve">Cochrane Database of Systematic Reviews, </w:t>
      </w:r>
      <w:r w:rsidRPr="00A933EC">
        <w:rPr>
          <w:rFonts w:ascii="Aptos" w:hAnsi="Aptos" w:cs="Arial"/>
        </w:rPr>
        <w:t>Volume 2013, (Issue 6), Available at: doi: 10.1002/14651858.CD005539.pub2</w:t>
      </w:r>
      <w:r>
        <w:rPr>
          <w:rFonts w:ascii="Aptos" w:hAnsi="Aptos" w:cs="Arial"/>
        </w:rPr>
        <w:t>.</w:t>
      </w:r>
    </w:p>
    <w:p w14:paraId="70F487FE" w14:textId="0BB1E62B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Tang, H., Zhang, W., Li, X., Zou, Q., Li, X., Liu, Y., and Shen, H., (2025), ‘Impact of early multidisciplinary team interventions on dietary management behaviour in breast cancer patients: a pilot randomised controlled trial’, </w:t>
      </w:r>
      <w:r w:rsidRPr="00A933EC">
        <w:rPr>
          <w:rFonts w:ascii="Aptos" w:hAnsi="Aptos" w:cs="Arial"/>
          <w:i/>
          <w:iCs/>
        </w:rPr>
        <w:t xml:space="preserve">BMC Cancer, </w:t>
      </w:r>
      <w:r w:rsidRPr="00A933EC">
        <w:rPr>
          <w:rFonts w:ascii="Aptos" w:hAnsi="Aptos" w:cs="Arial"/>
        </w:rPr>
        <w:t>Volume 25, pp. 1-14, Available at: doi:10.1186/s12885-025-13991-7</w:t>
      </w:r>
      <w:r>
        <w:rPr>
          <w:rFonts w:ascii="Aptos" w:hAnsi="Aptos" w:cs="Arial"/>
        </w:rPr>
        <w:t>.</w:t>
      </w:r>
    </w:p>
    <w:p w14:paraId="70121195" w14:textId="42D7B558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Tiffen, J., Corbridge, S. J., and Slimmer, L., (2014), ‘Enhancing clinical decision making: development of contiguous definition and conceptual framework’, </w:t>
      </w:r>
      <w:r w:rsidRPr="00A933EC">
        <w:rPr>
          <w:rFonts w:ascii="Aptos" w:hAnsi="Aptos" w:cs="Arial"/>
          <w:i/>
          <w:iCs/>
        </w:rPr>
        <w:t xml:space="preserve">Journal of Professional Nursing, </w:t>
      </w:r>
      <w:r w:rsidRPr="00A933EC">
        <w:rPr>
          <w:rFonts w:ascii="Aptos" w:hAnsi="Aptos" w:cs="Arial"/>
        </w:rPr>
        <w:t>Volume 30, (5), pp. 399-405, Available at: doi: 10.1016/j.profnurs.2014.01.006</w:t>
      </w:r>
      <w:r>
        <w:rPr>
          <w:rFonts w:ascii="Aptos" w:hAnsi="Aptos" w:cs="Arial"/>
        </w:rPr>
        <w:t>.</w:t>
      </w:r>
    </w:p>
    <w:p w14:paraId="00397A24" w14:textId="6854D3DF" w:rsidR="00A933EC" w:rsidRPr="00A933EC" w:rsidRDefault="00A933EC" w:rsidP="00A933EC">
      <w:pPr>
        <w:spacing w:line="360" w:lineRule="auto"/>
        <w:rPr>
          <w:rFonts w:ascii="Aptos" w:hAnsi="Aptos" w:cs="Arial"/>
        </w:rPr>
      </w:pPr>
      <w:r w:rsidRPr="00A933EC">
        <w:rPr>
          <w:rFonts w:ascii="Aptos" w:hAnsi="Aptos" w:cs="Arial"/>
        </w:rPr>
        <w:t xml:space="preserve">Welsh Government, (2014), </w:t>
      </w:r>
      <w:r w:rsidRPr="00A933EC">
        <w:rPr>
          <w:rFonts w:ascii="Aptos" w:hAnsi="Aptos" w:cs="Arial"/>
          <w:i/>
          <w:iCs/>
        </w:rPr>
        <w:t>Social Services and Well-being (Wales) Act 2014</w:t>
      </w:r>
      <w:r w:rsidRPr="00A933EC">
        <w:rPr>
          <w:rFonts w:ascii="Aptos" w:hAnsi="Aptos" w:cs="Arial"/>
        </w:rPr>
        <w:t>, Available at:</w:t>
      </w:r>
      <w:r w:rsidRPr="00A933EC">
        <w:t xml:space="preserve"> </w:t>
      </w:r>
      <w:r w:rsidRPr="00A933EC">
        <w:rPr>
          <w:rFonts w:ascii="Aptos" w:hAnsi="Aptos" w:cs="Arial"/>
        </w:rPr>
        <w:t xml:space="preserve">social-services-and-well-being-wales-act-2014-the-essentials.pdf, </w:t>
      </w:r>
      <w:r>
        <w:rPr>
          <w:rFonts w:ascii="Aptos" w:hAnsi="Aptos" w:cs="Arial"/>
        </w:rPr>
        <w:t>[</w:t>
      </w:r>
      <w:r w:rsidRPr="00A933EC">
        <w:rPr>
          <w:rFonts w:ascii="Aptos" w:hAnsi="Aptos" w:cs="Arial"/>
        </w:rPr>
        <w:t>Accessed 27</w:t>
      </w:r>
      <w:r w:rsidRPr="00A933EC">
        <w:rPr>
          <w:rFonts w:ascii="Aptos" w:hAnsi="Aptos" w:cs="Arial"/>
          <w:vertAlign w:val="superscript"/>
        </w:rPr>
        <w:t>th</w:t>
      </w:r>
      <w:r w:rsidRPr="00A933EC">
        <w:rPr>
          <w:rFonts w:ascii="Aptos" w:hAnsi="Aptos" w:cs="Arial"/>
        </w:rPr>
        <w:t xml:space="preserve"> October 2025</w:t>
      </w:r>
      <w:r>
        <w:rPr>
          <w:rFonts w:ascii="Aptos" w:hAnsi="Aptos" w:cs="Arial"/>
        </w:rPr>
        <w:t>].</w:t>
      </w:r>
    </w:p>
    <w:p w14:paraId="084C8893" w14:textId="77777777" w:rsidR="00A933EC" w:rsidRPr="00A933EC" w:rsidRDefault="00A933EC" w:rsidP="00A933EC"/>
    <w:sectPr w:rsidR="00A933EC" w:rsidRPr="00A933EC" w:rsidSect="00A93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1F59"/>
    <w:multiLevelType w:val="hybridMultilevel"/>
    <w:tmpl w:val="A84C0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21E6D"/>
    <w:multiLevelType w:val="hybridMultilevel"/>
    <w:tmpl w:val="B2C2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540118">
    <w:abstractNumId w:val="0"/>
  </w:num>
  <w:num w:numId="2" w16cid:durableId="1746297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EC"/>
    <w:rsid w:val="000B22CE"/>
    <w:rsid w:val="003768C1"/>
    <w:rsid w:val="005811E5"/>
    <w:rsid w:val="00933257"/>
    <w:rsid w:val="00A80A43"/>
    <w:rsid w:val="00A933EC"/>
    <w:rsid w:val="00AC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A7891A"/>
  <w15:chartTrackingRefBased/>
  <w15:docId w15:val="{504A5616-1575-684B-844B-9004206D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A43"/>
  </w:style>
  <w:style w:type="paragraph" w:styleId="Heading1">
    <w:name w:val="heading 1"/>
    <w:basedOn w:val="Normal"/>
    <w:next w:val="Normal"/>
    <w:link w:val="Heading1Char"/>
    <w:uiPriority w:val="9"/>
    <w:qFormat/>
    <w:rsid w:val="00A93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3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3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3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3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3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33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3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3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33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3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3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O'Brien (1200244)</dc:creator>
  <cp:keywords/>
  <dc:description/>
  <cp:lastModifiedBy>Kerry O'Brien (1200244)</cp:lastModifiedBy>
  <cp:revision>1</cp:revision>
  <dcterms:created xsi:type="dcterms:W3CDTF">2025-11-04T13:24:00Z</dcterms:created>
  <dcterms:modified xsi:type="dcterms:W3CDTF">2025-11-04T13:34:00Z</dcterms:modified>
</cp:coreProperties>
</file>