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D7170" w14:textId="77777777" w:rsidR="001E5F64" w:rsidRDefault="00000000">
      <w:pPr>
        <w:pStyle w:val="NoSpacing"/>
        <w:spacing w:before="1540" w:after="240"/>
        <w:jc w:val="center"/>
      </w:pPr>
      <w:r>
        <w:rPr>
          <w:noProof/>
          <w:color w:val="156082"/>
        </w:rPr>
        <w:drawing>
          <wp:inline distT="0" distB="0" distL="0" distR="0" wp14:anchorId="53981979" wp14:editId="0D162A6D">
            <wp:extent cx="2697571" cy="915771"/>
            <wp:effectExtent l="0" t="0" r="7529" b="0"/>
            <wp:docPr id="207656674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697571" cy="915771"/>
                    </a:xfrm>
                    <a:prstGeom prst="rect">
                      <a:avLst/>
                    </a:prstGeom>
                    <a:noFill/>
                    <a:ln>
                      <a:noFill/>
                      <a:prstDash/>
                    </a:ln>
                  </pic:spPr>
                </pic:pic>
              </a:graphicData>
            </a:graphic>
          </wp:inline>
        </w:drawing>
      </w:r>
      <w:r>
        <w:rPr>
          <w:noProof/>
          <w:color w:val="156082"/>
        </w:rPr>
        <w:drawing>
          <wp:inline distT="0" distB="0" distL="0" distR="0" wp14:anchorId="2666478E" wp14:editId="3CD3CFA7">
            <wp:extent cx="1417320" cy="750896"/>
            <wp:effectExtent l="0" t="0" r="0" b="0"/>
            <wp:docPr id="834851163"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417320" cy="750896"/>
                    </a:xfrm>
                    <a:prstGeom prst="rect">
                      <a:avLst/>
                    </a:prstGeom>
                    <a:noFill/>
                    <a:ln>
                      <a:noFill/>
                      <a:prstDash/>
                    </a:ln>
                  </pic:spPr>
                </pic:pic>
              </a:graphicData>
            </a:graphic>
          </wp:inline>
        </w:drawing>
      </w:r>
    </w:p>
    <w:p w14:paraId="48C59574" w14:textId="77777777" w:rsidR="001E5F64" w:rsidRDefault="00000000">
      <w:pPr>
        <w:pStyle w:val="NoSpacing"/>
        <w:pBdr>
          <w:top w:val="single" w:sz="6" w:space="6" w:color="156082"/>
          <w:bottom w:val="single" w:sz="6" w:space="6" w:color="156082"/>
        </w:pBdr>
        <w:spacing w:after="240"/>
        <w:jc w:val="center"/>
      </w:pPr>
      <w:r>
        <w:rPr>
          <w:rFonts w:ascii="Aptos Display" w:hAnsi="Aptos Display"/>
          <w:caps/>
          <w:color w:val="156082"/>
          <w:sz w:val="72"/>
          <w:szCs w:val="72"/>
        </w:rPr>
        <w:t xml:space="preserve">The Impact of the mPower Mobile Health </w:t>
      </w:r>
    </w:p>
    <w:p w14:paraId="5F034CB8" w14:textId="77777777" w:rsidR="001E5F64" w:rsidRDefault="00000000">
      <w:pPr>
        <w:pStyle w:val="NoSpacing"/>
        <w:spacing w:before="480"/>
        <w:jc w:val="center"/>
      </w:pPr>
      <w:r>
        <w:rPr>
          <w:noProof/>
          <w:color w:val="156082"/>
        </w:rPr>
        <mc:AlternateContent>
          <mc:Choice Requires="wps">
            <w:drawing>
              <wp:anchor distT="0" distB="0" distL="114300" distR="114300" simplePos="0" relativeHeight="251659264" behindDoc="0" locked="0" layoutInCell="1" allowOverlap="1" wp14:anchorId="24D214EF" wp14:editId="2A79D171">
                <wp:simplePos x="0" y="0"/>
                <wp:positionH relativeFrom="page">
                  <wp:posOffset>914400</wp:posOffset>
                </wp:positionH>
                <wp:positionV relativeFrom="page">
                  <wp:posOffset>9088121</wp:posOffset>
                </wp:positionV>
                <wp:extent cx="5731514" cy="177165"/>
                <wp:effectExtent l="0" t="0" r="2536" b="13335"/>
                <wp:wrapNone/>
                <wp:docPr id="1419721779" name="Text Box 146"/>
                <wp:cNvGraphicFramePr/>
                <a:graphic xmlns:a="http://schemas.openxmlformats.org/drawingml/2006/main">
                  <a:graphicData uri="http://schemas.microsoft.com/office/word/2010/wordprocessingShape">
                    <wps:wsp>
                      <wps:cNvSpPr txBox="1"/>
                      <wps:spPr>
                        <a:xfrm>
                          <a:off x="0" y="0"/>
                          <a:ext cx="5731514" cy="177165"/>
                        </a:xfrm>
                        <a:prstGeom prst="rect">
                          <a:avLst/>
                        </a:prstGeom>
                        <a:noFill/>
                        <a:ln>
                          <a:noFill/>
                          <a:prstDash/>
                        </a:ln>
                      </wps:spPr>
                      <wps:txbx>
                        <w:txbxContent>
                          <w:p w14:paraId="23F3DBD7" w14:textId="77777777" w:rsidR="001E5F64" w:rsidRDefault="001E5F64">
                            <w:pPr>
                              <w:pStyle w:val="NoSpacing"/>
                              <w:jc w:val="center"/>
                              <w:rPr>
                                <w:color w:val="156082"/>
                              </w:rPr>
                            </w:pPr>
                          </w:p>
                        </w:txbxContent>
                      </wps:txbx>
                      <wps:bodyPr vert="horz" wrap="square" lIns="0" tIns="0" rIns="0" bIns="0" anchor="b" anchorCtr="0" compatLnSpc="1">
                        <a:spAutoFit/>
                      </wps:bodyPr>
                    </wps:wsp>
                  </a:graphicData>
                </a:graphic>
              </wp:anchor>
            </w:drawing>
          </mc:Choice>
          <mc:Fallback>
            <w:pict>
              <v:shapetype w14:anchorId="24D214EF" id="_x0000_t202" coordsize="21600,21600" o:spt="202" path="m,l,21600r21600,l21600,xe">
                <v:stroke joinstyle="miter"/>
                <v:path gradientshapeok="t" o:connecttype="rect"/>
              </v:shapetype>
              <v:shape id="Text Box 146" o:spid="_x0000_s1026" type="#_x0000_t202" style="position:absolute;left:0;text-align:left;margin-left:1in;margin-top:715.6pt;width:451.3pt;height:13.9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" filled="f" stroked="f">
                <v:textbox style="mso-fit-shape-to-text:t" inset="0,0,0,0">
                  <w:txbxContent>
                    <w:p w14:paraId="23F3DBD7" w14:textId="77777777" w:rsidR="001E5F64" w:rsidRDefault="001E5F64">
                      <w:pPr>
                        <w:pStyle w:val="NoSpacing"/>
                        <w:jc w:val="center"/>
                        <w:rPr>
                          <w:color w:val="156082"/>
                        </w:rPr>
                      </w:pPr>
                    </w:p>
                  </w:txbxContent>
                </v:textbox>
                <w10:wrap anchorx="page" anchory="page"/>
              </v:shape>
            </w:pict>
          </mc:Fallback>
        </mc:AlternateContent>
      </w:r>
      <w:r>
        <w:rPr>
          <w:noProof/>
          <w:color w:val="156082"/>
        </w:rPr>
        <w:drawing>
          <wp:inline distT="0" distB="0" distL="0" distR="0" wp14:anchorId="1E64B3DE" wp14:editId="185520FF">
            <wp:extent cx="758952" cy="478935"/>
            <wp:effectExtent l="0" t="0" r="3048" b="0"/>
            <wp:docPr id="1043513405" name="Picture 1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758952" cy="478935"/>
                    </a:xfrm>
                    <a:prstGeom prst="rect">
                      <a:avLst/>
                    </a:prstGeom>
                    <a:noFill/>
                    <a:ln>
                      <a:noFill/>
                      <a:prstDash/>
                    </a:ln>
                  </pic:spPr>
                </pic:pic>
              </a:graphicData>
            </a:graphic>
          </wp:inline>
        </w:drawing>
      </w:r>
    </w:p>
    <w:p w14:paraId="1CA316EC" w14:textId="77777777" w:rsidR="001E5F64" w:rsidRDefault="00000000">
      <w:pPr>
        <w:suppressAutoHyphens w:val="0"/>
        <w:rPr>
          <w:rFonts w:ascii="Arila" w:hAnsi="Arila"/>
          <w:sz w:val="40"/>
          <w:szCs w:val="40"/>
        </w:rPr>
      </w:pPr>
      <w:r>
        <w:rPr>
          <w:rFonts w:ascii="Arila" w:hAnsi="Arila"/>
          <w:sz w:val="40"/>
          <w:szCs w:val="40"/>
        </w:rPr>
        <w:t>Digital Transformation in the Health and Care Professions (BMHP6026)</w:t>
      </w:r>
    </w:p>
    <w:p w14:paraId="37B31AAD" w14:textId="77777777" w:rsidR="001E5F64" w:rsidRDefault="001E5F64">
      <w:pPr>
        <w:suppressAutoHyphens w:val="0"/>
        <w:rPr>
          <w:rFonts w:ascii="Arila" w:hAnsi="Arila"/>
          <w:sz w:val="40"/>
          <w:szCs w:val="40"/>
        </w:rPr>
      </w:pPr>
    </w:p>
    <w:p w14:paraId="6D132880" w14:textId="77777777" w:rsidR="001E5F64" w:rsidRDefault="001E5F64">
      <w:pPr>
        <w:suppressAutoHyphens w:val="0"/>
        <w:rPr>
          <w:rFonts w:ascii="Arila" w:hAnsi="Arila"/>
          <w:sz w:val="40"/>
          <w:szCs w:val="40"/>
        </w:rPr>
      </w:pPr>
    </w:p>
    <w:p w14:paraId="1305A58C" w14:textId="77777777" w:rsidR="001E5F64" w:rsidRDefault="00000000">
      <w:pPr>
        <w:suppressAutoHyphens w:val="0"/>
        <w:rPr>
          <w:rFonts w:ascii="Arila" w:hAnsi="Arila"/>
          <w:sz w:val="40"/>
          <w:szCs w:val="40"/>
        </w:rPr>
      </w:pPr>
      <w:r>
        <w:rPr>
          <w:rFonts w:ascii="Arila" w:hAnsi="Arila"/>
          <w:sz w:val="40"/>
          <w:szCs w:val="40"/>
        </w:rPr>
        <w:t>Component 1: Written Report</w:t>
      </w:r>
    </w:p>
    <w:p w14:paraId="5AACA6D4" w14:textId="77777777" w:rsidR="001E5F64" w:rsidRDefault="001E5F64">
      <w:pPr>
        <w:suppressAutoHyphens w:val="0"/>
        <w:rPr>
          <w:rFonts w:ascii="Arila" w:hAnsi="Arila"/>
          <w:sz w:val="40"/>
          <w:szCs w:val="40"/>
        </w:rPr>
      </w:pPr>
    </w:p>
    <w:p w14:paraId="2C88EAFC" w14:textId="77777777" w:rsidR="001E5F64" w:rsidRDefault="00000000">
      <w:pPr>
        <w:suppressAutoHyphens w:val="0"/>
        <w:rPr>
          <w:rFonts w:ascii="Arila" w:hAnsi="Arila"/>
          <w:sz w:val="40"/>
          <w:szCs w:val="40"/>
        </w:rPr>
      </w:pPr>
      <w:r>
        <w:rPr>
          <w:rFonts w:ascii="Arila" w:hAnsi="Arila"/>
          <w:sz w:val="40"/>
          <w:szCs w:val="40"/>
        </w:rPr>
        <w:t>Student name: Diana Kryemadhi</w:t>
      </w:r>
    </w:p>
    <w:p w14:paraId="1BAB8277" w14:textId="34982921" w:rsidR="001E5F64" w:rsidRDefault="00000000">
      <w:pPr>
        <w:suppressAutoHyphens w:val="0"/>
        <w:rPr>
          <w:rFonts w:ascii="Arila" w:hAnsi="Arila"/>
          <w:sz w:val="40"/>
          <w:szCs w:val="40"/>
        </w:rPr>
      </w:pPr>
      <w:r>
        <w:rPr>
          <w:rFonts w:ascii="Arila" w:hAnsi="Arila"/>
          <w:sz w:val="40"/>
          <w:szCs w:val="40"/>
        </w:rPr>
        <w:t>Student number:</w:t>
      </w:r>
      <w:r w:rsidR="00956C82">
        <w:rPr>
          <w:rFonts w:ascii="Arila" w:hAnsi="Arila"/>
          <w:sz w:val="40"/>
          <w:szCs w:val="40"/>
        </w:rPr>
        <w:t>2024820</w:t>
      </w:r>
    </w:p>
    <w:p w14:paraId="1DB8DC8F" w14:textId="77777777" w:rsidR="001E5F64" w:rsidRDefault="00000000">
      <w:pPr>
        <w:suppressAutoHyphens w:val="0"/>
        <w:rPr>
          <w:rFonts w:ascii="Arila" w:hAnsi="Arila"/>
          <w:sz w:val="40"/>
          <w:szCs w:val="40"/>
        </w:rPr>
      </w:pPr>
      <w:r>
        <w:rPr>
          <w:rFonts w:ascii="Arila" w:hAnsi="Arila"/>
          <w:sz w:val="40"/>
          <w:szCs w:val="40"/>
        </w:rPr>
        <w:t>Lecturer’s name: Laila Surani</w:t>
      </w:r>
    </w:p>
    <w:p w14:paraId="57F21ECF" w14:textId="77777777" w:rsidR="001E5F64" w:rsidRDefault="001E5F64">
      <w:pPr>
        <w:suppressAutoHyphens w:val="0"/>
        <w:rPr>
          <w:rFonts w:ascii="Arila" w:hAnsi="Arila"/>
          <w:sz w:val="40"/>
          <w:szCs w:val="40"/>
        </w:rPr>
      </w:pPr>
    </w:p>
    <w:p w14:paraId="7E94C243" w14:textId="77777777" w:rsidR="001E5F64" w:rsidRDefault="001E5F64">
      <w:pPr>
        <w:suppressAutoHyphens w:val="0"/>
        <w:rPr>
          <w:rFonts w:ascii="Arila" w:hAnsi="Arila"/>
          <w:sz w:val="40"/>
          <w:szCs w:val="40"/>
        </w:rPr>
      </w:pPr>
    </w:p>
    <w:p w14:paraId="2BED8717" w14:textId="77777777" w:rsidR="001E5F64" w:rsidRDefault="001E5F64">
      <w:pPr>
        <w:suppressAutoHyphens w:val="0"/>
        <w:rPr>
          <w:rFonts w:ascii="Arila" w:hAnsi="Arila"/>
          <w:sz w:val="40"/>
          <w:szCs w:val="40"/>
        </w:rPr>
      </w:pPr>
    </w:p>
    <w:p w14:paraId="526455D8" w14:textId="77777777" w:rsidR="001E5F64" w:rsidRDefault="001E5F64">
      <w:pPr>
        <w:suppressAutoHyphens w:val="0"/>
        <w:rPr>
          <w:rFonts w:ascii="Arila" w:hAnsi="Arila"/>
          <w:sz w:val="40"/>
          <w:szCs w:val="40"/>
        </w:rPr>
      </w:pPr>
    </w:p>
    <w:p w14:paraId="6E3E2D29" w14:textId="77777777" w:rsidR="001E5F64" w:rsidRDefault="00000000">
      <w:pPr>
        <w:pStyle w:val="TOCHeading"/>
      </w:pPr>
      <w:bookmarkStart w:id="0" w:name="_Toc224934094"/>
      <w:r>
        <w:rPr>
          <w:rFonts w:ascii="Arial" w:hAnsi="Arial" w:cs="Arial"/>
          <w:b/>
          <w:bCs/>
          <w:color w:val="auto"/>
          <w:lang w:val="en-GB"/>
        </w:rPr>
        <w:t>Table of Contents</w:t>
      </w:r>
      <w:bookmarkEnd w:id="0"/>
    </w:p>
    <w:p w14:paraId="62577B19" w14:textId="77777777" w:rsidR="001E5F64" w:rsidRDefault="00000000">
      <w:pPr>
        <w:pStyle w:val="TOC1"/>
        <w:tabs>
          <w:tab w:val="right" w:leader="dot" w:pos="9016"/>
        </w:tabs>
      </w:pPr>
      <w:r>
        <w:rPr>
          <w:rFonts w:ascii="Aptos Display" w:eastAsia="Times New Roman" w:hAnsi="Aptos Display"/>
          <w:color w:val="0F4761"/>
          <w:sz w:val="32"/>
          <w:szCs w:val="32"/>
          <w:lang w:val="en-US"/>
        </w:rPr>
        <w:fldChar w:fldCharType="begin"/>
      </w:r>
      <w:r>
        <w:instrText xml:space="preserve"> TOC \o "1-3" \u \h </w:instrText>
      </w:r>
      <w:r>
        <w:rPr>
          <w:rFonts w:ascii="Aptos Display" w:eastAsia="Times New Roman" w:hAnsi="Aptos Display"/>
          <w:color w:val="0F4761"/>
          <w:sz w:val="32"/>
          <w:szCs w:val="32"/>
          <w:lang w:val="en-US"/>
        </w:rPr>
        <w:fldChar w:fldCharType="separate"/>
      </w:r>
      <w:hyperlink r:id="rId9" w:history="1">
        <w:r>
          <w:rPr>
            <w:rStyle w:val="Hyperlink"/>
          </w:rPr>
          <w:t>Table of Contents</w:t>
        </w:r>
        <w:r>
          <w:tab/>
          <w:t>2</w:t>
        </w:r>
      </w:hyperlink>
    </w:p>
    <w:p w14:paraId="511A5C00" w14:textId="77777777" w:rsidR="001E5F64" w:rsidRDefault="00000000">
      <w:pPr>
        <w:pStyle w:val="TOC1"/>
        <w:tabs>
          <w:tab w:val="right" w:leader="dot" w:pos="9016"/>
        </w:tabs>
      </w:pPr>
      <w:hyperlink r:id="rId10" w:history="1">
        <w:r>
          <w:rPr>
            <w:rStyle w:val="Hyperlink"/>
          </w:rPr>
          <w:t>Introduction</w:t>
        </w:r>
        <w:r>
          <w:tab/>
          <w:t>3</w:t>
        </w:r>
      </w:hyperlink>
    </w:p>
    <w:p w14:paraId="7B4857BE" w14:textId="77777777" w:rsidR="001E5F64" w:rsidRDefault="00000000">
      <w:pPr>
        <w:pStyle w:val="TOC1"/>
        <w:tabs>
          <w:tab w:val="right" w:leader="dot" w:pos="9016"/>
        </w:tabs>
      </w:pPr>
      <w:hyperlink r:id="rId11" w:history="1">
        <w:r>
          <w:rPr>
            <w:rStyle w:val="Hyperlink"/>
          </w:rPr>
          <w:t>Impact on the Healthcare Workforce</w:t>
        </w:r>
        <w:r>
          <w:tab/>
          <w:t>3</w:t>
        </w:r>
      </w:hyperlink>
    </w:p>
    <w:p w14:paraId="215B1BDF" w14:textId="77777777" w:rsidR="001E5F64" w:rsidRDefault="00000000">
      <w:pPr>
        <w:pStyle w:val="TOC1"/>
        <w:tabs>
          <w:tab w:val="right" w:leader="dot" w:pos="9016"/>
        </w:tabs>
      </w:pPr>
      <w:hyperlink r:id="rId12" w:history="1">
        <w:r>
          <w:rPr>
            <w:rStyle w:val="Hyperlink"/>
          </w:rPr>
          <w:t>Impact on Healthcare Service Delivery</w:t>
        </w:r>
        <w:r>
          <w:tab/>
          <w:t>5</w:t>
        </w:r>
      </w:hyperlink>
    </w:p>
    <w:p w14:paraId="3F48F9A0" w14:textId="77777777" w:rsidR="001E5F64" w:rsidRDefault="00000000">
      <w:pPr>
        <w:pStyle w:val="TOC1"/>
        <w:tabs>
          <w:tab w:val="right" w:leader="dot" w:pos="9016"/>
        </w:tabs>
      </w:pPr>
      <w:hyperlink r:id="rId13" w:history="1">
        <w:r>
          <w:rPr>
            <w:rStyle w:val="Hyperlink"/>
          </w:rPr>
          <w:t>Impact on Patients</w:t>
        </w:r>
        <w:r>
          <w:tab/>
          <w:t>6</w:t>
        </w:r>
      </w:hyperlink>
    </w:p>
    <w:p w14:paraId="6D9D5121" w14:textId="77777777" w:rsidR="001E5F64" w:rsidRDefault="00000000">
      <w:pPr>
        <w:pStyle w:val="TOC1"/>
        <w:tabs>
          <w:tab w:val="right" w:leader="dot" w:pos="9016"/>
        </w:tabs>
      </w:pPr>
      <w:hyperlink r:id="rId14" w:history="1">
        <w:r>
          <w:rPr>
            <w:rStyle w:val="Hyperlink"/>
          </w:rPr>
          <w:t>Impact on the Wider Community</w:t>
        </w:r>
        <w:r>
          <w:tab/>
          <w:t>6</w:t>
        </w:r>
      </w:hyperlink>
    </w:p>
    <w:p w14:paraId="473E4F4E" w14:textId="77777777" w:rsidR="001E5F64" w:rsidRDefault="00000000">
      <w:pPr>
        <w:pStyle w:val="TOC1"/>
        <w:tabs>
          <w:tab w:val="right" w:leader="dot" w:pos="9016"/>
        </w:tabs>
      </w:pPr>
      <w:hyperlink r:id="rId15" w:history="1">
        <w:r>
          <w:rPr>
            <w:rStyle w:val="Hyperlink"/>
          </w:rPr>
          <w:t>Conclusion</w:t>
        </w:r>
        <w:r>
          <w:tab/>
          <w:t>7</w:t>
        </w:r>
      </w:hyperlink>
    </w:p>
    <w:p w14:paraId="3C7547F7" w14:textId="77777777" w:rsidR="001E5F64" w:rsidRDefault="00000000">
      <w:pPr>
        <w:pStyle w:val="TOC1"/>
        <w:tabs>
          <w:tab w:val="right" w:leader="dot" w:pos="9016"/>
        </w:tabs>
      </w:pPr>
      <w:hyperlink r:id="rId16" w:history="1">
        <w:r>
          <w:rPr>
            <w:rStyle w:val="Hyperlink"/>
          </w:rPr>
          <w:t>Reference</w:t>
        </w:r>
        <w:r>
          <w:tab/>
          <w:t>9</w:t>
        </w:r>
      </w:hyperlink>
    </w:p>
    <w:p w14:paraId="7A56A665" w14:textId="77777777" w:rsidR="001E5F64" w:rsidRDefault="00000000">
      <w:r>
        <w:fldChar w:fldCharType="end"/>
      </w:r>
    </w:p>
    <w:p w14:paraId="693A5E76" w14:textId="77777777" w:rsidR="001E5F64" w:rsidRDefault="001E5F64">
      <w:pPr>
        <w:rPr>
          <w:rFonts w:ascii="Arila" w:hAnsi="Arila"/>
        </w:rPr>
      </w:pPr>
    </w:p>
    <w:p w14:paraId="7F46B2C0" w14:textId="77777777" w:rsidR="001E5F64" w:rsidRDefault="001E5F64">
      <w:pPr>
        <w:rPr>
          <w:rFonts w:ascii="Arila" w:hAnsi="Arila"/>
        </w:rPr>
      </w:pPr>
    </w:p>
    <w:p w14:paraId="56446071" w14:textId="77777777" w:rsidR="001E5F64" w:rsidRDefault="001E5F64">
      <w:pPr>
        <w:rPr>
          <w:rFonts w:ascii="Arila" w:hAnsi="Arila"/>
        </w:rPr>
      </w:pPr>
    </w:p>
    <w:p w14:paraId="1834B016" w14:textId="77777777" w:rsidR="001E5F64" w:rsidRDefault="001E5F64">
      <w:pPr>
        <w:rPr>
          <w:rFonts w:ascii="Arila" w:hAnsi="Arila"/>
        </w:rPr>
      </w:pPr>
    </w:p>
    <w:p w14:paraId="3853F816" w14:textId="77777777" w:rsidR="001E5F64" w:rsidRDefault="001E5F64">
      <w:pPr>
        <w:rPr>
          <w:rFonts w:ascii="Arila" w:hAnsi="Arila"/>
        </w:rPr>
      </w:pPr>
    </w:p>
    <w:p w14:paraId="08613166" w14:textId="77777777" w:rsidR="001E5F64" w:rsidRDefault="001E5F64">
      <w:pPr>
        <w:rPr>
          <w:rFonts w:ascii="Arila" w:hAnsi="Arila"/>
        </w:rPr>
      </w:pPr>
    </w:p>
    <w:p w14:paraId="13B0BB86" w14:textId="77777777" w:rsidR="001E5F64" w:rsidRDefault="001E5F64">
      <w:pPr>
        <w:rPr>
          <w:rFonts w:ascii="Arila" w:hAnsi="Arila"/>
        </w:rPr>
      </w:pPr>
    </w:p>
    <w:p w14:paraId="7E16B042" w14:textId="77777777" w:rsidR="001E5F64" w:rsidRDefault="001E5F64">
      <w:pPr>
        <w:rPr>
          <w:rFonts w:ascii="Arila" w:hAnsi="Arila"/>
        </w:rPr>
      </w:pPr>
    </w:p>
    <w:p w14:paraId="4774D71A" w14:textId="77777777" w:rsidR="001E5F64" w:rsidRDefault="001E5F64">
      <w:pPr>
        <w:rPr>
          <w:rFonts w:ascii="Arila" w:hAnsi="Arila"/>
        </w:rPr>
      </w:pPr>
    </w:p>
    <w:p w14:paraId="686CD57D" w14:textId="77777777" w:rsidR="001E5F64" w:rsidRDefault="001E5F64">
      <w:pPr>
        <w:rPr>
          <w:rFonts w:ascii="Arila" w:hAnsi="Arila"/>
        </w:rPr>
      </w:pPr>
    </w:p>
    <w:p w14:paraId="3246FC78" w14:textId="77777777" w:rsidR="001E5F64" w:rsidRDefault="001E5F64">
      <w:pPr>
        <w:rPr>
          <w:rFonts w:ascii="Arila" w:hAnsi="Arila"/>
        </w:rPr>
      </w:pPr>
    </w:p>
    <w:p w14:paraId="68505C30" w14:textId="77777777" w:rsidR="001E5F64" w:rsidRDefault="001E5F64">
      <w:pPr>
        <w:rPr>
          <w:rFonts w:ascii="Arila" w:hAnsi="Arila"/>
        </w:rPr>
      </w:pPr>
    </w:p>
    <w:p w14:paraId="6DED7A0C" w14:textId="77777777" w:rsidR="001E5F64" w:rsidRDefault="001E5F64">
      <w:pPr>
        <w:rPr>
          <w:rFonts w:ascii="Arila" w:hAnsi="Arila"/>
        </w:rPr>
      </w:pPr>
    </w:p>
    <w:p w14:paraId="4A700BAE" w14:textId="77777777" w:rsidR="001E5F64" w:rsidRDefault="001E5F64">
      <w:pPr>
        <w:rPr>
          <w:rFonts w:ascii="Arila" w:hAnsi="Arila"/>
        </w:rPr>
      </w:pPr>
    </w:p>
    <w:p w14:paraId="477CECA6" w14:textId="77777777" w:rsidR="001E5F64" w:rsidRDefault="001E5F64">
      <w:pPr>
        <w:rPr>
          <w:rFonts w:ascii="Arila" w:hAnsi="Arila"/>
        </w:rPr>
      </w:pPr>
    </w:p>
    <w:p w14:paraId="1E8F7F5D" w14:textId="77777777" w:rsidR="001E5F64" w:rsidRDefault="001E5F64">
      <w:pPr>
        <w:rPr>
          <w:rFonts w:ascii="Arila" w:hAnsi="Arila"/>
        </w:rPr>
      </w:pPr>
    </w:p>
    <w:p w14:paraId="0215CB36" w14:textId="77777777" w:rsidR="001E5F64" w:rsidRDefault="001E5F64">
      <w:pPr>
        <w:rPr>
          <w:rFonts w:ascii="Arila" w:hAnsi="Arila"/>
        </w:rPr>
      </w:pPr>
    </w:p>
    <w:p w14:paraId="1921817B" w14:textId="77777777" w:rsidR="001E5F64" w:rsidRDefault="001E5F64">
      <w:pPr>
        <w:rPr>
          <w:rFonts w:ascii="Arila" w:hAnsi="Arila"/>
        </w:rPr>
      </w:pPr>
    </w:p>
    <w:p w14:paraId="3570FB44" w14:textId="77777777" w:rsidR="001E5F64" w:rsidRDefault="001E5F64">
      <w:pPr>
        <w:rPr>
          <w:rFonts w:ascii="Arila" w:hAnsi="Arila"/>
        </w:rPr>
      </w:pPr>
    </w:p>
    <w:p w14:paraId="4A64374B" w14:textId="77777777" w:rsidR="001E5F64" w:rsidRDefault="001E5F64">
      <w:pPr>
        <w:rPr>
          <w:rFonts w:ascii="Arila" w:hAnsi="Arila"/>
        </w:rPr>
      </w:pPr>
    </w:p>
    <w:p w14:paraId="01AA1F0D" w14:textId="77777777" w:rsidR="001E5F64" w:rsidRDefault="00000000">
      <w:pPr>
        <w:pStyle w:val="Heading1"/>
        <w:spacing w:line="360" w:lineRule="auto"/>
        <w:rPr>
          <w:rFonts w:ascii="Arial" w:hAnsi="Arial" w:cs="Arial"/>
          <w:b/>
          <w:bCs/>
          <w:color w:val="auto"/>
          <w:sz w:val="22"/>
          <w:szCs w:val="22"/>
        </w:rPr>
      </w:pPr>
      <w:bookmarkStart w:id="1" w:name="_Toc224934095"/>
      <w:r>
        <w:rPr>
          <w:rFonts w:ascii="Arial" w:hAnsi="Arial" w:cs="Arial"/>
          <w:b/>
          <w:bCs/>
          <w:color w:val="auto"/>
          <w:sz w:val="22"/>
          <w:szCs w:val="22"/>
        </w:rPr>
        <w:lastRenderedPageBreak/>
        <w:t>Introduction</w:t>
      </w:r>
      <w:bookmarkEnd w:id="1"/>
    </w:p>
    <w:p w14:paraId="7675F14A" w14:textId="77777777" w:rsidR="001E5F64" w:rsidRDefault="00000000">
      <w:pPr>
        <w:spacing w:after="0" w:line="360" w:lineRule="auto"/>
        <w:jc w:val="both"/>
        <w:rPr>
          <w:rFonts w:ascii="Arial" w:hAnsi="Arial" w:cs="Arial"/>
        </w:rPr>
      </w:pPr>
      <w:r>
        <w:rPr>
          <w:rFonts w:ascii="Arial" w:hAnsi="Arial" w:cs="Arial"/>
        </w:rPr>
        <w:t>This report provides a critical evaluation of the digital health innovation, the mPower mobile health application, and its impact on various aspects of healthcare systems. Digital technologies have increasingly supported the monitoring and management of long-term conditions. Mobile health applications enable patients to record health information via smartphones and other digital devices, facilitating continuous data collection beyond traditional clinical settings. The mPower application was developed as a research platform to monitor symptoms of Parkinson’s disease, a progressive neurological disorder affecting movement and motor control. It collects data through tasks such as walking tests, finger-tapping exercises, and voice recordings, which can be analysed to assess symptom changes and disease progression. (NHS Scotland, 2021; Royal College of Physicians, 2018).</w:t>
      </w:r>
    </w:p>
    <w:p w14:paraId="25B68D3C" w14:textId="77777777" w:rsidR="001E5F64" w:rsidRDefault="00000000">
      <w:pPr>
        <w:spacing w:after="0" w:line="360" w:lineRule="auto"/>
        <w:jc w:val="both"/>
        <w:rPr>
          <w:rFonts w:ascii="Arial" w:hAnsi="Arial" w:cs="Arial"/>
        </w:rPr>
      </w:pPr>
      <w:r>
        <w:rPr>
          <w:rFonts w:ascii="Arial" w:hAnsi="Arial" w:cs="Arial"/>
        </w:rPr>
        <w:t>Compared to traditional healthcare assessments, which typically occur during infrequent clinical appointments, digital monitoring tools enable observation of health patterns in real-world environments. This capability enhances understanding of symptom variability and supports more personalised healthcare interventions. (Greenhalgh et al., 2017; Department of Health and Social Care, 2023).</w:t>
      </w:r>
    </w:p>
    <w:p w14:paraId="675504A5" w14:textId="77777777" w:rsidR="001E5F64" w:rsidRDefault="00000000">
      <w:pPr>
        <w:spacing w:after="0" w:line="360" w:lineRule="auto"/>
        <w:jc w:val="both"/>
        <w:rPr>
          <w:rFonts w:ascii="Arial" w:hAnsi="Arial" w:cs="Arial"/>
        </w:rPr>
      </w:pPr>
      <w:r>
        <w:rPr>
          <w:rFonts w:ascii="Arial" w:hAnsi="Arial" w:cs="Arial"/>
        </w:rPr>
        <w:t>The growing integration of digital technologies into healthcare is also evident in national policy initiatives such as the NHS Long Term Plan, which emphasises the role of digital innovation in improving patient care and service efficiency (NHS, 2019; NHS England, 2022). Therefore, this report critically analyses the impact of the mPower application on the healthcare workforce, service delivery, patients, and the broader community.</w:t>
      </w:r>
    </w:p>
    <w:p w14:paraId="43A02394" w14:textId="77777777" w:rsidR="001E5F64" w:rsidRDefault="00000000">
      <w:pPr>
        <w:pStyle w:val="Heading1"/>
        <w:spacing w:line="360" w:lineRule="auto"/>
        <w:rPr>
          <w:rFonts w:ascii="Arial" w:hAnsi="Arial" w:cs="Arial"/>
          <w:b/>
          <w:bCs/>
          <w:color w:val="auto"/>
          <w:sz w:val="22"/>
          <w:szCs w:val="22"/>
        </w:rPr>
      </w:pPr>
      <w:bookmarkStart w:id="2" w:name="_Toc224934096"/>
      <w:r>
        <w:rPr>
          <w:rFonts w:ascii="Arial" w:hAnsi="Arial" w:cs="Arial"/>
          <w:b/>
          <w:bCs/>
          <w:color w:val="auto"/>
          <w:sz w:val="22"/>
          <w:szCs w:val="22"/>
        </w:rPr>
        <w:t>Impact on the Healthcare Workforce</w:t>
      </w:r>
      <w:bookmarkEnd w:id="2"/>
    </w:p>
    <w:p w14:paraId="7181C558" w14:textId="77777777" w:rsidR="001E5F64" w:rsidRDefault="00000000">
      <w:pPr>
        <w:spacing w:after="0" w:line="360" w:lineRule="auto"/>
        <w:jc w:val="both"/>
        <w:rPr>
          <w:rFonts w:ascii="Arial" w:hAnsi="Arial" w:cs="Arial"/>
        </w:rPr>
      </w:pPr>
      <w:r>
        <w:rPr>
          <w:rFonts w:ascii="Arial" w:hAnsi="Arial" w:cs="Arial"/>
        </w:rPr>
        <w:t>Digital health technologies are transforming how healthcare professionals monitor and manage chronic conditions. Previously, clinicians relied on direct observation and in-person visits to assess patients’ health. Currently, applications such as mPower facilitate continuous data collection through smartphone sensors, supplying healthcare professionals with supplementary information between appointments. (NHS Scotland, 2021; Royal College of Physicians, 2018).</w:t>
      </w:r>
    </w:p>
    <w:p w14:paraId="1A7CC658" w14:textId="77777777" w:rsidR="001E5F64" w:rsidRDefault="00000000">
      <w:pPr>
        <w:spacing w:after="0" w:line="360" w:lineRule="auto"/>
        <w:jc w:val="both"/>
        <w:rPr>
          <w:rFonts w:ascii="Arial" w:hAnsi="Arial" w:cs="Arial"/>
        </w:rPr>
      </w:pPr>
      <w:r>
        <w:rPr>
          <w:rFonts w:ascii="Arial" w:hAnsi="Arial" w:cs="Arial"/>
        </w:rPr>
        <w:t>These technologies enable clinicians to track disease progression with greater accuracy. Continuous digital monitoring detects subtle symptom changes that may be overlooked during brief clinical visits. For instance, smartphone assessments quantify alterations in motor skills, balance, and speech, providing clinicians with detailed insights into Parkinson’s disease progression. (Williams et al., 2021). Consequently, healthcare professionals can optimise treatments and deliver more personalised care.</w:t>
      </w:r>
    </w:p>
    <w:p w14:paraId="3FD1DDBC" w14:textId="77777777" w:rsidR="001E5F64" w:rsidRDefault="00000000">
      <w:pPr>
        <w:spacing w:after="0" w:line="360" w:lineRule="auto"/>
        <w:jc w:val="both"/>
        <w:rPr>
          <w:rFonts w:ascii="Arial" w:hAnsi="Arial" w:cs="Arial"/>
        </w:rPr>
      </w:pPr>
      <w:r>
        <w:rPr>
          <w:rFonts w:ascii="Arial" w:hAnsi="Arial" w:cs="Arial"/>
        </w:rPr>
        <w:lastRenderedPageBreak/>
        <w:t>Another key benefit is interdisciplinary collaboration. Digital health technologies require healthcare professionals to work with data scientists, researchers, and technology developers who analyse large datasets from digital monitoring systems. This collaboration fosters healthcare innovation and supports the development of new digital health solutions. (NICE, 2022; NHS Scotland, 2021)</w:t>
      </w:r>
    </w:p>
    <w:p w14:paraId="71343EE0" w14:textId="77777777" w:rsidR="001E5F64" w:rsidRDefault="00000000">
      <w:pPr>
        <w:spacing w:after="0" w:line="360" w:lineRule="auto"/>
        <w:jc w:val="both"/>
        <w:rPr>
          <w:rFonts w:ascii="Arial" w:hAnsi="Arial" w:cs="Arial"/>
        </w:rPr>
      </w:pPr>
      <w:r>
        <w:rPr>
          <w:rFonts w:ascii="Arial" w:hAnsi="Arial" w:cs="Arial"/>
        </w:rPr>
        <w:t>While digital monitoring technologies improve patient observation, integrating them into healthcare systems poses challenges. Healthcare staff need digital skills to interpret patient-generated data and relate measurements to clinical outcomes. Many clinicians may require additional training to use these systems effectively (NICE, 2022; NHS Scotland, 2021).</w:t>
      </w:r>
    </w:p>
    <w:p w14:paraId="7C5CFF72" w14:textId="77777777" w:rsidR="001E5F64" w:rsidRDefault="00000000">
      <w:pPr>
        <w:spacing w:after="0" w:line="360" w:lineRule="auto"/>
        <w:jc w:val="both"/>
        <w:rPr>
          <w:rFonts w:ascii="Arial" w:hAnsi="Arial" w:cs="Arial"/>
        </w:rPr>
      </w:pPr>
      <w:r>
        <w:rPr>
          <w:rFonts w:ascii="Arial" w:hAnsi="Arial" w:cs="Arial"/>
        </w:rPr>
        <w:t>A key concern is the potential increase in workload. Continuous monitoring generates extensive health data needing thorough review. Without effective filtering and prioritisation, healthcare professionals risk information overload. Thus, organisations must establish infrastructure and provide comprehensive training to support staff during the implementation of digital health technologies.</w:t>
      </w:r>
    </w:p>
    <w:p w14:paraId="16C0C428" w14:textId="77777777" w:rsidR="001E5F64" w:rsidRDefault="00000000">
      <w:pPr>
        <w:spacing w:after="0" w:line="360" w:lineRule="auto"/>
        <w:jc w:val="both"/>
        <w:rPr>
          <w:rFonts w:ascii="Arial" w:hAnsi="Arial" w:cs="Arial"/>
        </w:rPr>
      </w:pPr>
      <w:r>
        <w:rPr>
          <w:rFonts w:ascii="Arial" w:hAnsi="Arial" w:cs="Arial"/>
        </w:rPr>
        <w:t xml:space="preserve"> The mPower app has had a significant impact on healthcare delivery, particularly for older adults with long-term conditions. On the positive side, it enhances patient engagement by enabling individuals to take a more active role in managing their health, fostering greater autonomy and self-management. By providing easy access to health and wellbeing services—such as medication reminders, appointment notifications, and connections to community support—the app reduces barriers to care and can help reduce the burden on healthcare providers by potentially lowering unnecessary GP visits and hospital admissions.</w:t>
      </w:r>
    </w:p>
    <w:p w14:paraId="7C32033A" w14:textId="77777777" w:rsidR="001E5F64" w:rsidRDefault="00000000">
      <w:pPr>
        <w:spacing w:after="0" w:line="360" w:lineRule="auto"/>
        <w:jc w:val="both"/>
        <w:rPr>
          <w:rFonts w:ascii="Arial" w:hAnsi="Arial" w:cs="Arial"/>
        </w:rPr>
      </w:pPr>
      <w:r>
        <w:rPr>
          <w:rFonts w:ascii="Arial" w:hAnsi="Arial" w:cs="Arial"/>
        </w:rPr>
        <w:t>However, these benefits are counterbalanced by certain challenges. Digital exclusion remains a significant concern, as some older adults and vulnerable populations may lack the necessary digital literacy or access to smartphones and reliable internet, thereby exacerbating health inequalities (Parkinson’s UK, 2021). In addition, privacy and data security issues arise from the collection and transmission of sensitive health information via the app. (Public Health England 2019)</w:t>
      </w:r>
    </w:p>
    <w:p w14:paraId="25B2B9F7" w14:textId="77777777" w:rsidR="001E5F64" w:rsidRDefault="00000000">
      <w:pPr>
        <w:spacing w:after="0" w:line="360" w:lineRule="auto"/>
        <w:jc w:val="both"/>
        <w:rPr>
          <w:rFonts w:ascii="Arial" w:hAnsi="Arial" w:cs="Arial"/>
        </w:rPr>
      </w:pPr>
      <w:r>
        <w:rPr>
          <w:rFonts w:ascii="Arial" w:hAnsi="Arial" w:cs="Arial"/>
        </w:rPr>
        <w:t>There is also the risk that over-reliance on digital interventions could reduce face-to-face interactions, potentially diminishing the quality of patient-provider relationships and holistic care. (Information Commissioner’s Office, 2020).</w:t>
      </w:r>
    </w:p>
    <w:p w14:paraId="5494EFCD" w14:textId="77777777" w:rsidR="001E5F64" w:rsidRDefault="00000000">
      <w:pPr>
        <w:spacing w:after="0" w:line="360" w:lineRule="auto"/>
        <w:jc w:val="both"/>
        <w:rPr>
          <w:rFonts w:ascii="Arial" w:hAnsi="Arial" w:cs="Arial"/>
        </w:rPr>
      </w:pPr>
      <w:r>
        <w:rPr>
          <w:rFonts w:ascii="Arial" w:hAnsi="Arial" w:cs="Arial"/>
        </w:rPr>
        <w:t>Overall, while the mPower app offers valuable tools to support self-management and ease the strain on healthcare systems, careful consideration must be given to ensuring equitable access, safeguarding data, and maintaining the human element in care provision (NHS Scotland, 2021; NHS, 2019).</w:t>
      </w:r>
    </w:p>
    <w:p w14:paraId="70C078B7" w14:textId="77777777" w:rsidR="001E5F64" w:rsidRDefault="00000000">
      <w:pPr>
        <w:pStyle w:val="Heading1"/>
        <w:spacing w:after="0" w:line="360" w:lineRule="auto"/>
        <w:jc w:val="both"/>
        <w:rPr>
          <w:rFonts w:ascii="Arial" w:hAnsi="Arial" w:cs="Arial"/>
          <w:b/>
          <w:bCs/>
          <w:color w:val="auto"/>
          <w:sz w:val="22"/>
          <w:szCs w:val="22"/>
        </w:rPr>
      </w:pPr>
      <w:bookmarkStart w:id="3" w:name="_Toc224934097"/>
      <w:r>
        <w:rPr>
          <w:rFonts w:ascii="Arial" w:hAnsi="Arial" w:cs="Arial"/>
          <w:b/>
          <w:bCs/>
          <w:color w:val="auto"/>
          <w:sz w:val="22"/>
          <w:szCs w:val="22"/>
        </w:rPr>
        <w:lastRenderedPageBreak/>
        <w:t>Impact on Healthcare Service Delivery</w:t>
      </w:r>
      <w:bookmarkEnd w:id="3"/>
    </w:p>
    <w:p w14:paraId="22E3FE3E" w14:textId="77777777" w:rsidR="001E5F64" w:rsidRDefault="00000000">
      <w:pPr>
        <w:spacing w:after="0" w:line="360" w:lineRule="auto"/>
        <w:jc w:val="both"/>
        <w:rPr>
          <w:rFonts w:ascii="Arial" w:hAnsi="Arial" w:cs="Arial"/>
        </w:rPr>
      </w:pPr>
      <w:r>
        <w:rPr>
          <w:rFonts w:ascii="Arial" w:hAnsi="Arial" w:cs="Arial"/>
        </w:rPr>
        <w:t>Mobile health technologies, such as the mPower app, have the potential to transform healthcare delivery. Parkinson’s disease is a chronic neurological disorder that requires continuous monitoring. Traditional care relies on periodic appointments, which may miss fluctuations in symptoms.</w:t>
      </w:r>
    </w:p>
    <w:p w14:paraId="1F9D4A72" w14:textId="77777777" w:rsidR="001E5F64" w:rsidRDefault="00000000">
      <w:pPr>
        <w:spacing w:after="0" w:line="360" w:lineRule="auto"/>
        <w:jc w:val="both"/>
        <w:rPr>
          <w:rFonts w:ascii="Arial" w:hAnsi="Arial" w:cs="Arial"/>
        </w:rPr>
      </w:pPr>
      <w:r>
        <w:rPr>
          <w:rFonts w:ascii="Arial" w:hAnsi="Arial" w:cs="Arial"/>
        </w:rPr>
        <w:t>The mPower app allows patients to conduct regular digital assessments using smartphones. These assessments evaluate motor functions, including walking patterns, voice, and finger dexterity. Clinicians and researchers utilise this data to monitor symptom progression and evaluate treatment efficacy. (NHS Scotland, 2021; Royal College of Physicians 2018)</w:t>
      </w:r>
    </w:p>
    <w:p w14:paraId="703DBA8C" w14:textId="77777777" w:rsidR="001E5F64" w:rsidRDefault="00000000">
      <w:pPr>
        <w:spacing w:after="0" w:line="360" w:lineRule="auto"/>
        <w:jc w:val="both"/>
        <w:rPr>
          <w:rFonts w:ascii="Arial" w:hAnsi="Arial" w:cs="Arial"/>
        </w:rPr>
      </w:pPr>
      <w:r>
        <w:rPr>
          <w:rFonts w:ascii="Arial" w:hAnsi="Arial" w:cs="Arial"/>
        </w:rPr>
        <w:t>A major advantage of this approach is the capacity for remote patient monitoring. Remote monitoring can reduce the frequency of hospital visits and enable healthcare professionals to detect health changes earlier. This capability enhances access to healthcare services, especially for individuals with mobility limitations or those residing in areas with limited healthcare facilities (Jones et al., 2020; NHS Scotland, 2021). Furthermore, digital technologies are increasingly acknowledged as essential elements of contemporary healthcare strategies. The NHS Long Term Plan underscores the role of digital tools in enhancing efficiency and facilitating more patient-centred healthcare services (NHS, 2019; NHS England, 2022).</w:t>
      </w:r>
    </w:p>
    <w:p w14:paraId="0B2A8379" w14:textId="77777777" w:rsidR="001E5F64" w:rsidRDefault="00000000">
      <w:pPr>
        <w:spacing w:after="0" w:line="360" w:lineRule="auto"/>
        <w:jc w:val="both"/>
        <w:rPr>
          <w:rFonts w:ascii="Arial" w:hAnsi="Arial" w:cs="Arial"/>
        </w:rPr>
      </w:pPr>
      <w:r>
        <w:rPr>
          <w:rFonts w:ascii="Arial" w:hAnsi="Arial" w:cs="Arial"/>
        </w:rPr>
        <w:t xml:space="preserve"> Likewise, UK government policy stresses the significance of utilising digital data to support healthcare planning and improve health outcomes (Department of Health and Social Care, 2023).</w:t>
      </w:r>
    </w:p>
    <w:p w14:paraId="7902811C" w14:textId="77777777" w:rsidR="001E5F64" w:rsidRDefault="00000000">
      <w:pPr>
        <w:spacing w:after="0" w:line="360" w:lineRule="auto"/>
        <w:jc w:val="both"/>
        <w:rPr>
          <w:rFonts w:ascii="Arial" w:hAnsi="Arial" w:cs="Arial"/>
        </w:rPr>
      </w:pPr>
      <w:r>
        <w:rPr>
          <w:rFonts w:ascii="Arial" w:hAnsi="Arial" w:cs="Arial"/>
        </w:rPr>
        <w:t>Digital health technologies offer many benefits but also have some limitations. Data from smartphone sensors can be affected by environmental factors, differences between devices, and user behaviour. Because of this, healthcare professionals need to interpret these data carefully and use them alongside traditional clinical assessments (NICE, 2022).</w:t>
      </w:r>
    </w:p>
    <w:p w14:paraId="70200C4D" w14:textId="77777777" w:rsidR="001E5F64" w:rsidRDefault="00000000">
      <w:pPr>
        <w:spacing w:after="0" w:line="360" w:lineRule="auto"/>
        <w:jc w:val="both"/>
        <w:rPr>
          <w:rFonts w:ascii="Arial" w:hAnsi="Arial" w:cs="Arial"/>
        </w:rPr>
      </w:pPr>
      <w:r>
        <w:rPr>
          <w:rFonts w:ascii="Arial" w:hAnsi="Arial" w:cs="Arial"/>
        </w:rPr>
        <w:t>Setting up digital monitoring systems requires a big investment in infrastructure and cybersecurity. Healthcare organisations must securely store patient data and comply with data protection regulations. Without proper safeguards, digital health technologies could compromise patient privacy.</w:t>
      </w:r>
    </w:p>
    <w:p w14:paraId="1884CD00" w14:textId="77777777" w:rsidR="001E5F64" w:rsidRDefault="00000000">
      <w:pPr>
        <w:spacing w:after="0" w:line="360" w:lineRule="auto"/>
        <w:jc w:val="both"/>
        <w:rPr>
          <w:rFonts w:ascii="Arial" w:hAnsi="Arial" w:cs="Arial"/>
        </w:rPr>
      </w:pPr>
      <w:r>
        <w:rPr>
          <w:rFonts w:ascii="Arial" w:hAnsi="Arial" w:cs="Arial"/>
        </w:rPr>
        <w:t>Despite these challenges, the future of mobile health technologies in healthcare delivery remains promising. Ongoing advancements in artificial intelligence, data analytics, and wearable devices are likely to enhance the accuracy and reliability of remote monitoring tools. As digital health continues to evolve, collaboration between technology developers, healthcare providers, and policymakers will be essential to maximise benefits, address limitations, and ensure equitable access for all patients.</w:t>
      </w:r>
    </w:p>
    <w:p w14:paraId="39B9498C" w14:textId="77777777" w:rsidR="001E5F64" w:rsidRDefault="00000000">
      <w:pPr>
        <w:pStyle w:val="Heading1"/>
        <w:rPr>
          <w:rFonts w:ascii="Arial" w:hAnsi="Arial" w:cs="Arial"/>
          <w:b/>
          <w:bCs/>
          <w:color w:val="auto"/>
          <w:sz w:val="22"/>
          <w:szCs w:val="22"/>
        </w:rPr>
      </w:pPr>
      <w:bookmarkStart w:id="4" w:name="_Toc224934098"/>
      <w:r>
        <w:rPr>
          <w:rFonts w:ascii="Arial" w:hAnsi="Arial" w:cs="Arial"/>
          <w:b/>
          <w:bCs/>
          <w:color w:val="auto"/>
          <w:sz w:val="22"/>
          <w:szCs w:val="22"/>
        </w:rPr>
        <w:lastRenderedPageBreak/>
        <w:t>Impact on Patients</w:t>
      </w:r>
      <w:bookmarkEnd w:id="4"/>
    </w:p>
    <w:p w14:paraId="144763D1" w14:textId="77777777" w:rsidR="001E5F64" w:rsidRDefault="00000000">
      <w:pPr>
        <w:spacing w:after="0" w:line="360" w:lineRule="auto"/>
        <w:jc w:val="both"/>
        <w:rPr>
          <w:rFonts w:ascii="Arial" w:hAnsi="Arial" w:cs="Arial"/>
        </w:rPr>
      </w:pPr>
      <w:r>
        <w:rPr>
          <w:rFonts w:ascii="Arial" w:hAnsi="Arial" w:cs="Arial"/>
        </w:rPr>
        <w:t>Mobile health technologies offer patients innovative opportunities to actively manage their health. The mPower application enables individuals with Parkinson’s disease to document symptoms by completing simple tasks on their smartphones.</w:t>
      </w:r>
    </w:p>
    <w:p w14:paraId="11CD083E" w14:textId="77777777" w:rsidR="001E5F64" w:rsidRDefault="00000000">
      <w:pPr>
        <w:spacing w:after="0" w:line="360" w:lineRule="auto"/>
        <w:jc w:val="both"/>
        <w:rPr>
          <w:rFonts w:ascii="Arial" w:hAnsi="Arial" w:cs="Arial"/>
        </w:rPr>
      </w:pPr>
      <w:r>
        <w:rPr>
          <w:rFonts w:ascii="Arial" w:hAnsi="Arial" w:cs="Arial"/>
        </w:rPr>
        <w:t>This approach enhances patient awareness of symptom patterns. Regular monitoring enables patients to understand symptom fluctuations throughout the day or in response to medication. Such knowledge facilitates self-management and improves communication between patients and healthcare professionals. (Shaw et al., 2019; NHS Scotland, 2021).</w:t>
      </w:r>
    </w:p>
    <w:p w14:paraId="01C1F8A9" w14:textId="77777777" w:rsidR="001E5F64" w:rsidRDefault="00000000">
      <w:pPr>
        <w:spacing w:after="0" w:line="360" w:lineRule="auto"/>
        <w:jc w:val="both"/>
        <w:rPr>
          <w:rFonts w:ascii="Arial" w:hAnsi="Arial" w:cs="Arial"/>
        </w:rPr>
      </w:pPr>
      <w:r>
        <w:rPr>
          <w:rFonts w:ascii="Arial" w:hAnsi="Arial" w:cs="Arial"/>
        </w:rPr>
        <w:t>Making healthcare monitoring more accessible is a big advantage. Remote digital assessments let patients track their health from home, reducing the need to visit healthcare centres. This is especially helpful for people with Parkinson's disease who have trouble moving around.</w:t>
      </w:r>
    </w:p>
    <w:p w14:paraId="096D1F79" w14:textId="77777777" w:rsidR="001E5F64" w:rsidRDefault="00000000">
      <w:pPr>
        <w:spacing w:after="0" w:line="360" w:lineRule="auto"/>
        <w:jc w:val="both"/>
        <w:rPr>
          <w:rFonts w:ascii="Arial" w:hAnsi="Arial" w:cs="Arial"/>
        </w:rPr>
      </w:pPr>
      <w:r>
        <w:rPr>
          <w:rFonts w:ascii="Arial" w:hAnsi="Arial" w:cs="Arial"/>
        </w:rPr>
        <w:t>However, the adoption of digital health technologies may also pose challenges for certain patient groups. The digital divide remains a significant issue within healthcare. Not all individuals have equal access to smartphones, internet connectivity or the digital skills required to use mobile health applications effectively. Older adults, who represent a large proportion of people living with Parkinson’s disease, may experience difficulties using digital technologies (Parkinson’s UK, 2021; NHS Scotland, 2021).</w:t>
      </w:r>
    </w:p>
    <w:p w14:paraId="3A5D21A7" w14:textId="77777777" w:rsidR="001E5F64" w:rsidRDefault="00000000">
      <w:pPr>
        <w:spacing w:after="0" w:line="360" w:lineRule="auto"/>
        <w:jc w:val="both"/>
        <w:rPr>
          <w:rFonts w:ascii="Arial" w:hAnsi="Arial" w:cs="Arial"/>
        </w:rPr>
      </w:pPr>
      <w:r>
        <w:rPr>
          <w:rFonts w:ascii="Arial" w:hAnsi="Arial" w:cs="Arial"/>
        </w:rPr>
        <w:t>Privacy and data security worries can also make patients hesitant to join digital health programs. Patients need to feel confident that their personal health information is handled carefully and kept safe from unauthorised access. That’s why healthcare organisations must be clear about how they collect, store, and use patient data.</w:t>
      </w:r>
    </w:p>
    <w:p w14:paraId="21E0D316" w14:textId="77777777" w:rsidR="001E5F64" w:rsidRDefault="00000000">
      <w:pPr>
        <w:spacing w:after="0" w:line="360" w:lineRule="auto"/>
        <w:jc w:val="both"/>
        <w:rPr>
          <w:rFonts w:ascii="Arial" w:hAnsi="Arial" w:cs="Arial"/>
        </w:rPr>
      </w:pPr>
      <w:r>
        <w:rPr>
          <w:rFonts w:ascii="Arial" w:hAnsi="Arial" w:cs="Arial"/>
        </w:rPr>
        <w:t>Digital technologies have the potential to enhance patient engagement and monitoring; however, their implementation must ensure equitable access and benefits across all patient groups.</w:t>
      </w:r>
    </w:p>
    <w:p w14:paraId="490EABDD" w14:textId="77777777" w:rsidR="001E5F64" w:rsidRDefault="001E5F64">
      <w:pPr>
        <w:spacing w:line="360" w:lineRule="auto"/>
        <w:rPr>
          <w:rFonts w:ascii="Arila" w:hAnsi="Arila"/>
          <w:sz w:val="24"/>
          <w:szCs w:val="24"/>
        </w:rPr>
      </w:pPr>
    </w:p>
    <w:p w14:paraId="52E411F4" w14:textId="77777777" w:rsidR="001E5F64" w:rsidRDefault="00000000">
      <w:pPr>
        <w:pStyle w:val="Heading1"/>
        <w:rPr>
          <w:rFonts w:ascii="Arial" w:hAnsi="Arial" w:cs="Arial"/>
          <w:b/>
          <w:bCs/>
          <w:color w:val="auto"/>
          <w:sz w:val="22"/>
          <w:szCs w:val="22"/>
        </w:rPr>
      </w:pPr>
      <w:bookmarkStart w:id="5" w:name="_Toc224934099"/>
      <w:r>
        <w:rPr>
          <w:rFonts w:ascii="Arial" w:hAnsi="Arial" w:cs="Arial"/>
          <w:b/>
          <w:bCs/>
          <w:color w:val="auto"/>
          <w:sz w:val="22"/>
          <w:szCs w:val="22"/>
        </w:rPr>
        <w:t>Impact on the Wider Community</w:t>
      </w:r>
      <w:bookmarkEnd w:id="5"/>
    </w:p>
    <w:p w14:paraId="1291A139" w14:textId="77777777" w:rsidR="001E5F64" w:rsidRDefault="00000000">
      <w:pPr>
        <w:spacing w:after="0" w:line="360" w:lineRule="auto"/>
        <w:jc w:val="both"/>
        <w:rPr>
          <w:rFonts w:ascii="Arial" w:hAnsi="Arial" w:cs="Arial"/>
        </w:rPr>
      </w:pPr>
      <w:r>
        <w:rPr>
          <w:rFonts w:ascii="Arial" w:hAnsi="Arial" w:cs="Arial"/>
        </w:rPr>
        <w:t xml:space="preserve">Digital health technologies significantly impact individuals, entire communities, and the functioning of public health systems by transforming how health data is collected, shared, and utilised. Specifically, large-scale studies such as the mPower project illustrate how digital platforms can generate extensive datasets that not only drive medical research but also enhance the understanding of disease patterns within populations. (NHS Scotland, 2021; Royal College of Physicians, 2018) The mPower study collected data from thousands of participants through smartphone-based health assessments. This dataset allows researchers to analyse variations in Parkinson’s symptoms and identify digital markers that may facilitate early diagnosis and customised treatments. (Department of Health and Social Care, 2023; </w:t>
      </w:r>
      <w:r>
        <w:rPr>
          <w:rFonts w:ascii="Arial" w:hAnsi="Arial" w:cs="Arial"/>
        </w:rPr>
        <w:lastRenderedPageBreak/>
        <w:t>Shaw et al., 2019).  From a community perspective, digital technologies improve access to healthcare services by enabling remote monitoring and alleviating pressure on healthcare facilities. Digital health systems enable health practitioners to support larger populations while continuing to monitor patient health.</w:t>
      </w:r>
    </w:p>
    <w:p w14:paraId="77E2CA8A" w14:textId="77777777" w:rsidR="001E5F64" w:rsidRDefault="00000000">
      <w:pPr>
        <w:spacing w:after="0" w:line="360" w:lineRule="auto"/>
        <w:jc w:val="both"/>
        <w:rPr>
          <w:rFonts w:ascii="Arial" w:hAnsi="Arial" w:cs="Arial"/>
        </w:rPr>
      </w:pPr>
      <w:r>
        <w:rPr>
          <w:rFonts w:ascii="Arial" w:hAnsi="Arial" w:cs="Arial"/>
        </w:rPr>
        <w:t>The growth of digital health technologies brings important ethical and social challenges. Collecting large amounts of data requires strong oversight to ensure health information is utilised responsibly and ethically. Researchers need to anonymise and shield patient data to preserve public trust in digital health projects. (Department of Health and Social Care, 2023; Shaw et al., 2019).</w:t>
      </w:r>
    </w:p>
    <w:p w14:paraId="5281113C" w14:textId="77777777" w:rsidR="001E5F64" w:rsidRDefault="00000000">
      <w:pPr>
        <w:spacing w:after="0" w:line="360" w:lineRule="auto"/>
        <w:jc w:val="both"/>
        <w:rPr>
          <w:rFonts w:ascii="Arial" w:hAnsi="Arial" w:cs="Arial"/>
        </w:rPr>
      </w:pPr>
      <w:r>
        <w:rPr>
          <w:rFonts w:ascii="Arial" w:hAnsi="Arial" w:cs="Arial"/>
        </w:rPr>
        <w:t>Policymakers should also carefully consider the ways in which digital technologies can exacerbate existing health inequalities. Limited access to reliable internet, inadequate digital infrastructure, and low digital literacy disproportionately affect certain populations, such as those in rural areas, older adults, and marginalised groups, making it difficult for them to engage with digital healthcare services. Addressing these equity challenges requires targeted interventions, such as investing in digital infrastructure, providing accessible education and training on health technologies, and designing inclusive digital health platforms that accommodate diverse user needs. Tackling these gaps is essential to ensure that digital advances promote equitable healthcare access and benefit the entire society (NHS England, 2022; NHS Scotland, 2021).</w:t>
      </w:r>
    </w:p>
    <w:p w14:paraId="3C7F0370" w14:textId="77777777" w:rsidR="001E5F64" w:rsidRDefault="00000000">
      <w:pPr>
        <w:spacing w:after="0" w:line="360" w:lineRule="auto"/>
        <w:jc w:val="both"/>
        <w:rPr>
          <w:rFonts w:ascii="Arial" w:hAnsi="Arial" w:cs="Arial"/>
        </w:rPr>
      </w:pPr>
      <w:r>
        <w:rPr>
          <w:rFonts w:ascii="Arial" w:hAnsi="Arial" w:cs="Arial"/>
        </w:rPr>
        <w:t>Additionally, education and ongoing training are crucial for both healthcare professionals and patients to fully harness the benefits of digital health solutions. By providing clear guidance and support, healthcare systems can help users feel confident and capable when engaging with new technologies. Public awareness campaigns may also play a vital role in dispelling misconceptions and building trust in digital health tools. Ultimately, integrating feedback from patients and clinicians will drive continuous improvements and foster a more inclusive and effective digital health environment.</w:t>
      </w:r>
    </w:p>
    <w:p w14:paraId="6FB3B4F4" w14:textId="77777777" w:rsidR="001E5F64" w:rsidRDefault="00000000">
      <w:pPr>
        <w:pStyle w:val="Heading1"/>
        <w:rPr>
          <w:rFonts w:ascii="Arial" w:hAnsi="Arial" w:cs="Arial"/>
          <w:b/>
          <w:bCs/>
          <w:color w:val="auto"/>
          <w:sz w:val="22"/>
          <w:szCs w:val="22"/>
        </w:rPr>
      </w:pPr>
      <w:bookmarkStart w:id="6" w:name="_Toc224934100"/>
      <w:r>
        <w:rPr>
          <w:rFonts w:ascii="Arial" w:hAnsi="Arial" w:cs="Arial"/>
          <w:b/>
          <w:bCs/>
          <w:color w:val="auto"/>
          <w:sz w:val="22"/>
          <w:szCs w:val="22"/>
        </w:rPr>
        <w:t>Conclusion</w:t>
      </w:r>
      <w:bookmarkEnd w:id="6"/>
    </w:p>
    <w:p w14:paraId="5C31E99A" w14:textId="77777777" w:rsidR="001E5F64" w:rsidRDefault="00000000">
      <w:pPr>
        <w:spacing w:after="0" w:line="360" w:lineRule="auto"/>
        <w:jc w:val="both"/>
        <w:rPr>
          <w:rFonts w:ascii="Arial" w:hAnsi="Arial" w:cs="Arial"/>
        </w:rPr>
      </w:pPr>
      <w:r>
        <w:rPr>
          <w:rFonts w:ascii="Arial" w:hAnsi="Arial" w:cs="Arial"/>
        </w:rPr>
        <w:t>The mPower mobile health app shows how smartphones can help monitor and manage chronic conditions like Parkinson’s disease. It lets patients record health data using phone sensors, providing useful insights into symptoms and disease progression.</w:t>
      </w:r>
    </w:p>
    <w:p w14:paraId="01DBA79E" w14:textId="77777777" w:rsidR="001E5F64" w:rsidRDefault="00000000">
      <w:pPr>
        <w:spacing w:after="0" w:line="360" w:lineRule="auto"/>
        <w:jc w:val="both"/>
        <w:rPr>
          <w:rFonts w:ascii="Arial" w:hAnsi="Arial" w:cs="Arial"/>
        </w:rPr>
      </w:pPr>
      <w:r>
        <w:rPr>
          <w:rFonts w:ascii="Arial" w:hAnsi="Arial" w:cs="Arial"/>
        </w:rPr>
        <w:t>Digital health tools affect many aspects of healthcare, including how staff work, how services are delivered, patient involvement, and public health research. Mobile health apps can help track diseases better, support personalised treatments, and encourage patients to take a more active role in their care.</w:t>
      </w:r>
    </w:p>
    <w:p w14:paraId="62BA16BD" w14:textId="77777777" w:rsidR="001E5F64" w:rsidRDefault="00000000">
      <w:pPr>
        <w:spacing w:after="0" w:line="360" w:lineRule="auto"/>
        <w:jc w:val="both"/>
        <w:rPr>
          <w:rFonts w:ascii="Arial" w:hAnsi="Arial" w:cs="Arial"/>
        </w:rPr>
      </w:pPr>
      <w:r>
        <w:rPr>
          <w:rFonts w:ascii="Arial" w:hAnsi="Arial" w:cs="Arial"/>
        </w:rPr>
        <w:lastRenderedPageBreak/>
        <w:t>To successfully use digital health technologies, we need to carefully consider challenges such as digital skills, staff training, data security, and fair access to technology. Addressing these issues is key to making sure everyone benefits from these innovations.</w:t>
      </w:r>
    </w:p>
    <w:p w14:paraId="18072F4D" w14:textId="77777777" w:rsidR="001E5F64" w:rsidRDefault="00000000">
      <w:pPr>
        <w:spacing w:after="0" w:line="360" w:lineRule="auto"/>
        <w:jc w:val="both"/>
        <w:rPr>
          <w:rFonts w:ascii="Arial" w:hAnsi="Arial" w:cs="Arial"/>
        </w:rPr>
      </w:pPr>
      <w:r>
        <w:rPr>
          <w:rFonts w:ascii="Arial" w:hAnsi="Arial" w:cs="Arial"/>
        </w:rPr>
        <w:t>Digital health innovations like the mPower app are likely to become more important in healthcare systems in the future. If used responsibly and supported by strong policies, these technologies can improve how healthcare is delivered and lead to better health outcomes.</w:t>
      </w:r>
    </w:p>
    <w:p w14:paraId="66AE50E5" w14:textId="77777777" w:rsidR="001E5F64" w:rsidRDefault="001E5F64">
      <w:pPr>
        <w:spacing w:after="0" w:line="360" w:lineRule="auto"/>
        <w:jc w:val="both"/>
        <w:rPr>
          <w:rFonts w:ascii="Arial" w:hAnsi="Arial" w:cs="Arial"/>
        </w:rPr>
      </w:pPr>
    </w:p>
    <w:p w14:paraId="48625CAC" w14:textId="77777777" w:rsidR="001E5F64" w:rsidRDefault="001E5F64">
      <w:pPr>
        <w:spacing w:after="0" w:line="360" w:lineRule="auto"/>
        <w:jc w:val="both"/>
        <w:rPr>
          <w:rFonts w:ascii="Arial" w:hAnsi="Arial" w:cs="Arial"/>
        </w:rPr>
      </w:pPr>
    </w:p>
    <w:p w14:paraId="008A1984" w14:textId="77777777" w:rsidR="001E5F64" w:rsidRDefault="001E5F64">
      <w:pPr>
        <w:spacing w:after="0" w:line="360" w:lineRule="auto"/>
        <w:jc w:val="both"/>
        <w:rPr>
          <w:rFonts w:ascii="Arial" w:hAnsi="Arial" w:cs="Arial"/>
        </w:rPr>
      </w:pPr>
    </w:p>
    <w:p w14:paraId="4D018710" w14:textId="77777777" w:rsidR="001E5F64" w:rsidRDefault="001E5F64">
      <w:pPr>
        <w:spacing w:line="360" w:lineRule="auto"/>
      </w:pPr>
    </w:p>
    <w:p w14:paraId="4EA74DCD" w14:textId="77777777" w:rsidR="001E5F64" w:rsidRDefault="001E5F64"/>
    <w:p w14:paraId="03608060" w14:textId="77777777" w:rsidR="001E5F64" w:rsidRDefault="001E5F64"/>
    <w:p w14:paraId="2829A09E" w14:textId="77777777" w:rsidR="001E5F64" w:rsidRDefault="001E5F64"/>
    <w:p w14:paraId="60039AA6" w14:textId="77777777" w:rsidR="001E5F64" w:rsidRDefault="001E5F64"/>
    <w:p w14:paraId="0550B690" w14:textId="77777777" w:rsidR="001E5F64" w:rsidRDefault="001E5F64"/>
    <w:p w14:paraId="04786724" w14:textId="77777777" w:rsidR="001E5F64" w:rsidRDefault="001E5F64"/>
    <w:p w14:paraId="1A1985BB" w14:textId="77777777" w:rsidR="001E5F64" w:rsidRDefault="001E5F64"/>
    <w:p w14:paraId="602C0C81" w14:textId="77777777" w:rsidR="001E5F64" w:rsidRDefault="001E5F64"/>
    <w:p w14:paraId="14E8AC33" w14:textId="77777777" w:rsidR="001E5F64" w:rsidRDefault="001E5F64"/>
    <w:p w14:paraId="3D22D341" w14:textId="77777777" w:rsidR="001E5F64" w:rsidRDefault="001E5F64"/>
    <w:p w14:paraId="7C0F3D53" w14:textId="77777777" w:rsidR="001E5F64" w:rsidRDefault="001E5F64"/>
    <w:p w14:paraId="6FB09BC0" w14:textId="77777777" w:rsidR="001E5F64" w:rsidRDefault="001E5F64"/>
    <w:p w14:paraId="655405AA" w14:textId="77777777" w:rsidR="001E5F64" w:rsidRDefault="001E5F64"/>
    <w:p w14:paraId="636A40C5" w14:textId="77777777" w:rsidR="001E5F64" w:rsidRDefault="001E5F64"/>
    <w:p w14:paraId="7E43A2A0" w14:textId="77777777" w:rsidR="001E5F64" w:rsidRDefault="001E5F64"/>
    <w:p w14:paraId="03C2C4E5" w14:textId="77777777" w:rsidR="001E5F64" w:rsidRDefault="001E5F64"/>
    <w:p w14:paraId="620846E7" w14:textId="77777777" w:rsidR="001E5F64" w:rsidRDefault="001E5F64"/>
    <w:p w14:paraId="7294F138" w14:textId="77777777" w:rsidR="001E5F64" w:rsidRDefault="001E5F64"/>
    <w:p w14:paraId="56F6E15C" w14:textId="77777777" w:rsidR="001E5F64" w:rsidRDefault="001E5F64"/>
    <w:p w14:paraId="5830758A" w14:textId="77777777" w:rsidR="001E5F64" w:rsidRDefault="001E5F64"/>
    <w:p w14:paraId="561A1748" w14:textId="77777777" w:rsidR="001E5F64" w:rsidRDefault="00000000">
      <w:pPr>
        <w:pStyle w:val="Heading1"/>
        <w:rPr>
          <w:rFonts w:ascii="Arial" w:hAnsi="Arial" w:cs="Arial"/>
          <w:b/>
          <w:bCs/>
          <w:color w:val="auto"/>
          <w:sz w:val="22"/>
          <w:szCs w:val="22"/>
        </w:rPr>
      </w:pPr>
      <w:bookmarkStart w:id="7" w:name="_Toc224934101"/>
      <w:r>
        <w:rPr>
          <w:rFonts w:ascii="Arial" w:hAnsi="Arial" w:cs="Arial"/>
          <w:b/>
          <w:bCs/>
          <w:color w:val="auto"/>
          <w:sz w:val="22"/>
          <w:szCs w:val="22"/>
        </w:rPr>
        <w:lastRenderedPageBreak/>
        <w:t>Reference</w:t>
      </w:r>
      <w:bookmarkEnd w:id="7"/>
    </w:p>
    <w:p w14:paraId="41FC116E" w14:textId="77777777" w:rsidR="001E5F64" w:rsidRDefault="00000000">
      <w:pPr>
        <w:spacing w:line="360" w:lineRule="auto"/>
        <w:jc w:val="both"/>
      </w:pPr>
      <w:r>
        <w:rPr>
          <w:rFonts w:ascii="Arial" w:hAnsi="Arial" w:cs="Arial"/>
        </w:rPr>
        <w:t xml:space="preserve">Department of Health and Social Care (2023) </w:t>
      </w:r>
      <w:r>
        <w:rPr>
          <w:rFonts w:ascii="Arial" w:hAnsi="Arial" w:cs="Arial"/>
          <w:i/>
          <w:iCs/>
        </w:rPr>
        <w:t>Data saves lives: reshaping health and social care with data</w:t>
      </w:r>
      <w:r>
        <w:rPr>
          <w:rFonts w:ascii="Arial" w:hAnsi="Arial" w:cs="Arial"/>
        </w:rPr>
        <w:t>. London: DHSC.</w:t>
      </w:r>
    </w:p>
    <w:p w14:paraId="7E356E7E" w14:textId="77777777" w:rsidR="001E5F64" w:rsidRDefault="00000000">
      <w:pPr>
        <w:spacing w:line="360" w:lineRule="auto"/>
        <w:jc w:val="both"/>
      </w:pPr>
      <w:r>
        <w:rPr>
          <w:rFonts w:ascii="Arial" w:hAnsi="Arial" w:cs="Arial"/>
        </w:rPr>
        <w:t xml:space="preserve">Greenhalgh, T., </w:t>
      </w:r>
      <w:proofErr w:type="spellStart"/>
      <w:r>
        <w:rPr>
          <w:rFonts w:ascii="Arial" w:hAnsi="Arial" w:cs="Arial"/>
        </w:rPr>
        <w:t>Wherton</w:t>
      </w:r>
      <w:proofErr w:type="spellEnd"/>
      <w:r>
        <w:rPr>
          <w:rFonts w:ascii="Arial" w:hAnsi="Arial" w:cs="Arial"/>
        </w:rPr>
        <w:t>, J., Papoutsi, C., Lynch, J. and Hughes, G. (2017) ‘</w:t>
      </w:r>
      <w:r>
        <w:rPr>
          <w:rFonts w:ascii="Arial" w:hAnsi="Arial" w:cs="Arial"/>
          <w:i/>
          <w:iCs/>
        </w:rPr>
        <w:t>Beyond adoption: A new framework for theorising and evaluating non</w:t>
      </w:r>
      <w:r>
        <w:rPr>
          <w:rFonts w:ascii="Arial" w:hAnsi="Arial" w:cs="Arial"/>
          <w:i/>
          <w:iCs/>
        </w:rPr>
        <w:noBreakHyphen/>
        <w:t>adoption, abandonment, and challenges to the scale</w:t>
      </w:r>
      <w:r>
        <w:rPr>
          <w:rFonts w:ascii="Arial" w:hAnsi="Arial" w:cs="Arial"/>
          <w:i/>
          <w:iCs/>
        </w:rPr>
        <w:noBreakHyphen/>
        <w:t>up, spread, and sustainability of health and care technologies</w:t>
      </w:r>
      <w:r>
        <w:rPr>
          <w:rFonts w:ascii="Arial" w:hAnsi="Arial" w:cs="Arial"/>
        </w:rPr>
        <w:t>’, Journal of Medical Internet Research, 19(11), e367.</w:t>
      </w:r>
    </w:p>
    <w:p w14:paraId="62DCC731" w14:textId="77777777" w:rsidR="001E5F64" w:rsidRDefault="00000000">
      <w:pPr>
        <w:spacing w:line="360" w:lineRule="auto"/>
        <w:jc w:val="both"/>
      </w:pPr>
      <w:r>
        <w:rPr>
          <w:rFonts w:ascii="Arial" w:hAnsi="Arial" w:cs="Arial"/>
        </w:rPr>
        <w:t>Information Commissioner’s Office (2020</w:t>
      </w:r>
      <w:r>
        <w:rPr>
          <w:rFonts w:ascii="Arial" w:hAnsi="Arial" w:cs="Arial"/>
          <w:i/>
          <w:iCs/>
        </w:rPr>
        <w:t>) Data protection and privacy in digital health technologies</w:t>
      </w:r>
      <w:r>
        <w:rPr>
          <w:rFonts w:ascii="Arial" w:hAnsi="Arial" w:cs="Arial"/>
        </w:rPr>
        <w:t>. London: ICO.</w:t>
      </w:r>
    </w:p>
    <w:p w14:paraId="4AD28089" w14:textId="77777777" w:rsidR="001E5F64" w:rsidRDefault="00000000">
      <w:pPr>
        <w:spacing w:line="360" w:lineRule="auto"/>
        <w:jc w:val="both"/>
      </w:pPr>
      <w:r>
        <w:rPr>
          <w:rFonts w:ascii="Arial" w:hAnsi="Arial" w:cs="Arial"/>
        </w:rPr>
        <w:t>Jones, R., Fraser, A. and Stewart, D. (2020) ‘</w:t>
      </w:r>
      <w:r>
        <w:rPr>
          <w:rFonts w:ascii="Arial" w:hAnsi="Arial" w:cs="Arial"/>
          <w:i/>
          <w:iCs/>
        </w:rPr>
        <w:t>Digital health interventions for long</w:t>
      </w:r>
      <w:r>
        <w:rPr>
          <w:rFonts w:ascii="Arial" w:hAnsi="Arial" w:cs="Arial"/>
          <w:i/>
          <w:iCs/>
        </w:rPr>
        <w:noBreakHyphen/>
        <w:t xml:space="preserve">term conditions: </w:t>
      </w:r>
      <w:r>
        <w:rPr>
          <w:rFonts w:ascii="Arial" w:hAnsi="Arial" w:cs="Arial"/>
        </w:rPr>
        <w:t>A UK perspective on implementation and patient engagement’, BMJ Open, 10(8), e037791.</w:t>
      </w:r>
    </w:p>
    <w:p w14:paraId="0899EA87" w14:textId="77777777" w:rsidR="001E5F64" w:rsidRDefault="00000000">
      <w:pPr>
        <w:spacing w:line="360" w:lineRule="auto"/>
        <w:jc w:val="both"/>
      </w:pPr>
      <w:r>
        <w:rPr>
          <w:rFonts w:ascii="Arial" w:hAnsi="Arial" w:cs="Arial"/>
        </w:rPr>
        <w:t xml:space="preserve">NHS (2019) </w:t>
      </w:r>
      <w:r>
        <w:rPr>
          <w:rFonts w:ascii="Arial" w:hAnsi="Arial" w:cs="Arial"/>
          <w:i/>
          <w:iCs/>
        </w:rPr>
        <w:t>The NHS Long Term Plan</w:t>
      </w:r>
      <w:r>
        <w:rPr>
          <w:rFonts w:ascii="Arial" w:hAnsi="Arial" w:cs="Arial"/>
        </w:rPr>
        <w:t>. London: NHS England.</w:t>
      </w:r>
    </w:p>
    <w:p w14:paraId="13C6FFF5" w14:textId="77777777" w:rsidR="001E5F64" w:rsidRDefault="00000000">
      <w:pPr>
        <w:spacing w:line="360" w:lineRule="auto"/>
        <w:jc w:val="both"/>
      </w:pPr>
      <w:r>
        <w:rPr>
          <w:rFonts w:ascii="Arial" w:hAnsi="Arial" w:cs="Arial"/>
        </w:rPr>
        <w:t xml:space="preserve">NHS England (2022) </w:t>
      </w:r>
      <w:r>
        <w:rPr>
          <w:rFonts w:ascii="Arial" w:hAnsi="Arial" w:cs="Arial"/>
          <w:i/>
          <w:iCs/>
        </w:rPr>
        <w:t>A plan for digital health and social care</w:t>
      </w:r>
      <w:r>
        <w:rPr>
          <w:rFonts w:ascii="Arial" w:hAnsi="Arial" w:cs="Arial"/>
        </w:rPr>
        <w:t>. London: NHS England.</w:t>
      </w:r>
    </w:p>
    <w:p w14:paraId="54561559" w14:textId="77777777" w:rsidR="001E5F64" w:rsidRDefault="00000000">
      <w:pPr>
        <w:spacing w:line="360" w:lineRule="auto"/>
        <w:jc w:val="both"/>
      </w:pPr>
      <w:r>
        <w:rPr>
          <w:rFonts w:ascii="Arial" w:hAnsi="Arial" w:cs="Arial"/>
        </w:rPr>
        <w:t xml:space="preserve">NHS Scotland (2021) mPower: </w:t>
      </w:r>
      <w:r>
        <w:rPr>
          <w:rFonts w:ascii="Arial" w:hAnsi="Arial" w:cs="Arial"/>
          <w:i/>
          <w:iCs/>
        </w:rPr>
        <w:t>Supporting people living with long</w:t>
      </w:r>
      <w:r>
        <w:rPr>
          <w:rFonts w:ascii="Arial" w:hAnsi="Arial" w:cs="Arial"/>
          <w:i/>
          <w:iCs/>
        </w:rPr>
        <w:noBreakHyphen/>
        <w:t>term conditions in Scotland and Ireland</w:t>
      </w:r>
      <w:r>
        <w:rPr>
          <w:rFonts w:ascii="Arial" w:hAnsi="Arial" w:cs="Arial"/>
        </w:rPr>
        <w:t xml:space="preserve">. Available at: </w:t>
      </w:r>
      <w:hyperlink r:id="rId17" w:history="1">
        <w:r>
          <w:rPr>
            <w:rStyle w:val="Hyperlink"/>
            <w:rFonts w:ascii="Arial" w:hAnsi="Arial" w:cs="Arial"/>
          </w:rPr>
          <w:t>https://www.nhsaaa.net/media/12429/mpower-case-study.pdf</w:t>
        </w:r>
      </w:hyperlink>
      <w:r>
        <w:rPr>
          <w:rFonts w:ascii="Arial" w:hAnsi="Arial" w:cs="Arial"/>
        </w:rPr>
        <w:t xml:space="preserve"> (Accessed: 19 March 2026).</w:t>
      </w:r>
    </w:p>
    <w:p w14:paraId="057DCBC8" w14:textId="77777777" w:rsidR="001E5F64" w:rsidRDefault="00000000">
      <w:pPr>
        <w:spacing w:line="360" w:lineRule="auto"/>
        <w:jc w:val="both"/>
      </w:pPr>
      <w:r>
        <w:rPr>
          <w:rFonts w:ascii="Arial" w:hAnsi="Arial" w:cs="Arial"/>
        </w:rPr>
        <w:t xml:space="preserve">NICE (2022) </w:t>
      </w:r>
      <w:r>
        <w:rPr>
          <w:rFonts w:ascii="Arial" w:hAnsi="Arial" w:cs="Arial"/>
          <w:i/>
          <w:iCs/>
        </w:rPr>
        <w:t>Evidence standards framework for digital health technologies</w:t>
      </w:r>
      <w:r>
        <w:rPr>
          <w:rFonts w:ascii="Arial" w:hAnsi="Arial" w:cs="Arial"/>
        </w:rPr>
        <w:t>. London: National Institute for Health and Care Excellence.</w:t>
      </w:r>
    </w:p>
    <w:p w14:paraId="45FF5FF8" w14:textId="77777777" w:rsidR="001E5F64" w:rsidRDefault="00000000">
      <w:pPr>
        <w:spacing w:line="360" w:lineRule="auto"/>
        <w:jc w:val="both"/>
      </w:pPr>
      <w:r>
        <w:rPr>
          <w:rFonts w:ascii="Arial" w:hAnsi="Arial" w:cs="Arial"/>
        </w:rPr>
        <w:t xml:space="preserve">Parkinson’s UK (2021) </w:t>
      </w:r>
      <w:r>
        <w:rPr>
          <w:rFonts w:ascii="Arial" w:hAnsi="Arial" w:cs="Arial"/>
          <w:i/>
          <w:iCs/>
        </w:rPr>
        <w:t>The incidence and prevalence of Parkinson’s in the UK</w:t>
      </w:r>
      <w:r>
        <w:rPr>
          <w:rFonts w:ascii="Arial" w:hAnsi="Arial" w:cs="Arial"/>
        </w:rPr>
        <w:t>. London: Parkinson’s UK.</w:t>
      </w:r>
    </w:p>
    <w:p w14:paraId="71117C4A" w14:textId="77777777" w:rsidR="001E5F64" w:rsidRDefault="00000000">
      <w:pPr>
        <w:spacing w:line="360" w:lineRule="auto"/>
        <w:jc w:val="both"/>
      </w:pPr>
      <w:r>
        <w:rPr>
          <w:rFonts w:ascii="Arial" w:hAnsi="Arial" w:cs="Arial"/>
        </w:rPr>
        <w:t xml:space="preserve">Public Health England (2019) </w:t>
      </w:r>
      <w:r>
        <w:rPr>
          <w:rFonts w:ascii="Arial" w:hAnsi="Arial" w:cs="Arial"/>
          <w:i/>
          <w:iCs/>
        </w:rPr>
        <w:t>Digital health: Improving health outcomes through technology</w:t>
      </w:r>
      <w:r>
        <w:rPr>
          <w:rFonts w:ascii="Arial" w:hAnsi="Arial" w:cs="Arial"/>
        </w:rPr>
        <w:t>. London: PHE.</w:t>
      </w:r>
    </w:p>
    <w:p w14:paraId="46DA22DC" w14:textId="77777777" w:rsidR="001E5F64" w:rsidRDefault="00000000">
      <w:pPr>
        <w:spacing w:line="360" w:lineRule="auto"/>
        <w:jc w:val="both"/>
      </w:pPr>
      <w:r>
        <w:rPr>
          <w:rFonts w:ascii="Arial" w:hAnsi="Arial" w:cs="Arial"/>
        </w:rPr>
        <w:t xml:space="preserve">Royal College of Physicians (2018) </w:t>
      </w:r>
      <w:r>
        <w:rPr>
          <w:rFonts w:ascii="Arial" w:hAnsi="Arial" w:cs="Arial"/>
          <w:i/>
          <w:iCs/>
        </w:rPr>
        <w:t>Technology in care</w:t>
      </w:r>
      <w:r>
        <w:rPr>
          <w:rFonts w:ascii="Arial" w:hAnsi="Arial" w:cs="Arial"/>
        </w:rPr>
        <w:t>: Using digital tools to support patients with long</w:t>
      </w:r>
      <w:r>
        <w:rPr>
          <w:rFonts w:ascii="Arial" w:hAnsi="Arial" w:cs="Arial"/>
        </w:rPr>
        <w:noBreakHyphen/>
        <w:t>term conditions. London: RCP.</w:t>
      </w:r>
    </w:p>
    <w:p w14:paraId="3978350D" w14:textId="77777777" w:rsidR="001E5F64" w:rsidRDefault="00000000">
      <w:pPr>
        <w:spacing w:line="360" w:lineRule="auto"/>
        <w:jc w:val="both"/>
      </w:pPr>
      <w:r>
        <w:rPr>
          <w:rFonts w:ascii="Arial" w:hAnsi="Arial" w:cs="Arial"/>
        </w:rPr>
        <w:t xml:space="preserve">Shaw, J., </w:t>
      </w:r>
      <w:proofErr w:type="spellStart"/>
      <w:r>
        <w:rPr>
          <w:rFonts w:ascii="Arial" w:hAnsi="Arial" w:cs="Arial"/>
        </w:rPr>
        <w:t>Rudzicz</w:t>
      </w:r>
      <w:proofErr w:type="spellEnd"/>
      <w:r>
        <w:rPr>
          <w:rFonts w:ascii="Arial" w:hAnsi="Arial" w:cs="Arial"/>
        </w:rPr>
        <w:t>, F., Jamieson, T. and Goldfarb, A. (2019) ‘</w:t>
      </w:r>
      <w:r>
        <w:rPr>
          <w:rFonts w:ascii="Arial" w:hAnsi="Arial" w:cs="Arial"/>
          <w:i/>
          <w:iCs/>
        </w:rPr>
        <w:t>Artificial intelligence and the implementation challenge in healthcare</w:t>
      </w:r>
      <w:r>
        <w:rPr>
          <w:rFonts w:ascii="Arial" w:hAnsi="Arial" w:cs="Arial"/>
        </w:rPr>
        <w:t>: A UK perspective’, The Lancet Digital Health, 1(2), pp. e58–e59.</w:t>
      </w:r>
    </w:p>
    <w:sectPr w:rsidR="001E5F64">
      <w:footerReference w:type="default" r:id="rId18"/>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C0452" w14:textId="77777777" w:rsidR="00A944CB" w:rsidRDefault="00A944CB">
      <w:pPr>
        <w:spacing w:after="0" w:line="240" w:lineRule="auto"/>
      </w:pPr>
      <w:r>
        <w:separator/>
      </w:r>
    </w:p>
  </w:endnote>
  <w:endnote w:type="continuationSeparator" w:id="0">
    <w:p w14:paraId="26822A64" w14:textId="77777777" w:rsidR="00A944CB" w:rsidRDefault="00A94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la">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475BE" w14:textId="77777777" w:rsidR="00000000" w:rsidRDefault="00000000">
    <w:pPr>
      <w:pStyle w:val="Footer"/>
      <w:jc w:val="right"/>
    </w:pPr>
    <w:r>
      <w:fldChar w:fldCharType="begin"/>
    </w:r>
    <w:r>
      <w:instrText xml:space="preserve"> PAGE </w:instrText>
    </w:r>
    <w:r>
      <w:fldChar w:fldCharType="separate"/>
    </w:r>
    <w:r>
      <w:t>2</w:t>
    </w:r>
    <w:r>
      <w:fldChar w:fldCharType="end"/>
    </w:r>
  </w:p>
  <w:p w14:paraId="1E35A662"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4EAE7" w14:textId="77777777" w:rsidR="00A944CB" w:rsidRDefault="00A944CB">
      <w:pPr>
        <w:spacing w:after="0" w:line="240" w:lineRule="auto"/>
      </w:pPr>
      <w:r>
        <w:rPr>
          <w:color w:val="000000"/>
        </w:rPr>
        <w:separator/>
      </w:r>
    </w:p>
  </w:footnote>
  <w:footnote w:type="continuationSeparator" w:id="0">
    <w:p w14:paraId="6918C3A0" w14:textId="77777777" w:rsidR="00A944CB" w:rsidRDefault="00A944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1E5F64"/>
    <w:rsid w:val="001E5F64"/>
    <w:rsid w:val="002436E1"/>
    <w:rsid w:val="00956C82"/>
    <w:rsid w:val="00A944CB"/>
    <w:rsid w:val="00A96111"/>
    <w:rsid w:val="00B33BA0"/>
    <w:rsid w:val="00D32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0BD36"/>
  <w15:docId w15:val="{13239744-ED93-4721-9CE1-E75ED5D13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pPr>
      <w:spacing w:after="0" w:line="240" w:lineRule="auto"/>
    </w:pPr>
    <w:rPr>
      <w:rFonts w:eastAsia="Times New Roman"/>
      <w:lang w:val="en-US"/>
    </w:rPr>
  </w:style>
  <w:style w:type="character" w:customStyle="1" w:styleId="NoSpacingChar">
    <w:name w:val="No Spacing Char"/>
    <w:basedOn w:val="DefaultParagraphFont"/>
    <w:rPr>
      <w:rFonts w:ascii="Aptos" w:eastAsia="Times New Roman" w:hAnsi="Aptos" w:cs="Times New Roman"/>
      <w:lang w:val="en-US"/>
    </w:rPr>
  </w:style>
  <w:style w:type="paragraph" w:styleId="TOCHeading">
    <w:name w:val="TOC Heading"/>
    <w:basedOn w:val="Heading1"/>
    <w:next w:val="Normal"/>
    <w:pPr>
      <w:suppressAutoHyphens w:val="0"/>
      <w:spacing w:before="240" w:after="0" w:line="254" w:lineRule="auto"/>
    </w:pPr>
    <w:rPr>
      <w:sz w:val="32"/>
      <w:szCs w:val="32"/>
      <w:lang w:val="en-U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TOC3">
    <w:name w:val="toc 3"/>
    <w:basedOn w:val="Normal"/>
    <w:next w:val="Normal"/>
    <w:autoRedefine/>
    <w:pPr>
      <w:spacing w:after="100"/>
      <w:ind w:left="440"/>
    </w:p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_Toc224934098"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_Toc224934097" TargetMode="External"/><Relationship Id="rId17" Type="http://schemas.openxmlformats.org/officeDocument/2006/relationships/hyperlink" Target="https://www.nhsaaa.net/media/12429/mpower-case-study.pdf" TargetMode="External"/><Relationship Id="rId2" Type="http://schemas.openxmlformats.org/officeDocument/2006/relationships/settings" Target="settings.xml"/><Relationship Id="rId16" Type="http://schemas.openxmlformats.org/officeDocument/2006/relationships/hyperlink" Target="#_Toc224934101"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_Toc224934096" TargetMode="External"/><Relationship Id="rId5" Type="http://schemas.openxmlformats.org/officeDocument/2006/relationships/endnotes" Target="endnotes.xml"/><Relationship Id="rId15" Type="http://schemas.openxmlformats.org/officeDocument/2006/relationships/hyperlink" Target="#_Toc224934100" TargetMode="External"/><Relationship Id="rId10" Type="http://schemas.openxmlformats.org/officeDocument/2006/relationships/hyperlink" Target="#_Toc224934095"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_Toc224934094" TargetMode="External"/><Relationship Id="rId14" Type="http://schemas.openxmlformats.org/officeDocument/2006/relationships/hyperlink" Target="#_Toc22493409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2513</Words>
  <Characters>14329</Characters>
  <Application>Microsoft Office Word</Application>
  <DocSecurity>0</DocSecurity>
  <Lines>119</Lines>
  <Paragraphs>33</Paragraphs>
  <ScaleCrop>false</ScaleCrop>
  <Company/>
  <LinksUpToDate>false</LinksUpToDate>
  <CharactersWithSpaces>16809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the mPower Mobile Health</dc:title>
  <dc:subject/>
  <dc:creator>Diana Kryemadhi (2024820)</dc:creator>
  <dc:description/>
  <cp:lastModifiedBy>Diana Kryemadhi (2024820)</cp:lastModifiedBy>
  <cp:revision>2</cp:revision>
  <dcterms:created xsi:type="dcterms:W3CDTF">2026-03-22T18:34:00Z</dcterms:created>
  <dcterms:modified xsi:type="dcterms:W3CDTF">2026-03-22T18:34:00Z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dd51d325-2337-4a1e-af56-de0cfe368c3d</vt:lpwstr>
  </property>
</Properties>
</file>