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4656842" w14:textId="049B23FC" w:rsidR="00246A4F" w:rsidRDefault="6A736ABA" w:rsidP="2C7849A5">
      <w:pPr>
        <w:spacing w:line="360" w:lineRule="auto"/>
        <w:rPr>
          <w:rFonts w:ascii="Arial" w:eastAsia="Arial" w:hAnsi="Arial" w:cs="Arial"/>
          <w:b/>
          <w:bCs/>
          <w:sz w:val="28"/>
          <w:szCs w:val="28"/>
        </w:rPr>
      </w:pPr>
      <w:r w:rsidRPr="2C7849A5">
        <w:rPr>
          <w:rFonts w:ascii="Arial" w:eastAsia="Arial" w:hAnsi="Arial" w:cs="Arial"/>
          <w:b/>
          <w:bCs/>
          <w:sz w:val="28"/>
          <w:szCs w:val="28"/>
        </w:rPr>
        <w:t xml:space="preserve">Catalytic leadership – rights, resilience, and social change. </w:t>
      </w:r>
    </w:p>
    <w:p w14:paraId="2970B9AD" w14:textId="296A119B" w:rsidR="22442ED6" w:rsidRDefault="6A736ABA" w:rsidP="2C7849A5">
      <w:pPr>
        <w:spacing w:line="360" w:lineRule="auto"/>
        <w:rPr>
          <w:rFonts w:ascii="Arial" w:eastAsia="Arial" w:hAnsi="Arial" w:cs="Arial"/>
          <w:b/>
          <w:bCs/>
          <w:sz w:val="28"/>
          <w:szCs w:val="28"/>
        </w:rPr>
      </w:pPr>
      <w:r w:rsidRPr="2C7849A5">
        <w:rPr>
          <w:rFonts w:ascii="Arial" w:eastAsia="Arial" w:hAnsi="Arial" w:cs="Arial"/>
          <w:b/>
          <w:bCs/>
          <w:sz w:val="28"/>
          <w:szCs w:val="28"/>
        </w:rPr>
        <w:t>(ECEY6003)</w:t>
      </w:r>
    </w:p>
    <w:p w14:paraId="2EC8E75A" w14:textId="3C06E1C7" w:rsidR="6A736ABA" w:rsidRDefault="22442ED6" w:rsidP="2C7849A5">
      <w:pPr>
        <w:spacing w:line="360" w:lineRule="auto"/>
        <w:rPr>
          <w:rFonts w:ascii="Arial" w:eastAsia="Arial" w:hAnsi="Arial" w:cs="Arial"/>
          <w:b/>
          <w:bCs/>
          <w:sz w:val="28"/>
          <w:szCs w:val="28"/>
        </w:rPr>
      </w:pPr>
      <w:r w:rsidRPr="2C7849A5">
        <w:rPr>
          <w:rFonts w:ascii="Arial" w:eastAsia="Arial" w:hAnsi="Arial" w:cs="Arial"/>
          <w:b/>
          <w:bCs/>
          <w:sz w:val="28"/>
          <w:szCs w:val="28"/>
        </w:rPr>
        <w:t>Section one</w:t>
      </w:r>
    </w:p>
    <w:p w14:paraId="0FC6E48C" w14:textId="70939077" w:rsidR="6A736ABA" w:rsidRDefault="6A736ABA" w:rsidP="2C7849A5">
      <w:pPr>
        <w:spacing w:line="360" w:lineRule="auto"/>
        <w:rPr>
          <w:rFonts w:ascii="Arial" w:eastAsia="Arial" w:hAnsi="Arial" w:cs="Arial"/>
          <w:color w:val="000000" w:themeColor="text1"/>
          <w:sz w:val="24"/>
          <w:szCs w:val="24"/>
        </w:rPr>
      </w:pPr>
      <w:r w:rsidRPr="2C7849A5">
        <w:rPr>
          <w:rFonts w:ascii="Arial" w:eastAsia="Arial" w:hAnsi="Arial" w:cs="Arial"/>
          <w:color w:val="000000" w:themeColor="text1"/>
          <w:sz w:val="24"/>
          <w:szCs w:val="24"/>
        </w:rPr>
        <w:t xml:space="preserve">A catalytic leader is someone who actively leads and inspires change, knowing how to positively make these changes and sparks momentum within their setting. Whilst continuously, creating and communicating a clear purpose and vision to staff. </w:t>
      </w:r>
      <w:r w:rsidR="5C6D3E9B" w:rsidRPr="2C7849A5">
        <w:rPr>
          <w:rFonts w:ascii="Arial" w:eastAsia="Arial" w:hAnsi="Arial" w:cs="Arial"/>
          <w:color w:val="000000" w:themeColor="text1"/>
          <w:sz w:val="24"/>
          <w:szCs w:val="24"/>
        </w:rPr>
        <w:t>For instance,</w:t>
      </w:r>
      <w:r w:rsidR="5C6D3E9B" w:rsidRPr="2C7849A5">
        <w:rPr>
          <w:rFonts w:ascii="Arial" w:eastAsia="Arial" w:hAnsi="Arial" w:cs="Arial"/>
          <w:color w:val="000000" w:themeColor="text1"/>
        </w:rPr>
        <w:t xml:space="preserve"> Herold, D. M (2008); Tyler, T. M. De Cremer, D.</w:t>
      </w:r>
      <w:r w:rsidR="5C6D3E9B" w:rsidRPr="2C7849A5">
        <w:rPr>
          <w:rFonts w:ascii="Arial" w:eastAsia="Arial" w:hAnsi="Arial" w:cs="Arial"/>
          <w:color w:val="000000" w:themeColor="text1"/>
          <w:sz w:val="24"/>
          <w:szCs w:val="24"/>
        </w:rPr>
        <w:t xml:space="preserve"> (2005) argue that transformational leader behaviours have been shown to have positive effects on followers’ change commitment and acceptance to a specific change initiative. </w:t>
      </w:r>
      <w:r w:rsidRPr="2C7849A5">
        <w:rPr>
          <w:rFonts w:ascii="Arial" w:eastAsia="Arial" w:hAnsi="Arial" w:cs="Arial"/>
          <w:color w:val="000000" w:themeColor="text1"/>
          <w:sz w:val="24"/>
          <w:szCs w:val="24"/>
        </w:rPr>
        <w:t>Catalytic leaders do not necessarily do this by taking increased decisions themselves, but by enabling and empowering staff to want to take and encourage important decisions and changes.</w:t>
      </w:r>
      <w:r w:rsidR="5C6D3E9B" w:rsidRPr="2C7849A5">
        <w:rPr>
          <w:rFonts w:ascii="Arial" w:eastAsia="Arial" w:hAnsi="Arial" w:cs="Arial"/>
          <w:color w:val="000000" w:themeColor="text1"/>
          <w:sz w:val="24"/>
          <w:szCs w:val="24"/>
        </w:rPr>
        <w:t xml:space="preserve"> McDowall C (2012)</w:t>
      </w:r>
      <w:r w:rsidRPr="2C7849A5">
        <w:rPr>
          <w:rFonts w:ascii="Arial" w:eastAsia="Arial" w:hAnsi="Arial" w:cs="Arial"/>
          <w:color w:val="000000" w:themeColor="text1"/>
          <w:sz w:val="24"/>
          <w:szCs w:val="24"/>
        </w:rPr>
        <w:t xml:space="preserve"> states c</w:t>
      </w:r>
      <w:r w:rsidR="5C6D3E9B" w:rsidRPr="2C7849A5">
        <w:rPr>
          <w:rFonts w:ascii="Arial" w:eastAsia="Arial" w:hAnsi="Arial" w:cs="Arial"/>
          <w:color w:val="000000" w:themeColor="text1"/>
          <w:sz w:val="24"/>
          <w:szCs w:val="24"/>
        </w:rPr>
        <w:t>atalytic leadership describes not only the practice but also how teachers approach leadership within an inclusive and social context.</w:t>
      </w:r>
    </w:p>
    <w:p w14:paraId="708F07C0" w14:textId="0A8D1B8C" w:rsidR="6A736ABA" w:rsidRDefault="5C6D3E9B" w:rsidP="2C7849A5">
      <w:pPr>
        <w:spacing w:line="360" w:lineRule="auto"/>
        <w:rPr>
          <w:rFonts w:ascii="Arial" w:eastAsia="Arial" w:hAnsi="Arial" w:cs="Arial"/>
          <w:color w:val="000000" w:themeColor="text1"/>
          <w:sz w:val="24"/>
          <w:szCs w:val="24"/>
        </w:rPr>
      </w:pPr>
      <w:r w:rsidRPr="2C7849A5">
        <w:rPr>
          <w:rFonts w:ascii="Arial" w:eastAsia="Arial" w:hAnsi="Arial" w:cs="Arial"/>
          <w:color w:val="000000" w:themeColor="text1"/>
          <w:sz w:val="24"/>
          <w:szCs w:val="24"/>
        </w:rPr>
        <w:t>Leaders who inspire change within a setting and amongst their staff can be more successful of implementing advantageous improvements and strategies. According to Avolio, et al (2009) transformational leadership is one of the most widely studied styles of leadership and has been recognized as an effective style to address organizational tensions and aid in overall performance Bass, B. M., Riggio, R. E (2006). Many studies have reliably examined the relationship between transformational leadership and implementation of a change. For instance, Aarons, B J., Et al (2011) found that transformational leadership was especially important in maintaining a positive organizational climate in organizations enduring a large-scale system change. Furthermore, several psychological theories support the notion of leaders’ attitudes toward change influencing those of their staff members.</w:t>
      </w:r>
    </w:p>
    <w:p w14:paraId="64C13C36" w14:textId="72EDA3EC" w:rsidR="6A736ABA" w:rsidRDefault="6A736ABA" w:rsidP="2C7849A5">
      <w:pPr>
        <w:spacing w:line="360" w:lineRule="auto"/>
        <w:rPr>
          <w:rFonts w:ascii="Arial" w:eastAsia="Arial" w:hAnsi="Arial" w:cs="Arial"/>
          <w:color w:val="000000" w:themeColor="text1"/>
          <w:sz w:val="24"/>
          <w:szCs w:val="24"/>
        </w:rPr>
      </w:pPr>
      <w:r w:rsidRPr="2C7849A5">
        <w:rPr>
          <w:rFonts w:ascii="Arial" w:eastAsia="Arial" w:hAnsi="Arial" w:cs="Arial"/>
          <w:color w:val="000000" w:themeColor="text1"/>
          <w:sz w:val="24"/>
          <w:szCs w:val="24"/>
        </w:rPr>
        <w:t xml:space="preserve">As catalysts, leaders commonly utilise their energy and encouragement throughout the setting. This can be accomplished using different strategies but maintaining some primary focuses. Examples of these would be a leader offering support for staff members to effectively combat any difficulties that prevent them bringing ideas to reality, whilst ensuring fostered connections are across the setting. Furthermore, </w:t>
      </w:r>
      <w:r w:rsidRPr="2C7849A5">
        <w:rPr>
          <w:rFonts w:ascii="Arial" w:eastAsia="Arial" w:hAnsi="Arial" w:cs="Arial"/>
          <w:color w:val="000000" w:themeColor="text1"/>
          <w:sz w:val="24"/>
          <w:szCs w:val="24"/>
        </w:rPr>
        <w:lastRenderedPageBreak/>
        <w:t>leaders could also encourage collaboration across the setting to help people connect what they are working on to the setting’s vision and aspiration, and finally, encouraging an inclusive and welcoming environment, where people confidently and comfortably feel they work in positive and sustainable ways thus pursuing the full range of their personal and professional aspirations.</w:t>
      </w:r>
    </w:p>
    <w:p w14:paraId="02F0B66D" w14:textId="2A0F8C87" w:rsidR="5C6D3E9B" w:rsidRDefault="5C6D3E9B" w:rsidP="2C7849A5">
      <w:pPr>
        <w:spacing w:line="360" w:lineRule="auto"/>
        <w:rPr>
          <w:rFonts w:ascii="Arial" w:eastAsia="Arial" w:hAnsi="Arial" w:cs="Arial"/>
          <w:color w:val="000000" w:themeColor="text1"/>
          <w:sz w:val="24"/>
          <w:szCs w:val="24"/>
        </w:rPr>
      </w:pPr>
      <w:r w:rsidRPr="2C7849A5">
        <w:rPr>
          <w:rFonts w:ascii="Arial" w:eastAsia="Arial" w:hAnsi="Arial" w:cs="Arial"/>
          <w:color w:val="000000" w:themeColor="text1"/>
          <w:sz w:val="24"/>
          <w:szCs w:val="24"/>
        </w:rPr>
        <w:t xml:space="preserve">Catalytic leaders can take on an array of </w:t>
      </w:r>
      <w:bookmarkStart w:id="0" w:name="_Int_UMLsddAD"/>
      <w:r w:rsidRPr="2C7849A5">
        <w:rPr>
          <w:rFonts w:ascii="Arial" w:eastAsia="Arial" w:hAnsi="Arial" w:cs="Arial"/>
          <w:color w:val="000000" w:themeColor="text1"/>
          <w:sz w:val="24"/>
          <w:szCs w:val="24"/>
        </w:rPr>
        <w:t>distinct roles</w:t>
      </w:r>
      <w:bookmarkEnd w:id="0"/>
      <w:r w:rsidRPr="2C7849A5">
        <w:rPr>
          <w:rFonts w:ascii="Arial" w:eastAsia="Arial" w:hAnsi="Arial" w:cs="Arial"/>
          <w:color w:val="000000" w:themeColor="text1"/>
          <w:sz w:val="24"/>
          <w:szCs w:val="24"/>
        </w:rPr>
        <w:t xml:space="preserve"> that they believe will enhance leadership efforts and contribute to building capacity for community-led change. From this process, new forms of leadership may naturally emerge within the community, resulting in sustainable partnership efforts and collaboration. Toomey (2009) supports this, he argues a critical role of a catalytic leader is to focus on increasing capacity within communities for identifying and solving problems, as well as building trust and identifying new ways for the partnership to work collaboratively to achieve goals. </w:t>
      </w:r>
    </w:p>
    <w:p w14:paraId="1D55A788" w14:textId="12248CB4" w:rsidR="5D08FB5E" w:rsidRDefault="5D08FB5E" w:rsidP="2C7849A5">
      <w:pPr>
        <w:spacing w:line="360" w:lineRule="auto"/>
        <w:rPr>
          <w:rFonts w:ascii="Arial" w:eastAsia="Arial" w:hAnsi="Arial" w:cs="Arial"/>
          <w:color w:val="000000" w:themeColor="text1"/>
          <w:sz w:val="24"/>
          <w:szCs w:val="24"/>
        </w:rPr>
      </w:pPr>
      <w:r w:rsidRPr="2C7849A5">
        <w:rPr>
          <w:rFonts w:ascii="Arial" w:eastAsia="Arial" w:hAnsi="Arial" w:cs="Arial"/>
          <w:color w:val="000000" w:themeColor="text1"/>
          <w:sz w:val="24"/>
          <w:szCs w:val="24"/>
        </w:rPr>
        <w:t>With continuous and rapid changes and developments that always happen within settings, it is instrumental that leaders are versatile and agile thus ensuring they are suitably equipped with useful skills when facing anticipated challenges and changes. Agile leaders can potentially result in sustained success, this highlights the importance of not only leaders but workplaces as a collective needing to develop a level of agility that matches the accelerating pace of change and expanding complexity in their working environment. Furthermore, it is instrumental to have leaders who embodies a corresponding level of agility, which encourages higher levels of agility within team members that is learnt and modelled from their leaders</w:t>
      </w:r>
      <w:bookmarkStart w:id="1" w:name="_Int_rCsud9IF"/>
      <w:r w:rsidRPr="2C7849A5">
        <w:rPr>
          <w:rFonts w:ascii="Arial" w:eastAsia="Arial" w:hAnsi="Arial" w:cs="Arial"/>
          <w:color w:val="000000" w:themeColor="text1"/>
          <w:sz w:val="24"/>
          <w:szCs w:val="24"/>
        </w:rPr>
        <w:t>, empowering</w:t>
      </w:r>
      <w:bookmarkEnd w:id="1"/>
      <w:r w:rsidRPr="2C7849A5">
        <w:rPr>
          <w:rFonts w:ascii="Arial" w:eastAsia="Arial" w:hAnsi="Arial" w:cs="Arial"/>
          <w:color w:val="000000" w:themeColor="text1"/>
          <w:sz w:val="24"/>
          <w:szCs w:val="24"/>
        </w:rPr>
        <w:t xml:space="preserve"> </w:t>
      </w:r>
      <w:bookmarkStart w:id="2" w:name="_Int_yOc0Ommp"/>
      <w:r w:rsidRPr="2C7849A5">
        <w:rPr>
          <w:rFonts w:ascii="Arial" w:eastAsia="Arial" w:hAnsi="Arial" w:cs="Arial"/>
          <w:color w:val="000000" w:themeColor="text1"/>
          <w:sz w:val="24"/>
          <w:szCs w:val="24"/>
        </w:rPr>
        <w:t>people,</w:t>
      </w:r>
      <w:bookmarkEnd w:id="2"/>
      <w:r w:rsidRPr="2C7849A5">
        <w:rPr>
          <w:rFonts w:ascii="Arial" w:eastAsia="Arial" w:hAnsi="Arial" w:cs="Arial"/>
          <w:color w:val="000000" w:themeColor="text1"/>
          <w:sz w:val="24"/>
          <w:szCs w:val="24"/>
        </w:rPr>
        <w:t xml:space="preserve"> and actively facilitating their development within the setting. </w:t>
      </w:r>
    </w:p>
    <w:p w14:paraId="1813CEB9" w14:textId="28A06981" w:rsidR="6A736ABA" w:rsidRDefault="5C6D3E9B" w:rsidP="2C7849A5">
      <w:pPr>
        <w:spacing w:line="360" w:lineRule="auto"/>
        <w:rPr>
          <w:rFonts w:ascii="Arial" w:eastAsia="Arial" w:hAnsi="Arial" w:cs="Arial"/>
          <w:b/>
          <w:bCs/>
          <w:color w:val="000000" w:themeColor="text1"/>
          <w:sz w:val="28"/>
          <w:szCs w:val="28"/>
        </w:rPr>
      </w:pPr>
      <w:r w:rsidRPr="2C7849A5">
        <w:rPr>
          <w:rFonts w:ascii="Arial" w:eastAsia="Arial" w:hAnsi="Arial" w:cs="Arial"/>
          <w:color w:val="000000" w:themeColor="text1"/>
          <w:sz w:val="24"/>
          <w:szCs w:val="24"/>
        </w:rPr>
        <w:t xml:space="preserve">However, some people do argue that the transformation of early year settings depending on just exceptional leaders have proved to be both unrealistic and unsustainable, and the idea of leadership being distributed across multiple people and situations have proven to be a far more useful framework for understanding the realities of early year settings and how these things can be improved and adapted. </w:t>
      </w:r>
      <w:proofErr w:type="spellStart"/>
      <w:r w:rsidRPr="2C7849A5">
        <w:rPr>
          <w:rFonts w:ascii="Arial" w:eastAsia="Arial" w:hAnsi="Arial" w:cs="Arial"/>
          <w:color w:val="000000" w:themeColor="text1"/>
          <w:sz w:val="24"/>
          <w:szCs w:val="24"/>
        </w:rPr>
        <w:t>Camburn</w:t>
      </w:r>
      <w:proofErr w:type="spellEnd"/>
      <w:r w:rsidRPr="2C7849A5">
        <w:rPr>
          <w:rFonts w:ascii="Arial" w:eastAsia="Arial" w:hAnsi="Arial" w:cs="Arial"/>
          <w:color w:val="000000" w:themeColor="text1"/>
          <w:sz w:val="24"/>
          <w:szCs w:val="24"/>
        </w:rPr>
        <w:t xml:space="preserve"> et al. 2003, Copland (2003), Spillane et al. (2004) argue that this alternative involves thinking of leadership in terms of activities and interactions that are </w:t>
      </w:r>
      <w:r w:rsidRPr="2C7849A5">
        <w:rPr>
          <w:rFonts w:ascii="Arial" w:eastAsia="Arial" w:hAnsi="Arial" w:cs="Arial"/>
          <w:i/>
          <w:iCs/>
          <w:color w:val="000000" w:themeColor="text1"/>
          <w:sz w:val="24"/>
          <w:szCs w:val="24"/>
        </w:rPr>
        <w:t>distributed</w:t>
      </w:r>
      <w:r w:rsidRPr="2C7849A5">
        <w:rPr>
          <w:rFonts w:ascii="Arial" w:eastAsia="Arial" w:hAnsi="Arial" w:cs="Arial"/>
          <w:color w:val="000000" w:themeColor="text1"/>
          <w:sz w:val="24"/>
          <w:szCs w:val="24"/>
        </w:rPr>
        <w:t xml:space="preserve"> across multiple people and situations and involve role </w:t>
      </w:r>
      <w:r w:rsidRPr="2C7849A5">
        <w:rPr>
          <w:rFonts w:ascii="Arial" w:eastAsia="Arial" w:hAnsi="Arial" w:cs="Arial"/>
          <w:color w:val="000000" w:themeColor="text1"/>
          <w:sz w:val="24"/>
          <w:szCs w:val="24"/>
        </w:rPr>
        <w:lastRenderedPageBreak/>
        <w:t xml:space="preserve">complementarities and network patterns of control, Smylie and Denny (1990), Heller and Firestone (1995) additionally support this practise. Some potential qualities and opportunities that distributed leadership can offer are </w:t>
      </w:r>
      <w:bookmarkStart w:id="3" w:name="_Int_DmMVvZ60"/>
      <w:r w:rsidRPr="2C7849A5">
        <w:rPr>
          <w:rFonts w:ascii="Arial" w:eastAsia="Arial" w:hAnsi="Arial" w:cs="Arial"/>
          <w:color w:val="000000" w:themeColor="text1"/>
          <w:sz w:val="24"/>
          <w:szCs w:val="24"/>
        </w:rPr>
        <w:t>intricately linked</w:t>
      </w:r>
      <w:bookmarkEnd w:id="3"/>
      <w:r w:rsidRPr="2C7849A5">
        <w:rPr>
          <w:rFonts w:ascii="Arial" w:eastAsia="Arial" w:hAnsi="Arial" w:cs="Arial"/>
          <w:color w:val="000000" w:themeColor="text1"/>
          <w:sz w:val="24"/>
          <w:szCs w:val="24"/>
        </w:rPr>
        <w:t xml:space="preserve"> and actively promote the practise of catalytical leading. Stoll, L., Seashore, L. (2007) state there is increasing evidence to suggest that certain patterns or configurations of distributed leadership offer greater potential for organisational change and development. Furthermore, distributed leadership provides people with opportunities of collaboration with others which additionally is catalytic leading approach. It is clear, that the idea of distributed leadership overlaps </w:t>
      </w:r>
      <w:bookmarkStart w:id="4" w:name="_Int_ZvGkGe1M"/>
      <w:r w:rsidRPr="2C7849A5">
        <w:rPr>
          <w:rFonts w:ascii="Arial" w:eastAsia="Arial" w:hAnsi="Arial" w:cs="Arial"/>
          <w:color w:val="000000" w:themeColor="text1"/>
          <w:sz w:val="24"/>
          <w:szCs w:val="24"/>
        </w:rPr>
        <w:t>with</w:t>
      </w:r>
      <w:bookmarkEnd w:id="4"/>
      <w:r w:rsidRPr="2C7849A5">
        <w:rPr>
          <w:rFonts w:ascii="Arial" w:eastAsia="Arial" w:hAnsi="Arial" w:cs="Arial"/>
          <w:color w:val="000000" w:themeColor="text1"/>
          <w:sz w:val="24"/>
          <w:szCs w:val="24"/>
        </w:rPr>
        <w:t xml:space="preserve"> shared (Pearce and Conger, 2003), collaborative (Wallace, 2002), democratic (</w:t>
      </w:r>
      <w:proofErr w:type="spellStart"/>
      <w:r w:rsidRPr="2C7849A5">
        <w:rPr>
          <w:rFonts w:ascii="Arial" w:eastAsia="Arial" w:hAnsi="Arial" w:cs="Arial"/>
          <w:color w:val="000000" w:themeColor="text1"/>
          <w:sz w:val="24"/>
          <w:szCs w:val="24"/>
        </w:rPr>
        <w:t>Gastil</w:t>
      </w:r>
      <w:proofErr w:type="spellEnd"/>
      <w:r w:rsidRPr="2C7849A5">
        <w:rPr>
          <w:rFonts w:ascii="Arial" w:eastAsia="Arial" w:hAnsi="Arial" w:cs="Arial"/>
          <w:color w:val="000000" w:themeColor="text1"/>
          <w:sz w:val="24"/>
          <w:szCs w:val="24"/>
        </w:rPr>
        <w:t xml:space="preserve">, 1997, No. 750) and participative (Vroom and </w:t>
      </w:r>
      <w:proofErr w:type="spellStart"/>
      <w:r w:rsidRPr="2C7849A5">
        <w:rPr>
          <w:rFonts w:ascii="Arial" w:eastAsia="Arial" w:hAnsi="Arial" w:cs="Arial"/>
          <w:color w:val="000000" w:themeColor="text1"/>
          <w:sz w:val="24"/>
          <w:szCs w:val="24"/>
        </w:rPr>
        <w:t>Yago</w:t>
      </w:r>
      <w:proofErr w:type="spellEnd"/>
      <w:r w:rsidRPr="2C7849A5">
        <w:rPr>
          <w:rFonts w:ascii="Arial" w:eastAsia="Arial" w:hAnsi="Arial" w:cs="Arial"/>
          <w:color w:val="000000" w:themeColor="text1"/>
          <w:sz w:val="24"/>
          <w:szCs w:val="24"/>
        </w:rPr>
        <w:t xml:space="preserve">, 1998) leadership concepts. This accumulation of allied concepts means that distributed leadership is often used in a shorthand way to describe any form of devolved, </w:t>
      </w:r>
      <w:bookmarkStart w:id="5" w:name="_Int_UlO4v1q2"/>
      <w:r w:rsidRPr="2C7849A5">
        <w:rPr>
          <w:rFonts w:ascii="Arial" w:eastAsia="Arial" w:hAnsi="Arial" w:cs="Arial"/>
          <w:color w:val="000000" w:themeColor="text1"/>
          <w:sz w:val="24"/>
          <w:szCs w:val="24"/>
        </w:rPr>
        <w:t>shared,</w:t>
      </w:r>
      <w:bookmarkEnd w:id="5"/>
      <w:r w:rsidRPr="2C7849A5">
        <w:rPr>
          <w:rFonts w:ascii="Arial" w:eastAsia="Arial" w:hAnsi="Arial" w:cs="Arial"/>
          <w:color w:val="000000" w:themeColor="text1"/>
          <w:sz w:val="24"/>
          <w:szCs w:val="24"/>
        </w:rPr>
        <w:t xml:space="preserve"> or dispersed leadership practice in schools. Catalytical leadership is a </w:t>
      </w:r>
      <w:bookmarkStart w:id="6" w:name="_Int_ENtIQ7VC"/>
      <w:r w:rsidRPr="2C7849A5">
        <w:rPr>
          <w:rFonts w:ascii="Arial" w:eastAsia="Arial" w:hAnsi="Arial" w:cs="Arial"/>
          <w:color w:val="000000" w:themeColor="text1"/>
          <w:sz w:val="24"/>
          <w:szCs w:val="24"/>
        </w:rPr>
        <w:t>leadership</w:t>
      </w:r>
      <w:bookmarkEnd w:id="6"/>
      <w:r w:rsidRPr="2C7849A5">
        <w:rPr>
          <w:rFonts w:ascii="Arial" w:eastAsia="Arial" w:hAnsi="Arial" w:cs="Arial"/>
          <w:color w:val="000000" w:themeColor="text1"/>
          <w:sz w:val="24"/>
          <w:szCs w:val="24"/>
        </w:rPr>
        <w:t xml:space="preserve"> that inspires and encourages the followers as well as members of the society to determine a great goal and to achieve it together. Moreover, a study conducted by </w:t>
      </w:r>
      <w:proofErr w:type="spellStart"/>
      <w:r w:rsidRPr="2C7849A5">
        <w:rPr>
          <w:rFonts w:ascii="Arial" w:eastAsia="Arial" w:hAnsi="Arial" w:cs="Arial"/>
          <w:color w:val="000000" w:themeColor="text1"/>
          <w:sz w:val="24"/>
          <w:szCs w:val="24"/>
        </w:rPr>
        <w:t>Zohdy</w:t>
      </w:r>
      <w:proofErr w:type="spellEnd"/>
      <w:r w:rsidRPr="2C7849A5">
        <w:rPr>
          <w:rFonts w:ascii="Arial" w:eastAsia="Arial" w:hAnsi="Arial" w:cs="Arial"/>
          <w:color w:val="000000" w:themeColor="text1"/>
          <w:sz w:val="24"/>
          <w:szCs w:val="24"/>
        </w:rPr>
        <w:t xml:space="preserve"> et al. (2016) revealed that the impact generated by a catalytic collaboration was a long-term and sustainable impact and, also had </w:t>
      </w:r>
      <w:bookmarkStart w:id="7" w:name="_Int_0glLDP1N"/>
      <w:r w:rsidRPr="2C7849A5">
        <w:rPr>
          <w:rFonts w:ascii="Arial" w:eastAsia="Arial" w:hAnsi="Arial" w:cs="Arial"/>
          <w:color w:val="000000" w:themeColor="text1"/>
          <w:sz w:val="24"/>
          <w:szCs w:val="24"/>
        </w:rPr>
        <w:t>an immense potential</w:t>
      </w:r>
      <w:bookmarkEnd w:id="7"/>
      <w:r w:rsidRPr="2C7849A5">
        <w:rPr>
          <w:rFonts w:ascii="Arial" w:eastAsia="Arial" w:hAnsi="Arial" w:cs="Arial"/>
          <w:color w:val="000000" w:themeColor="text1"/>
          <w:sz w:val="24"/>
          <w:szCs w:val="24"/>
        </w:rPr>
        <w:t xml:space="preserve"> to solve many complex social problems. (Clark, N.M., et al., (2006); Clark, N.M., et al., (2010) believe that cross-sector collaboration using participatory and distributed leadership has been essential for collaborative governance. </w:t>
      </w:r>
    </w:p>
    <w:p w14:paraId="3F5AFA0A" w14:textId="071809C6" w:rsidR="6A736ABA" w:rsidRDefault="6A736ABA" w:rsidP="2C7849A5">
      <w:pPr>
        <w:spacing w:line="360" w:lineRule="auto"/>
        <w:rPr>
          <w:rFonts w:ascii="Arial" w:eastAsia="Arial" w:hAnsi="Arial" w:cs="Arial"/>
          <w:b/>
          <w:bCs/>
          <w:color w:val="000000" w:themeColor="text1"/>
          <w:sz w:val="28"/>
          <w:szCs w:val="28"/>
        </w:rPr>
      </w:pPr>
      <w:r w:rsidRPr="2C7849A5">
        <w:rPr>
          <w:rFonts w:ascii="Arial" w:eastAsia="Arial" w:hAnsi="Arial" w:cs="Arial"/>
          <w:b/>
          <w:bCs/>
          <w:color w:val="000000" w:themeColor="text1"/>
          <w:sz w:val="28"/>
          <w:szCs w:val="28"/>
        </w:rPr>
        <w:t xml:space="preserve">Section two </w:t>
      </w:r>
    </w:p>
    <w:p w14:paraId="3DB590D1" w14:textId="3F441161" w:rsidR="2C7849A5" w:rsidRDefault="2C7849A5" w:rsidP="2C7849A5">
      <w:pPr>
        <w:spacing w:line="360" w:lineRule="auto"/>
        <w:rPr>
          <w:rFonts w:ascii="Arial" w:eastAsia="Arial" w:hAnsi="Arial" w:cs="Arial"/>
          <w:color w:val="000000" w:themeColor="text1"/>
          <w:sz w:val="24"/>
          <w:szCs w:val="24"/>
        </w:rPr>
      </w:pPr>
      <w:r w:rsidRPr="2C7849A5">
        <w:rPr>
          <w:rFonts w:ascii="Arial" w:eastAsia="Arial" w:hAnsi="Arial" w:cs="Arial"/>
          <w:color w:val="000000" w:themeColor="text1"/>
          <w:sz w:val="24"/>
          <w:szCs w:val="24"/>
        </w:rPr>
        <w:t>The way in which children are viewed has changed dramatically as time has progressed. Many years ago, children were often viewed as minorities and did not carry the entitlement of a freedom of speech or choice. Any sort of rights laid in the hands of their parents or caregivers, which had to be respectively accepted. There was a lack of any protection or entitlement to basic rights provided for children during the early nineteenth century, meaning that any formal structure for people to follow was non-existent.</w:t>
      </w:r>
    </w:p>
    <w:p w14:paraId="5BA9ADA3" w14:textId="2404BC78" w:rsidR="2C7849A5" w:rsidRDefault="2C7849A5" w:rsidP="2C7849A5">
      <w:pPr>
        <w:spacing w:line="360" w:lineRule="auto"/>
        <w:rPr>
          <w:rFonts w:ascii="Arial" w:eastAsia="Arial" w:hAnsi="Arial" w:cs="Arial"/>
          <w:color w:val="000000" w:themeColor="text1"/>
          <w:sz w:val="24"/>
          <w:szCs w:val="24"/>
        </w:rPr>
      </w:pPr>
      <w:r w:rsidRPr="2C7849A5">
        <w:rPr>
          <w:rFonts w:ascii="Arial" w:eastAsia="Arial" w:hAnsi="Arial" w:cs="Arial"/>
          <w:color w:val="000000" w:themeColor="text1"/>
          <w:sz w:val="24"/>
          <w:szCs w:val="24"/>
        </w:rPr>
        <w:t xml:space="preserve"> However, some attitudes towards children gradually changed during the nineteenth century with childhood being viewed as a phase of life and a distinctive difference </w:t>
      </w:r>
      <w:r w:rsidRPr="2C7849A5">
        <w:rPr>
          <w:rFonts w:ascii="Arial" w:eastAsia="Arial" w:hAnsi="Arial" w:cs="Arial"/>
          <w:color w:val="000000" w:themeColor="text1"/>
          <w:sz w:val="24"/>
          <w:szCs w:val="24"/>
        </w:rPr>
        <w:lastRenderedPageBreak/>
        <w:t>between child and adult hood, with the social attitude switching to a more a nurturing point of a view, where children were viewed as needing protecting and guidance. This saw the establishment of the International Children’s Emergency Fund, UNICEF, with an emphasis on children throughout the world. Following this The United Nations General Assembly passes the Universal Declaration of Human Rights, Article 25 which provides mothers and children the entitlement to ‘</w:t>
      </w:r>
      <w:bookmarkStart w:id="8" w:name="_Int_f2cwjrO7"/>
      <w:r w:rsidRPr="2C7849A5">
        <w:rPr>
          <w:rFonts w:ascii="Arial" w:eastAsia="Arial" w:hAnsi="Arial" w:cs="Arial"/>
          <w:color w:val="000000" w:themeColor="text1"/>
          <w:sz w:val="24"/>
          <w:szCs w:val="24"/>
        </w:rPr>
        <w:t>special care</w:t>
      </w:r>
      <w:bookmarkEnd w:id="8"/>
      <w:r w:rsidRPr="2C7849A5">
        <w:rPr>
          <w:rFonts w:ascii="Arial" w:eastAsia="Arial" w:hAnsi="Arial" w:cs="Arial"/>
          <w:color w:val="000000" w:themeColor="text1"/>
          <w:sz w:val="24"/>
          <w:szCs w:val="24"/>
        </w:rPr>
        <w:t xml:space="preserve"> and assistance’ and ‘social protection’. This movement encouraged a huge change in social attitudes towards children and childhood. The Declaration of the Rights of the Child was adopted, which recognises, among other rights, children’s rights to education, play, a supportive </w:t>
      </w:r>
      <w:bookmarkStart w:id="9" w:name="_Int_au8GOAox"/>
      <w:r w:rsidRPr="2C7849A5">
        <w:rPr>
          <w:rFonts w:ascii="Arial" w:eastAsia="Arial" w:hAnsi="Arial" w:cs="Arial"/>
          <w:color w:val="000000" w:themeColor="text1"/>
          <w:sz w:val="24"/>
          <w:szCs w:val="24"/>
        </w:rPr>
        <w:t>environment,</w:t>
      </w:r>
      <w:bookmarkEnd w:id="9"/>
      <w:r w:rsidRPr="2C7849A5">
        <w:rPr>
          <w:rFonts w:ascii="Arial" w:eastAsia="Arial" w:hAnsi="Arial" w:cs="Arial"/>
          <w:color w:val="000000" w:themeColor="text1"/>
          <w:sz w:val="24"/>
          <w:szCs w:val="24"/>
        </w:rPr>
        <w:t xml:space="preserve"> and health care. Meaning children had to be provided with a suitable educational and learning experiences which further defined the gap between child and adult hood. This ignites further change and The International Labour Organisation introduces Convention one hundred and thirty-eight, which state that age eighteen is the minimum age for undertaking any work that may be hazardous to a person’s health, </w:t>
      </w:r>
      <w:bookmarkStart w:id="10" w:name="_Int_XdHpBit1"/>
      <w:r w:rsidRPr="2C7849A5">
        <w:rPr>
          <w:rFonts w:ascii="Arial" w:eastAsia="Arial" w:hAnsi="Arial" w:cs="Arial"/>
          <w:color w:val="000000" w:themeColor="text1"/>
          <w:sz w:val="24"/>
          <w:szCs w:val="24"/>
        </w:rPr>
        <w:t>safety,</w:t>
      </w:r>
      <w:bookmarkEnd w:id="10"/>
      <w:r w:rsidRPr="2C7849A5">
        <w:rPr>
          <w:rFonts w:ascii="Arial" w:eastAsia="Arial" w:hAnsi="Arial" w:cs="Arial"/>
          <w:color w:val="000000" w:themeColor="text1"/>
          <w:sz w:val="24"/>
          <w:szCs w:val="24"/>
        </w:rPr>
        <w:t xml:space="preserve"> or morals. Before any of these rights were recognised and introduced, children were not given any access to education or play and were expected to work like adults. </w:t>
      </w:r>
      <w:proofErr w:type="spellStart"/>
      <w:r w:rsidRPr="2C7849A5">
        <w:rPr>
          <w:rFonts w:ascii="Arial" w:eastAsia="Arial" w:hAnsi="Arial" w:cs="Arial"/>
          <w:color w:val="000000" w:themeColor="text1"/>
          <w:sz w:val="24"/>
          <w:szCs w:val="24"/>
        </w:rPr>
        <w:t>Unicef</w:t>
      </w:r>
      <w:proofErr w:type="spellEnd"/>
      <w:r w:rsidRPr="2C7849A5">
        <w:rPr>
          <w:rFonts w:ascii="Arial" w:eastAsia="Arial" w:hAnsi="Arial" w:cs="Arial"/>
          <w:color w:val="000000" w:themeColor="text1"/>
          <w:sz w:val="24"/>
          <w:szCs w:val="24"/>
        </w:rPr>
        <w:t xml:space="preserve"> (no date) highlight the importance of this right of education and state that education is a key social and cultural right and plays </w:t>
      </w:r>
      <w:bookmarkStart w:id="11" w:name="_Int_j2e2rZZI"/>
      <w:r w:rsidRPr="2C7849A5">
        <w:rPr>
          <w:rFonts w:ascii="Arial" w:eastAsia="Arial" w:hAnsi="Arial" w:cs="Arial"/>
          <w:color w:val="000000" w:themeColor="text1"/>
          <w:sz w:val="24"/>
          <w:szCs w:val="24"/>
        </w:rPr>
        <w:t>an important role</w:t>
      </w:r>
      <w:bookmarkEnd w:id="11"/>
      <w:r w:rsidRPr="2C7849A5">
        <w:rPr>
          <w:rFonts w:ascii="Arial" w:eastAsia="Arial" w:hAnsi="Arial" w:cs="Arial"/>
          <w:color w:val="000000" w:themeColor="text1"/>
          <w:sz w:val="24"/>
          <w:szCs w:val="24"/>
        </w:rPr>
        <w:t xml:space="preserve"> in reducing poverty and child labour. Furthermore, education promotes democracy, peace, tolerance, </w:t>
      </w:r>
      <w:bookmarkStart w:id="12" w:name="_Int_rXAXpdeg"/>
      <w:r w:rsidRPr="2C7849A5">
        <w:rPr>
          <w:rFonts w:ascii="Arial" w:eastAsia="Arial" w:hAnsi="Arial" w:cs="Arial"/>
          <w:color w:val="000000" w:themeColor="text1"/>
          <w:sz w:val="24"/>
          <w:szCs w:val="24"/>
        </w:rPr>
        <w:t>development,</w:t>
      </w:r>
      <w:bookmarkEnd w:id="12"/>
      <w:r w:rsidRPr="2C7849A5">
        <w:rPr>
          <w:rFonts w:ascii="Arial" w:eastAsia="Arial" w:hAnsi="Arial" w:cs="Arial"/>
          <w:color w:val="000000" w:themeColor="text1"/>
          <w:sz w:val="24"/>
          <w:szCs w:val="24"/>
        </w:rPr>
        <w:t xml:space="preserve"> and economic growth.</w:t>
      </w:r>
    </w:p>
    <w:p w14:paraId="635BD9F4" w14:textId="675C659C" w:rsidR="2C7849A5" w:rsidRDefault="2C7849A5" w:rsidP="2C7849A5">
      <w:pPr>
        <w:spacing w:line="360" w:lineRule="auto"/>
        <w:rPr>
          <w:rFonts w:ascii="Roboto" w:eastAsia="Roboto" w:hAnsi="Roboto" w:cs="Roboto"/>
          <w:b/>
          <w:bCs/>
          <w:color w:val="1E1E1E"/>
          <w:sz w:val="28"/>
          <w:szCs w:val="28"/>
        </w:rPr>
      </w:pPr>
      <w:r w:rsidRPr="2C7849A5">
        <w:rPr>
          <w:rFonts w:ascii="Arial" w:eastAsia="Arial" w:hAnsi="Arial" w:cs="Arial"/>
          <w:b/>
          <w:bCs/>
          <w:color w:val="202124"/>
          <w:sz w:val="28"/>
          <w:szCs w:val="28"/>
        </w:rPr>
        <w:t>The United Nations Convention on the Rights of the Child</w:t>
      </w:r>
    </w:p>
    <w:p w14:paraId="0AC1BA5D" w14:textId="3F13EC06" w:rsidR="2C7849A5" w:rsidRDefault="2C7849A5" w:rsidP="2C7849A5">
      <w:pPr>
        <w:spacing w:line="360" w:lineRule="auto"/>
        <w:rPr>
          <w:rFonts w:ascii="Arial" w:eastAsia="Arial" w:hAnsi="Arial" w:cs="Arial"/>
          <w:color w:val="000000" w:themeColor="text1"/>
          <w:sz w:val="24"/>
          <w:szCs w:val="24"/>
        </w:rPr>
      </w:pPr>
      <w:r w:rsidRPr="2C7849A5">
        <w:rPr>
          <w:rFonts w:ascii="Arial" w:eastAsia="Arial" w:hAnsi="Arial" w:cs="Arial"/>
          <w:color w:val="000000" w:themeColor="text1"/>
          <w:sz w:val="24"/>
          <w:szCs w:val="24"/>
        </w:rPr>
        <w:t xml:space="preserve">The introduction of The United Nations Convention on the Rights of the Child in 1989 was a huge and pivotal movement in the encouragement of positive and advantageous impacts on early childhood. The UNCRC is an international human rights treaty that grants all children and young people access to a set of rights, at present there are 54 articles that cover all aspects of a child’s life and set out the civil, political, economic, </w:t>
      </w:r>
      <w:bookmarkStart w:id="13" w:name="_Int_M1sZjAwT"/>
      <w:r w:rsidRPr="2C7849A5">
        <w:rPr>
          <w:rFonts w:ascii="Arial" w:eastAsia="Arial" w:hAnsi="Arial" w:cs="Arial"/>
          <w:color w:val="000000" w:themeColor="text1"/>
          <w:sz w:val="24"/>
          <w:szCs w:val="24"/>
        </w:rPr>
        <w:t>social,</w:t>
      </w:r>
      <w:bookmarkEnd w:id="13"/>
      <w:r w:rsidRPr="2C7849A5">
        <w:rPr>
          <w:rFonts w:ascii="Arial" w:eastAsia="Arial" w:hAnsi="Arial" w:cs="Arial"/>
          <w:color w:val="000000" w:themeColor="text1"/>
          <w:sz w:val="24"/>
          <w:szCs w:val="24"/>
        </w:rPr>
        <w:t xml:space="preserve"> and cultural rights that all children everywhere are entitled to. No one right is more important than another and all rights are linked and carry an equal weight of importance. The UNCRC (no date) outline every child has rights, whatever their ethnicity, gender, religion, language, </w:t>
      </w:r>
      <w:bookmarkStart w:id="14" w:name="_Int_9zYHpx54"/>
      <w:r w:rsidRPr="2C7849A5">
        <w:rPr>
          <w:rFonts w:ascii="Arial" w:eastAsia="Arial" w:hAnsi="Arial" w:cs="Arial"/>
          <w:color w:val="000000" w:themeColor="text1"/>
          <w:sz w:val="24"/>
          <w:szCs w:val="24"/>
        </w:rPr>
        <w:t>abilities,</w:t>
      </w:r>
      <w:bookmarkEnd w:id="14"/>
      <w:r w:rsidRPr="2C7849A5">
        <w:rPr>
          <w:rFonts w:ascii="Arial" w:eastAsia="Arial" w:hAnsi="Arial" w:cs="Arial"/>
          <w:color w:val="000000" w:themeColor="text1"/>
          <w:sz w:val="24"/>
          <w:szCs w:val="24"/>
        </w:rPr>
        <w:t xml:space="preserve"> or any other </w:t>
      </w:r>
      <w:r w:rsidRPr="2C7849A5">
        <w:rPr>
          <w:rFonts w:ascii="Arial" w:eastAsia="Arial" w:hAnsi="Arial" w:cs="Arial"/>
          <w:color w:val="000000" w:themeColor="text1"/>
          <w:sz w:val="24"/>
          <w:szCs w:val="24"/>
        </w:rPr>
        <w:lastRenderedPageBreak/>
        <w:t>status. The Convention is also the most widely ratified human rights treaty in the world.</w:t>
      </w:r>
    </w:p>
    <w:p w14:paraId="589FFFA1" w14:textId="5E28D398" w:rsidR="2C7849A5" w:rsidRDefault="2C7849A5" w:rsidP="2C7849A5">
      <w:pPr>
        <w:spacing w:line="360" w:lineRule="auto"/>
        <w:rPr>
          <w:rFonts w:ascii="Arial" w:eastAsia="Arial" w:hAnsi="Arial" w:cs="Arial"/>
          <w:color w:val="000000" w:themeColor="text1"/>
          <w:sz w:val="24"/>
          <w:szCs w:val="24"/>
        </w:rPr>
      </w:pPr>
      <w:r w:rsidRPr="2C7849A5">
        <w:rPr>
          <w:rFonts w:ascii="Arial" w:eastAsia="Arial" w:hAnsi="Arial" w:cs="Arial"/>
          <w:color w:val="000000" w:themeColor="text1"/>
          <w:sz w:val="24"/>
          <w:szCs w:val="24"/>
        </w:rPr>
        <w:t>Young children are rights holders, and yet their rights are often overlooked due to perceptions of immaturity. Early childhood is a time of rapid development during which the foundations for communication, connection and identity are built. Early childhood is an optimal time to have a positive impact on a young child’s well-being and acceptance by others with whom they interact. The convention has provided a baseline standard and established clear and consistent standard to follow to ensure that children are provided with efficient rights and protection, thus having a positive and instrumental effect on their childhood. UNICEF (no date) underpins this statement and argues that it has inspired governments to change laws and policies and make investments so that more children finally get the health care and nutrition they need to survive and develop, and there are stronger safeguards in place to protect children from violence and exploitation. It has also enabled more children to have their voices heard and participate in their societies.</w:t>
      </w:r>
    </w:p>
    <w:p w14:paraId="23809FCA" w14:textId="67D975D8" w:rsidR="2C7849A5" w:rsidRDefault="2C7849A5" w:rsidP="2C7849A5">
      <w:pPr>
        <w:spacing w:line="360" w:lineRule="auto"/>
        <w:rPr>
          <w:rFonts w:ascii="Arial" w:eastAsia="Arial" w:hAnsi="Arial" w:cs="Arial"/>
          <w:color w:val="000000" w:themeColor="text1"/>
          <w:sz w:val="24"/>
          <w:szCs w:val="24"/>
        </w:rPr>
      </w:pPr>
      <w:r w:rsidRPr="2C7849A5">
        <w:rPr>
          <w:rFonts w:ascii="Arial" w:eastAsia="Arial" w:hAnsi="Arial" w:cs="Arial"/>
          <w:color w:val="000000" w:themeColor="text1"/>
          <w:sz w:val="24"/>
          <w:szCs w:val="24"/>
        </w:rPr>
        <w:t>While some advancement in the recognition of children’s rights has been apparent, challenges remain, particularly in the areas of policy and practice in early childhood programs.</w:t>
      </w:r>
    </w:p>
    <w:p w14:paraId="2B8047EC" w14:textId="77ABCC00" w:rsidR="2C7849A5" w:rsidRDefault="2C7849A5" w:rsidP="2C7849A5">
      <w:pPr>
        <w:spacing w:line="360" w:lineRule="auto"/>
        <w:rPr>
          <w:rFonts w:ascii="Roboto" w:eastAsia="Roboto" w:hAnsi="Roboto" w:cs="Roboto"/>
          <w:color w:val="1E1E1E"/>
          <w:sz w:val="25"/>
          <w:szCs w:val="25"/>
        </w:rPr>
      </w:pPr>
    </w:p>
    <w:p w14:paraId="780847A1" w14:textId="538BEB32" w:rsidR="2C7849A5" w:rsidRDefault="2C7849A5" w:rsidP="2C7849A5">
      <w:pPr>
        <w:spacing w:line="360" w:lineRule="auto"/>
        <w:rPr>
          <w:rFonts w:ascii="Arial" w:eastAsia="Arial" w:hAnsi="Arial" w:cs="Arial"/>
          <w:b/>
          <w:bCs/>
          <w:color w:val="202124"/>
          <w:sz w:val="28"/>
          <w:szCs w:val="28"/>
        </w:rPr>
      </w:pPr>
      <w:r w:rsidRPr="2C7849A5">
        <w:rPr>
          <w:rFonts w:ascii="Arial" w:eastAsia="Arial" w:hAnsi="Arial" w:cs="Arial"/>
          <w:b/>
          <w:bCs/>
          <w:color w:val="202124"/>
          <w:sz w:val="28"/>
          <w:szCs w:val="28"/>
        </w:rPr>
        <w:t>The explicit ban on the corporal punishment of children.</w:t>
      </w:r>
    </w:p>
    <w:p w14:paraId="33361A37" w14:textId="17DC0A30" w:rsidR="2C7849A5" w:rsidRDefault="2C7849A5" w:rsidP="2C7849A5">
      <w:pPr>
        <w:spacing w:line="360" w:lineRule="auto"/>
        <w:rPr>
          <w:rFonts w:ascii="Arial" w:eastAsia="Arial" w:hAnsi="Arial" w:cs="Arial"/>
          <w:color w:val="000000" w:themeColor="text1"/>
          <w:sz w:val="24"/>
          <w:szCs w:val="24"/>
        </w:rPr>
      </w:pPr>
      <w:r w:rsidRPr="2C7849A5">
        <w:rPr>
          <w:rFonts w:ascii="Arial" w:eastAsia="Arial" w:hAnsi="Arial" w:cs="Arial"/>
          <w:color w:val="000000" w:themeColor="text1"/>
          <w:sz w:val="24"/>
          <w:szCs w:val="24"/>
        </w:rPr>
        <w:t xml:space="preserve">During the year of 1979, Sweden became the first country to ignite an instrumental development surrounding the protection of children. They became the first country in the world to explicitly ban the corporal punishment of children, introducing the formal ban on smacking or any other physical forms to punish a child. This adoption created a positive impact within Sweden from findings that were collected for a survey of children whose early childhood occurred shortly after the adoption of the ban, the survey took place in 1994 and discoveries showed that only three percent reporting harsh slaps from parents and one percent of children saying they had been hit with implements. Furthermore, during the nineteen eighties no children died from the </w:t>
      </w:r>
      <w:r w:rsidRPr="2C7849A5">
        <w:rPr>
          <w:rFonts w:ascii="Arial" w:eastAsia="Arial" w:hAnsi="Arial" w:cs="Arial"/>
          <w:color w:val="000000" w:themeColor="text1"/>
          <w:sz w:val="24"/>
          <w:szCs w:val="24"/>
        </w:rPr>
        <w:lastRenderedPageBreak/>
        <w:t xml:space="preserve">result of physical abuse, and </w:t>
      </w:r>
      <w:bookmarkStart w:id="15" w:name="_Int_NkvCXksF"/>
      <w:r w:rsidRPr="2C7849A5">
        <w:rPr>
          <w:rFonts w:ascii="Arial" w:eastAsia="Arial" w:hAnsi="Arial" w:cs="Arial"/>
          <w:color w:val="000000" w:themeColor="text1"/>
          <w:sz w:val="24"/>
          <w:szCs w:val="24"/>
        </w:rPr>
        <w:t>evidently showing</w:t>
      </w:r>
      <w:bookmarkEnd w:id="15"/>
      <w:r w:rsidRPr="2C7849A5">
        <w:rPr>
          <w:rFonts w:ascii="Arial" w:eastAsia="Arial" w:hAnsi="Arial" w:cs="Arial"/>
          <w:color w:val="000000" w:themeColor="text1"/>
          <w:sz w:val="24"/>
          <w:szCs w:val="24"/>
        </w:rPr>
        <w:t xml:space="preserve"> an advantageous development in the protection of children from physical abuse. </w:t>
      </w:r>
    </w:p>
    <w:p w14:paraId="6226D93E" w14:textId="680E3303" w:rsidR="2C7849A5" w:rsidRDefault="2C7849A5" w:rsidP="2C7849A5">
      <w:pPr>
        <w:spacing w:line="360" w:lineRule="auto"/>
        <w:rPr>
          <w:rFonts w:ascii="Arial" w:eastAsia="Arial" w:hAnsi="Arial" w:cs="Arial"/>
          <w:color w:val="000000" w:themeColor="text1"/>
          <w:sz w:val="24"/>
          <w:szCs w:val="24"/>
        </w:rPr>
      </w:pPr>
      <w:r w:rsidRPr="2C7849A5">
        <w:rPr>
          <w:rFonts w:ascii="Arial" w:eastAsia="Arial" w:hAnsi="Arial" w:cs="Arial"/>
          <w:color w:val="000000" w:themeColor="text1"/>
          <w:sz w:val="24"/>
          <w:szCs w:val="24"/>
        </w:rPr>
        <w:t xml:space="preserve">After this movement from Sweden, many other countries eventually </w:t>
      </w:r>
      <w:bookmarkStart w:id="16" w:name="_Int_Ft1wulLl"/>
      <w:r w:rsidRPr="2C7849A5">
        <w:rPr>
          <w:rFonts w:ascii="Arial" w:eastAsia="Arial" w:hAnsi="Arial" w:cs="Arial"/>
          <w:color w:val="000000" w:themeColor="text1"/>
          <w:sz w:val="24"/>
          <w:szCs w:val="24"/>
        </w:rPr>
        <w:t>followed in their footsteps</w:t>
      </w:r>
      <w:bookmarkEnd w:id="16"/>
      <w:r w:rsidRPr="2C7849A5">
        <w:rPr>
          <w:rFonts w:ascii="Arial" w:eastAsia="Arial" w:hAnsi="Arial" w:cs="Arial"/>
          <w:color w:val="000000" w:themeColor="text1"/>
          <w:sz w:val="24"/>
          <w:szCs w:val="24"/>
        </w:rPr>
        <w:t xml:space="preserve"> and most recently, Wales has adopted this explicit ban. In 2022 Wales made it an official crime to use any form of physical force against a child, The “smacking ban”, as it is known, was brought in under the Children (Abolition of Defence of Reasonable Punishment) (Wales) Act 2020 and marks the end of the common law defence of “reasonable punishment”.</w:t>
      </w:r>
    </w:p>
    <w:p w14:paraId="7ADE1CF0" w14:textId="74D9E94C" w:rsidR="2C7849A5" w:rsidRDefault="2C7849A5" w:rsidP="2C7849A5">
      <w:pPr>
        <w:spacing w:line="360" w:lineRule="auto"/>
        <w:rPr>
          <w:rFonts w:ascii="Arial" w:eastAsia="Arial" w:hAnsi="Arial" w:cs="Arial"/>
          <w:color w:val="000000" w:themeColor="text1"/>
          <w:sz w:val="24"/>
          <w:szCs w:val="24"/>
        </w:rPr>
      </w:pPr>
      <w:r w:rsidRPr="2C7849A5">
        <w:rPr>
          <w:rFonts w:ascii="Arial" w:eastAsia="Arial" w:hAnsi="Arial" w:cs="Arial"/>
          <w:color w:val="000000" w:themeColor="text1"/>
          <w:sz w:val="24"/>
          <w:szCs w:val="24"/>
        </w:rPr>
        <w:t xml:space="preserve">Some argue that using forms of physical force to punish a child can potentially cause detrimental mental health problems for a child and in some cases in the later stages of their lives. Maddox (2019) states physical punishment has been associated with child mental health problems, later aggressive behaviour, and increased risk of more severe forms of abuse, even when sociodemographic factors are held constant. </w:t>
      </w:r>
    </w:p>
    <w:p w14:paraId="435C6F2D" w14:textId="017AEEB7" w:rsidR="2C7849A5" w:rsidRDefault="2C7849A5" w:rsidP="2C7849A5">
      <w:pPr>
        <w:spacing w:line="360" w:lineRule="auto"/>
        <w:rPr>
          <w:rFonts w:ascii="Arial" w:eastAsia="Arial" w:hAnsi="Arial" w:cs="Arial"/>
          <w:color w:val="000000" w:themeColor="text1"/>
          <w:sz w:val="24"/>
          <w:szCs w:val="24"/>
        </w:rPr>
      </w:pPr>
      <w:r w:rsidRPr="2C7849A5">
        <w:rPr>
          <w:rFonts w:ascii="Arial" w:eastAsia="Arial" w:hAnsi="Arial" w:cs="Arial"/>
          <w:color w:val="000000" w:themeColor="text1"/>
          <w:sz w:val="24"/>
          <w:szCs w:val="24"/>
        </w:rPr>
        <w:t>Furthermore, The Guardian (2018) argue that in countries that have full bans on smacking, rates of physical fighting among adolescents are up to 69% lower and that studies have discovered, countries that ban the smacking of children appear to be safer for young people to grow up in, according to research revealing that fighting between youths – particularly females – is less common where corporal punishment has been outlawed.</w:t>
      </w:r>
    </w:p>
    <w:p w14:paraId="7989D92F" w14:textId="1A0A5690" w:rsidR="2C7849A5" w:rsidRDefault="2C7849A5" w:rsidP="2C7849A5">
      <w:pPr>
        <w:spacing w:line="360" w:lineRule="auto"/>
        <w:rPr>
          <w:rFonts w:ascii="Arial" w:eastAsia="Arial" w:hAnsi="Arial" w:cs="Arial"/>
          <w:b/>
          <w:bCs/>
          <w:color w:val="000000" w:themeColor="text1"/>
          <w:sz w:val="32"/>
          <w:szCs w:val="32"/>
        </w:rPr>
      </w:pPr>
      <w:r w:rsidRPr="2C7849A5">
        <w:rPr>
          <w:rFonts w:ascii="Arial" w:eastAsia="Arial" w:hAnsi="Arial" w:cs="Arial"/>
          <w:b/>
          <w:bCs/>
          <w:color w:val="000000" w:themeColor="text1"/>
          <w:sz w:val="32"/>
          <w:szCs w:val="32"/>
        </w:rPr>
        <w:t>The Children Commissioner.</w:t>
      </w:r>
    </w:p>
    <w:p w14:paraId="300E78D9" w14:textId="0820A596" w:rsidR="5C6D3E9B" w:rsidRDefault="2C7849A5" w:rsidP="2C7849A5">
      <w:pPr>
        <w:spacing w:line="360" w:lineRule="auto"/>
        <w:rPr>
          <w:rFonts w:ascii="Arial" w:eastAsia="Arial" w:hAnsi="Arial" w:cs="Arial"/>
          <w:color w:val="000000" w:themeColor="text1"/>
          <w:sz w:val="24"/>
          <w:szCs w:val="24"/>
        </w:rPr>
      </w:pPr>
      <w:r w:rsidRPr="2C7849A5">
        <w:rPr>
          <w:rFonts w:ascii="Arial" w:eastAsia="Arial" w:hAnsi="Arial" w:cs="Arial"/>
          <w:color w:val="000000" w:themeColor="text1"/>
          <w:sz w:val="24"/>
          <w:szCs w:val="24"/>
        </w:rPr>
        <w:t xml:space="preserve">The appointment of Wales’ first Children Commissioner was an additional positive, ground-breaking movement towards the protection of children and their rights. The Commissioner’s principal aim, under the Care Standards Act 2000, is to safeguard and promote the rights and welfare of children. In exercising their functions, the Commissioner must have regard to the United Nations Convention on the Rights of the Child (UNCRC), as stipulated in regulation 22 of the Children’s Commissioner for Wales Regulations 2001. Gov.uk (2017) outlines The Office of the Children’s Commissioner promotes the rights, </w:t>
      </w:r>
      <w:bookmarkStart w:id="17" w:name="_Int_KTmZjh0F"/>
      <w:r w:rsidRPr="2C7849A5">
        <w:rPr>
          <w:rFonts w:ascii="Arial" w:eastAsia="Arial" w:hAnsi="Arial" w:cs="Arial"/>
          <w:color w:val="000000" w:themeColor="text1"/>
          <w:sz w:val="24"/>
          <w:szCs w:val="24"/>
        </w:rPr>
        <w:t>views,</w:t>
      </w:r>
      <w:bookmarkEnd w:id="17"/>
      <w:r w:rsidRPr="2C7849A5">
        <w:rPr>
          <w:rFonts w:ascii="Arial" w:eastAsia="Arial" w:hAnsi="Arial" w:cs="Arial"/>
          <w:color w:val="000000" w:themeColor="text1"/>
          <w:sz w:val="24"/>
          <w:szCs w:val="24"/>
        </w:rPr>
        <w:t xml:space="preserve"> and interests of children in policies or decisions affecting their lives. They particularly represent children who are vulnerable or who find it hard to make their views known. </w:t>
      </w:r>
    </w:p>
    <w:p w14:paraId="5D83AC11" w14:textId="43F5E905" w:rsidR="6A736ABA" w:rsidRDefault="2C7849A5" w:rsidP="2C7849A5">
      <w:pPr>
        <w:spacing w:line="360" w:lineRule="auto"/>
        <w:rPr>
          <w:rFonts w:ascii="Arial" w:eastAsia="Arial" w:hAnsi="Arial" w:cs="Arial"/>
          <w:color w:val="000000" w:themeColor="text1"/>
          <w:sz w:val="24"/>
          <w:szCs w:val="24"/>
        </w:rPr>
      </w:pPr>
      <w:r w:rsidRPr="2C7849A5">
        <w:rPr>
          <w:rFonts w:ascii="Arial" w:eastAsia="Arial" w:hAnsi="Arial" w:cs="Arial"/>
          <w:color w:val="000000" w:themeColor="text1"/>
          <w:sz w:val="24"/>
          <w:szCs w:val="24"/>
        </w:rPr>
        <w:lastRenderedPageBreak/>
        <w:t xml:space="preserve">The adoption of a child’s commissioners across the UK provides children with a representative that can actively fight, support and promote their rights, protection and well-being. Parliament. </w:t>
      </w:r>
      <w:proofErr w:type="spellStart"/>
      <w:r w:rsidRPr="2C7849A5">
        <w:rPr>
          <w:rFonts w:ascii="Arial" w:eastAsia="Arial" w:hAnsi="Arial" w:cs="Arial"/>
          <w:color w:val="000000" w:themeColor="text1"/>
          <w:sz w:val="24"/>
          <w:szCs w:val="24"/>
        </w:rPr>
        <w:t>Uk</w:t>
      </w:r>
      <w:proofErr w:type="spellEnd"/>
      <w:r w:rsidRPr="2C7849A5">
        <w:rPr>
          <w:rFonts w:ascii="Arial" w:eastAsia="Arial" w:hAnsi="Arial" w:cs="Arial"/>
          <w:color w:val="000000" w:themeColor="text1"/>
          <w:sz w:val="24"/>
          <w:szCs w:val="24"/>
        </w:rPr>
        <w:t xml:space="preserve"> (2020) outlines that The Children’s Commissioner gives a national voice to all children and young people, especially the disadvantaged and the vulnerable. It is an appointment made by the Secretary of State for Education under Schedule 1 to the Children Act 2004. The primary function of the post is “promoting and protecting the rights of children”, with a particular focus on ensuring that the views of the most vulnerable children are heard; and that the rights of children in vulnerable circumstances are upheld. The Commissioner’s statutory remit is set out in Part 1 and Schedule 1 of the Children Act 2004, as amended by Part 6 and Schedule 5 of the Children and Families Act 2014, which underpins the importance of positive effects and impacts being made on children during their early childhood. </w:t>
      </w:r>
    </w:p>
    <w:p w14:paraId="71EEF716" w14:textId="0E360F69" w:rsidR="6A736ABA" w:rsidRDefault="6A736ABA" w:rsidP="2C7849A5">
      <w:pPr>
        <w:spacing w:line="360" w:lineRule="auto"/>
        <w:rPr>
          <w:rFonts w:ascii="Arial" w:eastAsia="Arial" w:hAnsi="Arial" w:cs="Arial"/>
          <w:b/>
          <w:bCs/>
          <w:color w:val="000000" w:themeColor="text1"/>
          <w:sz w:val="32"/>
          <w:szCs w:val="32"/>
        </w:rPr>
      </w:pPr>
      <w:r w:rsidRPr="2C7849A5">
        <w:rPr>
          <w:rFonts w:ascii="Arial" w:eastAsia="Arial" w:hAnsi="Arial" w:cs="Arial"/>
          <w:b/>
          <w:bCs/>
          <w:color w:val="000000" w:themeColor="text1"/>
          <w:sz w:val="32"/>
          <w:szCs w:val="32"/>
        </w:rPr>
        <w:t xml:space="preserve">Section three </w:t>
      </w:r>
    </w:p>
    <w:p w14:paraId="7B06BD7B" w14:textId="6187C1D6" w:rsidR="22442ED6" w:rsidRDefault="5C6D3E9B" w:rsidP="2C7849A5">
      <w:pPr>
        <w:spacing w:line="360" w:lineRule="auto"/>
        <w:rPr>
          <w:rFonts w:ascii="Arial" w:eastAsia="Arial" w:hAnsi="Arial" w:cs="Arial"/>
          <w:color w:val="000000" w:themeColor="text1"/>
          <w:sz w:val="24"/>
          <w:szCs w:val="24"/>
        </w:rPr>
      </w:pPr>
      <w:r w:rsidRPr="2C7849A5">
        <w:rPr>
          <w:rFonts w:ascii="Arial" w:eastAsia="Arial" w:hAnsi="Arial" w:cs="Arial"/>
          <w:color w:val="000000" w:themeColor="text1"/>
          <w:sz w:val="24"/>
          <w:szCs w:val="24"/>
        </w:rPr>
        <w:t xml:space="preserve">A common and detrimental sociological factor that some children face within their life is poverty. Many children who live in poverty during their childhood experience a negative impact on </w:t>
      </w:r>
      <w:bookmarkStart w:id="18" w:name="_Int_yWOYrSTw"/>
      <w:r w:rsidRPr="2C7849A5">
        <w:rPr>
          <w:rFonts w:ascii="Arial" w:eastAsia="Arial" w:hAnsi="Arial" w:cs="Arial"/>
          <w:color w:val="000000" w:themeColor="text1"/>
          <w:sz w:val="24"/>
          <w:szCs w:val="24"/>
        </w:rPr>
        <w:t>almost all</w:t>
      </w:r>
      <w:bookmarkEnd w:id="18"/>
      <w:r w:rsidRPr="2C7849A5">
        <w:rPr>
          <w:rFonts w:ascii="Arial" w:eastAsia="Arial" w:hAnsi="Arial" w:cs="Arial"/>
          <w:color w:val="000000" w:themeColor="text1"/>
          <w:sz w:val="24"/>
          <w:szCs w:val="24"/>
        </w:rPr>
        <w:t xml:space="preserve"> aspects of their life and areas of development. Poverty can potentially cause a damaging effect on a child’s health, social, emotional, and cognitive development, behaviour, and educational outcomes. Public Health Scotland (2021) suggest that </w:t>
      </w:r>
      <w:r w:rsidR="296B7888" w:rsidRPr="2C7849A5">
        <w:rPr>
          <w:rFonts w:ascii="Arial" w:eastAsia="Arial" w:hAnsi="Arial" w:cs="Arial"/>
          <w:color w:val="000000" w:themeColor="text1"/>
          <w:sz w:val="24"/>
          <w:szCs w:val="24"/>
        </w:rPr>
        <w:t xml:space="preserve">Children and families living and growing up in poverty and low-income households experience many disadvantages. These can have negative health and social consequences during childhood and into adulthood. </w:t>
      </w:r>
    </w:p>
    <w:p w14:paraId="16231D06" w14:textId="6E525FB3" w:rsidR="5C6D3E9B" w:rsidRDefault="5C6D3E9B" w:rsidP="2C7849A5">
      <w:pPr>
        <w:spacing w:line="360" w:lineRule="auto"/>
        <w:rPr>
          <w:rFonts w:ascii="Arial" w:eastAsia="Arial" w:hAnsi="Arial" w:cs="Arial"/>
          <w:color w:val="000000" w:themeColor="text1"/>
          <w:sz w:val="24"/>
          <w:szCs w:val="24"/>
        </w:rPr>
      </w:pPr>
      <w:r w:rsidRPr="2C7849A5">
        <w:rPr>
          <w:rFonts w:ascii="Arial" w:eastAsia="Arial" w:hAnsi="Arial" w:cs="Arial"/>
          <w:color w:val="000000" w:themeColor="text1"/>
          <w:sz w:val="24"/>
          <w:szCs w:val="24"/>
        </w:rPr>
        <w:t xml:space="preserve">Most children who live in poverty can face many barriers in life. Many families who live poverty can sometimes face barrier to access a healthy lifestyle. Poverty can restrict families being able to offer healthy eating and a balanced diets due to healthier nutritional foods being more expensive than other foods, that are sometimes not as nutritional. A study undertaken by the food foundation says the diminishing ability of low-income families to pay for healthy food is consigning the least well-off to a greater risk of diet related illness, such as obesity and diabetes, as well as widening health inequalities across society. Furthermore, the study estimates that 47% of all UK households with children do not spend enough on food to meet the Eatwell cost targets, a proportion that rises to 60% for single parent families. Just </w:t>
      </w:r>
      <w:r w:rsidRPr="2C7849A5">
        <w:rPr>
          <w:rFonts w:ascii="Arial" w:eastAsia="Arial" w:hAnsi="Arial" w:cs="Arial"/>
          <w:color w:val="000000" w:themeColor="text1"/>
          <w:sz w:val="24"/>
          <w:szCs w:val="24"/>
        </w:rPr>
        <w:lastRenderedPageBreak/>
        <w:t>20% of households where the main earner is unemployed spends the recommended amount, it estimates.</w:t>
      </w:r>
    </w:p>
    <w:p w14:paraId="74130F4F" w14:textId="6983DC6F" w:rsidR="5C6D3E9B" w:rsidRDefault="5C6D3E9B" w:rsidP="2C7849A5">
      <w:pPr>
        <w:spacing w:line="360" w:lineRule="auto"/>
        <w:rPr>
          <w:rFonts w:ascii="Arial" w:eastAsia="Arial" w:hAnsi="Arial" w:cs="Arial"/>
          <w:color w:val="000000" w:themeColor="text1"/>
          <w:sz w:val="24"/>
          <w:szCs w:val="24"/>
        </w:rPr>
      </w:pPr>
      <w:r w:rsidRPr="2C7849A5">
        <w:rPr>
          <w:rFonts w:ascii="Arial" w:eastAsia="Arial" w:hAnsi="Arial" w:cs="Arial"/>
          <w:color w:val="000000" w:themeColor="text1"/>
          <w:sz w:val="24"/>
          <w:szCs w:val="24"/>
        </w:rPr>
        <w:t xml:space="preserve">Children, particularly those living in poverty, exposed to adverse childhood experiences are susceptible to toxic stress and a variety of child and adult health problems, including developmental delay, </w:t>
      </w:r>
      <w:bookmarkStart w:id="19" w:name="_Int_1GyXnhTz"/>
      <w:r w:rsidRPr="2C7849A5">
        <w:rPr>
          <w:rFonts w:ascii="Arial" w:eastAsia="Arial" w:hAnsi="Arial" w:cs="Arial"/>
          <w:color w:val="000000" w:themeColor="text1"/>
          <w:sz w:val="24"/>
          <w:szCs w:val="24"/>
        </w:rPr>
        <w:t>asthma,</w:t>
      </w:r>
      <w:bookmarkEnd w:id="19"/>
      <w:r w:rsidRPr="2C7849A5">
        <w:rPr>
          <w:rFonts w:ascii="Arial" w:eastAsia="Arial" w:hAnsi="Arial" w:cs="Arial"/>
          <w:color w:val="000000" w:themeColor="text1"/>
          <w:sz w:val="24"/>
          <w:szCs w:val="24"/>
        </w:rPr>
        <w:t xml:space="preserve"> and heart disease. Social determinants of health, defined as the social circumstances in which people live and work, powerfully influence health and development, particularly for children growing up in poverty. A fast-expanding pieces of research have documented that adverse childhood experiences (ACEs), defined as traumatic experiences occurring before the age of 18, have long-term health effects and can sometimes result in continued intergenerational toxic stress, thus impacting personal and family physical and mental health, and socioeconomic status. NHS (2022) support this and state that experiencing ACEs can have an impact on our future physical and mental health, and often ACEs can be barriers to healthy attachment relationships forming for children. Some of the effects of ACEs on our physical and mental health are:</w:t>
      </w:r>
    </w:p>
    <w:p w14:paraId="4AD7E56E" w14:textId="66AF6DAE" w:rsidR="5C6D3E9B" w:rsidRDefault="5C6D3E9B" w:rsidP="2C7849A5">
      <w:pPr>
        <w:pStyle w:val="ListParagraph"/>
        <w:numPr>
          <w:ilvl w:val="0"/>
          <w:numId w:val="1"/>
        </w:numPr>
        <w:spacing w:line="360" w:lineRule="auto"/>
        <w:rPr>
          <w:rFonts w:ascii="Arial" w:eastAsia="Arial" w:hAnsi="Arial" w:cs="Arial"/>
          <w:color w:val="000000" w:themeColor="text1"/>
          <w:sz w:val="24"/>
          <w:szCs w:val="24"/>
        </w:rPr>
      </w:pPr>
      <w:r w:rsidRPr="2C7849A5">
        <w:rPr>
          <w:rFonts w:ascii="Arial" w:eastAsia="Arial" w:hAnsi="Arial" w:cs="Arial"/>
          <w:color w:val="000000" w:themeColor="text1"/>
          <w:sz w:val="24"/>
          <w:szCs w:val="24"/>
        </w:rPr>
        <w:t>An increase in the risk of certain health problems in adulthood, such as cancer and heart disease, as well as increasing the risk of mental health difficulties, violence and becoming a victim of violence.</w:t>
      </w:r>
    </w:p>
    <w:p w14:paraId="7DDB1D04" w14:textId="4F1D5467" w:rsidR="5C6D3E9B" w:rsidRDefault="5C6D3E9B" w:rsidP="2C7849A5">
      <w:pPr>
        <w:pStyle w:val="ListParagraph"/>
        <w:numPr>
          <w:ilvl w:val="0"/>
          <w:numId w:val="1"/>
        </w:numPr>
        <w:spacing w:line="360" w:lineRule="auto"/>
        <w:rPr>
          <w:rFonts w:ascii="Arial" w:eastAsia="Arial" w:hAnsi="Arial" w:cs="Arial"/>
          <w:color w:val="000000" w:themeColor="text1"/>
          <w:sz w:val="24"/>
          <w:szCs w:val="24"/>
        </w:rPr>
      </w:pPr>
      <w:r w:rsidRPr="2C7849A5">
        <w:rPr>
          <w:rFonts w:ascii="Arial" w:eastAsia="Arial" w:hAnsi="Arial" w:cs="Arial"/>
          <w:color w:val="000000" w:themeColor="text1"/>
          <w:sz w:val="24"/>
          <w:szCs w:val="24"/>
        </w:rPr>
        <w:t xml:space="preserve">An increase in the risk of mental health problems, such as anxiety, depression, and post-traumatic stress. 1 in 3 diagnosed mental health conditions in adulthood </w:t>
      </w:r>
      <w:bookmarkStart w:id="20" w:name="_Int_FKIxqGSk"/>
      <w:r w:rsidRPr="2C7849A5">
        <w:rPr>
          <w:rFonts w:ascii="Arial" w:eastAsia="Arial" w:hAnsi="Arial" w:cs="Arial"/>
          <w:color w:val="000000" w:themeColor="text1"/>
          <w:sz w:val="24"/>
          <w:szCs w:val="24"/>
        </w:rPr>
        <w:t>related</w:t>
      </w:r>
      <w:bookmarkEnd w:id="20"/>
      <w:r w:rsidRPr="2C7849A5">
        <w:rPr>
          <w:rFonts w:ascii="Arial" w:eastAsia="Arial" w:hAnsi="Arial" w:cs="Arial"/>
          <w:color w:val="000000" w:themeColor="text1"/>
          <w:sz w:val="24"/>
          <w:szCs w:val="24"/>
        </w:rPr>
        <w:t xml:space="preserve"> to ACEs.</w:t>
      </w:r>
    </w:p>
    <w:p w14:paraId="5CFCA7B2" w14:textId="26739DB3" w:rsidR="5C6D3E9B" w:rsidRDefault="5C6D3E9B" w:rsidP="2C7849A5">
      <w:pPr>
        <w:spacing w:line="360" w:lineRule="auto"/>
        <w:rPr>
          <w:rFonts w:ascii="Arial" w:eastAsia="Arial" w:hAnsi="Arial" w:cs="Arial"/>
          <w:color w:val="000000" w:themeColor="text1"/>
          <w:sz w:val="24"/>
          <w:szCs w:val="24"/>
        </w:rPr>
      </w:pPr>
      <w:r w:rsidRPr="2C7849A5">
        <w:rPr>
          <w:rFonts w:ascii="Arial" w:eastAsia="Arial" w:hAnsi="Arial" w:cs="Arial"/>
          <w:color w:val="000000" w:themeColor="text1"/>
          <w:sz w:val="24"/>
          <w:szCs w:val="24"/>
        </w:rPr>
        <w:t>For families already under pressure, poverty can be the factor that pushes them over the edge. The numbers of low-income families who are known to children's social care is disproportionate to those from other social groups. Many parents have levels of resilience that help them to deal with these issues, especially if they have access to wider support, but poverty can take them beyond the point where they can cope, and this can have a serious impact for their children.</w:t>
      </w:r>
    </w:p>
    <w:p w14:paraId="3D7C577E" w14:textId="6FAF4A1E" w:rsidR="5C6D3E9B" w:rsidRDefault="5C6D3E9B" w:rsidP="2C7849A5">
      <w:pPr>
        <w:spacing w:line="360" w:lineRule="auto"/>
        <w:rPr>
          <w:rFonts w:ascii="Arial" w:eastAsia="Arial" w:hAnsi="Arial" w:cs="Arial"/>
          <w:color w:val="000000" w:themeColor="text1"/>
          <w:sz w:val="24"/>
          <w:szCs w:val="24"/>
        </w:rPr>
      </w:pPr>
      <w:bookmarkStart w:id="21" w:name="_Int_Pj5vH1D8"/>
      <w:r w:rsidRPr="2C7849A5">
        <w:rPr>
          <w:rFonts w:ascii="Arial" w:eastAsia="Arial" w:hAnsi="Arial" w:cs="Arial"/>
          <w:color w:val="000000" w:themeColor="text1"/>
          <w:sz w:val="24"/>
          <w:szCs w:val="24"/>
        </w:rPr>
        <w:t>Taking these factors into consideration, it</w:t>
      </w:r>
      <w:bookmarkEnd w:id="21"/>
      <w:r w:rsidRPr="2C7849A5">
        <w:rPr>
          <w:rFonts w:ascii="Arial" w:eastAsia="Arial" w:hAnsi="Arial" w:cs="Arial"/>
          <w:color w:val="000000" w:themeColor="text1"/>
          <w:sz w:val="24"/>
          <w:szCs w:val="24"/>
        </w:rPr>
        <w:t xml:space="preserve"> could be argued that early intervention is instrumental in supporting and preventing children experiencing negative </w:t>
      </w:r>
      <w:r w:rsidRPr="2C7849A5">
        <w:rPr>
          <w:rFonts w:ascii="Arial" w:eastAsia="Arial" w:hAnsi="Arial" w:cs="Arial"/>
          <w:color w:val="000000" w:themeColor="text1"/>
          <w:sz w:val="24"/>
          <w:szCs w:val="24"/>
        </w:rPr>
        <w:lastRenderedPageBreak/>
        <w:t xml:space="preserve">implications. Early intervention can potentially </w:t>
      </w:r>
      <w:r w:rsidR="7FA4A8A1" w:rsidRPr="2C7849A5">
        <w:rPr>
          <w:rFonts w:ascii="Arial" w:eastAsia="Arial" w:hAnsi="Arial" w:cs="Arial"/>
          <w:color w:val="000000" w:themeColor="text1"/>
          <w:sz w:val="24"/>
          <w:szCs w:val="24"/>
        </w:rPr>
        <w:t xml:space="preserve">generate measurable, long-term positive impacts on children and their lives. </w:t>
      </w:r>
    </w:p>
    <w:p w14:paraId="42602B16" w14:textId="01E080F2" w:rsidR="7FA4A8A1" w:rsidRDefault="7FA4A8A1" w:rsidP="2C7849A5">
      <w:pPr>
        <w:spacing w:line="360" w:lineRule="auto"/>
        <w:rPr>
          <w:rFonts w:ascii="Arial" w:eastAsia="Arial" w:hAnsi="Arial" w:cs="Arial"/>
          <w:color w:val="000000" w:themeColor="text1"/>
          <w:sz w:val="24"/>
          <w:szCs w:val="24"/>
        </w:rPr>
      </w:pPr>
      <w:r w:rsidRPr="2C7849A5">
        <w:rPr>
          <w:rFonts w:ascii="Arial" w:eastAsia="Arial" w:hAnsi="Arial" w:cs="Arial"/>
          <w:color w:val="000000" w:themeColor="text1"/>
          <w:sz w:val="24"/>
          <w:szCs w:val="24"/>
        </w:rPr>
        <w:t>The importance of high quality, educational childcare from early infancy is now clear. The Abecedarian study provides scientific evidence that early childhood education significantly improves the scholastic success and educational attainment of poor children even into early adulthood. Welfare reform means that, more than ever, children growing up in low-income families will need early childcare.</w:t>
      </w:r>
    </w:p>
    <w:p w14:paraId="7A8BEFEC" w14:textId="598313E4" w:rsidR="7FA4A8A1" w:rsidRDefault="7FA4A8A1" w:rsidP="2C7849A5">
      <w:pPr>
        <w:spacing w:line="360" w:lineRule="auto"/>
        <w:rPr>
          <w:rFonts w:ascii="Arial" w:eastAsia="Arial" w:hAnsi="Arial" w:cs="Arial"/>
          <w:color w:val="000000" w:themeColor="text1"/>
          <w:sz w:val="24"/>
          <w:szCs w:val="24"/>
        </w:rPr>
      </w:pPr>
      <w:r w:rsidRPr="2C7849A5">
        <w:rPr>
          <w:rFonts w:ascii="Arial" w:eastAsia="Arial" w:hAnsi="Arial" w:cs="Arial"/>
          <w:color w:val="000000" w:themeColor="text1"/>
          <w:sz w:val="24"/>
          <w:szCs w:val="24"/>
        </w:rPr>
        <w:t xml:space="preserve">An instrumental medium of intervention is the flying start programme where the programme key aims are providing a decisive difference to the life chances of children by mitigating any implications poverty may have caused, which is a </w:t>
      </w:r>
      <w:proofErr w:type="spellStart"/>
      <w:r w:rsidRPr="2C7849A5">
        <w:rPr>
          <w:rFonts w:ascii="Arial" w:eastAsia="Arial" w:hAnsi="Arial" w:cs="Arial"/>
          <w:color w:val="000000" w:themeColor="text1"/>
          <w:sz w:val="24"/>
          <w:szCs w:val="24"/>
        </w:rPr>
        <w:t>direc</w:t>
      </w:r>
      <w:proofErr w:type="spellEnd"/>
      <w:r w:rsidRPr="2C7849A5">
        <w:rPr>
          <w:rFonts w:ascii="Arial" w:eastAsia="Arial" w:hAnsi="Arial" w:cs="Arial"/>
          <w:color w:val="000000" w:themeColor="text1"/>
          <w:sz w:val="24"/>
          <w:szCs w:val="24"/>
        </w:rPr>
        <w:t xml:space="preserve"> link to poor life outcomes in early childhood, also including health outcomes of a child. The flying start programme was initially built upon the universal programme of health visitor interventions set down in Healthy Child Wales Programme (HCWP). Welsh Government (2017) state that The HCWP provides an early intervention and preventative public health programme which is central to public health practice. It is fundamental, promoting the delivery of positive health and wellbeing to families and communities in Wales. </w:t>
      </w:r>
    </w:p>
    <w:p w14:paraId="2815D27A" w14:textId="7B076D88" w:rsidR="7FA4A8A1" w:rsidRDefault="7FA4A8A1" w:rsidP="2C7849A5">
      <w:pPr>
        <w:spacing w:line="360" w:lineRule="auto"/>
        <w:rPr>
          <w:rFonts w:ascii="Arial" w:eastAsia="Arial" w:hAnsi="Arial" w:cs="Arial"/>
          <w:color w:val="000000" w:themeColor="text1"/>
          <w:sz w:val="24"/>
          <w:szCs w:val="24"/>
        </w:rPr>
      </w:pPr>
      <w:r w:rsidRPr="2C7849A5">
        <w:rPr>
          <w:rFonts w:ascii="Arial" w:eastAsia="Arial" w:hAnsi="Arial" w:cs="Arial"/>
          <w:color w:val="000000" w:themeColor="text1"/>
          <w:sz w:val="24"/>
          <w:szCs w:val="24"/>
        </w:rPr>
        <w:t>Furthermore, Welsh Government (2017) argue the focus of Flying Start is upon the early identification of any needs and the timely application of interventions. While Flying Start offers a distinct programme of health interventions the programme builds upon the universal programme of health visitor interventions set down in Healthy Child Wales Programme (HCWP). The HCWP provides an early intervention and preventative public health programme which is central to public health practice. These include free quality part-time childcare for 2–3-year-olds, an enhanced Health Visiting service, access to Parenting Programmes and early Language Development. The key is providing an opportunity for children to develop between 2 and 3 in such a way that they start school with development consistent with their chronological age. Flying starts offers children a safe place to help alleviate added pressure or stress on families already facing poverty and the effects. Addi</w:t>
      </w:r>
      <w:r w:rsidR="296B7888" w:rsidRPr="2C7849A5">
        <w:rPr>
          <w:rFonts w:ascii="Arial" w:eastAsia="Arial" w:hAnsi="Arial" w:cs="Arial"/>
          <w:color w:val="000000" w:themeColor="text1"/>
          <w:sz w:val="24"/>
          <w:szCs w:val="24"/>
        </w:rPr>
        <w:t xml:space="preserve">tionally, it provides children with access to learning and development opportunities that they may not necessarily </w:t>
      </w:r>
      <w:r w:rsidR="296B7888" w:rsidRPr="2C7849A5">
        <w:rPr>
          <w:rFonts w:ascii="Arial" w:eastAsia="Arial" w:hAnsi="Arial" w:cs="Arial"/>
          <w:color w:val="000000" w:themeColor="text1"/>
          <w:sz w:val="24"/>
          <w:szCs w:val="24"/>
        </w:rPr>
        <w:lastRenderedPageBreak/>
        <w:t>receive at home. As well as learning opportunities flying start promotes advantageous behavioural and social development skills for children who attend.</w:t>
      </w:r>
    </w:p>
    <w:p w14:paraId="11D931E3" w14:textId="05C9D38B" w:rsidR="5C6D3E9B" w:rsidRDefault="296B7888" w:rsidP="2C7849A5">
      <w:pPr>
        <w:spacing w:line="360" w:lineRule="auto"/>
        <w:rPr>
          <w:rFonts w:ascii="Arial" w:eastAsia="Arial" w:hAnsi="Arial" w:cs="Arial"/>
          <w:color w:val="000000" w:themeColor="text1"/>
          <w:sz w:val="24"/>
          <w:szCs w:val="24"/>
        </w:rPr>
      </w:pPr>
      <w:r w:rsidRPr="2C7849A5">
        <w:rPr>
          <w:rFonts w:ascii="Arial" w:eastAsia="Arial" w:hAnsi="Arial" w:cs="Arial"/>
          <w:color w:val="000000" w:themeColor="text1"/>
          <w:sz w:val="24"/>
          <w:szCs w:val="24"/>
        </w:rPr>
        <w:t xml:space="preserve">Flying start programmes are not only designed to directly support children but also their families, they can offer invaluable forms of support, </w:t>
      </w:r>
      <w:bookmarkStart w:id="22" w:name="_Int_O7kpDQW2"/>
      <w:proofErr w:type="gramStart"/>
      <w:r w:rsidRPr="2C7849A5">
        <w:rPr>
          <w:rFonts w:ascii="Arial" w:eastAsia="Arial" w:hAnsi="Arial" w:cs="Arial"/>
          <w:color w:val="000000" w:themeColor="text1"/>
          <w:sz w:val="24"/>
          <w:szCs w:val="24"/>
        </w:rPr>
        <w:t>through the use of</w:t>
      </w:r>
      <w:bookmarkEnd w:id="22"/>
      <w:proofErr w:type="gramEnd"/>
      <w:r w:rsidRPr="2C7849A5">
        <w:rPr>
          <w:rFonts w:ascii="Arial" w:eastAsia="Arial" w:hAnsi="Arial" w:cs="Arial"/>
          <w:color w:val="000000" w:themeColor="text1"/>
          <w:sz w:val="24"/>
          <w:szCs w:val="24"/>
        </w:rPr>
        <w:t xml:space="preserve"> parenting and family workshops. Where families can be taught and supported by professionals to provide the most efficient care and support for their children, whilst also teaching them coping strategies and mechanisms to combat issues they may face whilst living in poverty. Flying start programmes work effectively in collaboration with other agencies, who can offer families with other methods to support face other complex issues that they may experience. </w:t>
      </w:r>
    </w:p>
    <w:p w14:paraId="355FF5CD" w14:textId="6CFB451E" w:rsidR="5C6D3E9B" w:rsidRDefault="296B7888" w:rsidP="2C7849A5">
      <w:pPr>
        <w:spacing w:line="360" w:lineRule="auto"/>
        <w:rPr>
          <w:rFonts w:ascii="Arial" w:eastAsia="Arial" w:hAnsi="Arial" w:cs="Arial"/>
          <w:color w:val="000000" w:themeColor="text1"/>
          <w:sz w:val="24"/>
          <w:szCs w:val="24"/>
        </w:rPr>
      </w:pPr>
      <w:r w:rsidRPr="2C7849A5">
        <w:rPr>
          <w:rFonts w:ascii="Arial" w:eastAsia="Arial" w:hAnsi="Arial" w:cs="Arial"/>
          <w:color w:val="000000" w:themeColor="text1"/>
          <w:sz w:val="24"/>
          <w:szCs w:val="24"/>
        </w:rPr>
        <w:t>Links between poor health and poverty is a common and worrying denominator that a concerning number of children experience during their childhood. This negative implication can cause detrimental effects on children during preliminary stages of their life but also in the later stages of their lives too. However, there are effective interventions in place and used to mitigate this implication on children. The Welsh Government provides children of those who families are identified as living on a low income with access to free school meals. This programme provides children who attend childcare settings with healthy balanced meals every day, ensuring that they are fed adequately and with nutritional types of food. Some childcare settings like school’s offer additional services like breakfast club, where they can ensure children are being provided with a substantial and healthy breakfast every day. The Food Foundation (2021) supports these practises and argues that receiving good nutrition in the early years is vital to our children having the best start in life. This period is a critical window during which the foundations for a child’s development are established affecting their lifelong health and wellbeing.</w:t>
      </w:r>
    </w:p>
    <w:p w14:paraId="4F0ABA7A" w14:textId="6A44F042" w:rsidR="5C6D3E9B" w:rsidRDefault="296B7888" w:rsidP="2C7849A5">
      <w:pPr>
        <w:spacing w:line="360" w:lineRule="auto"/>
        <w:rPr>
          <w:rFonts w:ascii="Arial" w:eastAsia="Arial" w:hAnsi="Arial" w:cs="Arial"/>
          <w:color w:val="000000" w:themeColor="text1"/>
          <w:sz w:val="24"/>
          <w:szCs w:val="24"/>
        </w:rPr>
      </w:pPr>
      <w:r w:rsidRPr="2C7849A5">
        <w:rPr>
          <w:rFonts w:ascii="Arial" w:eastAsia="Arial" w:hAnsi="Arial" w:cs="Arial"/>
          <w:color w:val="000000" w:themeColor="text1"/>
          <w:sz w:val="24"/>
          <w:szCs w:val="24"/>
        </w:rPr>
        <w:t xml:space="preserve">An additional Welsh Government healthy initiative programme is ‘Design to smile’ which is a dental health programme for nursery and primary school children up to age 7. This includes daily tooth-brushing and twice-yearly fluoride varnish application whilst also </w:t>
      </w:r>
      <w:bookmarkStart w:id="23" w:name="_Int_0E6JbCVn"/>
      <w:r w:rsidRPr="2C7849A5">
        <w:rPr>
          <w:rFonts w:ascii="Arial" w:eastAsia="Arial" w:hAnsi="Arial" w:cs="Arial"/>
          <w:color w:val="000000" w:themeColor="text1"/>
          <w:sz w:val="24"/>
          <w:szCs w:val="24"/>
        </w:rPr>
        <w:t>tutoring</w:t>
      </w:r>
      <w:bookmarkEnd w:id="23"/>
      <w:r w:rsidRPr="2C7849A5">
        <w:rPr>
          <w:rFonts w:ascii="Arial" w:eastAsia="Arial" w:hAnsi="Arial" w:cs="Arial"/>
          <w:color w:val="000000" w:themeColor="text1"/>
          <w:sz w:val="24"/>
          <w:szCs w:val="24"/>
        </w:rPr>
        <w:t xml:space="preserve"> children and families the importance of basic and personal hygiene. NHS Wales (no date) state Its primary focus is the improvement of the dental health of children in Wales. It is funded by Welsh Government and was </w:t>
      </w:r>
      <w:r w:rsidRPr="2C7849A5">
        <w:rPr>
          <w:rFonts w:ascii="Arial" w:eastAsia="Arial" w:hAnsi="Arial" w:cs="Arial"/>
          <w:color w:val="000000" w:themeColor="text1"/>
          <w:sz w:val="24"/>
          <w:szCs w:val="24"/>
        </w:rPr>
        <w:lastRenderedPageBreak/>
        <w:t>initially launched in January 2008 in both North and South Wales as a pilot. Due to the success of the pilots the programme was enhanced and expanded to cover the whole of Wales.</w:t>
      </w:r>
    </w:p>
    <w:p w14:paraId="616974A1" w14:textId="6927CDE1" w:rsidR="5C6D3E9B" w:rsidRDefault="7FA4A8A1" w:rsidP="2C7849A5">
      <w:pPr>
        <w:spacing w:line="360" w:lineRule="auto"/>
        <w:rPr>
          <w:rFonts w:ascii="Arial" w:eastAsia="Arial" w:hAnsi="Arial" w:cs="Arial"/>
          <w:color w:val="000000" w:themeColor="text1"/>
          <w:sz w:val="24"/>
          <w:szCs w:val="24"/>
        </w:rPr>
      </w:pPr>
      <w:r w:rsidRPr="2C7849A5">
        <w:rPr>
          <w:rFonts w:ascii="Arial" w:eastAsia="Arial" w:hAnsi="Arial" w:cs="Arial"/>
          <w:color w:val="000000" w:themeColor="text1"/>
          <w:sz w:val="24"/>
          <w:szCs w:val="24"/>
        </w:rPr>
        <w:t>Despite these positive and useful strategies, it should be clearly understood that early intervention is not a panacea for preventing poverty, nor can it fully reverse all potentially negative impact or effects. Poverty chronically deprives children of the resources necessary for them to thrive, as well as decreasing their resilience to stress and various physical illnesses but with appropriate and adequate interventions can positively support and alle</w:t>
      </w:r>
      <w:r w:rsidR="296B7888" w:rsidRPr="2C7849A5">
        <w:rPr>
          <w:rFonts w:ascii="Arial" w:eastAsia="Arial" w:hAnsi="Arial" w:cs="Arial"/>
          <w:color w:val="000000" w:themeColor="text1"/>
          <w:sz w:val="24"/>
          <w:szCs w:val="24"/>
        </w:rPr>
        <w:t>viate further damaging effects on a child’s experience and development. Early Intervention Foundation (2018) underpins this and outlines that there is good evidence showing that effective early intervention can substantially reduce the impact of poverty on children’s development when it is sufficiently intensive and reaches the families who need it the most.</w:t>
      </w:r>
    </w:p>
    <w:p w14:paraId="170FB9CF" w14:textId="7CCF6465" w:rsidR="5C6D3E9B" w:rsidRDefault="5C6D3E9B" w:rsidP="2C7849A5">
      <w:pPr>
        <w:spacing w:line="360" w:lineRule="auto"/>
        <w:rPr>
          <w:rFonts w:ascii="Arial" w:eastAsia="Arial" w:hAnsi="Arial" w:cs="Arial"/>
          <w:color w:val="000000" w:themeColor="text1"/>
          <w:sz w:val="28"/>
          <w:szCs w:val="28"/>
        </w:rPr>
      </w:pPr>
    </w:p>
    <w:p w14:paraId="25C819D0" w14:textId="7040C579" w:rsidR="5C6D3E9B" w:rsidRDefault="5C6D3E9B" w:rsidP="2C7849A5">
      <w:pPr>
        <w:spacing w:line="360" w:lineRule="auto"/>
        <w:rPr>
          <w:rFonts w:ascii="Arial" w:eastAsia="Arial" w:hAnsi="Arial" w:cs="Arial"/>
          <w:color w:val="000000" w:themeColor="text1"/>
          <w:sz w:val="28"/>
          <w:szCs w:val="28"/>
        </w:rPr>
      </w:pPr>
    </w:p>
    <w:p w14:paraId="62FD3C51" w14:textId="5D64DF05" w:rsidR="6A736ABA" w:rsidRPr="009C4A59" w:rsidRDefault="6A736ABA" w:rsidP="2C7849A5">
      <w:pPr>
        <w:spacing w:line="360" w:lineRule="auto"/>
        <w:rPr>
          <w:rFonts w:ascii="Arial" w:eastAsia="Arial" w:hAnsi="Arial" w:cs="Arial"/>
          <w:b/>
          <w:bCs/>
          <w:color w:val="000000" w:themeColor="text1"/>
          <w:sz w:val="32"/>
          <w:szCs w:val="32"/>
        </w:rPr>
      </w:pPr>
      <w:r w:rsidRPr="009C4A59">
        <w:rPr>
          <w:rFonts w:ascii="Arial" w:eastAsia="Arial" w:hAnsi="Arial" w:cs="Arial"/>
          <w:b/>
          <w:bCs/>
          <w:color w:val="000000" w:themeColor="text1"/>
          <w:sz w:val="32"/>
          <w:szCs w:val="32"/>
        </w:rPr>
        <w:t>Reference list</w:t>
      </w:r>
    </w:p>
    <w:p w14:paraId="33EE55D1" w14:textId="77777777" w:rsidR="0004623D" w:rsidRDefault="0004623D" w:rsidP="2C7849A5">
      <w:pPr>
        <w:spacing w:line="360" w:lineRule="auto"/>
        <w:rPr>
          <w:rFonts w:ascii="Arial" w:eastAsia="Arial" w:hAnsi="Arial" w:cs="Arial"/>
          <w:color w:val="000000" w:themeColor="text1"/>
          <w:sz w:val="24"/>
          <w:szCs w:val="24"/>
        </w:rPr>
      </w:pPr>
    </w:p>
    <w:p w14:paraId="595F0ABE" w14:textId="77777777" w:rsidR="0004623D" w:rsidRDefault="0004623D" w:rsidP="2C7849A5">
      <w:pPr>
        <w:spacing w:line="360" w:lineRule="auto"/>
        <w:rPr>
          <w:rFonts w:ascii="Arial" w:eastAsia="Arial" w:hAnsi="Arial" w:cs="Arial"/>
          <w:color w:val="000000" w:themeColor="text1"/>
          <w:sz w:val="24"/>
          <w:szCs w:val="24"/>
        </w:rPr>
      </w:pPr>
    </w:p>
    <w:p w14:paraId="2E2BF05E" w14:textId="77777777" w:rsidR="0004623D" w:rsidRDefault="0004623D" w:rsidP="2C7849A5">
      <w:pPr>
        <w:spacing w:line="360" w:lineRule="auto"/>
      </w:pPr>
    </w:p>
    <w:p w14:paraId="66B11BB7" w14:textId="77777777" w:rsidR="0004623D" w:rsidRDefault="0004623D" w:rsidP="2C7849A5">
      <w:pPr>
        <w:spacing w:line="360" w:lineRule="auto"/>
      </w:pPr>
    </w:p>
    <w:p w14:paraId="338125F4" w14:textId="77777777" w:rsidR="0004623D" w:rsidRDefault="0004623D" w:rsidP="2C7849A5">
      <w:pPr>
        <w:spacing w:line="360" w:lineRule="auto"/>
        <w:rPr>
          <w:rFonts w:ascii="Roboto" w:eastAsia="Roboto" w:hAnsi="Roboto" w:cs="Roboto"/>
          <w:color w:val="1E1E1E"/>
          <w:sz w:val="25"/>
          <w:szCs w:val="25"/>
        </w:rPr>
      </w:pPr>
    </w:p>
    <w:p w14:paraId="7C99DFBF" w14:textId="77777777" w:rsidR="0004623D" w:rsidRDefault="0004623D" w:rsidP="2C7849A5">
      <w:pPr>
        <w:spacing w:line="360" w:lineRule="auto"/>
        <w:rPr>
          <w:rFonts w:ascii="Arial" w:eastAsia="Arial" w:hAnsi="Arial" w:cs="Arial"/>
          <w:color w:val="1F1F1F"/>
          <w:sz w:val="24"/>
          <w:szCs w:val="24"/>
        </w:rPr>
      </w:pPr>
    </w:p>
    <w:p w14:paraId="3629A7FC" w14:textId="77777777" w:rsidR="0004623D" w:rsidRDefault="0004623D" w:rsidP="7FA4A8A1">
      <w:pPr>
        <w:rPr>
          <w:color w:val="231F20"/>
          <w:sz w:val="24"/>
          <w:szCs w:val="24"/>
        </w:rPr>
      </w:pPr>
      <w:r w:rsidRPr="7FA4A8A1">
        <w:rPr>
          <w:rFonts w:ascii="Arial" w:eastAsia="Arial" w:hAnsi="Arial" w:cs="Arial"/>
          <w:color w:val="FFFFFF" w:themeColor="background1"/>
          <w:sz w:val="66"/>
          <w:szCs w:val="66"/>
        </w:rPr>
        <w:t xml:space="preserve"> </w:t>
      </w:r>
    </w:p>
    <w:p w14:paraId="771E434A" w14:textId="77777777" w:rsidR="0004623D" w:rsidRDefault="0004623D" w:rsidP="7FA4A8A1">
      <w:pPr>
        <w:rPr>
          <w:rFonts w:ascii="Arial" w:eastAsia="Arial" w:hAnsi="Arial" w:cs="Arial"/>
          <w:color w:val="FFFFFF" w:themeColor="background1"/>
          <w:sz w:val="66"/>
          <w:szCs w:val="66"/>
        </w:rPr>
      </w:pPr>
    </w:p>
    <w:p w14:paraId="5F08586E" w14:textId="77777777" w:rsidR="0004623D" w:rsidRDefault="0004623D" w:rsidP="2C7849A5">
      <w:pPr>
        <w:spacing w:line="360" w:lineRule="auto"/>
        <w:rPr>
          <w:rFonts w:ascii="Arial" w:eastAsia="Arial" w:hAnsi="Arial" w:cs="Arial"/>
          <w:color w:val="000000" w:themeColor="text1"/>
          <w:sz w:val="24"/>
          <w:szCs w:val="24"/>
        </w:rPr>
      </w:pPr>
      <w:r w:rsidRPr="2C7849A5">
        <w:rPr>
          <w:rFonts w:ascii="Arial" w:eastAsia="Arial" w:hAnsi="Arial" w:cs="Arial"/>
          <w:color w:val="000000" w:themeColor="text1"/>
          <w:sz w:val="24"/>
          <w:szCs w:val="24"/>
        </w:rPr>
        <w:lastRenderedPageBreak/>
        <w:t>(Avolio, Walumbwa, &amp; Weber, 2009) Avolio, B. J., Walumbwa, F. O., Weber, T. J. (2009). Leadership: Current theories, research, and future directions. Annual Review of Psychology, 60, 421-449.</w:t>
      </w:r>
    </w:p>
    <w:p w14:paraId="5E355930" w14:textId="77777777" w:rsidR="0004623D" w:rsidRDefault="0004623D" w:rsidP="2C7849A5">
      <w:pPr>
        <w:spacing w:line="360" w:lineRule="auto"/>
        <w:rPr>
          <w:rFonts w:ascii="Arial" w:eastAsia="Arial" w:hAnsi="Arial" w:cs="Arial"/>
          <w:color w:val="000000" w:themeColor="text1"/>
          <w:sz w:val="24"/>
          <w:szCs w:val="24"/>
        </w:rPr>
      </w:pPr>
      <w:r w:rsidRPr="2C7849A5">
        <w:rPr>
          <w:rFonts w:ascii="Arial" w:eastAsia="Arial" w:hAnsi="Arial" w:cs="Arial"/>
          <w:color w:val="000000" w:themeColor="text1"/>
          <w:sz w:val="24"/>
          <w:szCs w:val="24"/>
        </w:rPr>
        <w:t xml:space="preserve">Aarons, G. A., Sommerfeld, D. H., </w:t>
      </w:r>
      <w:proofErr w:type="spellStart"/>
      <w:r w:rsidRPr="2C7849A5">
        <w:rPr>
          <w:rFonts w:ascii="Arial" w:eastAsia="Arial" w:hAnsi="Arial" w:cs="Arial"/>
          <w:color w:val="000000" w:themeColor="text1"/>
          <w:sz w:val="24"/>
          <w:szCs w:val="24"/>
        </w:rPr>
        <w:t>Willging</w:t>
      </w:r>
      <w:proofErr w:type="spellEnd"/>
      <w:r w:rsidRPr="2C7849A5">
        <w:rPr>
          <w:rFonts w:ascii="Arial" w:eastAsia="Arial" w:hAnsi="Arial" w:cs="Arial"/>
          <w:color w:val="000000" w:themeColor="text1"/>
          <w:sz w:val="24"/>
          <w:szCs w:val="24"/>
        </w:rPr>
        <w:t>, C. E. (2011). The soft underbelly of system change: The role of leadership and organizational climate in turnover during state-wide behavioural health reform. Psychological Services, 8, 269-281.</w:t>
      </w:r>
    </w:p>
    <w:p w14:paraId="3FAB6F7D" w14:textId="77777777" w:rsidR="0004623D" w:rsidRDefault="0004623D" w:rsidP="2C7849A5">
      <w:pPr>
        <w:spacing w:line="360" w:lineRule="auto"/>
        <w:rPr>
          <w:rFonts w:ascii="Arial" w:eastAsia="Arial" w:hAnsi="Arial" w:cs="Arial"/>
          <w:color w:val="000000" w:themeColor="text1"/>
          <w:sz w:val="24"/>
          <w:szCs w:val="24"/>
        </w:rPr>
      </w:pPr>
      <w:r>
        <w:br/>
      </w:r>
      <w:r w:rsidRPr="2C7849A5">
        <w:rPr>
          <w:rFonts w:ascii="Arial" w:eastAsia="Arial" w:hAnsi="Arial" w:cs="Arial"/>
          <w:color w:val="000000" w:themeColor="text1"/>
          <w:sz w:val="24"/>
          <w:szCs w:val="24"/>
        </w:rPr>
        <w:t>Bass, B. M., Riggio, R. E. (2006). Transformational leadership (2nd ed.). Mahwah, NJ: Lawrence Erlbaum.</w:t>
      </w:r>
    </w:p>
    <w:p w14:paraId="2EE0DB37" w14:textId="77777777" w:rsidR="0004623D" w:rsidRDefault="0004623D" w:rsidP="2C7849A5">
      <w:pPr>
        <w:spacing w:line="360" w:lineRule="auto"/>
        <w:rPr>
          <w:rFonts w:ascii="Arial" w:eastAsia="Arial" w:hAnsi="Arial" w:cs="Arial"/>
          <w:color w:val="000000" w:themeColor="text1"/>
          <w:sz w:val="24"/>
          <w:szCs w:val="24"/>
        </w:rPr>
      </w:pPr>
      <w:proofErr w:type="spellStart"/>
      <w:r w:rsidRPr="2C7849A5">
        <w:rPr>
          <w:rFonts w:ascii="Arial" w:eastAsia="Arial" w:hAnsi="Arial" w:cs="Arial"/>
          <w:color w:val="000000" w:themeColor="text1"/>
          <w:sz w:val="24"/>
          <w:szCs w:val="24"/>
        </w:rPr>
        <w:t>Camburn</w:t>
      </w:r>
      <w:proofErr w:type="spellEnd"/>
      <w:r w:rsidRPr="2C7849A5">
        <w:rPr>
          <w:rFonts w:ascii="Arial" w:eastAsia="Arial" w:hAnsi="Arial" w:cs="Arial"/>
          <w:color w:val="000000" w:themeColor="text1"/>
          <w:sz w:val="24"/>
          <w:szCs w:val="24"/>
        </w:rPr>
        <w:t xml:space="preserve">, E., Rowan, B. and Taylor, J. E. 2003. Distributed leadership in schools: the case of elementary schools adopting comprehensive school reform models. </w:t>
      </w:r>
      <w:r w:rsidRPr="2C7849A5">
        <w:rPr>
          <w:rFonts w:ascii="Arial" w:eastAsia="Arial" w:hAnsi="Arial" w:cs="Arial"/>
          <w:i/>
          <w:iCs/>
          <w:color w:val="000000" w:themeColor="text1"/>
          <w:sz w:val="24"/>
          <w:szCs w:val="24"/>
        </w:rPr>
        <w:t>Educational Evaluation and Policy Analysis</w:t>
      </w:r>
      <w:r w:rsidRPr="2C7849A5">
        <w:rPr>
          <w:rFonts w:ascii="Arial" w:eastAsia="Arial" w:hAnsi="Arial" w:cs="Arial"/>
          <w:color w:val="000000" w:themeColor="text1"/>
          <w:sz w:val="24"/>
          <w:szCs w:val="24"/>
        </w:rPr>
        <w:t>, 25(4): 347–373.</w:t>
      </w:r>
    </w:p>
    <w:p w14:paraId="0346876E" w14:textId="77777777" w:rsidR="0004623D" w:rsidRDefault="0004623D" w:rsidP="2C7849A5">
      <w:pPr>
        <w:spacing w:line="360" w:lineRule="auto"/>
        <w:rPr>
          <w:rFonts w:ascii="Arial" w:eastAsia="Arial" w:hAnsi="Arial" w:cs="Arial"/>
          <w:color w:val="000000" w:themeColor="text1"/>
          <w:sz w:val="24"/>
          <w:szCs w:val="24"/>
        </w:rPr>
      </w:pPr>
      <w:r w:rsidRPr="2C7849A5">
        <w:rPr>
          <w:rFonts w:ascii="Arial" w:eastAsia="Arial" w:hAnsi="Arial" w:cs="Arial"/>
          <w:color w:val="000000" w:themeColor="text1"/>
          <w:sz w:val="24"/>
          <w:szCs w:val="24"/>
        </w:rPr>
        <w:t xml:space="preserve">Clark, N. M., Doctor, L. J., Friedman, A. R., Lachance, L. L., Houle, C. R., </w:t>
      </w:r>
      <w:proofErr w:type="spellStart"/>
      <w:r w:rsidRPr="2C7849A5">
        <w:rPr>
          <w:rFonts w:ascii="Arial" w:eastAsia="Arial" w:hAnsi="Arial" w:cs="Arial"/>
          <w:color w:val="000000" w:themeColor="text1"/>
          <w:sz w:val="24"/>
          <w:szCs w:val="24"/>
        </w:rPr>
        <w:t>Geng</w:t>
      </w:r>
      <w:proofErr w:type="spellEnd"/>
      <w:r w:rsidRPr="2C7849A5">
        <w:rPr>
          <w:rFonts w:ascii="Arial" w:eastAsia="Arial" w:hAnsi="Arial" w:cs="Arial"/>
          <w:color w:val="000000" w:themeColor="text1"/>
          <w:sz w:val="24"/>
          <w:szCs w:val="24"/>
        </w:rPr>
        <w:t xml:space="preserve">, X., </w:t>
      </w:r>
      <w:proofErr w:type="spellStart"/>
      <w:r w:rsidRPr="2C7849A5">
        <w:rPr>
          <w:rFonts w:ascii="Arial" w:eastAsia="Arial" w:hAnsi="Arial" w:cs="Arial"/>
          <w:color w:val="000000" w:themeColor="text1"/>
          <w:sz w:val="24"/>
          <w:szCs w:val="24"/>
        </w:rPr>
        <w:t>Grisso</w:t>
      </w:r>
      <w:proofErr w:type="spellEnd"/>
      <w:r w:rsidRPr="2C7849A5">
        <w:rPr>
          <w:rFonts w:ascii="Arial" w:eastAsia="Arial" w:hAnsi="Arial" w:cs="Arial"/>
          <w:color w:val="000000" w:themeColor="text1"/>
          <w:sz w:val="24"/>
          <w:szCs w:val="24"/>
        </w:rPr>
        <w:t>, J. A. (2006). Community coalitions to control chronic disease: Allies against asthma as a model and case study. Health Promotion Practice, 7(2 Suppl.), 14S-22S.</w:t>
      </w:r>
    </w:p>
    <w:p w14:paraId="43C62E26" w14:textId="77777777" w:rsidR="0004623D" w:rsidRDefault="0004623D" w:rsidP="2C7849A5">
      <w:pPr>
        <w:spacing w:line="360" w:lineRule="auto"/>
        <w:rPr>
          <w:rFonts w:ascii="Arial" w:eastAsia="Arial" w:hAnsi="Arial" w:cs="Arial"/>
          <w:color w:val="000000" w:themeColor="text1"/>
          <w:sz w:val="24"/>
          <w:szCs w:val="24"/>
        </w:rPr>
      </w:pPr>
      <w:r w:rsidRPr="2C7849A5">
        <w:rPr>
          <w:rFonts w:ascii="Arial" w:eastAsia="Arial" w:hAnsi="Arial" w:cs="Arial"/>
          <w:color w:val="000000" w:themeColor="text1"/>
          <w:sz w:val="24"/>
          <w:szCs w:val="24"/>
        </w:rPr>
        <w:t>Clark, N. M., Doctor, L. J., Gilmore, L., Kelly, C., Krieger, J., Lara, M., . . . Wilkin, M. (2010). Policy and system change and community coalitions: Outcomes from allies against asthma. American Journal of Public Health, 100, 904-912.</w:t>
      </w:r>
    </w:p>
    <w:p w14:paraId="24E54193" w14:textId="77777777" w:rsidR="0004623D" w:rsidRDefault="0004623D" w:rsidP="2C7849A5">
      <w:pPr>
        <w:spacing w:line="360" w:lineRule="auto"/>
        <w:rPr>
          <w:rFonts w:ascii="Arial" w:eastAsia="Arial" w:hAnsi="Arial" w:cs="Arial"/>
          <w:color w:val="000000" w:themeColor="text1"/>
          <w:sz w:val="24"/>
          <w:szCs w:val="24"/>
        </w:rPr>
      </w:pPr>
      <w:r w:rsidRPr="2C7849A5">
        <w:rPr>
          <w:rFonts w:ascii="Arial" w:eastAsia="Arial" w:hAnsi="Arial" w:cs="Arial"/>
          <w:color w:val="000000" w:themeColor="text1"/>
          <w:sz w:val="24"/>
          <w:szCs w:val="24"/>
        </w:rPr>
        <w:t xml:space="preserve">Copland, M. A. 2003. Leadership of inquiry: building and sustaining capacity for school improvement. </w:t>
      </w:r>
      <w:r w:rsidRPr="2C7849A5">
        <w:rPr>
          <w:rFonts w:ascii="Arial" w:eastAsia="Arial" w:hAnsi="Arial" w:cs="Arial"/>
          <w:i/>
          <w:iCs/>
          <w:color w:val="000000" w:themeColor="text1"/>
          <w:sz w:val="24"/>
          <w:szCs w:val="24"/>
        </w:rPr>
        <w:t>Educational Evaluation and Policy Analysis</w:t>
      </w:r>
      <w:r w:rsidRPr="2C7849A5">
        <w:rPr>
          <w:rFonts w:ascii="Arial" w:eastAsia="Arial" w:hAnsi="Arial" w:cs="Arial"/>
          <w:color w:val="000000" w:themeColor="text1"/>
          <w:sz w:val="24"/>
          <w:szCs w:val="24"/>
        </w:rPr>
        <w:t>, 25(4): 375–395.</w:t>
      </w:r>
    </w:p>
    <w:p w14:paraId="0A115FC0" w14:textId="77777777" w:rsidR="0004623D" w:rsidRDefault="0004623D" w:rsidP="2C7849A5">
      <w:pPr>
        <w:pStyle w:val="Heading1"/>
        <w:spacing w:line="360" w:lineRule="auto"/>
        <w:rPr>
          <w:rFonts w:ascii="Arial" w:eastAsia="Arial" w:hAnsi="Arial" w:cs="Arial"/>
          <w:color w:val="1C2D24"/>
          <w:sz w:val="24"/>
          <w:szCs w:val="24"/>
        </w:rPr>
      </w:pPr>
      <w:r w:rsidRPr="2C7849A5">
        <w:rPr>
          <w:rFonts w:ascii="Arial" w:eastAsia="Arial" w:hAnsi="Arial" w:cs="Arial"/>
          <w:color w:val="000000" w:themeColor="text1"/>
          <w:sz w:val="24"/>
          <w:szCs w:val="24"/>
        </w:rPr>
        <w:t xml:space="preserve">Early Intervention Foundation (2018) </w:t>
      </w:r>
      <w:r w:rsidRPr="2C7849A5">
        <w:rPr>
          <w:rFonts w:ascii="Arial" w:eastAsia="Arial" w:hAnsi="Arial" w:cs="Arial"/>
          <w:i/>
          <w:iCs/>
          <w:color w:val="000000" w:themeColor="text1"/>
          <w:sz w:val="24"/>
          <w:szCs w:val="24"/>
        </w:rPr>
        <w:t xml:space="preserve">Child poverty and early intervention. </w:t>
      </w:r>
      <w:r w:rsidRPr="2C7849A5">
        <w:rPr>
          <w:rFonts w:ascii="Arial" w:eastAsia="Arial" w:hAnsi="Arial" w:cs="Arial"/>
          <w:color w:val="000000" w:themeColor="text1"/>
          <w:sz w:val="24"/>
          <w:szCs w:val="24"/>
        </w:rPr>
        <w:t xml:space="preserve">Available at: </w:t>
      </w:r>
      <w:hyperlink r:id="rId7" w:anchor=":~:text=There%20is%20good%20evidence%20showing,who%20need%20it%20the%20most">
        <w:r w:rsidRPr="2C7849A5">
          <w:rPr>
            <w:rStyle w:val="Hyperlink"/>
            <w:rFonts w:ascii="Arial" w:eastAsia="Arial" w:hAnsi="Arial" w:cs="Arial"/>
            <w:sz w:val="24"/>
            <w:szCs w:val="24"/>
          </w:rPr>
          <w:t>https://www.eif.org.uk/blog/child-poverty-and-early-intervention#:~:text=There%20is%20good%20evidence%20showing,who%20need%20it%20the%20most</w:t>
        </w:r>
      </w:hyperlink>
      <w:r w:rsidRPr="2C7849A5">
        <w:rPr>
          <w:rFonts w:ascii="Arial" w:eastAsia="Arial" w:hAnsi="Arial" w:cs="Arial"/>
          <w:color w:val="000000" w:themeColor="text1"/>
          <w:sz w:val="24"/>
          <w:szCs w:val="24"/>
        </w:rPr>
        <w:t xml:space="preserve">. </w:t>
      </w:r>
      <w:r w:rsidRPr="2C7849A5">
        <w:rPr>
          <w:rFonts w:ascii="Arial" w:eastAsia="Arial" w:hAnsi="Arial" w:cs="Arial"/>
          <w:color w:val="1C2D24"/>
          <w:sz w:val="24"/>
          <w:szCs w:val="24"/>
        </w:rPr>
        <w:t>(Accessed 26th June 2022).</w:t>
      </w:r>
    </w:p>
    <w:p w14:paraId="5792F6D4" w14:textId="77777777" w:rsidR="0004623D" w:rsidRDefault="0004623D" w:rsidP="2C7849A5">
      <w:pPr>
        <w:spacing w:line="360" w:lineRule="auto"/>
        <w:rPr>
          <w:rFonts w:ascii="HelveticaNeue" w:eastAsia="HelveticaNeue" w:hAnsi="HelveticaNeue" w:cs="HelveticaNeue"/>
          <w:color w:val="0B0C0C"/>
          <w:sz w:val="27"/>
          <w:szCs w:val="27"/>
        </w:rPr>
      </w:pPr>
      <w:r w:rsidRPr="2C7849A5">
        <w:rPr>
          <w:rFonts w:ascii="Arial" w:eastAsia="Arial" w:hAnsi="Arial" w:cs="Arial"/>
          <w:color w:val="1F1F1F"/>
          <w:sz w:val="24"/>
          <w:szCs w:val="24"/>
        </w:rPr>
        <w:t xml:space="preserve">Gov.uk (2017) </w:t>
      </w:r>
      <w:r w:rsidRPr="2C7849A5">
        <w:rPr>
          <w:rFonts w:ascii="Arial" w:eastAsia="Arial" w:hAnsi="Arial" w:cs="Arial"/>
          <w:i/>
          <w:iCs/>
          <w:color w:val="0B0C0C"/>
          <w:sz w:val="24"/>
          <w:szCs w:val="24"/>
        </w:rPr>
        <w:t xml:space="preserve">The Office of the Children's Commissioner. </w:t>
      </w:r>
      <w:r w:rsidRPr="2C7849A5">
        <w:rPr>
          <w:rFonts w:ascii="Arial" w:eastAsia="Arial" w:hAnsi="Arial" w:cs="Arial"/>
          <w:color w:val="0B0C0C"/>
          <w:sz w:val="24"/>
          <w:szCs w:val="24"/>
        </w:rPr>
        <w:t>Available at:</w:t>
      </w:r>
      <w:r w:rsidRPr="2C7849A5">
        <w:rPr>
          <w:rFonts w:ascii="HelveticaNeue" w:eastAsia="HelveticaNeue" w:hAnsi="HelveticaNeue" w:cs="HelveticaNeue"/>
          <w:color w:val="0B0C0C"/>
          <w:sz w:val="27"/>
          <w:szCs w:val="27"/>
        </w:rPr>
        <w:t xml:space="preserve"> </w:t>
      </w:r>
      <w:hyperlink r:id="rId8" w:anchor=":~:text=The%20Office%20of%20the%20Children's%20Commissioner%20promotes%20the%20rights%2C%20views,to%20make%20their%20views%20known">
        <w:r w:rsidRPr="2C7849A5">
          <w:rPr>
            <w:rStyle w:val="Hyperlink"/>
            <w:rFonts w:ascii="HelveticaNeue" w:eastAsia="HelveticaNeue" w:hAnsi="HelveticaNeue" w:cs="HelveticaNeue"/>
            <w:sz w:val="27"/>
            <w:szCs w:val="27"/>
          </w:rPr>
          <w:t>https://www.gov.uk/government/organisations/office-of-the-children-s-commissioner#:~:text=The%20Office%20of%20the%20Children's%20Co</w:t>
        </w:r>
        <w:r w:rsidRPr="2C7849A5">
          <w:rPr>
            <w:rStyle w:val="Hyperlink"/>
            <w:rFonts w:ascii="HelveticaNeue" w:eastAsia="HelveticaNeue" w:hAnsi="HelveticaNeue" w:cs="HelveticaNeue"/>
            <w:sz w:val="27"/>
            <w:szCs w:val="27"/>
          </w:rPr>
          <w:lastRenderedPageBreak/>
          <w:t>mmissioner%20promotes%20the%20rights%2C%20views,to%20make%20their%20views%20known</w:t>
        </w:r>
      </w:hyperlink>
      <w:r w:rsidRPr="2C7849A5">
        <w:rPr>
          <w:rFonts w:ascii="HelveticaNeue" w:eastAsia="HelveticaNeue" w:hAnsi="HelveticaNeue" w:cs="HelveticaNeue"/>
          <w:color w:val="0B0C0C"/>
          <w:sz w:val="27"/>
          <w:szCs w:val="27"/>
        </w:rPr>
        <w:t xml:space="preserve">. </w:t>
      </w:r>
      <w:r w:rsidRPr="2C7849A5">
        <w:rPr>
          <w:rFonts w:ascii="Arial" w:eastAsia="Arial" w:hAnsi="Arial" w:cs="Arial"/>
          <w:color w:val="0B0C0C"/>
          <w:sz w:val="24"/>
          <w:szCs w:val="24"/>
        </w:rPr>
        <w:t>(Accessed 30</w:t>
      </w:r>
      <w:r w:rsidRPr="2C7849A5">
        <w:rPr>
          <w:rFonts w:ascii="Arial" w:eastAsia="Arial" w:hAnsi="Arial" w:cs="Arial"/>
          <w:color w:val="0B0C0C"/>
          <w:sz w:val="24"/>
          <w:szCs w:val="24"/>
          <w:vertAlign w:val="superscript"/>
        </w:rPr>
        <w:t>th</w:t>
      </w:r>
      <w:r w:rsidRPr="2C7849A5">
        <w:rPr>
          <w:rFonts w:ascii="Arial" w:eastAsia="Arial" w:hAnsi="Arial" w:cs="Arial"/>
          <w:color w:val="0B0C0C"/>
          <w:sz w:val="24"/>
          <w:szCs w:val="24"/>
        </w:rPr>
        <w:t xml:space="preserve"> June 2022).</w:t>
      </w:r>
    </w:p>
    <w:p w14:paraId="3C14180E" w14:textId="77777777" w:rsidR="0004623D" w:rsidRDefault="0004623D" w:rsidP="2C7849A5">
      <w:pPr>
        <w:spacing w:line="360" w:lineRule="auto"/>
        <w:rPr>
          <w:rFonts w:ascii="Arial" w:eastAsia="Arial" w:hAnsi="Arial" w:cs="Arial"/>
          <w:color w:val="000000" w:themeColor="text1"/>
          <w:sz w:val="24"/>
          <w:szCs w:val="24"/>
        </w:rPr>
      </w:pPr>
      <w:r w:rsidRPr="2C7849A5">
        <w:rPr>
          <w:rFonts w:ascii="Arial" w:eastAsia="Arial" w:hAnsi="Arial" w:cs="Arial"/>
          <w:color w:val="000000" w:themeColor="text1"/>
          <w:sz w:val="24"/>
          <w:szCs w:val="24"/>
        </w:rPr>
        <w:t xml:space="preserve">Heller, M. J. and Firestone, W. A. 1995. Who’s in charge here? Sources of leadership for change in eight schools. </w:t>
      </w:r>
      <w:r w:rsidRPr="2C7849A5">
        <w:rPr>
          <w:rFonts w:ascii="Arial" w:eastAsia="Arial" w:hAnsi="Arial" w:cs="Arial"/>
          <w:i/>
          <w:iCs/>
          <w:color w:val="000000" w:themeColor="text1"/>
          <w:sz w:val="24"/>
          <w:szCs w:val="24"/>
        </w:rPr>
        <w:t>Elementary School Journal</w:t>
      </w:r>
      <w:r w:rsidRPr="2C7849A5">
        <w:rPr>
          <w:rFonts w:ascii="Arial" w:eastAsia="Arial" w:hAnsi="Arial" w:cs="Arial"/>
          <w:color w:val="000000" w:themeColor="text1"/>
          <w:sz w:val="24"/>
          <w:szCs w:val="24"/>
        </w:rPr>
        <w:t>, 96(1): 65–86.</w:t>
      </w:r>
    </w:p>
    <w:p w14:paraId="69EBA048" w14:textId="77777777" w:rsidR="0004623D" w:rsidRDefault="0004623D" w:rsidP="2C7849A5">
      <w:pPr>
        <w:spacing w:line="360" w:lineRule="auto"/>
        <w:rPr>
          <w:rFonts w:ascii="Arial" w:eastAsia="Arial" w:hAnsi="Arial" w:cs="Arial"/>
          <w:color w:val="000000" w:themeColor="text1"/>
          <w:sz w:val="24"/>
          <w:szCs w:val="24"/>
        </w:rPr>
      </w:pPr>
      <w:r w:rsidRPr="2C7849A5">
        <w:rPr>
          <w:rFonts w:ascii="Arial" w:eastAsia="Arial" w:hAnsi="Arial" w:cs="Arial"/>
          <w:color w:val="000000" w:themeColor="text1"/>
          <w:sz w:val="24"/>
          <w:szCs w:val="24"/>
        </w:rPr>
        <w:t xml:space="preserve">Herold, D. M., </w:t>
      </w:r>
      <w:proofErr w:type="spellStart"/>
      <w:r w:rsidRPr="2C7849A5">
        <w:rPr>
          <w:rFonts w:ascii="Arial" w:eastAsia="Arial" w:hAnsi="Arial" w:cs="Arial"/>
          <w:color w:val="000000" w:themeColor="text1"/>
          <w:sz w:val="24"/>
          <w:szCs w:val="24"/>
        </w:rPr>
        <w:t>Fedor</w:t>
      </w:r>
      <w:proofErr w:type="spellEnd"/>
      <w:r w:rsidRPr="2C7849A5">
        <w:rPr>
          <w:rFonts w:ascii="Arial" w:eastAsia="Arial" w:hAnsi="Arial" w:cs="Arial"/>
          <w:color w:val="000000" w:themeColor="text1"/>
          <w:sz w:val="24"/>
          <w:szCs w:val="24"/>
        </w:rPr>
        <w:t>, D. B., Caldwell, S., Liu, Y. (2008). The effects of transformational and change leadership on employees’ commitment to a change a multilevel study. Journal of Applied Psychology, 93, 346-357.</w:t>
      </w:r>
    </w:p>
    <w:p w14:paraId="0F70EA23" w14:textId="15ABF72A" w:rsidR="0004623D" w:rsidRDefault="0004623D" w:rsidP="2C7849A5">
      <w:pPr>
        <w:spacing w:line="360" w:lineRule="auto"/>
        <w:rPr>
          <w:rFonts w:ascii="Arial" w:eastAsia="Arial" w:hAnsi="Arial" w:cs="Arial"/>
          <w:color w:val="202124"/>
          <w:sz w:val="24"/>
          <w:szCs w:val="24"/>
        </w:rPr>
      </w:pPr>
      <w:r w:rsidRPr="2C7849A5">
        <w:rPr>
          <w:rFonts w:ascii="Arial" w:eastAsia="Arial" w:hAnsi="Arial" w:cs="Arial"/>
          <w:color w:val="1F1F1F"/>
          <w:sz w:val="24"/>
          <w:szCs w:val="24"/>
        </w:rPr>
        <w:t xml:space="preserve">Maddox, L. (2019) </w:t>
      </w:r>
      <w:r w:rsidRPr="2C7849A5">
        <w:rPr>
          <w:rFonts w:ascii="Arial" w:eastAsia="Arial" w:hAnsi="Arial" w:cs="Arial"/>
          <w:i/>
          <w:iCs/>
          <w:color w:val="000000" w:themeColor="text1"/>
          <w:sz w:val="24"/>
          <w:szCs w:val="24"/>
        </w:rPr>
        <w:t>Why it’s good to ban smacking</w:t>
      </w:r>
      <w:r w:rsidR="009C4A59">
        <w:rPr>
          <w:rFonts w:ascii="Arial" w:eastAsia="Arial" w:hAnsi="Arial" w:cs="Arial"/>
          <w:i/>
          <w:iCs/>
          <w:color w:val="000000" w:themeColor="text1"/>
          <w:sz w:val="24"/>
          <w:szCs w:val="24"/>
        </w:rPr>
        <w:t>.</w:t>
      </w:r>
      <w:r w:rsidRPr="2C7849A5">
        <w:rPr>
          <w:rFonts w:ascii="Arial" w:eastAsia="Arial" w:hAnsi="Arial" w:cs="Arial"/>
          <w:color w:val="000000" w:themeColor="text1"/>
          <w:sz w:val="24"/>
          <w:szCs w:val="24"/>
        </w:rPr>
        <w:t xml:space="preserve"> </w:t>
      </w:r>
      <w:r w:rsidRPr="2C7849A5">
        <w:rPr>
          <w:rFonts w:ascii="Arial" w:eastAsia="Arial" w:hAnsi="Arial" w:cs="Arial"/>
          <w:color w:val="202124"/>
          <w:sz w:val="24"/>
          <w:szCs w:val="24"/>
        </w:rPr>
        <w:t xml:space="preserve">Available at: </w:t>
      </w:r>
      <w:hyperlink r:id="rId9">
        <w:r w:rsidRPr="2C7849A5">
          <w:rPr>
            <w:rStyle w:val="Hyperlink"/>
            <w:rFonts w:ascii="Arial" w:eastAsia="Arial" w:hAnsi="Arial" w:cs="Arial"/>
            <w:sz w:val="24"/>
            <w:szCs w:val="24"/>
          </w:rPr>
          <w:t>https://www.acamh.org/blog/why-its-good-to-ban-smacking/</w:t>
        </w:r>
      </w:hyperlink>
      <w:r w:rsidRPr="2C7849A5">
        <w:rPr>
          <w:rFonts w:ascii="Arial" w:eastAsia="Arial" w:hAnsi="Arial" w:cs="Arial"/>
          <w:color w:val="202124"/>
          <w:sz w:val="24"/>
          <w:szCs w:val="24"/>
        </w:rPr>
        <w:t xml:space="preserve"> (Accessed 20</w:t>
      </w:r>
      <w:r w:rsidRPr="2C7849A5">
        <w:rPr>
          <w:rFonts w:ascii="Arial" w:eastAsia="Arial" w:hAnsi="Arial" w:cs="Arial"/>
          <w:color w:val="202124"/>
          <w:sz w:val="24"/>
          <w:szCs w:val="24"/>
          <w:vertAlign w:val="superscript"/>
        </w:rPr>
        <w:t>th</w:t>
      </w:r>
      <w:r w:rsidRPr="2C7849A5">
        <w:rPr>
          <w:rFonts w:ascii="Arial" w:eastAsia="Arial" w:hAnsi="Arial" w:cs="Arial"/>
          <w:color w:val="202124"/>
          <w:sz w:val="24"/>
          <w:szCs w:val="24"/>
        </w:rPr>
        <w:t xml:space="preserve"> June 2022).</w:t>
      </w:r>
    </w:p>
    <w:p w14:paraId="79D2FD7A" w14:textId="77777777" w:rsidR="0004623D" w:rsidRDefault="0004623D" w:rsidP="2C7849A5">
      <w:pPr>
        <w:spacing w:line="360" w:lineRule="auto"/>
        <w:rPr>
          <w:rFonts w:ascii="Arial" w:eastAsia="Arial" w:hAnsi="Arial" w:cs="Arial"/>
          <w:color w:val="231F20"/>
          <w:sz w:val="24"/>
          <w:szCs w:val="24"/>
        </w:rPr>
      </w:pPr>
      <w:r w:rsidRPr="2C7849A5">
        <w:rPr>
          <w:rFonts w:ascii="Arial" w:eastAsia="Arial" w:hAnsi="Arial" w:cs="Arial"/>
          <w:sz w:val="24"/>
          <w:szCs w:val="24"/>
        </w:rPr>
        <w:t>McDowall Clark, R. (2012). ‘I’ve never thought of myself as a leader but…’: The early years professional and catalytic leadership. European Early Childhood Education Research Journal, 20(3), 391–401.</w:t>
      </w:r>
    </w:p>
    <w:p w14:paraId="2E533D70" w14:textId="0092AAB8" w:rsidR="0004623D" w:rsidRDefault="0004623D" w:rsidP="2C7849A5">
      <w:pPr>
        <w:spacing w:line="360" w:lineRule="auto"/>
        <w:rPr>
          <w:rFonts w:ascii="Arial" w:eastAsia="Arial" w:hAnsi="Arial" w:cs="Arial"/>
          <w:color w:val="231F20"/>
          <w:sz w:val="24"/>
          <w:szCs w:val="24"/>
        </w:rPr>
      </w:pPr>
      <w:r w:rsidRPr="009C4A59">
        <w:rPr>
          <w:rFonts w:ascii="Arial" w:eastAsia="Arial" w:hAnsi="Arial" w:cs="Arial"/>
          <w:color w:val="000000" w:themeColor="text1"/>
          <w:sz w:val="24"/>
          <w:szCs w:val="24"/>
        </w:rPr>
        <w:t xml:space="preserve">NHS (2022) - </w:t>
      </w:r>
      <w:r w:rsidRPr="009C4A59">
        <w:rPr>
          <w:rFonts w:ascii="Arial" w:eastAsia="Arial" w:hAnsi="Arial" w:cs="Arial"/>
          <w:i/>
          <w:iCs/>
          <w:color w:val="231F20"/>
          <w:sz w:val="24"/>
          <w:szCs w:val="24"/>
        </w:rPr>
        <w:t xml:space="preserve">Adverse Childhood Experiences (ACEs) and Attachment </w:t>
      </w:r>
      <w:hyperlink r:id="rId10" w:anchor=":~:text=Impact%20of%20ACEs&amp;text=Some%20of%20the%20effects%20of,becoming%20a%20victim%20of%20violence">
        <w:r w:rsidRPr="2C7849A5">
          <w:rPr>
            <w:rStyle w:val="Hyperlink"/>
            <w:rFonts w:ascii="Arial" w:eastAsia="Arial" w:hAnsi="Arial" w:cs="Arial"/>
            <w:sz w:val="24"/>
            <w:szCs w:val="24"/>
          </w:rPr>
          <w:t>https://mft.nhs.uk/rmch/services/camhs/young-people/adverse-childhood-experiences-aces-and-attachment/#:~:text=Impact%20of%2</w:t>
        </w:r>
        <w:r w:rsidRPr="2C7849A5">
          <w:rPr>
            <w:rStyle w:val="Hyperlink"/>
            <w:rFonts w:ascii="Arial" w:eastAsia="Arial" w:hAnsi="Arial" w:cs="Arial"/>
            <w:sz w:val="24"/>
            <w:szCs w:val="24"/>
          </w:rPr>
          <w:t>0</w:t>
        </w:r>
        <w:r w:rsidRPr="2C7849A5">
          <w:rPr>
            <w:rStyle w:val="Hyperlink"/>
            <w:rFonts w:ascii="Arial" w:eastAsia="Arial" w:hAnsi="Arial" w:cs="Arial"/>
            <w:sz w:val="24"/>
            <w:szCs w:val="24"/>
          </w:rPr>
          <w:t>ACEs&amp;text=Some%20of%20the%20effects%20of,becoming%20a%20victim%20of%20violence</w:t>
        </w:r>
      </w:hyperlink>
      <w:r w:rsidR="009C4A59">
        <w:rPr>
          <w:rStyle w:val="Hyperlink"/>
          <w:rFonts w:ascii="Arial" w:eastAsia="Arial" w:hAnsi="Arial" w:cs="Arial"/>
          <w:sz w:val="24"/>
          <w:szCs w:val="24"/>
        </w:rPr>
        <w:t xml:space="preserve"> </w:t>
      </w:r>
      <w:r w:rsidR="009C4A59" w:rsidRPr="2C7849A5">
        <w:rPr>
          <w:rFonts w:ascii="Arial" w:eastAsia="Arial" w:hAnsi="Arial" w:cs="Arial"/>
          <w:color w:val="000000" w:themeColor="text1"/>
          <w:sz w:val="24"/>
          <w:szCs w:val="24"/>
        </w:rPr>
        <w:t>(Accessed 25</w:t>
      </w:r>
      <w:r w:rsidR="009C4A59" w:rsidRPr="2C7849A5">
        <w:rPr>
          <w:rFonts w:ascii="Arial" w:eastAsia="Arial" w:hAnsi="Arial" w:cs="Arial"/>
          <w:color w:val="000000" w:themeColor="text1"/>
          <w:sz w:val="24"/>
          <w:szCs w:val="24"/>
          <w:vertAlign w:val="superscript"/>
        </w:rPr>
        <w:t>th</w:t>
      </w:r>
      <w:r w:rsidR="009C4A59" w:rsidRPr="2C7849A5">
        <w:rPr>
          <w:rFonts w:ascii="Arial" w:eastAsia="Arial" w:hAnsi="Arial" w:cs="Arial"/>
          <w:color w:val="000000" w:themeColor="text1"/>
          <w:sz w:val="24"/>
          <w:szCs w:val="24"/>
        </w:rPr>
        <w:t xml:space="preserve"> June 2022).</w:t>
      </w:r>
    </w:p>
    <w:p w14:paraId="4A68BEF0" w14:textId="716546F7" w:rsidR="0004623D" w:rsidRDefault="0004623D" w:rsidP="2C7849A5">
      <w:pPr>
        <w:pStyle w:val="Heading1"/>
        <w:spacing w:line="360" w:lineRule="auto"/>
        <w:rPr>
          <w:rFonts w:ascii="Arial" w:eastAsia="Arial" w:hAnsi="Arial" w:cs="Arial"/>
          <w:i/>
          <w:iCs/>
          <w:color w:val="000000" w:themeColor="text1"/>
          <w:sz w:val="24"/>
          <w:szCs w:val="24"/>
        </w:rPr>
      </w:pPr>
      <w:r w:rsidRPr="2C7849A5">
        <w:rPr>
          <w:rFonts w:ascii="Arial" w:eastAsia="Arial" w:hAnsi="Arial" w:cs="Arial"/>
          <w:color w:val="1F1F1F"/>
          <w:sz w:val="24"/>
          <w:szCs w:val="24"/>
        </w:rPr>
        <w:t xml:space="preserve">NHS Wales (no date) - </w:t>
      </w:r>
      <w:r w:rsidRPr="2C7849A5">
        <w:rPr>
          <w:rFonts w:ascii="Arial" w:eastAsia="Arial" w:hAnsi="Arial" w:cs="Arial"/>
          <w:i/>
          <w:iCs/>
          <w:color w:val="000000" w:themeColor="text1"/>
          <w:sz w:val="24"/>
          <w:szCs w:val="24"/>
        </w:rPr>
        <w:t>Designed to Smile</w:t>
      </w:r>
      <w:r w:rsidR="009C4A59">
        <w:rPr>
          <w:rFonts w:ascii="Arial" w:eastAsia="Arial" w:hAnsi="Arial" w:cs="Arial"/>
          <w:i/>
          <w:iCs/>
          <w:color w:val="000000" w:themeColor="text1"/>
          <w:sz w:val="24"/>
          <w:szCs w:val="24"/>
        </w:rPr>
        <w:t>.</w:t>
      </w:r>
      <w:r w:rsidRPr="2C7849A5">
        <w:rPr>
          <w:rFonts w:ascii="Arial" w:eastAsia="Arial" w:hAnsi="Arial" w:cs="Arial"/>
          <w:color w:val="000000" w:themeColor="text1"/>
          <w:sz w:val="24"/>
          <w:szCs w:val="24"/>
        </w:rPr>
        <w:t xml:space="preserve"> Available at: </w:t>
      </w:r>
      <w:hyperlink r:id="rId11">
        <w:r w:rsidRPr="2C7849A5">
          <w:rPr>
            <w:rStyle w:val="Hyperlink"/>
            <w:rFonts w:ascii="Arial" w:eastAsia="Arial" w:hAnsi="Arial" w:cs="Arial"/>
            <w:sz w:val="24"/>
            <w:szCs w:val="24"/>
          </w:rPr>
          <w:t>https://www.wales.nhs.uk/ourservices/findannhsdentist/designedtosmile</w:t>
        </w:r>
      </w:hyperlink>
      <w:r w:rsidRPr="2C7849A5">
        <w:rPr>
          <w:rFonts w:ascii="Arial" w:eastAsia="Arial" w:hAnsi="Arial" w:cs="Arial"/>
          <w:color w:val="000000" w:themeColor="text1"/>
          <w:sz w:val="24"/>
          <w:szCs w:val="24"/>
        </w:rPr>
        <w:t xml:space="preserve"> (Accessed 25</w:t>
      </w:r>
      <w:r w:rsidRPr="2C7849A5">
        <w:rPr>
          <w:rFonts w:ascii="Arial" w:eastAsia="Arial" w:hAnsi="Arial" w:cs="Arial"/>
          <w:color w:val="000000" w:themeColor="text1"/>
          <w:sz w:val="24"/>
          <w:szCs w:val="24"/>
          <w:vertAlign w:val="superscript"/>
        </w:rPr>
        <w:t>th</w:t>
      </w:r>
      <w:r w:rsidRPr="2C7849A5">
        <w:rPr>
          <w:rFonts w:ascii="Arial" w:eastAsia="Arial" w:hAnsi="Arial" w:cs="Arial"/>
          <w:color w:val="000000" w:themeColor="text1"/>
          <w:sz w:val="24"/>
          <w:szCs w:val="24"/>
        </w:rPr>
        <w:t xml:space="preserve"> June 2022).</w:t>
      </w:r>
    </w:p>
    <w:p w14:paraId="2F71E171" w14:textId="7B225C7F" w:rsidR="0004623D" w:rsidRDefault="0004623D" w:rsidP="2C7849A5">
      <w:pPr>
        <w:spacing w:line="360" w:lineRule="auto"/>
        <w:rPr>
          <w:rFonts w:ascii="Verdana" w:eastAsia="Verdana" w:hAnsi="Verdana" w:cs="Verdana"/>
          <w:b/>
          <w:bCs/>
          <w:color w:val="333333"/>
          <w:sz w:val="19"/>
          <w:szCs w:val="19"/>
        </w:rPr>
      </w:pPr>
      <w:r w:rsidRPr="2C7849A5">
        <w:rPr>
          <w:rFonts w:ascii="Arial" w:eastAsia="Arial" w:hAnsi="Arial" w:cs="Arial"/>
          <w:color w:val="0B0C0C"/>
          <w:sz w:val="24"/>
          <w:szCs w:val="24"/>
        </w:rPr>
        <w:t xml:space="preserve">Parliament.UK (2020) </w:t>
      </w:r>
      <w:r w:rsidRPr="2C7849A5">
        <w:rPr>
          <w:rFonts w:ascii="Arial" w:eastAsia="Arial" w:hAnsi="Arial" w:cs="Arial"/>
          <w:i/>
          <w:iCs/>
          <w:color w:val="000000" w:themeColor="text1"/>
          <w:sz w:val="24"/>
          <w:szCs w:val="24"/>
        </w:rPr>
        <w:t>Appointment of the Children’s Commissioner for England</w:t>
      </w:r>
      <w:r w:rsidR="009C4A59">
        <w:rPr>
          <w:rFonts w:ascii="Arial" w:eastAsia="Arial" w:hAnsi="Arial" w:cs="Arial"/>
          <w:i/>
          <w:iCs/>
          <w:color w:val="000000" w:themeColor="text1"/>
          <w:sz w:val="24"/>
          <w:szCs w:val="24"/>
        </w:rPr>
        <w:t>.</w:t>
      </w:r>
      <w:r w:rsidRPr="2C7849A5">
        <w:rPr>
          <w:rFonts w:ascii="Arial" w:eastAsia="Arial" w:hAnsi="Arial" w:cs="Arial"/>
          <w:i/>
          <w:iCs/>
          <w:color w:val="000000" w:themeColor="text1"/>
          <w:sz w:val="24"/>
          <w:szCs w:val="24"/>
        </w:rPr>
        <w:t xml:space="preserve"> </w:t>
      </w:r>
      <w:r w:rsidRPr="2C7849A5">
        <w:rPr>
          <w:rFonts w:ascii="Arial" w:eastAsia="Arial" w:hAnsi="Arial" w:cs="Arial"/>
          <w:color w:val="000000" w:themeColor="text1"/>
          <w:sz w:val="24"/>
          <w:szCs w:val="24"/>
        </w:rPr>
        <w:t xml:space="preserve">Available at: </w:t>
      </w:r>
      <w:hyperlink r:id="rId12">
        <w:r w:rsidRPr="2C7849A5">
          <w:rPr>
            <w:rStyle w:val="Hyperlink"/>
            <w:rFonts w:ascii="Arial" w:eastAsia="Arial" w:hAnsi="Arial" w:cs="Arial"/>
            <w:sz w:val="24"/>
            <w:szCs w:val="24"/>
          </w:rPr>
          <w:t>https://publications.parliament.uk/pa/cm5801/cmselect/cmeduc/1030/103003.htm</w:t>
        </w:r>
      </w:hyperlink>
      <w:r w:rsidRPr="2C7849A5">
        <w:rPr>
          <w:rFonts w:ascii="Arial" w:eastAsia="Arial" w:hAnsi="Arial" w:cs="Arial"/>
          <w:sz w:val="24"/>
          <w:szCs w:val="24"/>
        </w:rPr>
        <w:t xml:space="preserve"> </w:t>
      </w:r>
      <w:r w:rsidRPr="2C7849A5">
        <w:rPr>
          <w:rFonts w:ascii="Arial" w:eastAsia="Arial" w:hAnsi="Arial" w:cs="Arial"/>
          <w:color w:val="000000" w:themeColor="text1"/>
          <w:sz w:val="24"/>
          <w:szCs w:val="24"/>
        </w:rPr>
        <w:t xml:space="preserve"> (Accessed 25</w:t>
      </w:r>
      <w:r w:rsidRPr="2C7849A5">
        <w:rPr>
          <w:rFonts w:ascii="Arial" w:eastAsia="Arial" w:hAnsi="Arial" w:cs="Arial"/>
          <w:color w:val="000000" w:themeColor="text1"/>
          <w:sz w:val="24"/>
          <w:szCs w:val="24"/>
          <w:vertAlign w:val="superscript"/>
        </w:rPr>
        <w:t>th</w:t>
      </w:r>
      <w:r w:rsidRPr="2C7849A5">
        <w:rPr>
          <w:rFonts w:ascii="Arial" w:eastAsia="Arial" w:hAnsi="Arial" w:cs="Arial"/>
          <w:color w:val="000000" w:themeColor="text1"/>
          <w:sz w:val="24"/>
          <w:szCs w:val="24"/>
        </w:rPr>
        <w:t xml:space="preserve"> June 2022). </w:t>
      </w:r>
    </w:p>
    <w:p w14:paraId="3EE2873D" w14:textId="77777777" w:rsidR="0004623D" w:rsidRDefault="0004623D" w:rsidP="2C7849A5">
      <w:pPr>
        <w:pStyle w:val="Heading1"/>
        <w:spacing w:line="360" w:lineRule="auto"/>
        <w:rPr>
          <w:rFonts w:ascii="Arial" w:eastAsia="Arial" w:hAnsi="Arial" w:cs="Arial"/>
          <w:i/>
          <w:iCs/>
          <w:color w:val="000000" w:themeColor="text1"/>
          <w:sz w:val="24"/>
          <w:szCs w:val="24"/>
        </w:rPr>
      </w:pPr>
      <w:r w:rsidRPr="2C7849A5">
        <w:rPr>
          <w:rFonts w:ascii="Arial" w:eastAsia="Arial" w:hAnsi="Arial" w:cs="Arial"/>
          <w:color w:val="202124"/>
          <w:sz w:val="24"/>
          <w:szCs w:val="24"/>
        </w:rPr>
        <w:lastRenderedPageBreak/>
        <w:t xml:space="preserve">Public Health Scotland (2021) - </w:t>
      </w:r>
      <w:r w:rsidRPr="2C7849A5">
        <w:rPr>
          <w:rFonts w:ascii="Arial" w:eastAsia="Arial" w:hAnsi="Arial" w:cs="Arial"/>
          <w:i/>
          <w:iCs/>
          <w:color w:val="333333"/>
          <w:sz w:val="24"/>
          <w:szCs w:val="24"/>
        </w:rPr>
        <w:t xml:space="preserve">Child poverty overview </w:t>
      </w:r>
      <w:r w:rsidRPr="2C7849A5">
        <w:rPr>
          <w:rFonts w:ascii="Arial" w:eastAsia="Arial" w:hAnsi="Arial" w:cs="Arial"/>
          <w:color w:val="333333"/>
          <w:sz w:val="24"/>
          <w:szCs w:val="24"/>
        </w:rPr>
        <w:t xml:space="preserve">Available at: </w:t>
      </w:r>
      <w:hyperlink r:id="rId13">
        <w:r w:rsidRPr="2C7849A5">
          <w:rPr>
            <w:rStyle w:val="Hyperlink"/>
            <w:rFonts w:ascii="Arial" w:eastAsia="Arial" w:hAnsi="Arial" w:cs="Arial"/>
            <w:sz w:val="24"/>
            <w:szCs w:val="24"/>
          </w:rPr>
          <w:t>http://www.healthscotland.scot/population-groups/children/child-poverty/child-poverty-overview/impact-of-child-poverty</w:t>
        </w:r>
      </w:hyperlink>
      <w:r w:rsidRPr="2C7849A5">
        <w:rPr>
          <w:rFonts w:ascii="Arial" w:eastAsia="Arial" w:hAnsi="Arial" w:cs="Arial"/>
          <w:color w:val="333333"/>
          <w:sz w:val="24"/>
          <w:szCs w:val="24"/>
        </w:rPr>
        <w:t xml:space="preserve"> </w:t>
      </w:r>
      <w:r w:rsidRPr="2C7849A5">
        <w:rPr>
          <w:rFonts w:ascii="Arial" w:eastAsia="Arial" w:hAnsi="Arial" w:cs="Arial"/>
          <w:color w:val="000000" w:themeColor="text1"/>
          <w:sz w:val="24"/>
          <w:szCs w:val="24"/>
        </w:rPr>
        <w:t>(Accessed 25</w:t>
      </w:r>
      <w:r w:rsidRPr="2C7849A5">
        <w:rPr>
          <w:rFonts w:ascii="Arial" w:eastAsia="Arial" w:hAnsi="Arial" w:cs="Arial"/>
          <w:color w:val="000000" w:themeColor="text1"/>
          <w:sz w:val="24"/>
          <w:szCs w:val="24"/>
          <w:vertAlign w:val="superscript"/>
        </w:rPr>
        <w:t>th</w:t>
      </w:r>
      <w:r w:rsidRPr="2C7849A5">
        <w:rPr>
          <w:rFonts w:ascii="Arial" w:eastAsia="Arial" w:hAnsi="Arial" w:cs="Arial"/>
          <w:color w:val="000000" w:themeColor="text1"/>
          <w:sz w:val="24"/>
          <w:szCs w:val="24"/>
        </w:rPr>
        <w:t xml:space="preserve"> June 2022).</w:t>
      </w:r>
    </w:p>
    <w:p w14:paraId="136B0B2D" w14:textId="77777777" w:rsidR="0004623D" w:rsidRDefault="0004623D" w:rsidP="2C7849A5">
      <w:pPr>
        <w:spacing w:line="360" w:lineRule="auto"/>
        <w:rPr>
          <w:rFonts w:ascii="Arial" w:eastAsia="Arial" w:hAnsi="Arial" w:cs="Arial"/>
          <w:color w:val="000000" w:themeColor="text1"/>
          <w:sz w:val="24"/>
          <w:szCs w:val="24"/>
        </w:rPr>
      </w:pPr>
      <w:r w:rsidRPr="2C7849A5">
        <w:rPr>
          <w:rFonts w:ascii="Arial" w:eastAsia="Arial" w:hAnsi="Arial" w:cs="Arial"/>
          <w:color w:val="000000" w:themeColor="text1"/>
          <w:sz w:val="24"/>
          <w:szCs w:val="24"/>
        </w:rPr>
        <w:t xml:space="preserve">Smylie, M. A. and Denny, J. W. 1990. Teacher leadership: tensions and ambiguities in organizational perspective. </w:t>
      </w:r>
      <w:r w:rsidRPr="2C7849A5">
        <w:rPr>
          <w:rFonts w:ascii="Arial" w:eastAsia="Arial" w:hAnsi="Arial" w:cs="Arial"/>
          <w:i/>
          <w:iCs/>
          <w:color w:val="000000" w:themeColor="text1"/>
          <w:sz w:val="24"/>
          <w:szCs w:val="24"/>
        </w:rPr>
        <w:t>Educational Administration Quarterly</w:t>
      </w:r>
      <w:r w:rsidRPr="2C7849A5">
        <w:rPr>
          <w:rFonts w:ascii="Arial" w:eastAsia="Arial" w:hAnsi="Arial" w:cs="Arial"/>
          <w:color w:val="000000" w:themeColor="text1"/>
          <w:sz w:val="24"/>
          <w:szCs w:val="24"/>
        </w:rPr>
        <w:t>, 26(3): 235–259.</w:t>
      </w:r>
    </w:p>
    <w:p w14:paraId="0C9872ED" w14:textId="77777777" w:rsidR="0004623D" w:rsidRDefault="0004623D" w:rsidP="2C7849A5">
      <w:pPr>
        <w:spacing w:line="360" w:lineRule="auto"/>
        <w:rPr>
          <w:rFonts w:ascii="Arial" w:eastAsia="Arial" w:hAnsi="Arial" w:cs="Arial"/>
          <w:color w:val="000000" w:themeColor="text1"/>
          <w:sz w:val="24"/>
          <w:szCs w:val="24"/>
        </w:rPr>
      </w:pPr>
      <w:r w:rsidRPr="2C7849A5">
        <w:rPr>
          <w:rFonts w:ascii="Arial" w:eastAsia="Arial" w:hAnsi="Arial" w:cs="Arial"/>
          <w:color w:val="000000" w:themeColor="text1"/>
          <w:sz w:val="24"/>
          <w:szCs w:val="24"/>
        </w:rPr>
        <w:t xml:space="preserve">Spillane, J. P., Diamond, J. B. and </w:t>
      </w:r>
      <w:proofErr w:type="spellStart"/>
      <w:r w:rsidRPr="2C7849A5">
        <w:rPr>
          <w:rFonts w:ascii="Arial" w:eastAsia="Arial" w:hAnsi="Arial" w:cs="Arial"/>
          <w:color w:val="000000" w:themeColor="text1"/>
          <w:sz w:val="24"/>
          <w:szCs w:val="24"/>
        </w:rPr>
        <w:t>Jita</w:t>
      </w:r>
      <w:proofErr w:type="spellEnd"/>
      <w:r w:rsidRPr="2C7849A5">
        <w:rPr>
          <w:rFonts w:ascii="Arial" w:eastAsia="Arial" w:hAnsi="Arial" w:cs="Arial"/>
          <w:color w:val="000000" w:themeColor="text1"/>
          <w:sz w:val="24"/>
          <w:szCs w:val="24"/>
        </w:rPr>
        <w:t xml:space="preserve">, L. 2003. Leading instruction: the distribution of leadership for instruction. </w:t>
      </w:r>
      <w:r w:rsidRPr="2C7849A5">
        <w:rPr>
          <w:rFonts w:ascii="Arial" w:eastAsia="Arial" w:hAnsi="Arial" w:cs="Arial"/>
          <w:i/>
          <w:iCs/>
          <w:color w:val="000000" w:themeColor="text1"/>
          <w:sz w:val="24"/>
          <w:szCs w:val="24"/>
        </w:rPr>
        <w:t>Journal of Curriculum Studies</w:t>
      </w:r>
      <w:r w:rsidRPr="2C7849A5">
        <w:rPr>
          <w:rFonts w:ascii="Arial" w:eastAsia="Arial" w:hAnsi="Arial" w:cs="Arial"/>
          <w:color w:val="000000" w:themeColor="text1"/>
          <w:sz w:val="24"/>
          <w:szCs w:val="24"/>
        </w:rPr>
        <w:t>, 35(5): 533–543.</w:t>
      </w:r>
    </w:p>
    <w:p w14:paraId="4F7D9CB4" w14:textId="77777777" w:rsidR="0004623D" w:rsidRDefault="0004623D" w:rsidP="2C7849A5">
      <w:pPr>
        <w:spacing w:line="360" w:lineRule="auto"/>
        <w:rPr>
          <w:rFonts w:ascii="Arial" w:eastAsia="Arial" w:hAnsi="Arial" w:cs="Arial"/>
          <w:sz w:val="24"/>
          <w:szCs w:val="24"/>
        </w:rPr>
      </w:pPr>
      <w:r w:rsidRPr="2C7849A5">
        <w:rPr>
          <w:rFonts w:ascii="Arial" w:eastAsia="Arial" w:hAnsi="Arial" w:cs="Arial"/>
          <w:sz w:val="24"/>
          <w:szCs w:val="24"/>
        </w:rPr>
        <w:t>Stoll, L. and Seashore Louis, K. (2007), Professional Learning Communities, Open University Press, New York, NY. Storey, A. (2004), “The problem of distributed leadership in schools”, School Leadership and Management, Vol. 24 No. 3, pp. 249-65.</w:t>
      </w:r>
    </w:p>
    <w:p w14:paraId="20F17E7C" w14:textId="77777777" w:rsidR="0004623D" w:rsidRDefault="0004623D" w:rsidP="2C7849A5">
      <w:pPr>
        <w:pStyle w:val="Heading1"/>
        <w:spacing w:line="360" w:lineRule="auto"/>
        <w:rPr>
          <w:rFonts w:ascii="Arial" w:eastAsia="Arial" w:hAnsi="Arial" w:cs="Arial"/>
          <w:i/>
          <w:iCs/>
          <w:color w:val="1C2D24"/>
          <w:sz w:val="24"/>
          <w:szCs w:val="24"/>
        </w:rPr>
      </w:pPr>
      <w:r w:rsidRPr="009C4A59">
        <w:rPr>
          <w:rFonts w:ascii="Arial" w:eastAsia="Arial" w:hAnsi="Arial" w:cs="Arial"/>
          <w:color w:val="000000" w:themeColor="text1"/>
          <w:sz w:val="24"/>
          <w:szCs w:val="24"/>
        </w:rPr>
        <w:t xml:space="preserve">The Food Foundation (2021) - </w:t>
      </w:r>
      <w:r w:rsidRPr="2C7849A5">
        <w:rPr>
          <w:rFonts w:ascii="Arial" w:eastAsia="Arial" w:hAnsi="Arial" w:cs="Arial"/>
          <w:i/>
          <w:iCs/>
          <w:color w:val="1C2D24"/>
          <w:sz w:val="24"/>
          <w:szCs w:val="24"/>
        </w:rPr>
        <w:t xml:space="preserve">The Critical Importance of Early Years Nutrition in Prevention of Childhood Obesity </w:t>
      </w:r>
      <w:r w:rsidRPr="2C7849A5">
        <w:rPr>
          <w:rFonts w:ascii="Arial" w:eastAsia="Arial" w:hAnsi="Arial" w:cs="Arial"/>
          <w:color w:val="1C2D24"/>
          <w:sz w:val="24"/>
          <w:szCs w:val="24"/>
        </w:rPr>
        <w:t xml:space="preserve">Available at: </w:t>
      </w:r>
      <w:hyperlink r:id="rId14">
        <w:r w:rsidRPr="2C7849A5">
          <w:rPr>
            <w:rStyle w:val="Hyperlink"/>
            <w:rFonts w:ascii="Arial" w:eastAsia="Arial" w:hAnsi="Arial" w:cs="Arial"/>
            <w:sz w:val="24"/>
            <w:szCs w:val="24"/>
          </w:rPr>
          <w:t>https://foodfoundation.org.uk/publication/critical-importance-early-years-nutrition-prevention-childhood-obesity</w:t>
        </w:r>
      </w:hyperlink>
      <w:r w:rsidRPr="2C7849A5">
        <w:rPr>
          <w:rFonts w:ascii="Arial" w:eastAsia="Arial" w:hAnsi="Arial" w:cs="Arial"/>
          <w:color w:val="1C2D24"/>
          <w:sz w:val="24"/>
          <w:szCs w:val="24"/>
        </w:rPr>
        <w:t xml:space="preserve"> (Accessed 23</w:t>
      </w:r>
      <w:r w:rsidRPr="2C7849A5">
        <w:rPr>
          <w:rFonts w:ascii="Arial" w:eastAsia="Arial" w:hAnsi="Arial" w:cs="Arial"/>
          <w:color w:val="1C2D24"/>
          <w:sz w:val="24"/>
          <w:szCs w:val="24"/>
          <w:vertAlign w:val="superscript"/>
        </w:rPr>
        <w:t>rd</w:t>
      </w:r>
      <w:r w:rsidRPr="2C7849A5">
        <w:rPr>
          <w:rFonts w:ascii="Arial" w:eastAsia="Arial" w:hAnsi="Arial" w:cs="Arial"/>
          <w:color w:val="1C2D24"/>
          <w:sz w:val="24"/>
          <w:szCs w:val="24"/>
        </w:rPr>
        <w:t xml:space="preserve"> June 2022). </w:t>
      </w:r>
    </w:p>
    <w:p w14:paraId="6B8E0D65" w14:textId="77777777" w:rsidR="0004623D" w:rsidRDefault="0004623D" w:rsidP="2C7849A5">
      <w:pPr>
        <w:pStyle w:val="Heading1"/>
        <w:spacing w:line="360" w:lineRule="auto"/>
        <w:rPr>
          <w:rFonts w:ascii="Arial" w:eastAsia="Arial" w:hAnsi="Arial" w:cs="Arial"/>
          <w:color w:val="202124"/>
          <w:sz w:val="24"/>
          <w:szCs w:val="24"/>
        </w:rPr>
      </w:pPr>
      <w:r w:rsidRPr="2C7849A5">
        <w:rPr>
          <w:rFonts w:ascii="Arial" w:eastAsia="Arial" w:hAnsi="Arial" w:cs="Arial"/>
          <w:color w:val="202124"/>
          <w:sz w:val="24"/>
          <w:szCs w:val="24"/>
        </w:rPr>
        <w:t xml:space="preserve">The Guardian (2018) </w:t>
      </w:r>
      <w:r w:rsidRPr="2C7849A5">
        <w:rPr>
          <w:rFonts w:ascii="Arial" w:eastAsia="Arial" w:hAnsi="Arial" w:cs="Arial"/>
          <w:i/>
          <w:iCs/>
          <w:color w:val="121212"/>
          <w:sz w:val="24"/>
          <w:szCs w:val="24"/>
        </w:rPr>
        <w:t>Countries where smacking children is banned 'are safer to grow up in'.</w:t>
      </w:r>
      <w:r w:rsidRPr="2C7849A5">
        <w:rPr>
          <w:rFonts w:ascii="Arial" w:eastAsia="Arial" w:hAnsi="Arial" w:cs="Arial"/>
          <w:color w:val="121212"/>
          <w:sz w:val="24"/>
          <w:szCs w:val="24"/>
        </w:rPr>
        <w:t xml:space="preserve"> </w:t>
      </w:r>
      <w:r w:rsidRPr="2C7849A5">
        <w:rPr>
          <w:rFonts w:ascii="Arial" w:eastAsia="Arial" w:hAnsi="Arial" w:cs="Arial"/>
          <w:color w:val="202124"/>
          <w:sz w:val="24"/>
          <w:szCs w:val="24"/>
        </w:rPr>
        <w:t xml:space="preserve">Available at: </w:t>
      </w:r>
      <w:hyperlink r:id="rId15">
        <w:r w:rsidRPr="2C7849A5">
          <w:rPr>
            <w:rStyle w:val="Hyperlink"/>
            <w:rFonts w:ascii="Arial" w:eastAsia="Arial" w:hAnsi="Arial" w:cs="Arial"/>
            <w:sz w:val="24"/>
            <w:szCs w:val="24"/>
          </w:rPr>
          <w:t>https://www.theguardian.com/society/2018/oct/15/countries-where-smacking-children-is-banned-are-safer-to-grow-up-in</w:t>
        </w:r>
      </w:hyperlink>
      <w:r w:rsidRPr="2C7849A5">
        <w:rPr>
          <w:rFonts w:ascii="Arial" w:eastAsia="Arial" w:hAnsi="Arial" w:cs="Arial"/>
          <w:color w:val="202124"/>
          <w:sz w:val="24"/>
          <w:szCs w:val="24"/>
        </w:rPr>
        <w:t xml:space="preserve"> (Accessed 10</w:t>
      </w:r>
      <w:r w:rsidRPr="2C7849A5">
        <w:rPr>
          <w:rFonts w:ascii="Arial" w:eastAsia="Arial" w:hAnsi="Arial" w:cs="Arial"/>
          <w:color w:val="202124"/>
          <w:sz w:val="24"/>
          <w:szCs w:val="24"/>
          <w:vertAlign w:val="superscript"/>
        </w:rPr>
        <w:t>th</w:t>
      </w:r>
      <w:r w:rsidRPr="2C7849A5">
        <w:rPr>
          <w:rFonts w:ascii="Arial" w:eastAsia="Arial" w:hAnsi="Arial" w:cs="Arial"/>
          <w:color w:val="202124"/>
          <w:sz w:val="24"/>
          <w:szCs w:val="24"/>
        </w:rPr>
        <w:t xml:space="preserve"> June 2022).</w:t>
      </w:r>
    </w:p>
    <w:p w14:paraId="43A4DE4B" w14:textId="1A5CB3AA" w:rsidR="0004623D" w:rsidRDefault="0004623D" w:rsidP="2C7849A5">
      <w:pPr>
        <w:spacing w:line="360" w:lineRule="auto"/>
        <w:rPr>
          <w:rFonts w:ascii="Arial" w:eastAsia="Arial" w:hAnsi="Arial" w:cs="Arial"/>
          <w:color w:val="1E1E1E"/>
          <w:sz w:val="24"/>
          <w:szCs w:val="24"/>
        </w:rPr>
      </w:pPr>
      <w:r w:rsidRPr="2C7849A5">
        <w:rPr>
          <w:rFonts w:ascii="Roboto" w:eastAsia="Roboto" w:hAnsi="Roboto" w:cs="Roboto"/>
          <w:color w:val="1E1E1E"/>
          <w:sz w:val="25"/>
          <w:szCs w:val="25"/>
        </w:rPr>
        <w:t xml:space="preserve">The UNCRC (no date) </w:t>
      </w:r>
      <w:r w:rsidRPr="2C7849A5">
        <w:rPr>
          <w:rFonts w:ascii="Arial" w:eastAsia="Arial" w:hAnsi="Arial" w:cs="Arial"/>
          <w:i/>
          <w:iCs/>
          <w:color w:val="1E1E1E"/>
          <w:sz w:val="24"/>
          <w:szCs w:val="24"/>
        </w:rPr>
        <w:t xml:space="preserve">What is the UN Convention? </w:t>
      </w:r>
      <w:r w:rsidRPr="2C7849A5">
        <w:rPr>
          <w:rFonts w:ascii="Arial" w:eastAsia="Arial" w:hAnsi="Arial" w:cs="Arial"/>
          <w:color w:val="1E1E1E"/>
          <w:sz w:val="24"/>
          <w:szCs w:val="24"/>
        </w:rPr>
        <w:t xml:space="preserve">Available at: </w:t>
      </w:r>
      <w:hyperlink r:id="rId16">
        <w:r w:rsidRPr="2C7849A5">
          <w:rPr>
            <w:rStyle w:val="Hyperlink"/>
            <w:rFonts w:ascii="Arial" w:eastAsia="Arial" w:hAnsi="Arial" w:cs="Arial"/>
            <w:sz w:val="24"/>
            <w:szCs w:val="24"/>
          </w:rPr>
          <w:t>https://www.unicef.org.uk/what-we-do/un-convention-child-rights/</w:t>
        </w:r>
      </w:hyperlink>
      <w:r w:rsidRPr="2C7849A5">
        <w:rPr>
          <w:rFonts w:ascii="Arial" w:eastAsia="Arial" w:hAnsi="Arial" w:cs="Arial"/>
          <w:color w:val="1E1E1E"/>
          <w:sz w:val="24"/>
          <w:szCs w:val="24"/>
        </w:rPr>
        <w:t xml:space="preserve"> (Accessed 16</w:t>
      </w:r>
      <w:r w:rsidRPr="2C7849A5">
        <w:rPr>
          <w:rFonts w:ascii="Arial" w:eastAsia="Arial" w:hAnsi="Arial" w:cs="Arial"/>
          <w:color w:val="1E1E1E"/>
          <w:sz w:val="24"/>
          <w:szCs w:val="24"/>
          <w:vertAlign w:val="superscript"/>
        </w:rPr>
        <w:t>th</w:t>
      </w:r>
      <w:r w:rsidRPr="2C7849A5">
        <w:rPr>
          <w:rFonts w:ascii="Arial" w:eastAsia="Arial" w:hAnsi="Arial" w:cs="Arial"/>
          <w:color w:val="1E1E1E"/>
          <w:sz w:val="24"/>
          <w:szCs w:val="24"/>
        </w:rPr>
        <w:t xml:space="preserve"> June</w:t>
      </w:r>
      <w:r w:rsidR="009C4A59">
        <w:rPr>
          <w:rFonts w:ascii="Arial" w:eastAsia="Arial" w:hAnsi="Arial" w:cs="Arial"/>
          <w:color w:val="1E1E1E"/>
          <w:sz w:val="24"/>
          <w:szCs w:val="24"/>
        </w:rPr>
        <w:t xml:space="preserve"> 2022</w:t>
      </w:r>
      <w:r w:rsidRPr="2C7849A5">
        <w:rPr>
          <w:rFonts w:ascii="Arial" w:eastAsia="Arial" w:hAnsi="Arial" w:cs="Arial"/>
          <w:color w:val="1E1E1E"/>
          <w:sz w:val="24"/>
          <w:szCs w:val="24"/>
        </w:rPr>
        <w:t xml:space="preserve">). </w:t>
      </w:r>
    </w:p>
    <w:p w14:paraId="26F0ADCD" w14:textId="77777777" w:rsidR="0004623D" w:rsidRDefault="0004623D" w:rsidP="2C7849A5">
      <w:pPr>
        <w:spacing w:line="360" w:lineRule="auto"/>
        <w:rPr>
          <w:rFonts w:ascii="Arial" w:eastAsia="Arial" w:hAnsi="Arial" w:cs="Arial"/>
          <w:color w:val="000000" w:themeColor="text1"/>
          <w:sz w:val="24"/>
          <w:szCs w:val="24"/>
        </w:rPr>
      </w:pPr>
      <w:r w:rsidRPr="2C7849A5">
        <w:rPr>
          <w:rFonts w:ascii="Arial" w:eastAsia="Arial" w:hAnsi="Arial" w:cs="Arial"/>
          <w:color w:val="000000" w:themeColor="text1"/>
          <w:sz w:val="24"/>
          <w:szCs w:val="24"/>
        </w:rPr>
        <w:t xml:space="preserve">Toomey, A. H. (2009). Empowerment and disempowerment in community development practice: Eight </w:t>
      </w:r>
      <w:proofErr w:type="gramStart"/>
      <w:r w:rsidRPr="2C7849A5">
        <w:rPr>
          <w:rFonts w:ascii="Arial" w:eastAsia="Arial" w:hAnsi="Arial" w:cs="Arial"/>
          <w:color w:val="000000" w:themeColor="text1"/>
          <w:sz w:val="24"/>
          <w:szCs w:val="24"/>
        </w:rPr>
        <w:t>roles</w:t>
      </w:r>
      <w:proofErr w:type="gramEnd"/>
      <w:r w:rsidRPr="2C7849A5">
        <w:rPr>
          <w:rFonts w:ascii="Arial" w:eastAsia="Arial" w:hAnsi="Arial" w:cs="Arial"/>
          <w:color w:val="000000" w:themeColor="text1"/>
          <w:sz w:val="24"/>
          <w:szCs w:val="24"/>
        </w:rPr>
        <w:t xml:space="preserve"> practitioners play. Community Development Journal, 46, 181-195.</w:t>
      </w:r>
    </w:p>
    <w:p w14:paraId="7A48610B" w14:textId="77777777" w:rsidR="0004623D" w:rsidRDefault="0004623D" w:rsidP="2C7849A5">
      <w:pPr>
        <w:spacing w:line="360" w:lineRule="auto"/>
        <w:rPr>
          <w:rFonts w:ascii="Arial" w:eastAsia="Arial" w:hAnsi="Arial" w:cs="Arial"/>
          <w:color w:val="000000" w:themeColor="text1"/>
          <w:sz w:val="24"/>
          <w:szCs w:val="24"/>
        </w:rPr>
      </w:pPr>
      <w:r w:rsidRPr="2C7849A5">
        <w:rPr>
          <w:rFonts w:ascii="Arial" w:eastAsia="Arial" w:hAnsi="Arial" w:cs="Arial"/>
          <w:color w:val="000000" w:themeColor="text1"/>
          <w:sz w:val="24"/>
          <w:szCs w:val="24"/>
        </w:rPr>
        <w:t>Tyler, T. R., De Cremer, D. (2005). Process-based leadership: Fair procedures and reactions to organizational change. Leadership Quarterly, 16, 529-545.</w:t>
      </w:r>
    </w:p>
    <w:p w14:paraId="45BFDF74" w14:textId="450C9879" w:rsidR="0004623D" w:rsidRDefault="0004623D" w:rsidP="2C7849A5">
      <w:pPr>
        <w:spacing w:line="360" w:lineRule="auto"/>
        <w:rPr>
          <w:rFonts w:ascii="Arial" w:eastAsia="Arial" w:hAnsi="Arial" w:cs="Arial"/>
          <w:color w:val="1E1E1E"/>
          <w:sz w:val="24"/>
          <w:szCs w:val="24"/>
        </w:rPr>
      </w:pPr>
      <w:proofErr w:type="spellStart"/>
      <w:r w:rsidRPr="2C7849A5">
        <w:rPr>
          <w:rFonts w:ascii="Arial" w:eastAsia="Arial" w:hAnsi="Arial" w:cs="Arial"/>
          <w:color w:val="202124"/>
          <w:sz w:val="24"/>
          <w:szCs w:val="24"/>
        </w:rPr>
        <w:t>Unicef</w:t>
      </w:r>
      <w:proofErr w:type="spellEnd"/>
      <w:r w:rsidRPr="2C7849A5">
        <w:rPr>
          <w:rFonts w:ascii="Arial" w:eastAsia="Arial" w:hAnsi="Arial" w:cs="Arial"/>
          <w:color w:val="202124"/>
          <w:sz w:val="24"/>
          <w:szCs w:val="24"/>
        </w:rPr>
        <w:t xml:space="preserve"> (no date) -</w:t>
      </w:r>
      <w:r w:rsidRPr="2C7849A5">
        <w:rPr>
          <w:rFonts w:ascii="Arial" w:eastAsia="Arial" w:hAnsi="Arial" w:cs="Arial"/>
          <w:i/>
          <w:iCs/>
          <w:color w:val="202124"/>
          <w:sz w:val="24"/>
          <w:szCs w:val="24"/>
        </w:rPr>
        <w:t xml:space="preserve"> </w:t>
      </w:r>
      <w:r w:rsidRPr="0004623D">
        <w:rPr>
          <w:rFonts w:ascii="Arial" w:eastAsia="Arial" w:hAnsi="Arial" w:cs="Arial"/>
          <w:i/>
          <w:iCs/>
          <w:color w:val="000000" w:themeColor="text1"/>
          <w:sz w:val="24"/>
          <w:szCs w:val="24"/>
        </w:rPr>
        <w:t>Convention on the Rights of the Child</w:t>
      </w:r>
      <w:r>
        <w:rPr>
          <w:rFonts w:ascii="Arial" w:eastAsia="Arial" w:hAnsi="Arial" w:cs="Arial"/>
          <w:i/>
          <w:iCs/>
          <w:color w:val="000000" w:themeColor="text1"/>
          <w:sz w:val="24"/>
          <w:szCs w:val="24"/>
        </w:rPr>
        <w:t>.</w:t>
      </w:r>
      <w:r w:rsidRPr="0004623D">
        <w:rPr>
          <w:rFonts w:ascii="Arial" w:eastAsia="Arial" w:hAnsi="Arial" w:cs="Arial"/>
          <w:i/>
          <w:iCs/>
          <w:color w:val="000000" w:themeColor="text1"/>
          <w:sz w:val="24"/>
          <w:szCs w:val="24"/>
        </w:rPr>
        <w:t xml:space="preserve"> </w:t>
      </w:r>
      <w:r w:rsidRPr="2C7849A5">
        <w:rPr>
          <w:rFonts w:ascii="Arial" w:eastAsia="Arial" w:hAnsi="Arial" w:cs="Arial"/>
          <w:color w:val="1E1E1E"/>
          <w:sz w:val="24"/>
          <w:szCs w:val="24"/>
        </w:rPr>
        <w:t xml:space="preserve">Available at: </w:t>
      </w:r>
      <w:hyperlink r:id="rId17">
        <w:r w:rsidRPr="2C7849A5">
          <w:rPr>
            <w:rStyle w:val="Hyperlink"/>
            <w:rFonts w:ascii="Arial" w:eastAsia="Arial" w:hAnsi="Arial" w:cs="Arial"/>
            <w:sz w:val="24"/>
            <w:szCs w:val="24"/>
          </w:rPr>
          <w:t>https://www.unicef.org/child-rights-convention</w:t>
        </w:r>
      </w:hyperlink>
      <w:r w:rsidRPr="2C7849A5">
        <w:rPr>
          <w:rFonts w:ascii="Arial" w:eastAsia="Arial" w:hAnsi="Arial" w:cs="Arial"/>
          <w:color w:val="1E1E1E"/>
          <w:sz w:val="24"/>
          <w:szCs w:val="24"/>
        </w:rPr>
        <w:t xml:space="preserve"> </w:t>
      </w:r>
      <w:r w:rsidR="009C4A59" w:rsidRPr="2C7849A5">
        <w:rPr>
          <w:rFonts w:ascii="Arial" w:eastAsia="Arial" w:hAnsi="Arial" w:cs="Arial"/>
          <w:color w:val="1E1E1E"/>
          <w:sz w:val="24"/>
          <w:szCs w:val="24"/>
        </w:rPr>
        <w:t>Accessed 15</w:t>
      </w:r>
      <w:r w:rsidR="009C4A59" w:rsidRPr="2C7849A5">
        <w:rPr>
          <w:rFonts w:ascii="Arial" w:eastAsia="Arial" w:hAnsi="Arial" w:cs="Arial"/>
          <w:color w:val="1E1E1E"/>
          <w:sz w:val="24"/>
          <w:szCs w:val="24"/>
          <w:vertAlign w:val="superscript"/>
        </w:rPr>
        <w:t>th</w:t>
      </w:r>
      <w:r w:rsidR="009C4A59" w:rsidRPr="2C7849A5">
        <w:rPr>
          <w:rFonts w:ascii="Arial" w:eastAsia="Arial" w:hAnsi="Arial" w:cs="Arial"/>
          <w:color w:val="1E1E1E"/>
          <w:sz w:val="24"/>
          <w:szCs w:val="24"/>
        </w:rPr>
        <w:t xml:space="preserve"> June</w:t>
      </w:r>
      <w:r w:rsidR="009C4A59">
        <w:rPr>
          <w:rFonts w:ascii="Arial" w:eastAsia="Arial" w:hAnsi="Arial" w:cs="Arial"/>
          <w:color w:val="1E1E1E"/>
          <w:sz w:val="24"/>
          <w:szCs w:val="24"/>
        </w:rPr>
        <w:t xml:space="preserve"> 2022</w:t>
      </w:r>
      <w:r w:rsidR="009C4A59" w:rsidRPr="2C7849A5">
        <w:rPr>
          <w:rFonts w:ascii="Arial" w:eastAsia="Arial" w:hAnsi="Arial" w:cs="Arial"/>
          <w:color w:val="1E1E1E"/>
          <w:sz w:val="24"/>
          <w:szCs w:val="24"/>
        </w:rPr>
        <w:t>).</w:t>
      </w:r>
    </w:p>
    <w:p w14:paraId="6CEC33BD" w14:textId="71A1D0B3" w:rsidR="0004623D" w:rsidRDefault="0004623D" w:rsidP="2C7849A5">
      <w:pPr>
        <w:pStyle w:val="Heading2"/>
        <w:spacing w:line="360" w:lineRule="auto"/>
        <w:rPr>
          <w:rFonts w:ascii="Arial" w:eastAsia="Arial" w:hAnsi="Arial" w:cs="Arial"/>
          <w:i/>
          <w:iCs/>
          <w:color w:val="1E1E1E"/>
          <w:sz w:val="24"/>
          <w:szCs w:val="24"/>
        </w:rPr>
      </w:pPr>
      <w:proofErr w:type="spellStart"/>
      <w:r w:rsidRPr="2C7849A5">
        <w:rPr>
          <w:rFonts w:ascii="Arial" w:eastAsia="Arial" w:hAnsi="Arial" w:cs="Arial"/>
          <w:color w:val="000000" w:themeColor="text1"/>
          <w:sz w:val="24"/>
          <w:szCs w:val="24"/>
        </w:rPr>
        <w:lastRenderedPageBreak/>
        <w:t>Unicef</w:t>
      </w:r>
      <w:proofErr w:type="spellEnd"/>
      <w:r w:rsidRPr="2C7849A5">
        <w:rPr>
          <w:rFonts w:ascii="Arial" w:eastAsia="Arial" w:hAnsi="Arial" w:cs="Arial"/>
          <w:color w:val="000000" w:themeColor="text1"/>
          <w:sz w:val="24"/>
          <w:szCs w:val="24"/>
        </w:rPr>
        <w:t xml:space="preserve"> (no date) - </w:t>
      </w:r>
      <w:r w:rsidRPr="2C7849A5">
        <w:rPr>
          <w:rFonts w:ascii="Arial" w:eastAsia="Arial" w:hAnsi="Arial" w:cs="Arial"/>
          <w:i/>
          <w:iCs/>
          <w:color w:val="1E1E1E"/>
          <w:sz w:val="24"/>
          <w:szCs w:val="24"/>
        </w:rPr>
        <w:t xml:space="preserve">The Right to an Education is one of the most important principles in becoming a Rights Respecting School. </w:t>
      </w:r>
      <w:r w:rsidRPr="2C7849A5">
        <w:rPr>
          <w:rFonts w:ascii="Arial" w:eastAsia="Arial" w:hAnsi="Arial" w:cs="Arial"/>
          <w:color w:val="1E1E1E"/>
          <w:sz w:val="24"/>
          <w:szCs w:val="24"/>
        </w:rPr>
        <w:t xml:space="preserve">Available at: </w:t>
      </w:r>
      <w:hyperlink r:id="rId18" w:anchor=":~:text=The%20Right%20to%20an%20Education,tolerance%2C%20development%20and%20economic%20growth">
        <w:r w:rsidRPr="2C7849A5">
          <w:rPr>
            <w:rStyle w:val="Hyperlink"/>
            <w:rFonts w:ascii="Arial" w:eastAsia="Arial" w:hAnsi="Arial" w:cs="Arial"/>
            <w:sz w:val="24"/>
            <w:szCs w:val="24"/>
          </w:rPr>
          <w:t>https://www.unicef.org.uk/rights-respecting-schools/the-rrsa/the-right-to-education/#:~:text=The%20Right%20to%20an%20Education,tolerance%2C%20development%20and%20economic%20growth</w:t>
        </w:r>
      </w:hyperlink>
      <w:r w:rsidRPr="2C7849A5">
        <w:rPr>
          <w:rFonts w:ascii="Arial" w:eastAsia="Arial" w:hAnsi="Arial" w:cs="Arial"/>
          <w:color w:val="1E1E1E"/>
          <w:sz w:val="24"/>
          <w:szCs w:val="24"/>
        </w:rPr>
        <w:t>. (Accessed 15</w:t>
      </w:r>
      <w:r w:rsidRPr="2C7849A5">
        <w:rPr>
          <w:rFonts w:ascii="Arial" w:eastAsia="Arial" w:hAnsi="Arial" w:cs="Arial"/>
          <w:color w:val="1E1E1E"/>
          <w:sz w:val="24"/>
          <w:szCs w:val="24"/>
          <w:vertAlign w:val="superscript"/>
        </w:rPr>
        <w:t>th</w:t>
      </w:r>
      <w:r w:rsidRPr="2C7849A5">
        <w:rPr>
          <w:rFonts w:ascii="Arial" w:eastAsia="Arial" w:hAnsi="Arial" w:cs="Arial"/>
          <w:color w:val="1E1E1E"/>
          <w:sz w:val="24"/>
          <w:szCs w:val="24"/>
        </w:rPr>
        <w:t xml:space="preserve"> June</w:t>
      </w:r>
      <w:r w:rsidR="009C4A59">
        <w:rPr>
          <w:rFonts w:ascii="Arial" w:eastAsia="Arial" w:hAnsi="Arial" w:cs="Arial"/>
          <w:color w:val="1E1E1E"/>
          <w:sz w:val="24"/>
          <w:szCs w:val="24"/>
        </w:rPr>
        <w:t xml:space="preserve"> 2022</w:t>
      </w:r>
      <w:r w:rsidRPr="2C7849A5">
        <w:rPr>
          <w:rFonts w:ascii="Arial" w:eastAsia="Arial" w:hAnsi="Arial" w:cs="Arial"/>
          <w:color w:val="1E1E1E"/>
          <w:sz w:val="24"/>
          <w:szCs w:val="24"/>
        </w:rPr>
        <w:t>).</w:t>
      </w:r>
    </w:p>
    <w:p w14:paraId="3C89C841" w14:textId="2BF571C8" w:rsidR="0004623D" w:rsidRDefault="0004623D" w:rsidP="2C7849A5">
      <w:pPr>
        <w:spacing w:line="360" w:lineRule="auto"/>
        <w:rPr>
          <w:rFonts w:ascii="Arial" w:eastAsia="Arial" w:hAnsi="Arial" w:cs="Arial"/>
          <w:sz w:val="24"/>
          <w:szCs w:val="24"/>
        </w:rPr>
      </w:pPr>
      <w:r w:rsidRPr="2C7849A5">
        <w:rPr>
          <w:rFonts w:ascii="Arial" w:eastAsia="Arial" w:hAnsi="Arial" w:cs="Arial"/>
          <w:color w:val="231F20"/>
          <w:sz w:val="24"/>
          <w:szCs w:val="24"/>
        </w:rPr>
        <w:t>Welsh Government (2017) -</w:t>
      </w:r>
      <w:r w:rsidRPr="2C7849A5">
        <w:rPr>
          <w:rFonts w:ascii="Arial" w:eastAsia="Arial" w:hAnsi="Arial" w:cs="Arial"/>
          <w:sz w:val="24"/>
          <w:szCs w:val="24"/>
        </w:rPr>
        <w:t xml:space="preserve"> </w:t>
      </w:r>
      <w:r w:rsidRPr="2C7849A5">
        <w:rPr>
          <w:rFonts w:ascii="Arial" w:eastAsia="Arial" w:hAnsi="Arial" w:cs="Arial"/>
          <w:i/>
          <w:iCs/>
          <w:sz w:val="24"/>
          <w:szCs w:val="24"/>
        </w:rPr>
        <w:t>Flying Start Health Programme Guidance.</w:t>
      </w:r>
      <w:r w:rsidRPr="2C7849A5">
        <w:rPr>
          <w:rFonts w:ascii="Arial" w:eastAsia="Arial" w:hAnsi="Arial" w:cs="Arial"/>
          <w:sz w:val="24"/>
          <w:szCs w:val="24"/>
        </w:rPr>
        <w:t xml:space="preserve"> </w:t>
      </w:r>
      <w:r>
        <w:rPr>
          <w:rFonts w:ascii="Arial" w:eastAsia="Arial" w:hAnsi="Arial" w:cs="Arial"/>
          <w:sz w:val="24"/>
          <w:szCs w:val="24"/>
        </w:rPr>
        <w:t>Available a</w:t>
      </w:r>
      <w:r w:rsidR="009C4A59">
        <w:rPr>
          <w:rFonts w:ascii="Arial" w:eastAsia="Arial" w:hAnsi="Arial" w:cs="Arial"/>
          <w:sz w:val="24"/>
          <w:szCs w:val="24"/>
        </w:rPr>
        <w:t xml:space="preserve">t: </w:t>
      </w:r>
      <w:hyperlink r:id="rId19" w:history="1">
        <w:r w:rsidR="009C4A59" w:rsidRPr="00B32132">
          <w:rPr>
            <w:rStyle w:val="Hyperlink"/>
            <w:rFonts w:ascii="Arial" w:eastAsia="Arial" w:hAnsi="Arial" w:cs="Arial"/>
            <w:sz w:val="24"/>
            <w:szCs w:val="24"/>
          </w:rPr>
          <w:t>https://gov.wales/sites/default/files/publications/2019-07/flying-start-health-programme-guidance_0.pdf</w:t>
        </w:r>
      </w:hyperlink>
      <w:r w:rsidRPr="2C7849A5">
        <w:rPr>
          <w:rFonts w:ascii="Arial" w:eastAsia="Arial" w:hAnsi="Arial" w:cs="Arial"/>
          <w:sz w:val="24"/>
          <w:szCs w:val="24"/>
        </w:rPr>
        <w:t xml:space="preserve"> </w:t>
      </w:r>
      <w:r w:rsidR="009C4A59">
        <w:rPr>
          <w:rFonts w:ascii="Arial" w:eastAsia="Arial" w:hAnsi="Arial" w:cs="Arial"/>
          <w:sz w:val="24"/>
          <w:szCs w:val="24"/>
        </w:rPr>
        <w:t>(Accessed 17th June 2022).</w:t>
      </w:r>
    </w:p>
    <w:p w14:paraId="7831D3A6" w14:textId="00131F6B" w:rsidR="7FA4A8A1" w:rsidRDefault="7FA4A8A1" w:rsidP="7FA4A8A1">
      <w:pPr>
        <w:rPr>
          <w:rFonts w:ascii="Arial" w:eastAsia="Arial" w:hAnsi="Arial" w:cs="Arial"/>
          <w:color w:val="FFFFFF" w:themeColor="background1"/>
          <w:sz w:val="66"/>
          <w:szCs w:val="66"/>
        </w:rPr>
      </w:pPr>
    </w:p>
    <w:p w14:paraId="6616A765" w14:textId="5609A751" w:rsidR="6A736ABA" w:rsidRDefault="5C6D3E9B" w:rsidP="5C6D3E9B">
      <w:pPr>
        <w:pStyle w:val="Heading1"/>
        <w:rPr>
          <w:rFonts w:ascii="Arial" w:eastAsia="Arial" w:hAnsi="Arial" w:cs="Arial"/>
          <w:color w:val="444444"/>
          <w:sz w:val="18"/>
          <w:szCs w:val="18"/>
        </w:rPr>
      </w:pPr>
      <w:r w:rsidRPr="5C6D3E9B">
        <w:rPr>
          <w:rFonts w:ascii="Arial" w:eastAsia="Arial" w:hAnsi="Arial" w:cs="Arial"/>
          <w:color w:val="FFFFFF" w:themeColor="background1"/>
          <w:sz w:val="66"/>
          <w:szCs w:val="66"/>
        </w:rPr>
        <w:t>Adverse Childhood Experiences (ACEs) and Attachment</w:t>
      </w:r>
    </w:p>
    <w:p w14:paraId="2F113694" w14:textId="7624C596" w:rsidR="6A736ABA" w:rsidRDefault="6A736ABA" w:rsidP="6A736ABA">
      <w:pPr>
        <w:ind w:left="3600"/>
        <w:rPr>
          <w:rFonts w:ascii="Arial" w:eastAsia="Arial" w:hAnsi="Arial" w:cs="Arial"/>
          <w:b/>
          <w:bCs/>
          <w:sz w:val="32"/>
          <w:szCs w:val="32"/>
        </w:rPr>
      </w:pPr>
    </w:p>
    <w:sectPr w:rsidR="6A736ABA">
      <w:headerReference w:type="default" r:id="rId20"/>
      <w:footerReference w:type="default" r:id="rId2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903411" w14:textId="77777777" w:rsidR="00F03EF3" w:rsidRDefault="00F03EF3">
      <w:pPr>
        <w:spacing w:after="0" w:line="240" w:lineRule="auto"/>
      </w:pPr>
      <w:r>
        <w:separator/>
      </w:r>
    </w:p>
  </w:endnote>
  <w:endnote w:type="continuationSeparator" w:id="0">
    <w:p w14:paraId="61C60268" w14:textId="77777777" w:rsidR="00F03EF3" w:rsidRDefault="00F03E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ACFF"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Roboto">
    <w:panose1 w:val="02000000000000000000"/>
    <w:charset w:val="00"/>
    <w:family w:val="auto"/>
    <w:pitch w:val="variable"/>
    <w:sig w:usb0="E00002FF" w:usb1="5000205B" w:usb2="00000020" w:usb3="00000000" w:csb0="0000019F" w:csb1="00000000"/>
  </w:font>
  <w:font w:name="HelveticaNeue">
    <w:panose1 w:val="02000503000000020004"/>
    <w:charset w:val="00"/>
    <w:family w:val="auto"/>
    <w:pitch w:val="variable"/>
    <w:sig w:usb0="E50002FF" w:usb1="500079DB" w:usb2="00000010" w:usb3="00000000" w:csb0="00000001"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A736ABA" w14:paraId="07AC0AEA" w14:textId="77777777" w:rsidTr="6A736ABA">
      <w:tc>
        <w:tcPr>
          <w:tcW w:w="3005" w:type="dxa"/>
        </w:tcPr>
        <w:p w14:paraId="145B0357" w14:textId="5900BF36" w:rsidR="6A736ABA" w:rsidRDefault="6A736ABA" w:rsidP="6A736ABA">
          <w:pPr>
            <w:pStyle w:val="Header"/>
            <w:ind w:left="-115"/>
          </w:pPr>
        </w:p>
      </w:tc>
      <w:tc>
        <w:tcPr>
          <w:tcW w:w="3005" w:type="dxa"/>
        </w:tcPr>
        <w:p w14:paraId="7AE9F162" w14:textId="74800590" w:rsidR="6A736ABA" w:rsidRDefault="6A736ABA" w:rsidP="6A736ABA">
          <w:pPr>
            <w:pStyle w:val="Header"/>
            <w:jc w:val="center"/>
          </w:pPr>
        </w:p>
      </w:tc>
      <w:tc>
        <w:tcPr>
          <w:tcW w:w="3005" w:type="dxa"/>
        </w:tcPr>
        <w:p w14:paraId="6D2ECDD9" w14:textId="266326C3" w:rsidR="6A736ABA" w:rsidRDefault="6A736ABA" w:rsidP="6A736ABA">
          <w:pPr>
            <w:pStyle w:val="Header"/>
            <w:ind w:right="-115"/>
            <w:jc w:val="right"/>
          </w:pPr>
        </w:p>
      </w:tc>
    </w:tr>
  </w:tbl>
  <w:p w14:paraId="57E54AD0" w14:textId="22461EB8" w:rsidR="6A736ABA" w:rsidRDefault="6A736ABA" w:rsidP="6A736AB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130AC7F" w14:textId="77777777" w:rsidR="00F03EF3" w:rsidRDefault="00F03EF3">
      <w:pPr>
        <w:spacing w:after="0" w:line="240" w:lineRule="auto"/>
      </w:pPr>
      <w:r>
        <w:separator/>
      </w:r>
    </w:p>
  </w:footnote>
  <w:footnote w:type="continuationSeparator" w:id="0">
    <w:p w14:paraId="20DC2E77" w14:textId="77777777" w:rsidR="00F03EF3" w:rsidRDefault="00F03E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6A736ABA" w14:paraId="7564DB67" w14:textId="77777777" w:rsidTr="2C7849A5">
      <w:tc>
        <w:tcPr>
          <w:tcW w:w="3005" w:type="dxa"/>
        </w:tcPr>
        <w:p w14:paraId="49E72E04" w14:textId="1CE0FA79" w:rsidR="6A736ABA" w:rsidRDefault="6A736ABA" w:rsidP="6A736ABA">
          <w:pPr>
            <w:pStyle w:val="Header"/>
            <w:ind w:left="-115"/>
            <w:rPr>
              <w:rFonts w:ascii="Calibri" w:eastAsia="Calibri" w:hAnsi="Calibri" w:cs="Calibri"/>
            </w:rPr>
          </w:pPr>
          <w:r w:rsidRPr="6A736ABA">
            <w:rPr>
              <w:rFonts w:ascii="Calibri" w:eastAsia="Calibri" w:hAnsi="Calibri" w:cs="Calibri"/>
            </w:rPr>
            <w:t>1500669</w:t>
          </w:r>
        </w:p>
        <w:p w14:paraId="6AD65226" w14:textId="5C70F93D" w:rsidR="6A736ABA" w:rsidRDefault="6A736ABA" w:rsidP="6A736ABA">
          <w:pPr>
            <w:pStyle w:val="Header"/>
            <w:ind w:left="-115"/>
            <w:rPr>
              <w:rFonts w:ascii="Calibri" w:eastAsia="Calibri" w:hAnsi="Calibri" w:cs="Calibri"/>
            </w:rPr>
          </w:pPr>
          <w:r w:rsidRPr="6A736ABA">
            <w:rPr>
              <w:rFonts w:ascii="Calibri" w:eastAsia="Calibri" w:hAnsi="Calibri" w:cs="Calibri"/>
            </w:rPr>
            <w:t>ECEY6003</w:t>
          </w:r>
        </w:p>
        <w:p w14:paraId="34A69B18" w14:textId="2739462A" w:rsidR="6A736ABA" w:rsidRDefault="2C7849A5" w:rsidP="2C7849A5">
          <w:pPr>
            <w:pStyle w:val="Header"/>
            <w:ind w:left="-115"/>
            <w:rPr>
              <w:rFonts w:ascii="Calibri" w:eastAsia="Calibri" w:hAnsi="Calibri" w:cs="Calibri"/>
            </w:rPr>
          </w:pPr>
          <w:r w:rsidRPr="2C7849A5">
            <w:rPr>
              <w:rFonts w:ascii="Calibri" w:eastAsia="Calibri" w:hAnsi="Calibri" w:cs="Calibri"/>
            </w:rPr>
            <w:t>4327</w:t>
          </w:r>
        </w:p>
        <w:p w14:paraId="74E7D808" w14:textId="072AA0D8" w:rsidR="6A736ABA" w:rsidRDefault="6A736ABA" w:rsidP="2C7849A5">
          <w:pPr>
            <w:pStyle w:val="Header"/>
            <w:ind w:left="-115"/>
            <w:rPr>
              <w:rFonts w:ascii="Calibri" w:eastAsia="Calibri" w:hAnsi="Calibri" w:cs="Calibri"/>
            </w:rPr>
          </w:pPr>
        </w:p>
      </w:tc>
      <w:tc>
        <w:tcPr>
          <w:tcW w:w="3005" w:type="dxa"/>
        </w:tcPr>
        <w:p w14:paraId="1219B69F" w14:textId="1951A5EA" w:rsidR="6A736ABA" w:rsidRDefault="6A736ABA" w:rsidP="6A736ABA">
          <w:pPr>
            <w:pStyle w:val="Header"/>
            <w:jc w:val="center"/>
          </w:pPr>
        </w:p>
      </w:tc>
      <w:tc>
        <w:tcPr>
          <w:tcW w:w="3005" w:type="dxa"/>
        </w:tcPr>
        <w:p w14:paraId="04972941" w14:textId="504B2E61" w:rsidR="6A736ABA" w:rsidRDefault="6A736ABA" w:rsidP="6A736ABA">
          <w:pPr>
            <w:pStyle w:val="Header"/>
            <w:ind w:right="-115"/>
            <w:jc w:val="right"/>
          </w:pPr>
        </w:p>
      </w:tc>
    </w:tr>
  </w:tbl>
  <w:p w14:paraId="33BF998E" w14:textId="5F37A706" w:rsidR="6A736ABA" w:rsidRDefault="6A736ABA" w:rsidP="6A736ABA">
    <w:pPr>
      <w:pStyle w:val="Header"/>
    </w:pPr>
  </w:p>
</w:hdr>
</file>

<file path=word/intelligence2.xml><?xml version="1.0" encoding="utf-8"?>
<int2:intelligence xmlns:int2="http://schemas.microsoft.com/office/intelligence/2020/intelligence" xmlns:oel="http://schemas.microsoft.com/office/2019/extlst">
  <int2:observations>
    <int2:bookmark int2:bookmarkName="_Int_KTmZjh0F" int2:invalidationBookmarkName="" int2:hashCode="gfMxhxRyETNqSY" int2:id="plO69AUx"/>
    <int2:bookmark int2:bookmarkName="_Int_Pj5vH1D8" int2:invalidationBookmarkName="" int2:hashCode="Mhl8zRSh5vZIb3" int2:id="lAaWCHUi">
      <int2:state int2:value="Rejected" int2:type="AugLoop_Text_Critique"/>
    </int2:bookmark>
    <int2:bookmark int2:bookmarkName="_Int_Ft1wulLl" int2:invalidationBookmarkName="" int2:hashCode="xgFV+e+vs1LyXh" int2:id="n8rwZpwB">
      <int2:state int2:value="Rejected" int2:type="AugLoop_Text_Critique"/>
    </int2:bookmark>
    <int2:bookmark int2:bookmarkName="_Int_NkvCXksF" int2:invalidationBookmarkName="" int2:hashCode="DJJVJNpO3fwAUI" int2:id="JSe2dNgb">
      <int2:state int2:value="Rejected" int2:type="AugLoop_Text_Critique"/>
    </int2:bookmark>
    <int2:bookmark int2:bookmarkName="_Int_yWOYrSTw" int2:invalidationBookmarkName="" int2:hashCode="Lpm5wcxZzqBogC" int2:id="TQw0oEi2">
      <int2:state int2:value="Rejected" int2:type="AugLoop_Text_Critique"/>
    </int2:bookmark>
    <int2:bookmark int2:bookmarkName="_Int_O7kpDQW2" int2:invalidationBookmarkName="" int2:hashCode="O30PzcGzgilo0B" int2:id="UUDt40q2">
      <int2:state int2:value="Rejected" int2:type="AugLoop_Text_Critique"/>
    </int2:bookmark>
    <int2:bookmark int2:bookmarkName="_Int_0E6JbCVn" int2:invalidationBookmarkName="" int2:hashCode="QRsInSlx0xe7Kx" int2:id="9N9QRtgn"/>
    <int2:bookmark int2:bookmarkName="_Int_9zYHpx54" int2:invalidationBookmarkName="" int2:hashCode="ZaWolC+iLoHC+8" int2:id="iVDVq3FI"/>
    <int2:bookmark int2:bookmarkName="_Int_M1sZjAwT" int2:invalidationBookmarkName="" int2:hashCode="Db5SnE362ZZmeB" int2:id="aMUjOpEM"/>
    <int2:bookmark int2:bookmarkName="_Int_UMLsddAD" int2:invalidationBookmarkName="" int2:hashCode="ml62sOWgxTI/rl" int2:id="kkOIDhM3"/>
    <int2:bookmark int2:bookmarkName="_Int_yOc0Ommp" int2:invalidationBookmarkName="" int2:hashCode="qzzMjboqDPehzk" int2:id="lYzis1Lm"/>
    <int2:bookmark int2:bookmarkName="_Int_rCsud9IF" int2:invalidationBookmarkName="" int2:hashCode="zsP/JI5IlSUIZ9" int2:id="ioRAOqM9">
      <int2:state int2:value="Rejected" int2:type="AugLoop_Text_Critique"/>
    </int2:bookmark>
    <int2:bookmark int2:bookmarkName="_Int_DmMVvZ60" int2:invalidationBookmarkName="" int2:hashCode="RnEb28u/SDQE/C" int2:id="Xl7t0g3D"/>
    <int2:bookmark int2:bookmarkName="_Int_ZvGkGe1M" int2:invalidationBookmarkName="" int2:hashCode="qV3ejfladMZy13" int2:id="DLvRl73L"/>
    <int2:bookmark int2:bookmarkName="_Int_0glLDP1N" int2:invalidationBookmarkName="" int2:hashCode="bC41JLPrLPuamo" int2:id="LmNveTCZ"/>
    <int2:bookmark int2:bookmarkName="_Int_ENtIQ7VC" int2:invalidationBookmarkName="" int2:hashCode="1GrORgRMXCoCom" int2:id="6GzOAj6D"/>
    <int2:bookmark int2:bookmarkName="_Int_UlO4v1q2" int2:invalidationBookmarkName="" int2:hashCode="0YqslrkFtLPIOY" int2:id="7mfRjqf9"/>
    <int2:bookmark int2:bookmarkName="_Int_FKIxqGSk" int2:invalidationBookmarkName="" int2:hashCode="Z00ledyjlpU86p" int2:id="5UBIoEVm"/>
    <int2:bookmark int2:bookmarkName="_Int_1GyXnhTz" int2:invalidationBookmarkName="" int2:hashCode="42Hbb+O46+/9dt" int2:id="BwfF8mfP"/>
    <int2:bookmark int2:bookmarkName="_Int_j2e2rZZI" int2:invalidationBookmarkName="" int2:hashCode="6KWckmKlp6D6pK" int2:id="pcfDvaws">
      <int2:state int2:value="Rejected" int2:type="AugLoop_Text_Critique"/>
    </int2:bookmark>
    <int2:bookmark int2:bookmarkName="_Int_rXAXpdeg" int2:invalidationBookmarkName="" int2:hashCode="BRNEJrzRdQULCB" int2:id="GsYvnoN3"/>
    <int2:bookmark int2:bookmarkName="_Int_XdHpBit1" int2:invalidationBookmarkName="" int2:hashCode="vmwyTAXdH0cMmr" int2:id="NWtvEcw1"/>
    <int2:bookmark int2:bookmarkName="_Int_f2cwjrO7" int2:invalidationBookmarkName="" int2:hashCode="dILfNGrMWdGCt3" int2:id="b6KvhRCp">
      <int2:state int2:value="Rejected" int2:type="AugLoop_Text_Critique"/>
    </int2:bookmark>
    <int2:bookmark int2:bookmarkName="_Int_au8GOAox" int2:invalidationBookmarkName="" int2:hashCode="xuRU2WDfSEX51p" int2:id="W4S409dS"/>
    <int2:bookmark int2:bookmarkName="_Int_xpTdhUFp" int2:invalidationBookmarkName="" int2:hashCode="DIGryHvcVTjfln" int2:id="8hut8hC6">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093B6F"/>
    <w:multiLevelType w:val="hybridMultilevel"/>
    <w:tmpl w:val="BB82EDC2"/>
    <w:lvl w:ilvl="0" w:tplc="AD948E74">
      <w:start w:val="1"/>
      <w:numFmt w:val="bullet"/>
      <w:lvlText w:val=""/>
      <w:lvlJc w:val="left"/>
      <w:pPr>
        <w:ind w:left="720" w:hanging="360"/>
      </w:pPr>
      <w:rPr>
        <w:rFonts w:ascii="Symbol" w:hAnsi="Symbol" w:hint="default"/>
      </w:rPr>
    </w:lvl>
    <w:lvl w:ilvl="1" w:tplc="9B386398">
      <w:start w:val="1"/>
      <w:numFmt w:val="bullet"/>
      <w:lvlText w:val="o"/>
      <w:lvlJc w:val="left"/>
      <w:pPr>
        <w:ind w:left="1440" w:hanging="360"/>
      </w:pPr>
      <w:rPr>
        <w:rFonts w:ascii="Courier New" w:hAnsi="Courier New" w:hint="default"/>
      </w:rPr>
    </w:lvl>
    <w:lvl w:ilvl="2" w:tplc="20EC5444">
      <w:start w:val="1"/>
      <w:numFmt w:val="bullet"/>
      <w:lvlText w:val=""/>
      <w:lvlJc w:val="left"/>
      <w:pPr>
        <w:ind w:left="2160" w:hanging="360"/>
      </w:pPr>
      <w:rPr>
        <w:rFonts w:ascii="Wingdings" w:hAnsi="Wingdings" w:hint="default"/>
      </w:rPr>
    </w:lvl>
    <w:lvl w:ilvl="3" w:tplc="151400F8">
      <w:start w:val="1"/>
      <w:numFmt w:val="bullet"/>
      <w:lvlText w:val=""/>
      <w:lvlJc w:val="left"/>
      <w:pPr>
        <w:ind w:left="2880" w:hanging="360"/>
      </w:pPr>
      <w:rPr>
        <w:rFonts w:ascii="Symbol" w:hAnsi="Symbol" w:hint="default"/>
      </w:rPr>
    </w:lvl>
    <w:lvl w:ilvl="4" w:tplc="805262AC">
      <w:start w:val="1"/>
      <w:numFmt w:val="bullet"/>
      <w:lvlText w:val="o"/>
      <w:lvlJc w:val="left"/>
      <w:pPr>
        <w:ind w:left="3600" w:hanging="360"/>
      </w:pPr>
      <w:rPr>
        <w:rFonts w:ascii="Courier New" w:hAnsi="Courier New" w:hint="default"/>
      </w:rPr>
    </w:lvl>
    <w:lvl w:ilvl="5" w:tplc="E138CA0C">
      <w:start w:val="1"/>
      <w:numFmt w:val="bullet"/>
      <w:lvlText w:val=""/>
      <w:lvlJc w:val="left"/>
      <w:pPr>
        <w:ind w:left="4320" w:hanging="360"/>
      </w:pPr>
      <w:rPr>
        <w:rFonts w:ascii="Wingdings" w:hAnsi="Wingdings" w:hint="default"/>
      </w:rPr>
    </w:lvl>
    <w:lvl w:ilvl="6" w:tplc="B8F64876">
      <w:start w:val="1"/>
      <w:numFmt w:val="bullet"/>
      <w:lvlText w:val=""/>
      <w:lvlJc w:val="left"/>
      <w:pPr>
        <w:ind w:left="5040" w:hanging="360"/>
      </w:pPr>
      <w:rPr>
        <w:rFonts w:ascii="Symbol" w:hAnsi="Symbol" w:hint="default"/>
      </w:rPr>
    </w:lvl>
    <w:lvl w:ilvl="7" w:tplc="659ECBD6">
      <w:start w:val="1"/>
      <w:numFmt w:val="bullet"/>
      <w:lvlText w:val="o"/>
      <w:lvlJc w:val="left"/>
      <w:pPr>
        <w:ind w:left="5760" w:hanging="360"/>
      </w:pPr>
      <w:rPr>
        <w:rFonts w:ascii="Courier New" w:hAnsi="Courier New" w:hint="default"/>
      </w:rPr>
    </w:lvl>
    <w:lvl w:ilvl="8" w:tplc="66AC392C">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73D49C17"/>
    <w:rsid w:val="0004623D"/>
    <w:rsid w:val="00188659"/>
    <w:rsid w:val="00246A4F"/>
    <w:rsid w:val="00487186"/>
    <w:rsid w:val="005E343C"/>
    <w:rsid w:val="007E436F"/>
    <w:rsid w:val="009C4A59"/>
    <w:rsid w:val="00AAD60F"/>
    <w:rsid w:val="00E3D256"/>
    <w:rsid w:val="00F03EF3"/>
    <w:rsid w:val="00F1C029"/>
    <w:rsid w:val="010161E4"/>
    <w:rsid w:val="01364374"/>
    <w:rsid w:val="0153164E"/>
    <w:rsid w:val="01ACF5A7"/>
    <w:rsid w:val="01CAD60F"/>
    <w:rsid w:val="01FC771C"/>
    <w:rsid w:val="01FD03FC"/>
    <w:rsid w:val="01FF5057"/>
    <w:rsid w:val="022E85C5"/>
    <w:rsid w:val="02635427"/>
    <w:rsid w:val="02656CB8"/>
    <w:rsid w:val="029EBF61"/>
    <w:rsid w:val="02B08718"/>
    <w:rsid w:val="02F8DAB8"/>
    <w:rsid w:val="037BA1AC"/>
    <w:rsid w:val="03C7700E"/>
    <w:rsid w:val="03FF2488"/>
    <w:rsid w:val="041B7318"/>
    <w:rsid w:val="042960EB"/>
    <w:rsid w:val="043902A6"/>
    <w:rsid w:val="044F5EAD"/>
    <w:rsid w:val="0483E767"/>
    <w:rsid w:val="04F5000C"/>
    <w:rsid w:val="05190022"/>
    <w:rsid w:val="059AF4E9"/>
    <w:rsid w:val="05C5314C"/>
    <w:rsid w:val="0611A21D"/>
    <w:rsid w:val="06B3426E"/>
    <w:rsid w:val="075313DA"/>
    <w:rsid w:val="076798C0"/>
    <w:rsid w:val="0770A368"/>
    <w:rsid w:val="07BE8142"/>
    <w:rsid w:val="07DBE8F3"/>
    <w:rsid w:val="0831E3CB"/>
    <w:rsid w:val="08EDFA2A"/>
    <w:rsid w:val="08FAD868"/>
    <w:rsid w:val="0977B954"/>
    <w:rsid w:val="0A3CD1AF"/>
    <w:rsid w:val="0A96A8C9"/>
    <w:rsid w:val="0A98A26F"/>
    <w:rsid w:val="0AD15130"/>
    <w:rsid w:val="0ADD25BA"/>
    <w:rsid w:val="0B1389B5"/>
    <w:rsid w:val="0B5ACC06"/>
    <w:rsid w:val="0C259AEC"/>
    <w:rsid w:val="0C2684FD"/>
    <w:rsid w:val="0C9DB67B"/>
    <w:rsid w:val="0CAF5A16"/>
    <w:rsid w:val="0CDDE104"/>
    <w:rsid w:val="0CED7232"/>
    <w:rsid w:val="0D0011F1"/>
    <w:rsid w:val="0D649BB4"/>
    <w:rsid w:val="0DDF5D91"/>
    <w:rsid w:val="0DDFE4EC"/>
    <w:rsid w:val="0E1646E5"/>
    <w:rsid w:val="0E58D55C"/>
    <w:rsid w:val="0E72AA61"/>
    <w:rsid w:val="0E7952CC"/>
    <w:rsid w:val="0E91DC3B"/>
    <w:rsid w:val="0F5E25BF"/>
    <w:rsid w:val="0F6C1392"/>
    <w:rsid w:val="0F72AAA5"/>
    <w:rsid w:val="0F75E1C3"/>
    <w:rsid w:val="0F9EC78B"/>
    <w:rsid w:val="0FD5573D"/>
    <w:rsid w:val="100210DB"/>
    <w:rsid w:val="10ADE09C"/>
    <w:rsid w:val="1111B224"/>
    <w:rsid w:val="114092B4"/>
    <w:rsid w:val="115D7677"/>
    <w:rsid w:val="12B08E75"/>
    <w:rsid w:val="12B3560F"/>
    <w:rsid w:val="12FDC3AB"/>
    <w:rsid w:val="13BD97B5"/>
    <w:rsid w:val="14A8C860"/>
    <w:rsid w:val="14B727B7"/>
    <w:rsid w:val="1552292E"/>
    <w:rsid w:val="155EA296"/>
    <w:rsid w:val="16B424BA"/>
    <w:rsid w:val="16B5EFAC"/>
    <w:rsid w:val="16DD030C"/>
    <w:rsid w:val="16FA72F7"/>
    <w:rsid w:val="178EB4B8"/>
    <w:rsid w:val="17EEC879"/>
    <w:rsid w:val="182783AA"/>
    <w:rsid w:val="184FF51B"/>
    <w:rsid w:val="1878D36D"/>
    <w:rsid w:val="19217A71"/>
    <w:rsid w:val="19D5C44D"/>
    <w:rsid w:val="1A138E30"/>
    <w:rsid w:val="1A2CD939"/>
    <w:rsid w:val="1A57A8FA"/>
    <w:rsid w:val="1ABD4AD2"/>
    <w:rsid w:val="1ADBA190"/>
    <w:rsid w:val="1ADD2FA5"/>
    <w:rsid w:val="1B12149C"/>
    <w:rsid w:val="1BA2892C"/>
    <w:rsid w:val="1BCDE41A"/>
    <w:rsid w:val="1BD9F6EF"/>
    <w:rsid w:val="1C54FFF0"/>
    <w:rsid w:val="1C6FA629"/>
    <w:rsid w:val="1D69B47B"/>
    <w:rsid w:val="1E134252"/>
    <w:rsid w:val="1EAFED8B"/>
    <w:rsid w:val="1F8CA0B2"/>
    <w:rsid w:val="203C042E"/>
    <w:rsid w:val="20407DDD"/>
    <w:rsid w:val="2063ED8F"/>
    <w:rsid w:val="20A1553D"/>
    <w:rsid w:val="20A942C3"/>
    <w:rsid w:val="21287113"/>
    <w:rsid w:val="2129535A"/>
    <w:rsid w:val="21CDF6B1"/>
    <w:rsid w:val="21D6B88A"/>
    <w:rsid w:val="22442ED6"/>
    <w:rsid w:val="22451324"/>
    <w:rsid w:val="2246AC6A"/>
    <w:rsid w:val="22C44174"/>
    <w:rsid w:val="22CFB0A7"/>
    <w:rsid w:val="233A3D15"/>
    <w:rsid w:val="23B3543A"/>
    <w:rsid w:val="23DA7668"/>
    <w:rsid w:val="23E0E385"/>
    <w:rsid w:val="24043016"/>
    <w:rsid w:val="246CB065"/>
    <w:rsid w:val="246D37C0"/>
    <w:rsid w:val="248283D6"/>
    <w:rsid w:val="248BF44D"/>
    <w:rsid w:val="250606B2"/>
    <w:rsid w:val="2623D945"/>
    <w:rsid w:val="265B254F"/>
    <w:rsid w:val="2671DDD7"/>
    <w:rsid w:val="26826490"/>
    <w:rsid w:val="271096C1"/>
    <w:rsid w:val="27355721"/>
    <w:rsid w:val="278748F4"/>
    <w:rsid w:val="27BA2498"/>
    <w:rsid w:val="27BABFBD"/>
    <w:rsid w:val="27C07B47"/>
    <w:rsid w:val="280DAE38"/>
    <w:rsid w:val="283DA774"/>
    <w:rsid w:val="28A6952A"/>
    <w:rsid w:val="28AC374E"/>
    <w:rsid w:val="28AC6722"/>
    <w:rsid w:val="2956901E"/>
    <w:rsid w:val="296B7888"/>
    <w:rsid w:val="2A1355F3"/>
    <w:rsid w:val="2A483783"/>
    <w:rsid w:val="2ADC7944"/>
    <w:rsid w:val="2AF50D4B"/>
    <w:rsid w:val="2B0748E9"/>
    <w:rsid w:val="2B8B1D0F"/>
    <w:rsid w:val="2BA952CA"/>
    <w:rsid w:val="2BB713DA"/>
    <w:rsid w:val="2BBF5346"/>
    <w:rsid w:val="2BE407E4"/>
    <w:rsid w:val="2BE6BAEA"/>
    <w:rsid w:val="2C7849A5"/>
    <w:rsid w:val="2C882E4E"/>
    <w:rsid w:val="2CE437BB"/>
    <w:rsid w:val="2D4AF6B5"/>
    <w:rsid w:val="2D828B4B"/>
    <w:rsid w:val="2D956451"/>
    <w:rsid w:val="2DAB125C"/>
    <w:rsid w:val="2E3D02F0"/>
    <w:rsid w:val="2EE3FF7C"/>
    <w:rsid w:val="2F3134B2"/>
    <w:rsid w:val="2F48DF31"/>
    <w:rsid w:val="2F55C0AF"/>
    <w:rsid w:val="2FD7BDB3"/>
    <w:rsid w:val="306CF56F"/>
    <w:rsid w:val="3078E99C"/>
    <w:rsid w:val="30CD0513"/>
    <w:rsid w:val="30EFCAA8"/>
    <w:rsid w:val="311BF6F6"/>
    <w:rsid w:val="313159AC"/>
    <w:rsid w:val="3214B9FD"/>
    <w:rsid w:val="326458A1"/>
    <w:rsid w:val="32827F8E"/>
    <w:rsid w:val="32CD2A0D"/>
    <w:rsid w:val="32E795C1"/>
    <w:rsid w:val="33B08A5E"/>
    <w:rsid w:val="33C06F07"/>
    <w:rsid w:val="33F7074F"/>
    <w:rsid w:val="341DCE32"/>
    <w:rsid w:val="34676B93"/>
    <w:rsid w:val="34EF49A0"/>
    <w:rsid w:val="35F8DDA3"/>
    <w:rsid w:val="363DF39C"/>
    <w:rsid w:val="367FA0A6"/>
    <w:rsid w:val="36A56AD1"/>
    <w:rsid w:val="36F0BBD9"/>
    <w:rsid w:val="36F9C681"/>
    <w:rsid w:val="372EA811"/>
    <w:rsid w:val="373F13B6"/>
    <w:rsid w:val="375AD661"/>
    <w:rsid w:val="3794AE04"/>
    <w:rsid w:val="3804587B"/>
    <w:rsid w:val="385BB8C4"/>
    <w:rsid w:val="391AAD55"/>
    <w:rsid w:val="3A1FCBE2"/>
    <w:rsid w:val="3A316743"/>
    <w:rsid w:val="3A6ED30E"/>
    <w:rsid w:val="3ABA7C77"/>
    <w:rsid w:val="3B839FC8"/>
    <w:rsid w:val="3B8A6FE1"/>
    <w:rsid w:val="3C0AA36F"/>
    <w:rsid w:val="3C387D2F"/>
    <w:rsid w:val="3DAB881B"/>
    <w:rsid w:val="3DB375A1"/>
    <w:rsid w:val="3DC2DD47"/>
    <w:rsid w:val="3DD0429A"/>
    <w:rsid w:val="3E47776C"/>
    <w:rsid w:val="3EBB408A"/>
    <w:rsid w:val="3ED1E357"/>
    <w:rsid w:val="3F4BCBB0"/>
    <w:rsid w:val="3F4F4602"/>
    <w:rsid w:val="3F8871DA"/>
    <w:rsid w:val="3FACF06C"/>
    <w:rsid w:val="3FF89FE3"/>
    <w:rsid w:val="406DB3B8"/>
    <w:rsid w:val="40DE1492"/>
    <w:rsid w:val="40E79C11"/>
    <w:rsid w:val="4124B788"/>
    <w:rsid w:val="4182601F"/>
    <w:rsid w:val="42746936"/>
    <w:rsid w:val="430DE9E2"/>
    <w:rsid w:val="4340C2D4"/>
    <w:rsid w:val="4346BACE"/>
    <w:rsid w:val="43AD4200"/>
    <w:rsid w:val="44D4039F"/>
    <w:rsid w:val="463F12C5"/>
    <w:rsid w:val="4667DCDD"/>
    <w:rsid w:val="467ED662"/>
    <w:rsid w:val="471FCEF4"/>
    <w:rsid w:val="4725D186"/>
    <w:rsid w:val="475A57E7"/>
    <w:rsid w:val="4778E7B1"/>
    <w:rsid w:val="477A5B62"/>
    <w:rsid w:val="48174917"/>
    <w:rsid w:val="48388ECE"/>
    <w:rsid w:val="4914B812"/>
    <w:rsid w:val="49162BC3"/>
    <w:rsid w:val="4A3A6522"/>
    <w:rsid w:val="4A91F8A9"/>
    <w:rsid w:val="4AB08873"/>
    <w:rsid w:val="4BB51256"/>
    <w:rsid w:val="4C8B00F5"/>
    <w:rsid w:val="4D542446"/>
    <w:rsid w:val="4D6DF0F8"/>
    <w:rsid w:val="4DC9996B"/>
    <w:rsid w:val="4DE82935"/>
    <w:rsid w:val="4E283AE1"/>
    <w:rsid w:val="4E30FC4D"/>
    <w:rsid w:val="4EEFF4A7"/>
    <w:rsid w:val="4F21928D"/>
    <w:rsid w:val="4F3835CC"/>
    <w:rsid w:val="4F3E8D01"/>
    <w:rsid w:val="4F8A244B"/>
    <w:rsid w:val="5043A0B3"/>
    <w:rsid w:val="506E8736"/>
    <w:rsid w:val="50D4062D"/>
    <w:rsid w:val="51885C7F"/>
    <w:rsid w:val="524D648D"/>
    <w:rsid w:val="52762D3D"/>
    <w:rsid w:val="52DA310D"/>
    <w:rsid w:val="531D95CD"/>
    <w:rsid w:val="53242CE0"/>
    <w:rsid w:val="536FB79E"/>
    <w:rsid w:val="538D532F"/>
    <w:rsid w:val="540BA6EF"/>
    <w:rsid w:val="5433C6A4"/>
    <w:rsid w:val="548F29CB"/>
    <w:rsid w:val="549612DA"/>
    <w:rsid w:val="54C63B93"/>
    <w:rsid w:val="5631E33B"/>
    <w:rsid w:val="567E48A8"/>
    <w:rsid w:val="567FA96E"/>
    <w:rsid w:val="56A24415"/>
    <w:rsid w:val="5796D151"/>
    <w:rsid w:val="5799E9B1"/>
    <w:rsid w:val="57DC9F66"/>
    <w:rsid w:val="5832650F"/>
    <w:rsid w:val="58355A67"/>
    <w:rsid w:val="58DFB337"/>
    <w:rsid w:val="59497291"/>
    <w:rsid w:val="594DDABD"/>
    <w:rsid w:val="595A0146"/>
    <w:rsid w:val="59629AEE"/>
    <w:rsid w:val="596D6366"/>
    <w:rsid w:val="59B5E96A"/>
    <w:rsid w:val="59CE3570"/>
    <w:rsid w:val="59D12AC8"/>
    <w:rsid w:val="59DEF922"/>
    <w:rsid w:val="5A047A53"/>
    <w:rsid w:val="5A4ABD48"/>
    <w:rsid w:val="5A7B8398"/>
    <w:rsid w:val="5AD16E3A"/>
    <w:rsid w:val="5AF32B40"/>
    <w:rsid w:val="5B05545E"/>
    <w:rsid w:val="5B0F7F55"/>
    <w:rsid w:val="5B7306C4"/>
    <w:rsid w:val="5B7AC983"/>
    <w:rsid w:val="5B7F3CB7"/>
    <w:rsid w:val="5BBC582E"/>
    <w:rsid w:val="5BF446D3"/>
    <w:rsid w:val="5C1B236F"/>
    <w:rsid w:val="5C6D3E9B"/>
    <w:rsid w:val="5C957CCE"/>
    <w:rsid w:val="5C9C77D2"/>
    <w:rsid w:val="5CA50428"/>
    <w:rsid w:val="5D05D632"/>
    <w:rsid w:val="5D08FB5E"/>
    <w:rsid w:val="5D414CFF"/>
    <w:rsid w:val="5E0068CE"/>
    <w:rsid w:val="5E44E2A6"/>
    <w:rsid w:val="5E5AA236"/>
    <w:rsid w:val="5ED005D6"/>
    <w:rsid w:val="5F8B792A"/>
    <w:rsid w:val="5FA4FB96"/>
    <w:rsid w:val="5FE0B307"/>
    <w:rsid w:val="602A26C9"/>
    <w:rsid w:val="61D4535D"/>
    <w:rsid w:val="61EE7E3B"/>
    <w:rsid w:val="61F1F88D"/>
    <w:rsid w:val="631853C9"/>
    <w:rsid w:val="63622303"/>
    <w:rsid w:val="642D35B3"/>
    <w:rsid w:val="64B4242A"/>
    <w:rsid w:val="650BF41F"/>
    <w:rsid w:val="65261EFD"/>
    <w:rsid w:val="65C90614"/>
    <w:rsid w:val="66655A0C"/>
    <w:rsid w:val="666DD629"/>
    <w:rsid w:val="6752CA54"/>
    <w:rsid w:val="6793FF06"/>
    <w:rsid w:val="684394E1"/>
    <w:rsid w:val="685DBFBF"/>
    <w:rsid w:val="6865A55F"/>
    <w:rsid w:val="68B9A17E"/>
    <w:rsid w:val="693C4BCC"/>
    <w:rsid w:val="69BCE95C"/>
    <w:rsid w:val="69DF6542"/>
    <w:rsid w:val="69FB4BF0"/>
    <w:rsid w:val="69FD8C2F"/>
    <w:rsid w:val="6A736ABA"/>
    <w:rsid w:val="6A8A6B16"/>
    <w:rsid w:val="6B3B7BA8"/>
    <w:rsid w:val="6B956081"/>
    <w:rsid w:val="6C384798"/>
    <w:rsid w:val="6CD902C1"/>
    <w:rsid w:val="6CF0D3F5"/>
    <w:rsid w:val="6D176B1D"/>
    <w:rsid w:val="6D280037"/>
    <w:rsid w:val="6D4DCA62"/>
    <w:rsid w:val="6D7639DF"/>
    <w:rsid w:val="6D7FD770"/>
    <w:rsid w:val="6D9C0E16"/>
    <w:rsid w:val="6DD417F9"/>
    <w:rsid w:val="6E599667"/>
    <w:rsid w:val="6E7F2E36"/>
    <w:rsid w:val="6EF98F86"/>
    <w:rsid w:val="6F1710B3"/>
    <w:rsid w:val="6F6FE85A"/>
    <w:rsid w:val="6F844F48"/>
    <w:rsid w:val="6FCBEE1A"/>
    <w:rsid w:val="6FF313F5"/>
    <w:rsid w:val="6FFAB63A"/>
    <w:rsid w:val="700C3C52"/>
    <w:rsid w:val="701AFE97"/>
    <w:rsid w:val="704BE77F"/>
    <w:rsid w:val="70532399"/>
    <w:rsid w:val="705FA0F9"/>
    <w:rsid w:val="7115E94E"/>
    <w:rsid w:val="715C4103"/>
    <w:rsid w:val="715C9497"/>
    <w:rsid w:val="7162DC08"/>
    <w:rsid w:val="7179656F"/>
    <w:rsid w:val="726D41C8"/>
    <w:rsid w:val="726F7F39"/>
    <w:rsid w:val="72D058B9"/>
    <w:rsid w:val="72EEF3A4"/>
    <w:rsid w:val="72F81164"/>
    <w:rsid w:val="737EA63E"/>
    <w:rsid w:val="73C134B5"/>
    <w:rsid w:val="73D49C17"/>
    <w:rsid w:val="73E57B63"/>
    <w:rsid w:val="74091229"/>
    <w:rsid w:val="74C68518"/>
    <w:rsid w:val="7502D133"/>
    <w:rsid w:val="7544304D"/>
    <w:rsid w:val="75692B19"/>
    <w:rsid w:val="7607F97B"/>
    <w:rsid w:val="762FB226"/>
    <w:rsid w:val="7689CEE8"/>
    <w:rsid w:val="76E8BABD"/>
    <w:rsid w:val="778F612D"/>
    <w:rsid w:val="77A06C30"/>
    <w:rsid w:val="77A3C9DC"/>
    <w:rsid w:val="77F50A5F"/>
    <w:rsid w:val="77FE25DA"/>
    <w:rsid w:val="792B318E"/>
    <w:rsid w:val="793C3C91"/>
    <w:rsid w:val="7974BE06"/>
    <w:rsid w:val="79AA5FDE"/>
    <w:rsid w:val="79C3883B"/>
    <w:rsid w:val="79D08A0A"/>
    <w:rsid w:val="7A3B1F3D"/>
    <w:rsid w:val="7A827EA4"/>
    <w:rsid w:val="7A90AD8B"/>
    <w:rsid w:val="7AB33FDF"/>
    <w:rsid w:val="7AC701EF"/>
    <w:rsid w:val="7B9946F3"/>
    <w:rsid w:val="7BCF1ED7"/>
    <w:rsid w:val="7C357DBC"/>
    <w:rsid w:val="7C7FA52A"/>
    <w:rsid w:val="7D582E89"/>
    <w:rsid w:val="7EB5C691"/>
    <w:rsid w:val="7ECEFC54"/>
    <w:rsid w:val="7EED0F07"/>
    <w:rsid w:val="7F9A7312"/>
    <w:rsid w:val="7FA4A8A1"/>
    <w:rsid w:val="7FDA4D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D49C17"/>
  <w15:chartTrackingRefBased/>
  <w15:docId w15:val="{C0516D27-99D2-499A-882D-8D6DA5A23D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0563C1" w:themeColor="hyperlink"/>
      <w:u w:val="single"/>
    </w:r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character" w:styleId="UnresolvedMention">
    <w:name w:val="Unresolved Mention"/>
    <w:basedOn w:val="DefaultParagraphFont"/>
    <w:uiPriority w:val="99"/>
    <w:semiHidden/>
    <w:unhideWhenUsed/>
    <w:rsid w:val="009C4A59"/>
    <w:rPr>
      <w:color w:val="605E5C"/>
      <w:shd w:val="clear" w:color="auto" w:fill="E1DFDD"/>
    </w:rPr>
  </w:style>
  <w:style w:type="character" w:styleId="FollowedHyperlink">
    <w:name w:val="FollowedHyperlink"/>
    <w:basedOn w:val="DefaultParagraphFont"/>
    <w:uiPriority w:val="99"/>
    <w:semiHidden/>
    <w:unhideWhenUsed/>
    <w:rsid w:val="009C4A59"/>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organisations/office-of-the-children-s-commissioner" TargetMode="External"/><Relationship Id="rId13" Type="http://schemas.openxmlformats.org/officeDocument/2006/relationships/hyperlink" Target="http://www.healthscotland.scot/population-groups/children/child-poverty/child-poverty-overview/impact-of-child-poverty" TargetMode="External"/><Relationship Id="rId18" Type="http://schemas.openxmlformats.org/officeDocument/2006/relationships/hyperlink" Target="https://www.unicef.org.uk/rights-respecting-schools/the-rrsa/the-right-to-education/"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https://www.eif.org.uk/blog/child-poverty-and-early-intervention" TargetMode="External"/><Relationship Id="rId12" Type="http://schemas.openxmlformats.org/officeDocument/2006/relationships/hyperlink" Target="https://publications.parliament.uk/pa/cm5801/cmselect/cmeduc/1030/103003.htm" TargetMode="External"/><Relationship Id="rId17" Type="http://schemas.openxmlformats.org/officeDocument/2006/relationships/hyperlink" Target="https://www.unicef.org/child-rights-convention" TargetMode="External"/><Relationship Id="rId2" Type="http://schemas.openxmlformats.org/officeDocument/2006/relationships/styles" Target="styles.xml"/><Relationship Id="rId16" Type="http://schemas.openxmlformats.org/officeDocument/2006/relationships/hyperlink" Target="https://www.unicef.org.uk/what-we-do/un-convention-child-rights/"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wales.nhs.uk/ourservices/findannhsdentist/designedtosmile" TargetMode="External"/><Relationship Id="rId24" Type="http://schemas.microsoft.com/office/2020/10/relationships/intelligence" Target="intelligence2.xml"/><Relationship Id="rId5" Type="http://schemas.openxmlformats.org/officeDocument/2006/relationships/footnotes" Target="footnotes.xml"/><Relationship Id="rId15" Type="http://schemas.openxmlformats.org/officeDocument/2006/relationships/hyperlink" Target="https://www.theguardian.com/society/2018/oct/15/countries-where-smacking-children-is-banned-are-safer-to-grow-up-in" TargetMode="External"/><Relationship Id="rId23" Type="http://schemas.openxmlformats.org/officeDocument/2006/relationships/theme" Target="theme/theme1.xml"/><Relationship Id="rId10" Type="http://schemas.openxmlformats.org/officeDocument/2006/relationships/hyperlink" Target="https://mft.nhs.uk/rmch/services/camhs/young-people/adverse-childhood-experiences-aces-and-attachment/" TargetMode="External"/><Relationship Id="rId19" Type="http://schemas.openxmlformats.org/officeDocument/2006/relationships/hyperlink" Target="https://gov.wales/sites/default/files/publications/2019-07/flying-start-health-programme-guidance_0.pdf" TargetMode="External"/><Relationship Id="rId4" Type="http://schemas.openxmlformats.org/officeDocument/2006/relationships/webSettings" Target="webSettings.xml"/><Relationship Id="rId9" Type="http://schemas.openxmlformats.org/officeDocument/2006/relationships/hyperlink" Target="https://www.acamh.org/blog/why-its-good-to-ban-smacking/" TargetMode="External"/><Relationship Id="rId14" Type="http://schemas.openxmlformats.org/officeDocument/2006/relationships/hyperlink" Target="https://foodfoundation.org.uk/publication/critical-importance-early-years-nutrition-prevention-childhood-obesity"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15</Pages>
  <Words>4778</Words>
  <Characters>27241</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Olivia Melville-Jones (1500669)</dc:creator>
  <cp:keywords/>
  <dc:description/>
  <cp:lastModifiedBy>Olivia Melville-Jones (1500669)</cp:lastModifiedBy>
  <cp:revision>2</cp:revision>
  <dcterms:created xsi:type="dcterms:W3CDTF">2022-07-12T11:48:00Z</dcterms:created>
  <dcterms:modified xsi:type="dcterms:W3CDTF">2022-07-12T11:48:00Z</dcterms:modified>
</cp:coreProperties>
</file>