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F00E1" w:rsidRDefault="0053758F" w:rsidP="002328F2">
      <w:pPr>
        <w:jc w:val="both"/>
      </w:pPr>
      <w:r w:rsidRPr="0053758F">
        <w:t xml:space="preserve">This text is an extract from the </w:t>
      </w:r>
      <w:r w:rsidRPr="0053758F">
        <w:rPr>
          <w:i/>
        </w:rPr>
        <w:t>De rebus gestis Rogerii Calabriae et Siciliae (The deeds of Count Roger of Sicily and Calabria</w:t>
      </w:r>
      <w:r w:rsidRPr="0053758F">
        <w:t>), a narrative history by Geoffrey of Malaterra – dated to the late eleventh century.</w:t>
      </w:r>
      <w:r w:rsidR="0080377F">
        <w:rPr>
          <w:rStyle w:val="FootnoteReference"/>
        </w:rPr>
        <w:footnoteReference w:id="1"/>
      </w:r>
      <w:r w:rsidRPr="0053758F">
        <w:t xml:space="preserve"> </w:t>
      </w:r>
      <w:r>
        <w:t xml:space="preserve"> </w:t>
      </w:r>
      <w:r w:rsidR="00B60782">
        <w:t>Although Malaterra’s work does feature both a “beginning” and an “end” (the calling of the First Crusade in 1096), it is important to note that these are more to do with the narrative focus (or “plot”) of the work, and therefore may not be reflective of the period he was writing in.</w:t>
      </w:r>
      <w:r w:rsidR="006E4C2E">
        <w:rPr>
          <w:rStyle w:val="FootnoteReference"/>
        </w:rPr>
        <w:footnoteReference w:id="2"/>
      </w:r>
      <w:r w:rsidR="003F7C7F">
        <w:t xml:space="preserve">  </w:t>
      </w:r>
      <w:r w:rsidR="003B281E">
        <w:t xml:space="preserve">As implied by the title, the content of Malaterra’s work is a </w:t>
      </w:r>
      <w:r w:rsidR="003B281E">
        <w:rPr>
          <w:i/>
        </w:rPr>
        <w:t xml:space="preserve">gesta </w:t>
      </w:r>
      <w:r w:rsidR="003B281E">
        <w:t xml:space="preserve">centred on exploits of the Hauteville brothers, specifically those who had colonised southern Italy – Robert, duke of Calabria, and Roger, king of Sicily. </w:t>
      </w:r>
    </w:p>
    <w:p w:rsidR="004F00E1" w:rsidRDefault="003B281E" w:rsidP="002328F2">
      <w:pPr>
        <w:jc w:val="both"/>
      </w:pPr>
      <w:r>
        <w:t xml:space="preserve">Though the gesta is in itself a form of narrative </w:t>
      </w:r>
      <w:r w:rsidR="004F00E1">
        <w:t>history, the</w:t>
      </w:r>
      <w:r>
        <w:t xml:space="preserve"> core aspect of these chronicles is to </w:t>
      </w:r>
      <w:r w:rsidR="005B576D">
        <w:t xml:space="preserve">document (or rather exaggerate) the deeds of particular individuals as opposed to entire groups of people as a whole, therefore are closer to biographies in nature than they are to more “standard” chronicles.  Conversely, the gesta is often commissioned by the subject of work in question with the intent of </w:t>
      </w:r>
      <w:r w:rsidR="001B4860">
        <w:t xml:space="preserve">either </w:t>
      </w:r>
      <w:r w:rsidR="005B576D">
        <w:t>justifying themselves or thei</w:t>
      </w:r>
      <w:r w:rsidR="001B4860">
        <w:t>r actions, or to legitimise their presence in a particular locale by creating a tangible, historical record</w:t>
      </w:r>
      <w:r w:rsidR="00037444">
        <w:t xml:space="preserve"> – in Roger’s case, the Norman colonisation of Sicily</w:t>
      </w:r>
      <w:r w:rsidR="001B4860">
        <w:t>.</w:t>
      </w:r>
      <w:r w:rsidR="00EC65B7">
        <w:rPr>
          <w:rStyle w:val="FootnoteReference"/>
        </w:rPr>
        <w:footnoteReference w:id="3"/>
      </w:r>
      <w:r w:rsidR="00C32113">
        <w:t xml:space="preserve"> The question of as to whether the gesta was commissioned by Roger, or written by Malaterra on his own record can be examined through the understanding modern scholarship has of Malaterra’s </w:t>
      </w:r>
      <w:r w:rsidR="00037444">
        <w:t>presence</w:t>
      </w:r>
      <w:r w:rsidR="00C32113">
        <w:t xml:space="preserve"> in Roger’s court. </w:t>
      </w:r>
      <w:r w:rsidR="00D45693">
        <w:t xml:space="preserve"> Little evidence exists of Malaterra’s </w:t>
      </w:r>
      <w:r w:rsidR="007750B2">
        <w:t xml:space="preserve">origins, or whereabouts before his arrival in Sicily, with the only reference to this being, by Geoffrey’s own words “from somewhere over the mountains” </w:t>
      </w:r>
      <w:r w:rsidR="00AA0003">
        <w:t>– where these mountains are, or the location of the place beyond them is not something that is objectively understood by modern scholarship.</w:t>
      </w:r>
      <w:r w:rsidR="00AA3B11">
        <w:rPr>
          <w:rStyle w:val="FootnoteReference"/>
        </w:rPr>
        <w:footnoteReference w:id="4"/>
      </w:r>
      <w:r w:rsidR="0015660F">
        <w:t xml:space="preserve"> </w:t>
      </w:r>
    </w:p>
    <w:p w:rsidR="00B45132" w:rsidRDefault="0015660F" w:rsidP="002328F2">
      <w:pPr>
        <w:jc w:val="both"/>
      </w:pPr>
      <w:r>
        <w:t xml:space="preserve">Malaterra’s arrival in Sicily, however, can potentially be traced back to Roger’s ecclesiastical building program of the mid-1060s/early 1070s in connection to the </w:t>
      </w:r>
      <w:r w:rsidR="00746E0A">
        <w:t>fact that he was requested by Roger to be placed in the abbey of St. Agatha</w:t>
      </w:r>
      <w:r w:rsidR="00665668">
        <w:t xml:space="preserve"> under the guidance of the abbot Angerius – a fact that is briefly referred to in passing in Malaterra’s prologue</w:t>
      </w:r>
      <w:r w:rsidR="00746E0A">
        <w:t>.</w:t>
      </w:r>
      <w:r w:rsidR="006D7715">
        <w:rPr>
          <w:rStyle w:val="FootnoteReference"/>
        </w:rPr>
        <w:footnoteReference w:id="5"/>
      </w:r>
      <w:r w:rsidR="00665668">
        <w:t xml:space="preserve"> </w:t>
      </w:r>
      <w:r w:rsidR="004002AE">
        <w:t xml:space="preserve"> Conversely, this prologue is important as it outlined not only the relationship Malaterra had with Roger, but al</w:t>
      </w:r>
      <w:r w:rsidR="00037444">
        <w:t>so his intentions as to why he wrote</w:t>
      </w:r>
      <w:r w:rsidR="005C2D1A">
        <w:t xml:space="preserve"> the gesta in the first place.  From what can be observed of the prolo</w:t>
      </w:r>
      <w:r w:rsidR="00207208">
        <w:t>gue, Malaterra wrote the gesta as a favour to Roger in gratitude for the hospitality he had received during his time in Sicily – which, when compared to the pressure Dudo of Sa</w:t>
      </w:r>
      <w:r w:rsidR="007E7F08">
        <w:t>i</w:t>
      </w:r>
      <w:r w:rsidR="00207208">
        <w:t>n</w:t>
      </w:r>
      <w:r w:rsidR="007E7F08">
        <w:t>t</w:t>
      </w:r>
      <w:r w:rsidR="00207208">
        <w:t xml:space="preserve"> Quentin suffered at the hands of his hosts back in Normandy</w:t>
      </w:r>
      <w:r w:rsidR="007E7F08">
        <w:t xml:space="preserve"> when writing </w:t>
      </w:r>
      <w:r w:rsidR="006413A8">
        <w:t xml:space="preserve">the </w:t>
      </w:r>
      <w:r w:rsidR="006413A8" w:rsidRPr="006413A8">
        <w:rPr>
          <w:i/>
        </w:rPr>
        <w:t>Historia</w:t>
      </w:r>
      <w:r w:rsidR="006413A8">
        <w:rPr>
          <w:i/>
        </w:rPr>
        <w:t xml:space="preserve"> Normannum</w:t>
      </w:r>
      <w:r w:rsidR="006413A8">
        <w:t xml:space="preserve"> </w:t>
      </w:r>
      <w:r w:rsidR="002E3343">
        <w:t xml:space="preserve">is </w:t>
      </w:r>
      <w:r w:rsidR="00207208">
        <w:t>(literally) a world of difference.</w:t>
      </w:r>
      <w:r w:rsidR="002E3343">
        <w:t xml:space="preserve"> </w:t>
      </w:r>
      <w:r w:rsidR="006C1B6C">
        <w:t>Malaterra, therefore, is writing out of respect (but not necessarily adulation) for his</w:t>
      </w:r>
      <w:r w:rsidR="00E87CCD">
        <w:t xml:space="preserve"> new liege-lord as opposed to convenience</w:t>
      </w:r>
      <w:r w:rsidR="00362327">
        <w:t>.</w:t>
      </w:r>
      <w:r w:rsidR="003F22FD">
        <w:rPr>
          <w:rStyle w:val="FootnoteReference"/>
        </w:rPr>
        <w:footnoteReference w:id="6"/>
      </w:r>
      <w:r w:rsidR="00CF1BC2">
        <w:t xml:space="preserve"> As such, this meant that Malaterra did not have to force himself to adopt the histrionic tone that underpinned the work of Dudo.</w:t>
      </w:r>
    </w:p>
    <w:p w:rsidR="00832F58" w:rsidRDefault="00B06938" w:rsidP="002328F2">
      <w:pPr>
        <w:jc w:val="both"/>
      </w:pPr>
      <w:r>
        <w:t>This text is composed of two extracts</w:t>
      </w:r>
      <w:r w:rsidR="00A35D64">
        <w:t xml:space="preserve"> – with the first being a candid discussion of i</w:t>
      </w:r>
      <w:r w:rsidR="00E70BB4">
        <w:t xml:space="preserve">ntent and approach by Malaterra. The most significant aspect at play here is the level of self-awareness or agency </w:t>
      </w:r>
      <w:r w:rsidR="005C00D3">
        <w:t xml:space="preserve">that </w:t>
      </w:r>
      <w:r w:rsidR="00E70BB4">
        <w:t>Malaterra is able to demonstrate through h</w:t>
      </w:r>
      <w:r w:rsidR="005C00D3">
        <w:t xml:space="preserve">is </w:t>
      </w:r>
      <w:r w:rsidR="00C50C77">
        <w:t xml:space="preserve">discussion of historiography; and how he </w:t>
      </w:r>
      <w:r w:rsidR="00C50C77">
        <w:lastRenderedPageBreak/>
        <w:t xml:space="preserve">can “fit” the deeds of both Roger and Robert into accepted historical canon. </w:t>
      </w:r>
      <w:r w:rsidR="005C00D3">
        <w:t xml:space="preserve"> </w:t>
      </w:r>
      <w:r w:rsidR="00A924A1">
        <w:t>Malaterra specifically refers to the importance of the narrative histo</w:t>
      </w:r>
      <w:r w:rsidR="00C67B99">
        <w:t xml:space="preserve">ry, in the sense that it performs the essential function of recording the deeds of individuals, and in turn prevents them from falling into obscurity.  His discussion of historiography, particularly of classical tradition however seems to have a far less earnest motivation than what he expressed previously – an example of this being his </w:t>
      </w:r>
      <w:r w:rsidR="004B6F91">
        <w:t xml:space="preserve">namedrop of Sallust. Malaterra not only desires to continue using the style of Sallust to underpin his work, he also has the objective of using the form to the benefit of Roger – by using Sallust’s </w:t>
      </w:r>
      <w:r w:rsidR="004B6F91">
        <w:rPr>
          <w:i/>
        </w:rPr>
        <w:t>Conquest of Gaul</w:t>
      </w:r>
      <w:r w:rsidR="004B6F91">
        <w:t xml:space="preserve"> as a basis, Malaterra </w:t>
      </w:r>
      <w:r w:rsidR="005D3D10">
        <w:t xml:space="preserve">can </w:t>
      </w:r>
      <w:r w:rsidR="004B6F91">
        <w:t>effectively compare Roger to Caesar.</w:t>
      </w:r>
      <w:r w:rsidR="005D3D10">
        <w:rPr>
          <w:rStyle w:val="FootnoteReference"/>
        </w:rPr>
        <w:footnoteReference w:id="7"/>
      </w:r>
      <w:r w:rsidR="004B6F91">
        <w:t xml:space="preserve"> </w:t>
      </w:r>
      <w:r w:rsidR="00D05DE8">
        <w:t>By comparing Roger to Caesar, Malaterra can therefore use this to support Roger’s deeds.</w:t>
      </w:r>
    </w:p>
    <w:p w:rsidR="00832F58" w:rsidRDefault="00832F58" w:rsidP="002328F2">
      <w:pPr>
        <w:jc w:val="both"/>
      </w:pPr>
      <w:r>
        <w:t>The second extract from this text is an ethnographic discussion of the Norman peoples that had begun to colonise Sicily during the mid-late 11</w:t>
      </w:r>
      <w:r w:rsidRPr="00832F58">
        <w:rPr>
          <w:vertAlign w:val="superscript"/>
        </w:rPr>
        <w:t>th</w:t>
      </w:r>
      <w:r>
        <w:t xml:space="preserve"> century, to which Malaterra uses to introduce his “supporting cast”.  Though the deeds of Roger are the core plot in this stor</w:t>
      </w:r>
      <w:r w:rsidR="005E4087">
        <w:t xml:space="preserve">y, it appears that Malaterra desired them to be supported by a strong cast of </w:t>
      </w:r>
      <w:r w:rsidR="00CC3D9D">
        <w:t xml:space="preserve">heroes – and to a lesser extent, villains. Malaterra’s portrayal of these people is somewhat more humanised, in the sense that he seems to describe them in terms that are neither too flattering </w:t>
      </w:r>
      <w:r w:rsidR="009529C0">
        <w:t>n</w:t>
      </w:r>
      <w:r w:rsidR="00CC3D9D">
        <w:t>or</w:t>
      </w:r>
      <w:r w:rsidR="009529C0">
        <w:t xml:space="preserve"> overly</w:t>
      </w:r>
      <w:r w:rsidR="00CC3D9D">
        <w:t xml:space="preserve"> </w:t>
      </w:r>
      <w:r w:rsidR="009529C0">
        <w:t>insulting. This can be observed in his description of these Norman colonisers efforts to culturally enrich themselves in their new environment – and how this serves to satisfy their interest in “fancy clothes”.</w:t>
      </w:r>
      <w:r w:rsidR="009529C0">
        <w:rPr>
          <w:rStyle w:val="FootnoteReference"/>
        </w:rPr>
        <w:footnoteReference w:id="8"/>
      </w:r>
      <w:r w:rsidR="009529C0">
        <w:t xml:space="preserve"> </w:t>
      </w:r>
      <w:r w:rsidR="00023935">
        <w:t xml:space="preserve"> Essentially,</w:t>
      </w:r>
      <w:r w:rsidR="00E43FF9">
        <w:t xml:space="preserve"> Malaterra uses this example to convey that they are an opportunistic people (in the same fashion as their Norse ancestors), and continues this notion by declaring they “are between avarice and  generosity” and as such occupy a morally grey area.  This is a stark contrast to the morally good, pious, Norman peoples that both Dudo, and Amatus of Montecassino (in his </w:t>
      </w:r>
      <w:r w:rsidR="00E43FF9">
        <w:rPr>
          <w:i/>
        </w:rPr>
        <w:t>History of the Normans</w:t>
      </w:r>
      <w:r w:rsidR="00E43FF9">
        <w:t xml:space="preserve">) had chosen to convey in their respective works. </w:t>
      </w:r>
      <w:r w:rsidR="00531863">
        <w:rPr>
          <w:rStyle w:val="FootnoteReference"/>
        </w:rPr>
        <w:footnoteReference w:id="9"/>
      </w:r>
    </w:p>
    <w:p w:rsidR="005B0C6C" w:rsidRDefault="005B0C6C" w:rsidP="002328F2">
      <w:pPr>
        <w:jc w:val="both"/>
      </w:pPr>
    </w:p>
    <w:p w:rsidR="005B0C6C" w:rsidRDefault="005B0C6C">
      <w:r>
        <w:br w:type="page"/>
      </w:r>
    </w:p>
    <w:p w:rsidR="005B0C6C" w:rsidRDefault="009122D0" w:rsidP="002328F2">
      <w:pPr>
        <w:jc w:val="both"/>
        <w:rPr>
          <w:sz w:val="24"/>
        </w:rPr>
      </w:pPr>
      <w:r>
        <w:rPr>
          <w:sz w:val="24"/>
          <w:u w:val="single"/>
        </w:rPr>
        <w:lastRenderedPageBreak/>
        <w:t>Bibliography</w:t>
      </w:r>
    </w:p>
    <w:p w:rsidR="009122D0" w:rsidRPr="009122D0" w:rsidRDefault="009122D0" w:rsidP="009122D0">
      <w:pPr>
        <w:jc w:val="both"/>
      </w:pPr>
      <w:r w:rsidRPr="009122D0">
        <w:t>Hyde, J.K. 1973.</w:t>
      </w:r>
      <w:r w:rsidRPr="009122D0">
        <w:rPr>
          <w:i/>
          <w:iCs/>
        </w:rPr>
        <w:t> Society and Politics in Medieval Italy: The Evolution of Civil Life, 1000 - 1350</w:t>
      </w:r>
      <w:r w:rsidRPr="009122D0">
        <w:t> (London: Macmillan)</w:t>
      </w:r>
    </w:p>
    <w:p w:rsidR="009122D0" w:rsidRPr="009122D0" w:rsidRDefault="009122D0" w:rsidP="009122D0">
      <w:pPr>
        <w:jc w:val="both"/>
      </w:pPr>
      <w:r w:rsidRPr="009122D0">
        <w:t>Theotokis, G. 2010.</w:t>
      </w:r>
      <w:r w:rsidRPr="009122D0">
        <w:rPr>
          <w:i/>
          <w:iCs/>
        </w:rPr>
        <w:t> 'The Norman Invasion of Sicily, 1061-1072: Numbers and Military Tactics'</w:t>
      </w:r>
      <w:r w:rsidRPr="009122D0">
        <w:t>, War in History, 17</w:t>
      </w:r>
      <w:r>
        <w:t>(4)</w:t>
      </w:r>
      <w:r w:rsidRPr="009122D0">
        <w:t>: 381-402</w:t>
      </w:r>
    </w:p>
    <w:p w:rsidR="009122D0" w:rsidRPr="009122D0" w:rsidRDefault="009122D0" w:rsidP="009122D0">
      <w:pPr>
        <w:jc w:val="both"/>
      </w:pPr>
      <w:r w:rsidRPr="009122D0">
        <w:t>Wolf, K.B., 1957. 1995.</w:t>
      </w:r>
      <w:r w:rsidRPr="009122D0">
        <w:rPr>
          <w:i/>
          <w:iCs/>
        </w:rPr>
        <w:t> Making history: The Normans and their historians in eleventh-century Italy</w:t>
      </w:r>
      <w:r w:rsidRPr="009122D0">
        <w:t> (United States: University of Pennsylvan</w:t>
      </w:r>
      <w:bookmarkStart w:id="0" w:name="_GoBack"/>
      <w:bookmarkEnd w:id="0"/>
      <w:r w:rsidRPr="009122D0">
        <w:t>ia Press)</w:t>
      </w:r>
    </w:p>
    <w:p w:rsidR="009122D0" w:rsidRPr="009122D0" w:rsidRDefault="009122D0" w:rsidP="002328F2">
      <w:pPr>
        <w:jc w:val="both"/>
      </w:pPr>
    </w:p>
    <w:p w:rsidR="00832F58" w:rsidRPr="004B6F91" w:rsidRDefault="00832F58" w:rsidP="002328F2">
      <w:pPr>
        <w:jc w:val="both"/>
      </w:pPr>
    </w:p>
    <w:sectPr w:rsidR="00832F58" w:rsidRPr="004B6F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4C2E" w:rsidRDefault="006E4C2E" w:rsidP="006E4C2E">
      <w:pPr>
        <w:spacing w:after="0" w:line="240" w:lineRule="auto"/>
      </w:pPr>
      <w:r>
        <w:separator/>
      </w:r>
    </w:p>
  </w:endnote>
  <w:endnote w:type="continuationSeparator" w:id="0">
    <w:p w:rsidR="006E4C2E" w:rsidRDefault="006E4C2E" w:rsidP="006E4C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4C2E" w:rsidRDefault="006E4C2E" w:rsidP="006E4C2E">
      <w:pPr>
        <w:spacing w:after="0" w:line="240" w:lineRule="auto"/>
      </w:pPr>
      <w:r>
        <w:separator/>
      </w:r>
    </w:p>
  </w:footnote>
  <w:footnote w:type="continuationSeparator" w:id="0">
    <w:p w:rsidR="006E4C2E" w:rsidRDefault="006E4C2E" w:rsidP="006E4C2E">
      <w:pPr>
        <w:spacing w:after="0" w:line="240" w:lineRule="auto"/>
      </w:pPr>
      <w:r>
        <w:continuationSeparator/>
      </w:r>
    </w:p>
  </w:footnote>
  <w:footnote w:id="1">
    <w:p w:rsidR="0080377F" w:rsidRDefault="0080377F">
      <w:pPr>
        <w:pStyle w:val="FootnoteText"/>
      </w:pPr>
      <w:r>
        <w:rPr>
          <w:rStyle w:val="FootnoteReference"/>
        </w:rPr>
        <w:footnoteRef/>
      </w:r>
      <w:r>
        <w:t xml:space="preserve"> </w:t>
      </w:r>
      <w:r w:rsidRPr="0080377F">
        <w:t>Theotokis, G. 2010.</w:t>
      </w:r>
      <w:r w:rsidRPr="0080377F">
        <w:rPr>
          <w:i/>
          <w:iCs/>
        </w:rPr>
        <w:t> 'The Norman Invasion of Sicily, 1061-1072: Numbers and Military Tactics'</w:t>
      </w:r>
      <w:r>
        <w:t>, War in History, 17 (4),</w:t>
      </w:r>
      <w:r w:rsidRPr="0080377F">
        <w:t xml:space="preserve"> </w:t>
      </w:r>
      <w:r>
        <w:t>pp383</w:t>
      </w:r>
      <w:r w:rsidR="00DE1084">
        <w:t xml:space="preserve">, </w:t>
      </w:r>
      <w:r w:rsidR="00DE1084" w:rsidRPr="005B0C6C">
        <w:t>Hyde, J.K. 1973.</w:t>
      </w:r>
      <w:r w:rsidR="00DE1084" w:rsidRPr="005B0C6C">
        <w:rPr>
          <w:i/>
          <w:iCs/>
        </w:rPr>
        <w:t> Society and Politics in Medieval Italy: The Evolution of Civil Life, 1000 - 1350</w:t>
      </w:r>
      <w:r w:rsidR="00DE1084" w:rsidRPr="005B0C6C">
        <w:t> (London: Macmillan)</w:t>
      </w:r>
      <w:r w:rsidR="00DE1084">
        <w:t>, pp39</w:t>
      </w:r>
    </w:p>
  </w:footnote>
  <w:footnote w:id="2">
    <w:p w:rsidR="006E4C2E" w:rsidRDefault="006E4C2E">
      <w:pPr>
        <w:pStyle w:val="FootnoteText"/>
      </w:pPr>
      <w:r>
        <w:rPr>
          <w:rStyle w:val="FootnoteReference"/>
        </w:rPr>
        <w:footnoteRef/>
      </w:r>
      <w:r>
        <w:t xml:space="preserve"> </w:t>
      </w:r>
      <w:r w:rsidR="00AA0003">
        <w:t>Wolf, K.B.,</w:t>
      </w:r>
      <w:r w:rsidRPr="006E4C2E">
        <w:t xml:space="preserve"> 1995.</w:t>
      </w:r>
      <w:r w:rsidRPr="006E4C2E">
        <w:rPr>
          <w:i/>
          <w:iCs/>
        </w:rPr>
        <w:t xml:space="preserve"> Making </w:t>
      </w:r>
      <w:r w:rsidR="0093039D" w:rsidRPr="006E4C2E">
        <w:rPr>
          <w:i/>
          <w:iCs/>
        </w:rPr>
        <w:t>history:</w:t>
      </w:r>
      <w:r w:rsidRPr="006E4C2E">
        <w:rPr>
          <w:i/>
          <w:iCs/>
        </w:rPr>
        <w:t xml:space="preserve"> </w:t>
      </w:r>
      <w:r w:rsidR="0093039D" w:rsidRPr="006E4C2E">
        <w:rPr>
          <w:i/>
          <w:iCs/>
        </w:rPr>
        <w:t>The</w:t>
      </w:r>
      <w:r w:rsidRPr="006E4C2E">
        <w:rPr>
          <w:i/>
          <w:iCs/>
        </w:rPr>
        <w:t xml:space="preserve"> Normans and their historians in eleventh-century Italy</w:t>
      </w:r>
      <w:r w:rsidRPr="006E4C2E">
        <w:t> (United States: University of Pennsylvania Press)</w:t>
      </w:r>
      <w:r>
        <w:t>, pp142</w:t>
      </w:r>
      <w:r w:rsidR="00DE1084">
        <w:t>, Hyde, J.K., 1973, pp40</w:t>
      </w:r>
    </w:p>
  </w:footnote>
  <w:footnote w:id="3">
    <w:p w:rsidR="00EC65B7" w:rsidRDefault="00EC65B7">
      <w:pPr>
        <w:pStyle w:val="FootnoteText"/>
      </w:pPr>
      <w:r>
        <w:rPr>
          <w:rStyle w:val="FootnoteReference"/>
        </w:rPr>
        <w:footnoteRef/>
      </w:r>
      <w:r>
        <w:t xml:space="preserve"> Wolf, K.B</w:t>
      </w:r>
      <w:r w:rsidR="00766BB7">
        <w:t>.</w:t>
      </w:r>
      <w:r>
        <w:t>, 1995, pp140</w:t>
      </w:r>
      <w:r w:rsidR="005B0C6C">
        <w:t xml:space="preserve">, </w:t>
      </w:r>
    </w:p>
  </w:footnote>
  <w:footnote w:id="4">
    <w:p w:rsidR="00AA3B11" w:rsidRDefault="00AA3B11">
      <w:pPr>
        <w:pStyle w:val="FootnoteText"/>
      </w:pPr>
      <w:r>
        <w:rPr>
          <w:rStyle w:val="FootnoteReference"/>
        </w:rPr>
        <w:footnoteRef/>
      </w:r>
      <w:r>
        <w:t xml:space="preserve"> Wolf, K.B., 1995, pp142</w:t>
      </w:r>
    </w:p>
  </w:footnote>
  <w:footnote w:id="5">
    <w:p w:rsidR="006D7715" w:rsidRDefault="006D7715">
      <w:pPr>
        <w:pStyle w:val="FootnoteText"/>
      </w:pPr>
      <w:r>
        <w:rPr>
          <w:rStyle w:val="FootnoteReference"/>
        </w:rPr>
        <w:footnoteRef/>
      </w:r>
      <w:r>
        <w:t xml:space="preserve"> Wolf, K.B., 1995, pp143</w:t>
      </w:r>
    </w:p>
  </w:footnote>
  <w:footnote w:id="6">
    <w:p w:rsidR="003F22FD" w:rsidRDefault="003F22FD">
      <w:pPr>
        <w:pStyle w:val="FootnoteText"/>
      </w:pPr>
      <w:r>
        <w:rPr>
          <w:rStyle w:val="FootnoteReference"/>
        </w:rPr>
        <w:footnoteRef/>
      </w:r>
      <w:r>
        <w:t xml:space="preserve"> Theotokis, G. 2010, pp384</w:t>
      </w:r>
      <w:r w:rsidR="00362327">
        <w:t>, Wolf, K.B., 1995</w:t>
      </w:r>
      <w:r w:rsidR="004B43C0">
        <w:t>, pp143</w:t>
      </w:r>
      <w:r w:rsidR="004D48E2">
        <w:t>, Hyde, J.K., 1973, pp40</w:t>
      </w:r>
    </w:p>
  </w:footnote>
  <w:footnote w:id="7">
    <w:p w:rsidR="005D3D10" w:rsidRDefault="005D3D10">
      <w:pPr>
        <w:pStyle w:val="FootnoteText"/>
      </w:pPr>
      <w:r>
        <w:rPr>
          <w:rStyle w:val="FootnoteReference"/>
        </w:rPr>
        <w:footnoteRef/>
      </w:r>
      <w:r>
        <w:t xml:space="preserve"> </w:t>
      </w:r>
      <w:r w:rsidR="00B17EEE">
        <w:t>Wolf, K.B., 1995, pp144</w:t>
      </w:r>
    </w:p>
  </w:footnote>
  <w:footnote w:id="8">
    <w:p w:rsidR="009529C0" w:rsidRDefault="009529C0">
      <w:pPr>
        <w:pStyle w:val="FootnoteText"/>
      </w:pPr>
      <w:r>
        <w:rPr>
          <w:rStyle w:val="FootnoteReference"/>
        </w:rPr>
        <w:footnoteRef/>
      </w:r>
      <w:r>
        <w:t xml:space="preserve"> Wolf, K.B., 1995, pp145</w:t>
      </w:r>
    </w:p>
  </w:footnote>
  <w:footnote w:id="9">
    <w:p w:rsidR="00531863" w:rsidRDefault="00531863">
      <w:pPr>
        <w:pStyle w:val="FootnoteText"/>
      </w:pPr>
      <w:r>
        <w:rPr>
          <w:rStyle w:val="FootnoteReference"/>
        </w:rPr>
        <w:footnoteRef/>
      </w:r>
      <w:r>
        <w:t xml:space="preserve"> Wolf, K.B., 1995, pp145, Theotokis, G., 2010</w:t>
      </w:r>
      <w:r w:rsidR="003E4C43">
        <w:t xml:space="preserve"> pp385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281E"/>
    <w:rsid w:val="00023935"/>
    <w:rsid w:val="00037444"/>
    <w:rsid w:val="0015660F"/>
    <w:rsid w:val="001B4860"/>
    <w:rsid w:val="00207208"/>
    <w:rsid w:val="002328F2"/>
    <w:rsid w:val="002E3343"/>
    <w:rsid w:val="00362327"/>
    <w:rsid w:val="003B281E"/>
    <w:rsid w:val="003E4C43"/>
    <w:rsid w:val="003F22FD"/>
    <w:rsid w:val="003F7C7F"/>
    <w:rsid w:val="004002AE"/>
    <w:rsid w:val="004B43C0"/>
    <w:rsid w:val="004B6F91"/>
    <w:rsid w:val="004D48E2"/>
    <w:rsid w:val="004F00E1"/>
    <w:rsid w:val="00531863"/>
    <w:rsid w:val="0053758F"/>
    <w:rsid w:val="005B0C6C"/>
    <w:rsid w:val="005B576D"/>
    <w:rsid w:val="005C00D3"/>
    <w:rsid w:val="005C2D1A"/>
    <w:rsid w:val="005D3D10"/>
    <w:rsid w:val="005E4087"/>
    <w:rsid w:val="006413A8"/>
    <w:rsid w:val="00665668"/>
    <w:rsid w:val="006C1B6C"/>
    <w:rsid w:val="006C1F09"/>
    <w:rsid w:val="006D7715"/>
    <w:rsid w:val="006E4C2E"/>
    <w:rsid w:val="0074061E"/>
    <w:rsid w:val="00746E0A"/>
    <w:rsid w:val="00766BB7"/>
    <w:rsid w:val="007750B2"/>
    <w:rsid w:val="007E7F08"/>
    <w:rsid w:val="0080377F"/>
    <w:rsid w:val="00832F58"/>
    <w:rsid w:val="009122D0"/>
    <w:rsid w:val="0093039D"/>
    <w:rsid w:val="009529C0"/>
    <w:rsid w:val="00A35D64"/>
    <w:rsid w:val="00A924A1"/>
    <w:rsid w:val="00AA0003"/>
    <w:rsid w:val="00AA3B11"/>
    <w:rsid w:val="00B06938"/>
    <w:rsid w:val="00B17EEE"/>
    <w:rsid w:val="00B45132"/>
    <w:rsid w:val="00B60782"/>
    <w:rsid w:val="00B65434"/>
    <w:rsid w:val="00C32113"/>
    <w:rsid w:val="00C50C77"/>
    <w:rsid w:val="00C67B99"/>
    <w:rsid w:val="00CC3D9D"/>
    <w:rsid w:val="00CF1BC2"/>
    <w:rsid w:val="00D05DE8"/>
    <w:rsid w:val="00D45693"/>
    <w:rsid w:val="00DE1084"/>
    <w:rsid w:val="00DF0EAB"/>
    <w:rsid w:val="00E43FF9"/>
    <w:rsid w:val="00E70BB4"/>
    <w:rsid w:val="00E72443"/>
    <w:rsid w:val="00E87CCD"/>
    <w:rsid w:val="00EC65B7"/>
    <w:rsid w:val="00EC7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4C3D4"/>
  <w15:docId w15:val="{DAE3FD1A-F036-4694-9832-6D06E8EA0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E4C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E4C2E"/>
    <w:rPr>
      <w:sz w:val="20"/>
      <w:szCs w:val="20"/>
    </w:rPr>
  </w:style>
  <w:style w:type="character" w:styleId="FootnoteReference">
    <w:name w:val="footnote reference"/>
    <w:basedOn w:val="DefaultParagraphFont"/>
    <w:uiPriority w:val="99"/>
    <w:semiHidden/>
    <w:unhideWhenUsed/>
    <w:rsid w:val="006E4C2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902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19BBDF-DCE0-423B-9555-6D616829EA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3</Pages>
  <Words>866</Words>
  <Characters>4942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Vincent Hingley (1501141)</dc:creator>
  <cp:lastModifiedBy>Vincent Hingley (1501141)</cp:lastModifiedBy>
  <cp:revision>43</cp:revision>
  <dcterms:created xsi:type="dcterms:W3CDTF">2017-11-02T14:53:00Z</dcterms:created>
  <dcterms:modified xsi:type="dcterms:W3CDTF">2017-11-03T14:36:00Z</dcterms:modified>
</cp:coreProperties>
</file>