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4A21" w:rsidRPr="0011279A" w:rsidRDefault="00014A21" w:rsidP="00014A21">
      <w:pPr>
        <w:pStyle w:val="Title"/>
        <w:rPr>
          <w:rFonts w:ascii="Arial" w:hAnsi="Arial" w:cs="Arial"/>
        </w:rPr>
      </w:pPr>
      <w:r w:rsidRPr="0011279A">
        <w:rPr>
          <w:rFonts w:ascii="Arial" w:hAnsi="Arial" w:cs="Arial"/>
        </w:rPr>
        <w:t>CONTRACT LAW</w:t>
      </w:r>
    </w:p>
    <w:p w:rsidR="00014A21" w:rsidRPr="0011279A" w:rsidRDefault="00014A21" w:rsidP="00014A21">
      <w:pPr>
        <w:pStyle w:val="Heading2"/>
        <w:rPr>
          <w:rFonts w:ascii="Arial" w:hAnsi="Arial" w:cs="Arial"/>
        </w:rPr>
      </w:pPr>
      <w:r w:rsidRPr="0011279A">
        <w:rPr>
          <w:rFonts w:ascii="Arial" w:hAnsi="Arial" w:cs="Arial"/>
        </w:rPr>
        <w:t>wHAT IS A Contract?</w:t>
      </w:r>
    </w:p>
    <w:p w:rsidR="00014A21" w:rsidRPr="0011279A" w:rsidRDefault="00014A21" w:rsidP="00014A21">
      <w:pPr>
        <w:rPr>
          <w:rFonts w:ascii="Arial" w:hAnsi="Arial" w:cs="Arial"/>
        </w:rPr>
      </w:pPr>
      <w:r w:rsidRPr="0011279A">
        <w:rPr>
          <w:rFonts w:ascii="Arial" w:hAnsi="Arial" w:cs="Arial"/>
        </w:rPr>
        <w:t>A contract is a legally binding agreement – written or spoken - between two or more parties that is used as a tool to ensure the delivery of a service, the providing of a product or commitment of an act. They provide reassurance between two parties and underpins the legal requirements for all the relevant persons.  They aid in the protection of all parties involved; however, all should be clear on the contractual implications and fully understand the fundamentals which made the contract valid.</w:t>
      </w:r>
    </w:p>
    <w:p w:rsidR="00014A21" w:rsidRPr="0011279A" w:rsidRDefault="00014A21" w:rsidP="00014A21">
      <w:pPr>
        <w:rPr>
          <w:rFonts w:ascii="Arial" w:hAnsi="Arial" w:cs="Arial"/>
        </w:rPr>
      </w:pPr>
    </w:p>
    <w:p w:rsidR="00014A21" w:rsidRPr="0011279A" w:rsidRDefault="00014A21" w:rsidP="00014A21">
      <w:pPr>
        <w:pStyle w:val="Heading2"/>
        <w:rPr>
          <w:rFonts w:ascii="Arial" w:hAnsi="Arial" w:cs="Arial"/>
        </w:rPr>
      </w:pPr>
      <w:r w:rsidRPr="0011279A">
        <w:rPr>
          <w:rFonts w:ascii="Arial" w:hAnsi="Arial" w:cs="Arial"/>
        </w:rPr>
        <w:t>Fundamentals of a Contract</w:t>
      </w:r>
    </w:p>
    <w:p w:rsidR="00014A21" w:rsidRPr="0011279A" w:rsidRDefault="00014A21" w:rsidP="00014A21">
      <w:pPr>
        <w:rPr>
          <w:rFonts w:ascii="Arial" w:hAnsi="Arial" w:cs="Arial"/>
        </w:rPr>
      </w:pPr>
      <w:r w:rsidRPr="0011279A">
        <w:rPr>
          <w:rFonts w:ascii="Arial" w:hAnsi="Arial" w:cs="Arial"/>
        </w:rPr>
        <w:t xml:space="preserve">For a contract to be valid, there are primarily three essential elements required; agreement, consideration and legal intent. </w:t>
      </w:r>
    </w:p>
    <w:p w:rsidR="00014A21" w:rsidRPr="0011279A" w:rsidRDefault="00014A21" w:rsidP="00014A21">
      <w:pPr>
        <w:rPr>
          <w:rFonts w:ascii="Arial" w:hAnsi="Arial" w:cs="Arial"/>
          <w:u w:val="single"/>
        </w:rPr>
      </w:pPr>
      <w:r w:rsidRPr="0011279A">
        <w:rPr>
          <w:rFonts w:ascii="Arial" w:hAnsi="Arial" w:cs="Arial"/>
          <w:u w:val="single"/>
        </w:rPr>
        <w:t>Agreement</w:t>
      </w:r>
    </w:p>
    <w:p w:rsidR="00014A21" w:rsidRPr="0011279A" w:rsidRDefault="00014A21" w:rsidP="00014A21">
      <w:pPr>
        <w:rPr>
          <w:rFonts w:ascii="Arial" w:hAnsi="Arial" w:cs="Arial"/>
        </w:rPr>
      </w:pPr>
      <w:r w:rsidRPr="0011279A">
        <w:rPr>
          <w:rFonts w:ascii="Arial" w:hAnsi="Arial" w:cs="Arial"/>
        </w:rPr>
        <w:t>A contract will only come into effect when one party (the offeror) makes an offer, and another accepts (offeree).  An ‘offer’ is an expression of willingness to contract on the specified terms, made with the intention that once accepted, is legally binding. Offers can be made expressly or by conduct. They are addressed to either a single person, a specific party or the world at large – for example, a reward poster for a lost pet would be an offer to the world at large. Should the offeree be in acceptance of such offer, then the offeror is legally binding. Without the above in place, then the contract will as a result, be void with no legal binding.</w:t>
      </w:r>
      <w:r>
        <w:rPr>
          <w:rFonts w:ascii="Arial" w:hAnsi="Arial" w:cs="Arial"/>
        </w:rPr>
        <w:t xml:space="preserve"> </w:t>
      </w:r>
      <w:r>
        <w:rPr>
          <w:rFonts w:ascii="Open Sans" w:hAnsi="Open Sans" w:cs="Open Sans"/>
          <w:color w:val="000000"/>
          <w:sz w:val="20"/>
          <w:szCs w:val="20"/>
          <w:shd w:val="clear" w:color="auto" w:fill="FFFFFF"/>
        </w:rPr>
        <w:t>(A4id.org, 2020)</w:t>
      </w:r>
      <w:r w:rsidRPr="0011279A">
        <w:rPr>
          <w:rFonts w:ascii="Arial" w:hAnsi="Arial" w:cs="Arial"/>
        </w:rPr>
        <w:t xml:space="preserve"> </w:t>
      </w:r>
    </w:p>
    <w:p w:rsidR="00014A21" w:rsidRPr="0011279A" w:rsidRDefault="00014A21" w:rsidP="00014A21">
      <w:pPr>
        <w:rPr>
          <w:rFonts w:ascii="Arial" w:hAnsi="Arial" w:cs="Arial"/>
        </w:rPr>
      </w:pPr>
      <w:r w:rsidRPr="0011279A">
        <w:rPr>
          <w:rFonts w:ascii="Arial" w:hAnsi="Arial" w:cs="Arial"/>
        </w:rPr>
        <w:t xml:space="preserve">Offers </w:t>
      </w:r>
      <w:r w:rsidRPr="0011279A">
        <w:rPr>
          <w:rFonts w:ascii="Arial" w:hAnsi="Arial" w:cs="Arial"/>
          <w:i/>
          <w:iCs/>
        </w:rPr>
        <w:t>must</w:t>
      </w:r>
      <w:r w:rsidRPr="0011279A">
        <w:rPr>
          <w:rFonts w:ascii="Arial" w:hAnsi="Arial" w:cs="Arial"/>
        </w:rPr>
        <w:t xml:space="preserve"> be distinguished from an invitation to treat, where a person or party does not make an offer themselves, however, invites another party to do so. This invitation promotes parties to enter into negotiations with the outcome of developing an offer. The reasoning for distinguishing the two is highlighted in the case study below:</w:t>
      </w:r>
    </w:p>
    <w:p w:rsidR="00014A21" w:rsidRPr="0011279A" w:rsidRDefault="00014A21" w:rsidP="00014A21">
      <w:pPr>
        <w:rPr>
          <w:rFonts w:ascii="Arial" w:hAnsi="Arial" w:cs="Arial"/>
          <w:u w:val="single"/>
        </w:rPr>
      </w:pPr>
    </w:p>
    <w:p w:rsidR="00014A21" w:rsidRPr="0011279A" w:rsidRDefault="00014A21" w:rsidP="00014A21">
      <w:pPr>
        <w:rPr>
          <w:rFonts w:ascii="Arial" w:hAnsi="Arial" w:cs="Arial"/>
          <w:u w:val="single"/>
        </w:rPr>
      </w:pPr>
    </w:p>
    <w:p w:rsidR="00014A21" w:rsidRDefault="00014A21" w:rsidP="00014A21">
      <w:pPr>
        <w:rPr>
          <w:rFonts w:ascii="Arial" w:hAnsi="Arial" w:cs="Arial"/>
          <w:u w:val="single"/>
        </w:rPr>
      </w:pPr>
    </w:p>
    <w:p w:rsidR="00014A21" w:rsidRDefault="00014A21" w:rsidP="00014A21">
      <w:pPr>
        <w:rPr>
          <w:rFonts w:ascii="Arial" w:hAnsi="Arial" w:cs="Arial"/>
          <w:u w:val="single"/>
        </w:rPr>
      </w:pPr>
    </w:p>
    <w:p w:rsidR="00014A21" w:rsidRPr="0011279A" w:rsidRDefault="00014A21" w:rsidP="00014A21">
      <w:pPr>
        <w:rPr>
          <w:rFonts w:ascii="Arial" w:hAnsi="Arial" w:cs="Arial"/>
          <w:u w:val="single"/>
        </w:rPr>
      </w:pPr>
    </w:p>
    <w:p w:rsidR="00014A21" w:rsidRPr="0011279A" w:rsidRDefault="00014A21" w:rsidP="00014A21">
      <w:pPr>
        <w:rPr>
          <w:rFonts w:ascii="Arial" w:hAnsi="Arial" w:cs="Arial"/>
          <w:u w:val="single"/>
        </w:rPr>
      </w:pPr>
    </w:p>
    <w:p w:rsidR="00014A21" w:rsidRPr="0011279A" w:rsidRDefault="00014A21" w:rsidP="00014A21">
      <w:pPr>
        <w:rPr>
          <w:rFonts w:ascii="Arial" w:hAnsi="Arial" w:cs="Arial"/>
          <w:u w:val="single"/>
        </w:rPr>
      </w:pPr>
    </w:p>
    <w:p w:rsidR="00014A21" w:rsidRPr="0011279A" w:rsidRDefault="00014A21" w:rsidP="00014A21">
      <w:pPr>
        <w:rPr>
          <w:rFonts w:ascii="Arial" w:hAnsi="Arial" w:cs="Arial"/>
          <w:i/>
        </w:rPr>
      </w:pPr>
      <w:r w:rsidRPr="0011279A">
        <w:rPr>
          <w:rFonts w:ascii="Arial" w:hAnsi="Arial" w:cs="Arial"/>
          <w:i/>
        </w:rPr>
        <w:t>Continued…/</w:t>
      </w:r>
    </w:p>
    <w:p w:rsidR="00014A21" w:rsidRPr="0011279A" w:rsidRDefault="00014A21" w:rsidP="00014A21">
      <w:pPr>
        <w:rPr>
          <w:rFonts w:ascii="Arial" w:hAnsi="Arial" w:cs="Arial"/>
          <w:u w:val="single"/>
        </w:rPr>
      </w:pPr>
      <w:r w:rsidRPr="0011279A">
        <w:rPr>
          <w:rFonts w:ascii="Arial" w:hAnsi="Arial" w:cs="Arial"/>
          <w:u w:val="single"/>
        </w:rPr>
        <w:t>Table 1. Case Study: Chapelton v Barry Urban District Council [1940]</w:t>
      </w:r>
    </w:p>
    <w:tbl>
      <w:tblPr>
        <w:tblStyle w:val="TableGrid"/>
        <w:tblW w:w="8926" w:type="dxa"/>
        <w:tblLook w:val="04A0" w:firstRow="1" w:lastRow="0" w:firstColumn="1" w:lastColumn="0" w:noHBand="0" w:noVBand="1"/>
      </w:tblPr>
      <w:tblGrid>
        <w:gridCol w:w="3681"/>
        <w:gridCol w:w="5245"/>
      </w:tblGrid>
      <w:tr w:rsidR="00014A21" w:rsidRPr="0011279A" w:rsidTr="002822DF">
        <w:tc>
          <w:tcPr>
            <w:tcW w:w="3681" w:type="dxa"/>
          </w:tcPr>
          <w:p w:rsidR="00014A21" w:rsidRPr="0011279A" w:rsidRDefault="00014A21" w:rsidP="002822DF">
            <w:pPr>
              <w:rPr>
                <w:rFonts w:ascii="Arial" w:hAnsi="Arial" w:cs="Arial"/>
                <w:b/>
                <w:bCs/>
              </w:rPr>
            </w:pPr>
            <w:r w:rsidRPr="0011279A">
              <w:rPr>
                <w:rFonts w:ascii="Arial" w:hAnsi="Arial" w:cs="Arial"/>
                <w:b/>
                <w:bCs/>
              </w:rPr>
              <w:lastRenderedPageBreak/>
              <w:t>Description of Case</w:t>
            </w:r>
          </w:p>
        </w:tc>
        <w:tc>
          <w:tcPr>
            <w:tcW w:w="5245" w:type="dxa"/>
          </w:tcPr>
          <w:p w:rsidR="00014A21" w:rsidRPr="0011279A" w:rsidRDefault="00014A21" w:rsidP="002822DF">
            <w:pPr>
              <w:rPr>
                <w:rFonts w:ascii="Arial" w:hAnsi="Arial" w:cs="Arial"/>
                <w:b/>
                <w:bCs/>
              </w:rPr>
            </w:pPr>
            <w:r w:rsidRPr="0011279A">
              <w:rPr>
                <w:rFonts w:ascii="Arial" w:hAnsi="Arial" w:cs="Arial"/>
                <w:b/>
                <w:bCs/>
              </w:rPr>
              <w:t>Conclusion</w:t>
            </w:r>
          </w:p>
        </w:tc>
      </w:tr>
      <w:tr w:rsidR="00014A21" w:rsidRPr="0011279A" w:rsidTr="002822DF">
        <w:tc>
          <w:tcPr>
            <w:tcW w:w="3681" w:type="dxa"/>
          </w:tcPr>
          <w:p w:rsidR="00014A21" w:rsidRPr="0011279A" w:rsidRDefault="00014A21" w:rsidP="002822DF">
            <w:pPr>
              <w:rPr>
                <w:rFonts w:ascii="Arial" w:hAnsi="Arial" w:cs="Arial"/>
              </w:rPr>
            </w:pPr>
            <w:r w:rsidRPr="0011279A">
              <w:rPr>
                <w:rFonts w:ascii="Arial" w:hAnsi="Arial" w:cs="Arial"/>
              </w:rPr>
              <w:t>Chapelton approached a display of deckchairs at a local beach with the intention of hiring. The notice adjacent to the display stated that Chapelton was to purchase a ticket in order to do so. Barry Urban District Council (BUDC) had caveated their tickets by purporting to exclude any liability for any accidents caused by the hiring of the chairs. Chapelton proceeded to buy his tickets, but as he sat down to use the chair, fell through the canvas. He sought damages from BUDC.</w:t>
            </w:r>
            <w:r>
              <w:rPr>
                <w:rFonts w:ascii="Arial" w:hAnsi="Arial" w:cs="Arial"/>
              </w:rPr>
              <w:t xml:space="preserve"> </w:t>
            </w:r>
            <w:r>
              <w:rPr>
                <w:rFonts w:ascii="Open Sans" w:hAnsi="Open Sans" w:cs="Open Sans"/>
                <w:color w:val="000000"/>
                <w:sz w:val="20"/>
                <w:szCs w:val="20"/>
                <w:shd w:val="clear" w:color="auto" w:fill="FFFFFF"/>
              </w:rPr>
              <w:t>(Lawteacher.net, 2020)</w:t>
            </w:r>
          </w:p>
        </w:tc>
        <w:tc>
          <w:tcPr>
            <w:tcW w:w="5245" w:type="dxa"/>
          </w:tcPr>
          <w:p w:rsidR="00014A21" w:rsidRPr="0011279A" w:rsidRDefault="00014A21" w:rsidP="002822DF">
            <w:pPr>
              <w:rPr>
                <w:rFonts w:ascii="Arial" w:hAnsi="Arial" w:cs="Arial"/>
              </w:rPr>
            </w:pPr>
            <w:r w:rsidRPr="0011279A">
              <w:rPr>
                <w:rFonts w:ascii="Arial" w:hAnsi="Arial" w:cs="Arial"/>
              </w:rPr>
              <w:t xml:space="preserve">At face value, there was an invitation to treat; however, the presentation of the deckchairs for hire constituted an offer which could be accepted by taking a chair and sitting on it. BUDC argued that they had excluded any liability with their caveated ticket. However, Chapelton argued that he was not given sufficient notice of the clauses printed on the ticket; therefore he was not bound by them. BUDC’s downfall was that the notice adjacent to the deckchairs – which they claim to be an invitation to treat – did not state the exclusion clause. They argued that the ticket given was not a receipt, but it amounted to a written contract binding the two parties. The courts ruling, however, went in Chapeltons favour stating that the notice had acted as the ‘offer’ and the ticket a receipt of acceptance. The conditions by which BUDC were held to have offered the chairs for hire were those contained in the notice and not the clauses stated on the ticket. </w:t>
            </w:r>
            <w:r>
              <w:rPr>
                <w:rFonts w:ascii="Open Sans" w:hAnsi="Open Sans" w:cs="Open Sans"/>
                <w:color w:val="000000"/>
                <w:sz w:val="20"/>
                <w:szCs w:val="20"/>
                <w:shd w:val="clear" w:color="auto" w:fill="FFFFFF"/>
              </w:rPr>
              <w:t>(Lawteacher.net, 2020)</w:t>
            </w:r>
          </w:p>
          <w:p w:rsidR="00014A21" w:rsidRPr="0011279A" w:rsidRDefault="00014A21" w:rsidP="002822DF">
            <w:pPr>
              <w:rPr>
                <w:rFonts w:ascii="Arial" w:hAnsi="Arial" w:cs="Arial"/>
              </w:rPr>
            </w:pPr>
            <w:r>
              <w:rPr>
                <w:rFonts w:ascii="Arial" w:hAnsi="Arial" w:cs="Arial"/>
              </w:rPr>
              <w:t xml:space="preserve"> </w:t>
            </w:r>
          </w:p>
        </w:tc>
      </w:tr>
    </w:tbl>
    <w:p w:rsidR="00014A21" w:rsidRDefault="00014A21" w:rsidP="00014A21">
      <w:pPr>
        <w:rPr>
          <w:rFonts w:ascii="Arial" w:hAnsi="Arial" w:cs="Arial"/>
        </w:rPr>
      </w:pPr>
      <w:bookmarkStart w:id="0" w:name="_Hlk33281226"/>
    </w:p>
    <w:p w:rsidR="00014A21" w:rsidRPr="0011279A" w:rsidRDefault="00014A21" w:rsidP="00014A21">
      <w:pPr>
        <w:rPr>
          <w:rFonts w:ascii="Arial" w:hAnsi="Arial" w:cs="Arial"/>
          <w:u w:val="single"/>
        </w:rPr>
      </w:pPr>
      <w:r w:rsidRPr="0011279A">
        <w:rPr>
          <w:rFonts w:ascii="Arial" w:hAnsi="Arial" w:cs="Arial"/>
          <w:u w:val="single"/>
        </w:rPr>
        <w:t>Consideration</w:t>
      </w:r>
    </w:p>
    <w:p w:rsidR="00014A21" w:rsidRPr="0011279A" w:rsidRDefault="00014A21" w:rsidP="00014A21">
      <w:pPr>
        <w:rPr>
          <w:rFonts w:ascii="Arial" w:hAnsi="Arial" w:cs="Arial"/>
        </w:rPr>
      </w:pPr>
      <w:r w:rsidRPr="0011279A">
        <w:rPr>
          <w:rFonts w:ascii="Arial" w:hAnsi="Arial" w:cs="Arial"/>
        </w:rPr>
        <w:t xml:space="preserve">The word ‘consideration’ in contract law refers to something that has value in the eyes of the law. It is the benefit that each party receives – or expects to receive - from their contractual deal. The exchange of consideration creates a benefit and a burden for each party entering the contract. Therefore, it is essential in the development of a contract and is required for said contract to be legally binding. In contract law, it states that “Consideration must move from the promise”. Therefore; if there is a ‘promisee’, then there must already be a promisor. Once a promise is made, then this is sufficient enough to form a contract (providing that other elements have been satisfied). Once the promisee promises to do something, a legally binding contract is formed. </w:t>
      </w:r>
      <w:bookmarkEnd w:id="0"/>
      <w:r w:rsidRPr="0011279A">
        <w:rPr>
          <w:rFonts w:ascii="Arial" w:hAnsi="Arial" w:cs="Arial"/>
        </w:rPr>
        <w:t xml:space="preserve">Without consideration, the contract is not legally binding and is therefore void – with the exception of a speciality contract. </w:t>
      </w:r>
      <w:r>
        <w:rPr>
          <w:rFonts w:ascii="Open Sans" w:hAnsi="Open Sans" w:cs="Open Sans"/>
          <w:color w:val="000000"/>
          <w:sz w:val="20"/>
          <w:szCs w:val="20"/>
          <w:shd w:val="clear" w:color="auto" w:fill="FFFFFF"/>
        </w:rPr>
        <w:t>(Hall Ellis Solicitors, 2020)</w:t>
      </w:r>
    </w:p>
    <w:p w:rsidR="00014A21" w:rsidRPr="0011279A" w:rsidRDefault="00014A21" w:rsidP="00014A21">
      <w:pPr>
        <w:rPr>
          <w:rStyle w:val="Hyperlink"/>
          <w:rFonts w:ascii="Arial" w:hAnsi="Arial" w:cs="Arial"/>
        </w:rPr>
      </w:pPr>
      <w:r w:rsidRPr="0011279A">
        <w:rPr>
          <w:rFonts w:ascii="Arial" w:hAnsi="Arial" w:cs="Arial"/>
        </w:rPr>
        <w:t>There are several types of considerations in contract law. A promise can be made to;</w:t>
      </w:r>
      <w:r w:rsidRPr="0011279A">
        <w:rPr>
          <w:rStyle w:val="Hyperlink"/>
          <w:rFonts w:ascii="Arial" w:hAnsi="Arial" w:cs="Arial"/>
        </w:rPr>
        <w:t xml:space="preserve"> do something, to refrain from doing something or to pay money to the other contracting party. Consideration can be classified as one of two types: </w:t>
      </w:r>
    </w:p>
    <w:p w:rsidR="00014A21" w:rsidRPr="0011279A" w:rsidRDefault="00014A21" w:rsidP="00014A21">
      <w:pPr>
        <w:pStyle w:val="ListParagraph"/>
        <w:numPr>
          <w:ilvl w:val="0"/>
          <w:numId w:val="1"/>
        </w:numPr>
        <w:rPr>
          <w:rStyle w:val="Hyperlink"/>
          <w:rFonts w:ascii="Arial" w:hAnsi="Arial" w:cs="Arial"/>
          <w:color w:val="595959" w:themeColor="text1" w:themeTint="A6"/>
        </w:rPr>
      </w:pPr>
      <w:r w:rsidRPr="0011279A">
        <w:rPr>
          <w:rStyle w:val="Hyperlink"/>
          <w:rFonts w:ascii="Arial" w:hAnsi="Arial" w:cs="Arial"/>
          <w:color w:val="595959" w:themeColor="text1" w:themeTint="A6"/>
        </w:rPr>
        <w:t xml:space="preserve">Executed Consideration (a promise and an act); when the promise has been performed within the meaning of the contract </w:t>
      </w:r>
      <w:r>
        <w:rPr>
          <w:rFonts w:ascii="Open Sans" w:hAnsi="Open Sans" w:cs="Open Sans"/>
          <w:color w:val="000000"/>
          <w:sz w:val="20"/>
          <w:szCs w:val="20"/>
          <w:shd w:val="clear" w:color="auto" w:fill="FFFFFF"/>
        </w:rPr>
        <w:t>(Hall Ellis Solicitors, 2020)</w:t>
      </w:r>
    </w:p>
    <w:p w:rsidR="00014A21" w:rsidRPr="0011279A" w:rsidRDefault="00014A21" w:rsidP="00014A21">
      <w:pPr>
        <w:pStyle w:val="ListParagraph"/>
        <w:numPr>
          <w:ilvl w:val="0"/>
          <w:numId w:val="1"/>
        </w:numPr>
        <w:rPr>
          <w:rFonts w:ascii="Arial" w:hAnsi="Arial" w:cs="Arial"/>
          <w:color w:val="595959" w:themeColor="text1" w:themeTint="A6"/>
        </w:rPr>
      </w:pPr>
      <w:r w:rsidRPr="0011279A">
        <w:rPr>
          <w:rStyle w:val="Hyperlink"/>
          <w:rFonts w:ascii="Arial" w:hAnsi="Arial" w:cs="Arial"/>
          <w:color w:val="595959" w:themeColor="text1" w:themeTint="A6"/>
        </w:rPr>
        <w:t xml:space="preserve">Executory Consideration (a promise, and a promise); when the promise has not been performed </w:t>
      </w:r>
      <w:r>
        <w:rPr>
          <w:rFonts w:ascii="Open Sans" w:hAnsi="Open Sans" w:cs="Open Sans"/>
          <w:color w:val="000000"/>
          <w:sz w:val="20"/>
          <w:szCs w:val="20"/>
          <w:shd w:val="clear" w:color="auto" w:fill="FFFFFF"/>
        </w:rPr>
        <w:t>(Hall Ellis Solicitors, 2020)</w:t>
      </w:r>
    </w:p>
    <w:p w:rsidR="00014A21" w:rsidRPr="0011279A" w:rsidRDefault="00014A21" w:rsidP="00014A21">
      <w:pPr>
        <w:rPr>
          <w:rStyle w:val="Hyperlink"/>
          <w:rFonts w:ascii="Arial" w:hAnsi="Arial" w:cs="Arial"/>
        </w:rPr>
      </w:pPr>
    </w:p>
    <w:p w:rsidR="00014A21" w:rsidRPr="0011279A" w:rsidRDefault="00014A21" w:rsidP="00014A21">
      <w:pPr>
        <w:rPr>
          <w:rStyle w:val="Hyperlink"/>
          <w:rFonts w:ascii="Arial" w:hAnsi="Arial" w:cs="Arial"/>
        </w:rPr>
      </w:pPr>
      <w:r w:rsidRPr="0011279A">
        <w:rPr>
          <w:rStyle w:val="Hyperlink"/>
          <w:rFonts w:ascii="Arial" w:hAnsi="Arial" w:cs="Arial"/>
        </w:rPr>
        <w:lastRenderedPageBreak/>
        <w:t>Table 2: Case Study: Currie v Misa [1874]</w:t>
      </w:r>
    </w:p>
    <w:tbl>
      <w:tblPr>
        <w:tblStyle w:val="TableGrid"/>
        <w:tblW w:w="8926" w:type="dxa"/>
        <w:tblLook w:val="04A0" w:firstRow="1" w:lastRow="0" w:firstColumn="1" w:lastColumn="0" w:noHBand="0" w:noVBand="1"/>
      </w:tblPr>
      <w:tblGrid>
        <w:gridCol w:w="3681"/>
        <w:gridCol w:w="5245"/>
      </w:tblGrid>
      <w:tr w:rsidR="00014A21" w:rsidRPr="0011279A" w:rsidTr="002822DF">
        <w:tc>
          <w:tcPr>
            <w:tcW w:w="3681" w:type="dxa"/>
          </w:tcPr>
          <w:p w:rsidR="00014A21" w:rsidRPr="0011279A" w:rsidRDefault="00014A21" w:rsidP="002822DF">
            <w:pPr>
              <w:rPr>
                <w:rFonts w:ascii="Arial" w:hAnsi="Arial" w:cs="Arial"/>
                <w:b/>
                <w:bCs/>
              </w:rPr>
            </w:pPr>
            <w:r w:rsidRPr="0011279A">
              <w:rPr>
                <w:rFonts w:ascii="Arial" w:hAnsi="Arial" w:cs="Arial"/>
                <w:b/>
                <w:bCs/>
              </w:rPr>
              <w:t>Description of Case</w:t>
            </w:r>
          </w:p>
        </w:tc>
        <w:tc>
          <w:tcPr>
            <w:tcW w:w="5245" w:type="dxa"/>
          </w:tcPr>
          <w:p w:rsidR="00014A21" w:rsidRPr="0011279A" w:rsidRDefault="00014A21" w:rsidP="002822DF">
            <w:pPr>
              <w:rPr>
                <w:rFonts w:ascii="Arial" w:hAnsi="Arial" w:cs="Arial"/>
                <w:b/>
                <w:bCs/>
              </w:rPr>
            </w:pPr>
            <w:r w:rsidRPr="0011279A">
              <w:rPr>
                <w:rFonts w:ascii="Arial" w:hAnsi="Arial" w:cs="Arial"/>
                <w:b/>
                <w:bCs/>
              </w:rPr>
              <w:t>Conclusion</w:t>
            </w:r>
          </w:p>
        </w:tc>
      </w:tr>
      <w:tr w:rsidR="00014A21" w:rsidRPr="0011279A" w:rsidTr="002822DF">
        <w:tc>
          <w:tcPr>
            <w:tcW w:w="3681" w:type="dxa"/>
          </w:tcPr>
          <w:p w:rsidR="00014A21" w:rsidRDefault="00014A21" w:rsidP="002822DF">
            <w:pPr>
              <w:rPr>
                <w:rFonts w:ascii="Open Sans" w:hAnsi="Open Sans" w:cs="Open Sans"/>
                <w:color w:val="000000"/>
                <w:sz w:val="20"/>
                <w:szCs w:val="20"/>
                <w:shd w:val="clear" w:color="auto" w:fill="FFFFFF"/>
              </w:rPr>
            </w:pPr>
            <w:r w:rsidRPr="0011279A">
              <w:rPr>
                <w:rFonts w:ascii="Arial" w:hAnsi="Arial" w:cs="Arial"/>
              </w:rPr>
              <w:t>Mr Misa was sold several bills of exchange from a banking firm owned by Mr Currie – which were to be paid the next day. However, the seller of the bills was in a substantial amount of debt to Mr Currie’s bank and was being pressed for payment. Mr Misa subsequently paid for these, but learned of the sellers stopped payments and outstanding debts and instructed his bank not to honour the cheque. The question was then asked whether or not the cheque was payable. Particularly as to whether or not the sale of an existing debt formed sufficient consideration for negotiable security to constitute a legally-enforceable contract for the creditor.</w:t>
            </w:r>
            <w:r>
              <w:rPr>
                <w:rFonts w:ascii="Arial" w:hAnsi="Arial" w:cs="Arial"/>
              </w:rPr>
              <w:t xml:space="preserve"> </w:t>
            </w:r>
            <w:r>
              <w:rPr>
                <w:rFonts w:ascii="Open Sans" w:hAnsi="Open Sans" w:cs="Open Sans"/>
                <w:color w:val="000000"/>
                <w:sz w:val="20"/>
                <w:szCs w:val="20"/>
                <w:shd w:val="clear" w:color="auto" w:fill="FFFFFF"/>
              </w:rPr>
              <w:t>(Lawteacher.net, 2020)</w:t>
            </w:r>
          </w:p>
          <w:p w:rsidR="00014A21" w:rsidRPr="0011279A" w:rsidRDefault="00014A21" w:rsidP="002822DF">
            <w:pPr>
              <w:rPr>
                <w:rFonts w:ascii="Arial" w:hAnsi="Arial" w:cs="Arial"/>
              </w:rPr>
            </w:pPr>
          </w:p>
        </w:tc>
        <w:tc>
          <w:tcPr>
            <w:tcW w:w="5245" w:type="dxa"/>
          </w:tcPr>
          <w:p w:rsidR="00014A21" w:rsidRPr="0011279A" w:rsidRDefault="00014A21" w:rsidP="002822DF">
            <w:pPr>
              <w:rPr>
                <w:rFonts w:ascii="Arial" w:hAnsi="Arial" w:cs="Arial"/>
              </w:rPr>
            </w:pPr>
            <w:r w:rsidRPr="0011279A">
              <w:rPr>
                <w:rFonts w:ascii="Arial" w:hAnsi="Arial" w:cs="Arial"/>
              </w:rPr>
              <w:t xml:space="preserve">The court held that consideration must: “consist either in some right interest, profit, or benefit accruing to the one party, or some detriment, loss or responsibility, given, suffered or undertaken by the other”. Therefore, there can be no legal contract unless it is evident that a consideration in the form of a benefit gained, or detriment suffered arrangement by the parties. The court favoured Mr Misa on this occasion on the grounds that he undertook a pre-existing debt without any notice or infirmity of title by the debtor. Therefore, there was an absence of any consideration for the making or payment of the cheque by Mr. Misa. This case study confirmed that a full contract will be non-existent unless some consideration has been offered in return. Unless a promise has been made in a deed, it will not be legally binding until some sort of consideration has been given in return. </w:t>
            </w:r>
            <w:r>
              <w:rPr>
                <w:rFonts w:ascii="Open Sans" w:hAnsi="Open Sans" w:cs="Open Sans"/>
                <w:color w:val="000000"/>
                <w:sz w:val="20"/>
                <w:szCs w:val="20"/>
                <w:shd w:val="clear" w:color="auto" w:fill="FFFFFF"/>
              </w:rPr>
              <w:t>(Legalsecretaryjournal.com, 2020)</w:t>
            </w:r>
          </w:p>
        </w:tc>
      </w:tr>
    </w:tbl>
    <w:p w:rsidR="00014A21" w:rsidRPr="0011279A" w:rsidRDefault="00014A21" w:rsidP="00014A21">
      <w:pPr>
        <w:rPr>
          <w:rFonts w:ascii="Arial" w:hAnsi="Arial" w:cs="Arial"/>
          <w:color w:val="525252" w:themeColor="accent3" w:themeShade="80"/>
        </w:rPr>
      </w:pPr>
    </w:p>
    <w:p w:rsidR="00014A21" w:rsidRPr="0011279A" w:rsidRDefault="00014A21" w:rsidP="00014A21">
      <w:pPr>
        <w:rPr>
          <w:rFonts w:ascii="Arial" w:hAnsi="Arial" w:cs="Arial"/>
          <w:u w:val="single"/>
        </w:rPr>
      </w:pPr>
      <w:r w:rsidRPr="0011279A">
        <w:rPr>
          <w:rFonts w:ascii="Arial" w:hAnsi="Arial" w:cs="Arial"/>
          <w:u w:val="single"/>
        </w:rPr>
        <w:t>Legal intent</w:t>
      </w:r>
    </w:p>
    <w:p w:rsidR="00014A21" w:rsidRPr="0011279A" w:rsidRDefault="00014A21" w:rsidP="00014A21">
      <w:pPr>
        <w:rPr>
          <w:rFonts w:ascii="Arial" w:hAnsi="Arial" w:cs="Arial"/>
        </w:rPr>
      </w:pPr>
      <w:r w:rsidRPr="0011279A">
        <w:rPr>
          <w:rFonts w:ascii="Arial" w:hAnsi="Arial" w:cs="Arial"/>
        </w:rPr>
        <w:t xml:space="preserve">Legal intent within contract law relates to the fact that the contracting parties must have the intention to create legal relations to form a binding agreement in which the rights and obligations of the agreement are enforceable by law. As simple as it may seem, the question as to whether the negotiating parties did intend to create legal relations is susceptible. Without the intention to create legal relations, then a contract is therefore void. </w:t>
      </w:r>
      <w:r>
        <w:rPr>
          <w:rFonts w:ascii="Open Sans" w:hAnsi="Open Sans" w:cs="Open Sans"/>
          <w:color w:val="000000"/>
          <w:sz w:val="20"/>
          <w:szCs w:val="20"/>
          <w:shd w:val="clear" w:color="auto" w:fill="FFFFFF"/>
        </w:rPr>
        <w:t xml:space="preserve">(Levi Solicitors LLP, 2020) </w:t>
      </w:r>
      <w:r w:rsidRPr="0011279A">
        <w:rPr>
          <w:rFonts w:ascii="Arial" w:hAnsi="Arial" w:cs="Arial"/>
        </w:rPr>
        <w:t xml:space="preserve">Further to this, and with regards to creating legal ties, there is also a clear distinction between social and domestic agreements and agreements made in a commercial context. </w:t>
      </w:r>
    </w:p>
    <w:p w:rsidR="00014A21" w:rsidRPr="0011279A" w:rsidRDefault="00014A21" w:rsidP="00014A21">
      <w:pPr>
        <w:rPr>
          <w:rFonts w:ascii="Arial" w:hAnsi="Arial" w:cs="Arial"/>
        </w:rPr>
      </w:pPr>
      <w:r w:rsidRPr="0011279A">
        <w:rPr>
          <w:rFonts w:ascii="Arial" w:hAnsi="Arial" w:cs="Arial"/>
        </w:rPr>
        <w:t>Commercial arrangements are when two people (or companies) come to a commercial arrangement therefore there is an automatic presumption that they intend to create legal relations. For example, should a person advertise the sale of his gaming console in his local newspaper, it would be presumed that they intended that the agreement with the buyer should have a legal binding.</w:t>
      </w:r>
      <w:r>
        <w:rPr>
          <w:rFonts w:ascii="Arial" w:hAnsi="Arial" w:cs="Arial"/>
        </w:rPr>
        <w:t xml:space="preserve"> </w:t>
      </w:r>
      <w:r w:rsidRPr="0011279A">
        <w:rPr>
          <w:rFonts w:ascii="Arial" w:hAnsi="Arial" w:cs="Arial"/>
        </w:rPr>
        <w:t xml:space="preserve">In these situations, the policy of law is to always give effect to business arrangements, and not to </w:t>
      </w:r>
      <w:r>
        <w:rPr>
          <w:rFonts w:ascii="Arial" w:hAnsi="Arial" w:cs="Arial"/>
        </w:rPr>
        <w:t>dismiss</w:t>
      </w:r>
      <w:r w:rsidRPr="0011279A">
        <w:rPr>
          <w:rFonts w:ascii="Arial" w:hAnsi="Arial" w:cs="Arial"/>
        </w:rPr>
        <w:t xml:space="preserve"> without proper reasoning.</w:t>
      </w:r>
      <w:r>
        <w:rPr>
          <w:rFonts w:ascii="Arial" w:hAnsi="Arial" w:cs="Arial"/>
        </w:rPr>
        <w:t xml:space="preserve"> </w:t>
      </w:r>
      <w:r>
        <w:rPr>
          <w:rFonts w:ascii="Open Sans" w:hAnsi="Open Sans" w:cs="Open Sans"/>
          <w:color w:val="000000"/>
          <w:sz w:val="20"/>
          <w:szCs w:val="20"/>
          <w:shd w:val="clear" w:color="auto" w:fill="FFFFFF"/>
        </w:rPr>
        <w:t xml:space="preserve">(Levi Solicitors LLP, </w:t>
      </w:r>
      <w:proofErr w:type="gramStart"/>
      <w:r>
        <w:rPr>
          <w:rFonts w:ascii="Open Sans" w:hAnsi="Open Sans" w:cs="Open Sans"/>
          <w:color w:val="000000"/>
          <w:sz w:val="20"/>
          <w:szCs w:val="20"/>
          <w:shd w:val="clear" w:color="auto" w:fill="FFFFFF"/>
        </w:rPr>
        <w:t>2020</w:t>
      </w:r>
      <w:r w:rsidRPr="0011279A">
        <w:rPr>
          <w:rFonts w:ascii="Arial" w:hAnsi="Arial" w:cs="Arial"/>
        </w:rPr>
        <w:t xml:space="preserve">  However</w:t>
      </w:r>
      <w:proofErr w:type="gramEnd"/>
      <w:r w:rsidRPr="0011279A">
        <w:rPr>
          <w:rFonts w:ascii="Arial" w:hAnsi="Arial" w:cs="Arial"/>
        </w:rPr>
        <w:t>, some elements can affect this:</w:t>
      </w:r>
    </w:p>
    <w:p w:rsidR="00014A21" w:rsidRPr="0011279A" w:rsidRDefault="00014A21" w:rsidP="00014A21">
      <w:pPr>
        <w:rPr>
          <w:rStyle w:val="Hyperlink"/>
          <w:rFonts w:ascii="Arial" w:hAnsi="Arial" w:cs="Arial"/>
        </w:rPr>
      </w:pPr>
      <w:r w:rsidRPr="0011279A">
        <w:rPr>
          <w:rStyle w:val="Hyperlink"/>
          <w:rFonts w:ascii="Arial" w:hAnsi="Arial" w:cs="Arial"/>
        </w:rPr>
        <w:t xml:space="preserve">Table 3: Blue v Ashley [2017] </w:t>
      </w:r>
    </w:p>
    <w:tbl>
      <w:tblPr>
        <w:tblStyle w:val="TableGrid"/>
        <w:tblW w:w="8926" w:type="dxa"/>
        <w:tblLook w:val="04A0" w:firstRow="1" w:lastRow="0" w:firstColumn="1" w:lastColumn="0" w:noHBand="0" w:noVBand="1"/>
      </w:tblPr>
      <w:tblGrid>
        <w:gridCol w:w="3681"/>
        <w:gridCol w:w="5245"/>
      </w:tblGrid>
      <w:tr w:rsidR="00014A21" w:rsidRPr="0011279A" w:rsidTr="002822DF">
        <w:tc>
          <w:tcPr>
            <w:tcW w:w="3681" w:type="dxa"/>
          </w:tcPr>
          <w:p w:rsidR="00014A21" w:rsidRPr="0011279A" w:rsidRDefault="00014A21" w:rsidP="002822DF">
            <w:pPr>
              <w:rPr>
                <w:rFonts w:ascii="Arial" w:hAnsi="Arial" w:cs="Arial"/>
                <w:b/>
                <w:bCs/>
              </w:rPr>
            </w:pPr>
            <w:r w:rsidRPr="0011279A">
              <w:rPr>
                <w:rFonts w:ascii="Arial" w:hAnsi="Arial" w:cs="Arial"/>
                <w:b/>
                <w:bCs/>
              </w:rPr>
              <w:lastRenderedPageBreak/>
              <w:t>Description of Case</w:t>
            </w:r>
          </w:p>
        </w:tc>
        <w:tc>
          <w:tcPr>
            <w:tcW w:w="5245" w:type="dxa"/>
          </w:tcPr>
          <w:p w:rsidR="00014A21" w:rsidRPr="0011279A" w:rsidRDefault="00014A21" w:rsidP="002822DF">
            <w:pPr>
              <w:rPr>
                <w:rFonts w:ascii="Arial" w:hAnsi="Arial" w:cs="Arial"/>
                <w:b/>
                <w:bCs/>
              </w:rPr>
            </w:pPr>
            <w:r w:rsidRPr="0011279A">
              <w:rPr>
                <w:rFonts w:ascii="Arial" w:hAnsi="Arial" w:cs="Arial"/>
                <w:b/>
                <w:bCs/>
              </w:rPr>
              <w:t>Conclusion</w:t>
            </w:r>
          </w:p>
        </w:tc>
      </w:tr>
      <w:tr w:rsidR="00014A21" w:rsidRPr="0011279A" w:rsidTr="002822DF">
        <w:tc>
          <w:tcPr>
            <w:tcW w:w="3681" w:type="dxa"/>
          </w:tcPr>
          <w:p w:rsidR="00014A21" w:rsidRPr="0011279A" w:rsidRDefault="00014A21" w:rsidP="002822DF">
            <w:pPr>
              <w:rPr>
                <w:rFonts w:ascii="Arial" w:hAnsi="Arial" w:cs="Arial"/>
              </w:rPr>
            </w:pPr>
            <w:r w:rsidRPr="0011279A">
              <w:rPr>
                <w:rFonts w:ascii="Arial" w:hAnsi="Arial" w:cs="Arial"/>
              </w:rPr>
              <w:t>Mr Ashley as pursued by a business consultant (Mr Blue) who alleged that he had been employed by Mr Ashley's company, Sport Direct Group, to provide business consultancy services. Mr Blue was at a meeting in a pub with Mr Ashley and other representatives of Sport direct where Mr Ashley (after several pints of beer) had promised to pay a £15 million bonus to Mr Blue if he could ensure that sports directs share price moved above £8 per share. It’s important to note that it was common ground between the parties that the meeting in the pub had been an informal social setting. Subsequently, the share price of Sports Direct did rise above £8 per share, and Mr Blue alleged that Mr Ashley had nonetheless made him an offer, intending to be bound by legal relations and that Mr Blue had accepted that offer. Mr Ashley refused to pay Mr Blue the £15 million and as a result, Mr Blue issues proceedings in the high court to recover the sum.</w:t>
            </w:r>
            <w:r>
              <w:rPr>
                <w:rFonts w:ascii="Arial" w:hAnsi="Arial" w:cs="Arial"/>
              </w:rPr>
              <w:t xml:space="preserve"> </w:t>
            </w:r>
            <w:r>
              <w:rPr>
                <w:rFonts w:ascii="Open Sans" w:hAnsi="Open Sans" w:cs="Open Sans"/>
                <w:color w:val="000000"/>
                <w:sz w:val="20"/>
                <w:szCs w:val="20"/>
                <w:shd w:val="clear" w:color="auto" w:fill="FFFFFF"/>
              </w:rPr>
              <w:t>(Levi Solicitors LLP, 2020)</w:t>
            </w:r>
          </w:p>
        </w:tc>
        <w:tc>
          <w:tcPr>
            <w:tcW w:w="5245" w:type="dxa"/>
          </w:tcPr>
          <w:p w:rsidR="00014A21" w:rsidRPr="0011279A" w:rsidRDefault="00014A21" w:rsidP="002822DF">
            <w:pPr>
              <w:rPr>
                <w:rFonts w:ascii="Arial" w:hAnsi="Arial" w:cs="Arial"/>
              </w:rPr>
            </w:pPr>
            <w:r w:rsidRPr="0011279A">
              <w:rPr>
                <w:rFonts w:ascii="Arial" w:hAnsi="Arial" w:cs="Arial"/>
              </w:rPr>
              <w:t xml:space="preserve"> Mr Blues claim was dismissed in the high ours on the grounds that the parties had not intended that Mr Ashley would be legally bound by his promise to Mr Blue. The main observation made by the judge was that an evening drink at the pub was an unlikely setting for a formal contract negotiations. Further to this, it was not actually within M Blue’s power to achieve the aim of increasing the share price above £8. The judge concluded that considering the social nature of the meeting, Mr Ashley's statements had amounted to no more and mere “banter”. This case highlights how creating legal relations is critical to the enforceability of a contract and is often overlooked. While many small businesses often undertake informal agreements – such as handshakes – such an informal accord could be dangerous. It’s vitally important for parties who wish to form a binding legal contract that they write out the terms and conditions so there can be no disagreements as to the intention of the parties.</w:t>
            </w:r>
            <w:r>
              <w:rPr>
                <w:rFonts w:ascii="Arial" w:hAnsi="Arial" w:cs="Arial"/>
              </w:rPr>
              <w:t xml:space="preserve"> </w:t>
            </w:r>
            <w:r>
              <w:rPr>
                <w:rFonts w:ascii="Open Sans" w:hAnsi="Open Sans" w:cs="Open Sans"/>
                <w:color w:val="000000"/>
                <w:sz w:val="20"/>
                <w:szCs w:val="20"/>
                <w:shd w:val="clear" w:color="auto" w:fill="FFFFFF"/>
              </w:rPr>
              <w:t>(Levi Solicitors LLP, 2020)</w:t>
            </w:r>
          </w:p>
        </w:tc>
      </w:tr>
    </w:tbl>
    <w:p w:rsidR="00014A21" w:rsidRPr="0011279A" w:rsidRDefault="00014A21" w:rsidP="00014A21">
      <w:pPr>
        <w:rPr>
          <w:rFonts w:ascii="Arial" w:hAnsi="Arial" w:cs="Arial"/>
        </w:rPr>
      </w:pPr>
    </w:p>
    <w:p w:rsidR="00014A21" w:rsidRPr="0011279A" w:rsidRDefault="00014A21" w:rsidP="00014A21">
      <w:pPr>
        <w:rPr>
          <w:rFonts w:ascii="Arial" w:hAnsi="Arial" w:cs="Arial"/>
        </w:rPr>
      </w:pPr>
      <w:r w:rsidRPr="0011279A">
        <w:rPr>
          <w:rFonts w:ascii="Arial" w:hAnsi="Arial" w:cs="Arial"/>
        </w:rPr>
        <w:t xml:space="preserve">When an agreement is between friends or family members, the situation differs from the above. The presumption is that the parties did not intend to create legal relations, and, in many cases, the courts will too come to this conclusion. For example, informal lending agreements between </w:t>
      </w:r>
      <w:proofErr w:type="gramStart"/>
      <w:r w:rsidRPr="0011279A">
        <w:rPr>
          <w:rFonts w:ascii="Arial" w:hAnsi="Arial" w:cs="Arial"/>
        </w:rPr>
        <w:t>family</w:t>
      </w:r>
      <w:proofErr w:type="gramEnd"/>
      <w:r w:rsidRPr="0011279A">
        <w:rPr>
          <w:rFonts w:ascii="Arial" w:hAnsi="Arial" w:cs="Arial"/>
        </w:rPr>
        <w:t xml:space="preserve"> are presumed to be non-binding. </w:t>
      </w:r>
      <w:proofErr w:type="gramStart"/>
      <w:r w:rsidRPr="0011279A">
        <w:rPr>
          <w:rFonts w:ascii="Arial" w:hAnsi="Arial" w:cs="Arial"/>
        </w:rPr>
        <w:t>If  somebody</w:t>
      </w:r>
      <w:proofErr w:type="gramEnd"/>
      <w:r w:rsidRPr="0011279A">
        <w:rPr>
          <w:rFonts w:ascii="Arial" w:hAnsi="Arial" w:cs="Arial"/>
        </w:rPr>
        <w:t xml:space="preserve"> lends their sibling a sum of money – without using a load agreement to formalise the arrangement – then there is no valid contract in place to bind the borrower to repay. However, there are exceptions to this as the case study below describes: </w:t>
      </w:r>
      <w:hyperlink r:id="rId5" w:history="1">
        <w:r w:rsidRPr="0011279A">
          <w:rPr>
            <w:rStyle w:val="Hyperlink"/>
            <w:rFonts w:ascii="Arial" w:hAnsi="Arial" w:cs="Arial"/>
          </w:rPr>
          <w:t>https://www.netlawman.co.uk/ia/intention-contract</w:t>
        </w:r>
      </w:hyperlink>
    </w:p>
    <w:p w:rsidR="00014A21" w:rsidRPr="0011279A" w:rsidRDefault="00014A21" w:rsidP="00014A21">
      <w:pPr>
        <w:rPr>
          <w:rFonts w:ascii="Arial" w:hAnsi="Arial" w:cs="Arial"/>
        </w:rPr>
      </w:pPr>
      <w:hyperlink r:id="rId6" w:history="1">
        <w:r w:rsidRPr="0011279A">
          <w:rPr>
            <w:rStyle w:val="Hyperlink"/>
            <w:rFonts w:ascii="Arial" w:hAnsi="Arial" w:cs="Arial"/>
          </w:rPr>
          <w:t>https://www.inbrief.co.uk/contract-law/legal-intent-in-contract/</w:t>
        </w:r>
      </w:hyperlink>
    </w:p>
    <w:p w:rsidR="00014A21" w:rsidRPr="0011279A" w:rsidRDefault="00014A21" w:rsidP="00014A21">
      <w:pPr>
        <w:rPr>
          <w:rFonts w:ascii="Arial" w:hAnsi="Arial" w:cs="Arial"/>
          <w:color w:val="525252" w:themeColor="accent3" w:themeShade="80"/>
          <w:u w:val="single"/>
        </w:rPr>
      </w:pPr>
      <w:hyperlink r:id="rId7" w:history="1">
        <w:r w:rsidRPr="0011279A">
          <w:rPr>
            <w:rStyle w:val="Hyperlink"/>
            <w:rFonts w:ascii="Arial" w:hAnsi="Arial" w:cs="Arial"/>
          </w:rPr>
          <w:t>https://levisolicitors.co.uk/news/intention-create-legal-relations/</w:t>
        </w:r>
      </w:hyperlink>
    </w:p>
    <w:p w:rsidR="00014A21" w:rsidRPr="0011279A" w:rsidRDefault="00014A21" w:rsidP="00014A21">
      <w:pPr>
        <w:rPr>
          <w:rStyle w:val="Hyperlink"/>
          <w:rFonts w:ascii="Arial" w:hAnsi="Arial" w:cs="Arial"/>
        </w:rPr>
      </w:pPr>
      <w:r w:rsidRPr="0011279A">
        <w:rPr>
          <w:rStyle w:val="Hyperlink"/>
          <w:rFonts w:ascii="Arial" w:hAnsi="Arial" w:cs="Arial"/>
        </w:rPr>
        <w:t>Table 4: Case Study: Simpkins v Pays [1955]</w:t>
      </w:r>
    </w:p>
    <w:tbl>
      <w:tblPr>
        <w:tblStyle w:val="TableGrid"/>
        <w:tblW w:w="8926" w:type="dxa"/>
        <w:tblLook w:val="04A0" w:firstRow="1" w:lastRow="0" w:firstColumn="1" w:lastColumn="0" w:noHBand="0" w:noVBand="1"/>
      </w:tblPr>
      <w:tblGrid>
        <w:gridCol w:w="3681"/>
        <w:gridCol w:w="5245"/>
      </w:tblGrid>
      <w:tr w:rsidR="00014A21" w:rsidRPr="0011279A" w:rsidTr="002822DF">
        <w:tc>
          <w:tcPr>
            <w:tcW w:w="3681" w:type="dxa"/>
          </w:tcPr>
          <w:p w:rsidR="00014A21" w:rsidRPr="0011279A" w:rsidRDefault="00014A21" w:rsidP="002822DF">
            <w:pPr>
              <w:rPr>
                <w:rFonts w:ascii="Arial" w:hAnsi="Arial" w:cs="Arial"/>
                <w:b/>
                <w:bCs/>
              </w:rPr>
            </w:pPr>
            <w:r w:rsidRPr="0011279A">
              <w:rPr>
                <w:rFonts w:ascii="Arial" w:hAnsi="Arial" w:cs="Arial"/>
                <w:b/>
                <w:bCs/>
              </w:rPr>
              <w:lastRenderedPageBreak/>
              <w:t>Description of Case</w:t>
            </w:r>
          </w:p>
        </w:tc>
        <w:tc>
          <w:tcPr>
            <w:tcW w:w="5245" w:type="dxa"/>
          </w:tcPr>
          <w:p w:rsidR="00014A21" w:rsidRPr="0011279A" w:rsidRDefault="00014A21" w:rsidP="002822DF">
            <w:pPr>
              <w:rPr>
                <w:rFonts w:ascii="Arial" w:hAnsi="Arial" w:cs="Arial"/>
                <w:b/>
                <w:bCs/>
              </w:rPr>
            </w:pPr>
            <w:r w:rsidRPr="0011279A">
              <w:rPr>
                <w:rFonts w:ascii="Arial" w:hAnsi="Arial" w:cs="Arial"/>
                <w:b/>
                <w:bCs/>
              </w:rPr>
              <w:t>Conclusion</w:t>
            </w:r>
          </w:p>
        </w:tc>
      </w:tr>
      <w:tr w:rsidR="00014A21" w:rsidRPr="0011279A" w:rsidTr="002822DF">
        <w:tc>
          <w:tcPr>
            <w:tcW w:w="3681" w:type="dxa"/>
          </w:tcPr>
          <w:p w:rsidR="00014A21" w:rsidRPr="0011279A" w:rsidRDefault="00014A21" w:rsidP="002822DF">
            <w:pPr>
              <w:rPr>
                <w:rFonts w:ascii="Arial" w:hAnsi="Arial" w:cs="Arial"/>
              </w:rPr>
            </w:pPr>
            <w:r w:rsidRPr="0011279A">
              <w:rPr>
                <w:rFonts w:ascii="Arial" w:hAnsi="Arial" w:cs="Arial"/>
              </w:rPr>
              <w:t xml:space="preserve">Ms Sipkins was a paying boarder at the home of Ms Pays and her granddaughter. Ms Sipkins religiously entered into newspaper competitions. Concerning one weekly competition in the Sunday newspaper, the three agreed that Ms Simpkins would fill in a weekly coupon, with each person making three forecasts, however, submitting them in Me Pays name with the intention of splitting the prize money three ways should they win. The granddaughter of Ms Simpkins submitted a forecast which evidently won a prize of £750.00 in Ms </w:t>
            </w:r>
            <w:proofErr w:type="gramStart"/>
            <w:r w:rsidRPr="0011279A">
              <w:rPr>
                <w:rFonts w:ascii="Arial" w:hAnsi="Arial" w:cs="Arial"/>
              </w:rPr>
              <w:t>Pays</w:t>
            </w:r>
            <w:proofErr w:type="gramEnd"/>
            <w:r w:rsidRPr="0011279A">
              <w:rPr>
                <w:rFonts w:ascii="Arial" w:hAnsi="Arial" w:cs="Arial"/>
              </w:rPr>
              <w:t xml:space="preserve"> name. As a result, Ms Pays refused to distribute the winnings, and Ms Simpkins claimed for one-third of the prize under their agreement. </w:t>
            </w:r>
            <w:r>
              <w:rPr>
                <w:rFonts w:ascii="Open Sans" w:hAnsi="Open Sans" w:cs="Open Sans"/>
                <w:color w:val="000000"/>
                <w:sz w:val="20"/>
                <w:szCs w:val="20"/>
                <w:shd w:val="clear" w:color="auto" w:fill="FFFFFF"/>
              </w:rPr>
              <w:t>(Lawteacher.net, 2020)</w:t>
            </w:r>
          </w:p>
          <w:p w:rsidR="00014A21" w:rsidRPr="0011279A" w:rsidRDefault="00014A21" w:rsidP="002822DF">
            <w:pPr>
              <w:rPr>
                <w:rFonts w:ascii="Arial" w:hAnsi="Arial" w:cs="Arial"/>
              </w:rPr>
            </w:pPr>
          </w:p>
        </w:tc>
        <w:tc>
          <w:tcPr>
            <w:tcW w:w="5245" w:type="dxa"/>
          </w:tcPr>
          <w:p w:rsidR="00014A21" w:rsidRPr="0011279A" w:rsidRDefault="00014A21" w:rsidP="002822DF">
            <w:pPr>
              <w:rPr>
                <w:rFonts w:ascii="Arial" w:hAnsi="Arial" w:cs="Arial"/>
              </w:rPr>
            </w:pPr>
            <w:r w:rsidRPr="0011279A">
              <w:rPr>
                <w:rFonts w:ascii="Arial" w:hAnsi="Arial" w:cs="Arial"/>
              </w:rPr>
              <w:t xml:space="preserve">The question the court asked themselves was whether or not there was an intention to create legal relations in the informal arrangement between the parties. The court held that irrespective of the familial ties and the informal context, there was a mutuality in the arrangement between the parties that all three persons would share the prize money equally. They held that despite the domestic context, the filling out of the coupon by Ms Simpkins was not a voluntary service to Ms Pays, but rather pursuant to an agreement by which each party had shared in the result, and therefore, showing an intention to create legal relations. This meant that no matter how informal, this evidently constituted a legally-binding agreement to divide the winnings into thirds. </w:t>
            </w:r>
            <w:r>
              <w:rPr>
                <w:rFonts w:ascii="Open Sans" w:hAnsi="Open Sans" w:cs="Open Sans"/>
                <w:color w:val="000000"/>
                <w:sz w:val="20"/>
                <w:szCs w:val="20"/>
                <w:shd w:val="clear" w:color="auto" w:fill="FFFFFF"/>
              </w:rPr>
              <w:t>(Lawteacher.net, 2020)</w:t>
            </w:r>
          </w:p>
        </w:tc>
      </w:tr>
    </w:tbl>
    <w:p w:rsidR="00014A21" w:rsidRDefault="00014A21" w:rsidP="00014A21">
      <w:pPr>
        <w:rPr>
          <w:rFonts w:ascii="Arial" w:hAnsi="Arial" w:cs="Arial"/>
        </w:rPr>
      </w:pPr>
    </w:p>
    <w:p w:rsidR="00014A21" w:rsidRPr="0011279A" w:rsidRDefault="00014A21" w:rsidP="00014A21">
      <w:pPr>
        <w:rPr>
          <w:rFonts w:ascii="Arial" w:hAnsi="Arial" w:cs="Arial"/>
        </w:rPr>
      </w:pPr>
      <w:r w:rsidRPr="0011279A">
        <w:rPr>
          <w:rFonts w:ascii="Arial" w:hAnsi="Arial" w:cs="Arial"/>
        </w:rPr>
        <w:t xml:space="preserve">In addition to the 3 primary elements of a legally binding contract, there are a further 5 requirements for a valid contract, and without, can have drastic effects to the legality of the agreement: </w:t>
      </w:r>
    </w:p>
    <w:p w:rsidR="00014A21" w:rsidRPr="0011279A" w:rsidRDefault="00014A21" w:rsidP="00014A21">
      <w:pPr>
        <w:rPr>
          <w:rFonts w:ascii="Arial" w:hAnsi="Arial" w:cs="Arial"/>
          <w:u w:val="single"/>
        </w:rPr>
      </w:pPr>
      <w:r w:rsidRPr="0011279A">
        <w:rPr>
          <w:rFonts w:ascii="Arial" w:hAnsi="Arial" w:cs="Arial"/>
          <w:u w:val="single"/>
        </w:rPr>
        <w:t>Table 5: Elements that affect the legaility of a contract</w:t>
      </w:r>
    </w:p>
    <w:tbl>
      <w:tblPr>
        <w:tblStyle w:val="TableGrid"/>
        <w:tblW w:w="0" w:type="auto"/>
        <w:tblLook w:val="04A0" w:firstRow="1" w:lastRow="0" w:firstColumn="1" w:lastColumn="0" w:noHBand="0" w:noVBand="1"/>
      </w:tblPr>
      <w:tblGrid>
        <w:gridCol w:w="1980"/>
        <w:gridCol w:w="4678"/>
        <w:gridCol w:w="1972"/>
      </w:tblGrid>
      <w:tr w:rsidR="00014A21" w:rsidRPr="0011279A" w:rsidTr="002822DF">
        <w:tc>
          <w:tcPr>
            <w:tcW w:w="1980" w:type="dxa"/>
          </w:tcPr>
          <w:p w:rsidR="00014A21" w:rsidRPr="0011279A" w:rsidRDefault="00014A21" w:rsidP="002822DF">
            <w:pPr>
              <w:rPr>
                <w:rFonts w:ascii="Arial" w:hAnsi="Arial" w:cs="Arial"/>
              </w:rPr>
            </w:pPr>
            <w:r w:rsidRPr="0011279A">
              <w:rPr>
                <w:rFonts w:ascii="Arial" w:hAnsi="Arial" w:cs="Arial"/>
              </w:rPr>
              <w:t>No Fundamental Mistake</w:t>
            </w:r>
          </w:p>
        </w:tc>
        <w:tc>
          <w:tcPr>
            <w:tcW w:w="4678" w:type="dxa"/>
          </w:tcPr>
          <w:p w:rsidR="00014A21" w:rsidRPr="0011279A" w:rsidRDefault="00014A21" w:rsidP="002822DF">
            <w:pPr>
              <w:rPr>
                <w:rFonts w:ascii="Arial" w:hAnsi="Arial" w:cs="Arial"/>
              </w:rPr>
            </w:pPr>
            <w:r w:rsidRPr="0011279A">
              <w:rPr>
                <w:rFonts w:ascii="Arial" w:hAnsi="Arial" w:cs="Arial"/>
              </w:rPr>
              <w:t>The subject matter has to be clear, with no mistakes as to the terms and conditions of the offer or the characterization of subject-matter to parties.</w:t>
            </w:r>
          </w:p>
          <w:p w:rsidR="00014A21" w:rsidRPr="0011279A" w:rsidRDefault="00014A21" w:rsidP="002822DF">
            <w:pPr>
              <w:rPr>
                <w:rFonts w:ascii="Arial" w:hAnsi="Arial" w:cs="Arial"/>
              </w:rPr>
            </w:pPr>
            <w:r w:rsidRPr="0011279A">
              <w:rPr>
                <w:rFonts w:ascii="Arial" w:hAnsi="Arial" w:cs="Arial"/>
              </w:rPr>
              <w:t xml:space="preserve">(class notes)  </w:t>
            </w:r>
          </w:p>
          <w:p w:rsidR="00014A21" w:rsidRPr="0011279A" w:rsidRDefault="00014A21" w:rsidP="002822DF">
            <w:pPr>
              <w:rPr>
                <w:rFonts w:ascii="Arial" w:hAnsi="Arial" w:cs="Arial"/>
              </w:rPr>
            </w:pPr>
          </w:p>
        </w:tc>
        <w:tc>
          <w:tcPr>
            <w:tcW w:w="1972" w:type="dxa"/>
          </w:tcPr>
          <w:p w:rsidR="00014A21" w:rsidRPr="0011279A" w:rsidRDefault="00014A21" w:rsidP="002822DF">
            <w:pPr>
              <w:rPr>
                <w:rFonts w:ascii="Arial" w:hAnsi="Arial" w:cs="Arial"/>
                <w:sz w:val="20"/>
                <w:szCs w:val="20"/>
              </w:rPr>
            </w:pPr>
            <w:r w:rsidRPr="0011279A">
              <w:rPr>
                <w:rFonts w:ascii="Arial" w:hAnsi="Arial" w:cs="Arial"/>
                <w:sz w:val="20"/>
                <w:szCs w:val="20"/>
              </w:rPr>
              <w:t>If absent: void (no binding effect)</w:t>
            </w:r>
          </w:p>
        </w:tc>
      </w:tr>
      <w:tr w:rsidR="00014A21" w:rsidRPr="0011279A" w:rsidTr="002822DF">
        <w:tc>
          <w:tcPr>
            <w:tcW w:w="1980" w:type="dxa"/>
          </w:tcPr>
          <w:p w:rsidR="00014A21" w:rsidRPr="0011279A" w:rsidRDefault="00014A21" w:rsidP="002822DF">
            <w:pPr>
              <w:rPr>
                <w:rFonts w:ascii="Arial" w:hAnsi="Arial" w:cs="Arial"/>
              </w:rPr>
            </w:pPr>
            <w:r w:rsidRPr="0011279A">
              <w:rPr>
                <w:rFonts w:ascii="Arial" w:hAnsi="Arial" w:cs="Arial"/>
              </w:rPr>
              <w:t>Capacity</w:t>
            </w:r>
          </w:p>
        </w:tc>
        <w:tc>
          <w:tcPr>
            <w:tcW w:w="4678" w:type="dxa"/>
          </w:tcPr>
          <w:p w:rsidR="00014A21" w:rsidRPr="0011279A" w:rsidRDefault="00014A21" w:rsidP="002822DF">
            <w:pPr>
              <w:rPr>
                <w:rFonts w:ascii="Arial" w:hAnsi="Arial" w:cs="Arial"/>
              </w:rPr>
            </w:pPr>
            <w:r w:rsidRPr="0011279A">
              <w:rPr>
                <w:rFonts w:ascii="Arial" w:hAnsi="Arial" w:cs="Arial"/>
              </w:rPr>
              <w:t xml:space="preserve">The parties entering a contract must have the ability to enter legal relations. They must be of legal age of a sound mind. </w:t>
            </w:r>
            <w:hyperlink r:id="rId8" w:history="1">
              <w:r w:rsidRPr="0011279A">
                <w:rPr>
                  <w:rStyle w:val="Hyperlink"/>
                  <w:rFonts w:ascii="Arial" w:hAnsi="Arial" w:cs="Arial"/>
                </w:rPr>
                <w:t>https://www.mcna.com.au/requirement-common-law-legality-contract/</w:t>
              </w:r>
            </w:hyperlink>
          </w:p>
          <w:p w:rsidR="00014A21" w:rsidRPr="0011279A" w:rsidRDefault="00014A21" w:rsidP="002822DF">
            <w:pPr>
              <w:rPr>
                <w:rFonts w:ascii="Arial" w:hAnsi="Arial" w:cs="Arial"/>
              </w:rPr>
            </w:pPr>
          </w:p>
        </w:tc>
        <w:tc>
          <w:tcPr>
            <w:tcW w:w="1972" w:type="dxa"/>
          </w:tcPr>
          <w:p w:rsidR="00014A21" w:rsidRPr="0011279A" w:rsidRDefault="00014A21" w:rsidP="002822DF">
            <w:pPr>
              <w:rPr>
                <w:rFonts w:ascii="Arial" w:hAnsi="Arial" w:cs="Arial"/>
              </w:rPr>
            </w:pPr>
            <w:r w:rsidRPr="0011279A">
              <w:rPr>
                <w:rFonts w:ascii="Arial" w:hAnsi="Arial" w:cs="Arial"/>
              </w:rPr>
              <w:lastRenderedPageBreak/>
              <w:t>If absent; voidable (binding, but one party has the right to set aside)</w:t>
            </w:r>
          </w:p>
        </w:tc>
      </w:tr>
      <w:tr w:rsidR="00014A21" w:rsidRPr="0011279A" w:rsidTr="002822DF">
        <w:tc>
          <w:tcPr>
            <w:tcW w:w="1980" w:type="dxa"/>
          </w:tcPr>
          <w:p w:rsidR="00014A21" w:rsidRPr="0011279A" w:rsidRDefault="00014A21" w:rsidP="002822DF">
            <w:pPr>
              <w:rPr>
                <w:rFonts w:ascii="Arial" w:hAnsi="Arial" w:cs="Arial"/>
              </w:rPr>
            </w:pPr>
            <w:r w:rsidRPr="0011279A">
              <w:rPr>
                <w:rFonts w:ascii="Arial" w:hAnsi="Arial" w:cs="Arial"/>
              </w:rPr>
              <w:t>Legal Object</w:t>
            </w:r>
          </w:p>
        </w:tc>
        <w:tc>
          <w:tcPr>
            <w:tcW w:w="4678" w:type="dxa"/>
          </w:tcPr>
          <w:p w:rsidR="00014A21" w:rsidRPr="0011279A" w:rsidRDefault="00014A21" w:rsidP="002822DF">
            <w:pPr>
              <w:rPr>
                <w:rFonts w:ascii="Arial" w:hAnsi="Arial" w:cs="Arial"/>
              </w:rPr>
            </w:pPr>
            <w:r w:rsidRPr="0011279A">
              <w:rPr>
                <w:rFonts w:ascii="Arial" w:hAnsi="Arial" w:cs="Arial"/>
              </w:rPr>
              <w:t xml:space="preserve">The contract is required to meet the needs of all parties involved and express the statutory legalities. </w:t>
            </w:r>
            <w:hyperlink r:id="rId9" w:history="1">
              <w:r w:rsidRPr="0011279A">
                <w:rPr>
                  <w:rStyle w:val="Hyperlink"/>
                  <w:rFonts w:ascii="Arial" w:hAnsi="Arial" w:cs="Arial"/>
                </w:rPr>
                <w:t>https://www.mcna.com.au/requirement-common-law-legality-contract/</w:t>
              </w:r>
            </w:hyperlink>
          </w:p>
          <w:p w:rsidR="00014A21" w:rsidRPr="0011279A" w:rsidRDefault="00014A21" w:rsidP="002822DF">
            <w:pPr>
              <w:rPr>
                <w:rFonts w:ascii="Arial" w:hAnsi="Arial" w:cs="Arial"/>
              </w:rPr>
            </w:pPr>
          </w:p>
        </w:tc>
        <w:tc>
          <w:tcPr>
            <w:tcW w:w="1972" w:type="dxa"/>
          </w:tcPr>
          <w:p w:rsidR="00014A21" w:rsidRPr="0011279A" w:rsidRDefault="00014A21" w:rsidP="002822DF">
            <w:pPr>
              <w:rPr>
                <w:rFonts w:ascii="Arial" w:hAnsi="Arial" w:cs="Arial"/>
              </w:rPr>
            </w:pPr>
            <w:r w:rsidRPr="0011279A">
              <w:rPr>
                <w:rFonts w:ascii="Arial" w:hAnsi="Arial" w:cs="Arial"/>
              </w:rPr>
              <w:t>If absent: void (no binding effects)</w:t>
            </w:r>
          </w:p>
        </w:tc>
      </w:tr>
      <w:tr w:rsidR="00014A21" w:rsidRPr="0011279A" w:rsidTr="002822DF">
        <w:tc>
          <w:tcPr>
            <w:tcW w:w="1980" w:type="dxa"/>
          </w:tcPr>
          <w:p w:rsidR="00014A21" w:rsidRPr="0011279A" w:rsidRDefault="00014A21" w:rsidP="002822DF">
            <w:pPr>
              <w:rPr>
                <w:rFonts w:ascii="Arial" w:hAnsi="Arial" w:cs="Arial"/>
              </w:rPr>
            </w:pPr>
            <w:r w:rsidRPr="0011279A">
              <w:rPr>
                <w:rFonts w:ascii="Arial" w:hAnsi="Arial" w:cs="Arial"/>
              </w:rPr>
              <w:t>Proper Form</w:t>
            </w:r>
          </w:p>
        </w:tc>
        <w:tc>
          <w:tcPr>
            <w:tcW w:w="4678" w:type="dxa"/>
          </w:tcPr>
          <w:p w:rsidR="00014A21" w:rsidRPr="0011279A" w:rsidRDefault="00014A21" w:rsidP="002822DF">
            <w:pPr>
              <w:rPr>
                <w:rStyle w:val="Hyperlink"/>
                <w:rFonts w:ascii="Arial" w:hAnsi="Arial" w:cs="Arial"/>
              </w:rPr>
            </w:pPr>
            <w:r w:rsidRPr="0011279A">
              <w:rPr>
                <w:rFonts w:ascii="Arial" w:hAnsi="Arial" w:cs="Arial"/>
              </w:rPr>
              <w:t xml:space="preserve">Providing all the elements are present a contract is valid in whatever form, i.e. written, oral or both. In some cases, contracts must comply with certain formalities such as being written; otherwise, it may be unenforceable. </w:t>
            </w:r>
            <w:hyperlink r:id="rId10" w:history="1">
              <w:r w:rsidRPr="0011279A">
                <w:rPr>
                  <w:rStyle w:val="Hyperlink"/>
                  <w:rFonts w:ascii="Arial" w:hAnsi="Arial" w:cs="Arial"/>
                </w:rPr>
                <w:t>https://www.mcna.com.au/requirement-common-law-legality-contract/</w:t>
              </w:r>
            </w:hyperlink>
          </w:p>
          <w:p w:rsidR="00014A21" w:rsidRPr="0011279A" w:rsidRDefault="00014A21" w:rsidP="002822DF">
            <w:pPr>
              <w:rPr>
                <w:rFonts w:ascii="Arial" w:hAnsi="Arial" w:cs="Arial"/>
              </w:rPr>
            </w:pPr>
          </w:p>
        </w:tc>
        <w:tc>
          <w:tcPr>
            <w:tcW w:w="1972" w:type="dxa"/>
          </w:tcPr>
          <w:p w:rsidR="00014A21" w:rsidRPr="0011279A" w:rsidRDefault="00014A21" w:rsidP="002822DF">
            <w:pPr>
              <w:rPr>
                <w:rFonts w:ascii="Arial" w:hAnsi="Arial" w:cs="Arial"/>
              </w:rPr>
            </w:pPr>
            <w:r w:rsidRPr="0011279A">
              <w:rPr>
                <w:rFonts w:ascii="Arial" w:hAnsi="Arial" w:cs="Arial"/>
              </w:rPr>
              <w:t>If absent: some void (valid, but cannot be enforced in a court of law)</w:t>
            </w:r>
          </w:p>
        </w:tc>
      </w:tr>
      <w:tr w:rsidR="00014A21" w:rsidRPr="0011279A" w:rsidTr="002822DF">
        <w:tc>
          <w:tcPr>
            <w:tcW w:w="1980" w:type="dxa"/>
          </w:tcPr>
          <w:p w:rsidR="00014A21" w:rsidRPr="0011279A" w:rsidRDefault="00014A21" w:rsidP="002822DF">
            <w:pPr>
              <w:rPr>
                <w:rFonts w:ascii="Arial" w:hAnsi="Arial" w:cs="Arial"/>
              </w:rPr>
            </w:pPr>
            <w:r w:rsidRPr="0011279A">
              <w:rPr>
                <w:rFonts w:ascii="Arial" w:hAnsi="Arial" w:cs="Arial"/>
              </w:rPr>
              <w:t>True Consent</w:t>
            </w:r>
          </w:p>
        </w:tc>
        <w:tc>
          <w:tcPr>
            <w:tcW w:w="4678" w:type="dxa"/>
          </w:tcPr>
          <w:p w:rsidR="00014A21" w:rsidRPr="0011279A" w:rsidRDefault="00014A21" w:rsidP="002822DF">
            <w:pPr>
              <w:rPr>
                <w:rFonts w:ascii="Arial" w:hAnsi="Arial" w:cs="Arial"/>
              </w:rPr>
            </w:pPr>
            <w:r w:rsidRPr="0011279A">
              <w:rPr>
                <w:rFonts w:ascii="Arial" w:hAnsi="Arial" w:cs="Arial"/>
              </w:rPr>
              <w:t xml:space="preserve">No party involved in the contract must not be under duress, under the influence, misinformed of the contract particulars or be fraudulent to obtain agreement. </w:t>
            </w:r>
          </w:p>
          <w:p w:rsidR="00014A21" w:rsidRPr="0011279A" w:rsidRDefault="00014A21" w:rsidP="002822DF">
            <w:pPr>
              <w:rPr>
                <w:rFonts w:ascii="Arial" w:hAnsi="Arial" w:cs="Arial"/>
              </w:rPr>
            </w:pPr>
            <w:r w:rsidRPr="0011279A">
              <w:rPr>
                <w:rFonts w:ascii="Arial" w:hAnsi="Arial" w:cs="Arial"/>
              </w:rPr>
              <w:t>(class notes)</w:t>
            </w:r>
          </w:p>
        </w:tc>
        <w:tc>
          <w:tcPr>
            <w:tcW w:w="1972" w:type="dxa"/>
          </w:tcPr>
          <w:p w:rsidR="00014A21" w:rsidRPr="0011279A" w:rsidRDefault="00014A21" w:rsidP="002822DF">
            <w:pPr>
              <w:rPr>
                <w:rFonts w:ascii="Arial" w:hAnsi="Arial" w:cs="Arial"/>
              </w:rPr>
            </w:pPr>
            <w:r w:rsidRPr="0011279A">
              <w:rPr>
                <w:rFonts w:ascii="Arial" w:hAnsi="Arial" w:cs="Arial"/>
              </w:rPr>
              <w:t>If absent; voidable (binding, but one party has the right to set aside)</w:t>
            </w:r>
          </w:p>
          <w:p w:rsidR="00014A21" w:rsidRPr="0011279A" w:rsidRDefault="00014A21" w:rsidP="002822DF">
            <w:pPr>
              <w:rPr>
                <w:rFonts w:ascii="Arial" w:hAnsi="Arial" w:cs="Arial"/>
              </w:rPr>
            </w:pPr>
          </w:p>
        </w:tc>
      </w:tr>
    </w:tbl>
    <w:p w:rsidR="00014A21" w:rsidRPr="0011279A" w:rsidRDefault="00014A21" w:rsidP="00014A21">
      <w:pPr>
        <w:rPr>
          <w:rFonts w:ascii="Arial" w:hAnsi="Arial" w:cs="Arial"/>
          <w:color w:val="FF0000"/>
        </w:rPr>
      </w:pPr>
      <w:hyperlink r:id="rId11" w:history="1">
        <w:r w:rsidRPr="0011279A">
          <w:rPr>
            <w:rStyle w:val="Hyperlink"/>
            <w:rFonts w:ascii="Arial" w:hAnsi="Arial" w:cs="Arial"/>
          </w:rPr>
          <w:t>https://www.mcna.com.au/requirement-common-law-legality-contract/</w:t>
        </w:r>
      </w:hyperlink>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color w:val="FF0000"/>
        </w:rPr>
      </w:pPr>
    </w:p>
    <w:p w:rsidR="00014A21" w:rsidRPr="0011279A" w:rsidRDefault="00014A21" w:rsidP="00014A21">
      <w:pPr>
        <w:rPr>
          <w:rFonts w:ascii="Arial" w:hAnsi="Arial" w:cs="Arial"/>
        </w:rPr>
      </w:pPr>
    </w:p>
    <w:p w:rsidR="00014A21" w:rsidRPr="0011279A" w:rsidRDefault="00014A21" w:rsidP="00014A21">
      <w:pPr>
        <w:rPr>
          <w:rFonts w:ascii="Arial" w:hAnsi="Arial" w:cs="Arial"/>
        </w:rPr>
      </w:pPr>
    </w:p>
    <w:p w:rsidR="00014A21" w:rsidRDefault="00014A21" w:rsidP="00014A21">
      <w:pPr>
        <w:pStyle w:val="Title"/>
        <w:rPr>
          <w:rFonts w:ascii="Arial" w:hAnsi="Arial" w:cs="Arial"/>
          <w:caps/>
        </w:rPr>
      </w:pPr>
    </w:p>
    <w:p w:rsidR="00014A21" w:rsidRPr="0011279A" w:rsidRDefault="00014A21" w:rsidP="00014A21">
      <w:pPr>
        <w:pStyle w:val="Title"/>
        <w:rPr>
          <w:rFonts w:ascii="Arial" w:hAnsi="Arial" w:cs="Arial"/>
          <w:caps/>
        </w:rPr>
      </w:pPr>
      <w:r w:rsidRPr="0011279A">
        <w:rPr>
          <w:rFonts w:ascii="Arial" w:hAnsi="Arial" w:cs="Arial"/>
          <w:caps/>
        </w:rPr>
        <w:t>Environmental Law</w:t>
      </w:r>
    </w:p>
    <w:p w:rsidR="00014A21" w:rsidRPr="0011279A" w:rsidRDefault="00014A21" w:rsidP="00014A21">
      <w:pPr>
        <w:pStyle w:val="Heading2"/>
        <w:rPr>
          <w:rFonts w:ascii="Arial" w:hAnsi="Arial" w:cs="Arial"/>
        </w:rPr>
      </w:pPr>
      <w:r w:rsidRPr="0011279A">
        <w:rPr>
          <w:rFonts w:ascii="Arial" w:hAnsi="Arial" w:cs="Arial"/>
        </w:rPr>
        <w:t>Philosophy</w:t>
      </w:r>
    </w:p>
    <w:p w:rsidR="00014A21" w:rsidRPr="0011279A" w:rsidRDefault="00014A21" w:rsidP="00014A21">
      <w:pPr>
        <w:rPr>
          <w:rFonts w:ascii="Arial" w:hAnsi="Arial" w:cs="Arial"/>
        </w:rPr>
      </w:pPr>
      <w:r w:rsidRPr="0011279A">
        <w:rPr>
          <w:rFonts w:ascii="Arial" w:hAnsi="Arial" w:cs="Arial"/>
        </w:rPr>
        <w:t xml:space="preserve">Generally, the most commonly acknowledged practice within environmental law is that the ‘polluter pays’ principle. This refers to those who produce pollution, should bear the charges of the control, management and prevention damage to the environment – incuding human health. This philosophy is part of a collection of broader principles that guide the worldwide development sustainability which underpins the majority of regulations of pollution affecting land, water and air in the UK.  </w:t>
      </w:r>
      <w:r w:rsidRPr="0011279A">
        <w:rPr>
          <w:rFonts w:ascii="Arial" w:hAnsi="Arial" w:cs="Arial"/>
          <w:highlight w:val="yellow"/>
        </w:rPr>
        <w:t>CASE STUDY EXAMPLE</w:t>
      </w:r>
    </w:p>
    <w:p w:rsidR="00014A21" w:rsidRPr="0011279A" w:rsidRDefault="00014A21" w:rsidP="00014A21">
      <w:pPr>
        <w:rPr>
          <w:rStyle w:val="Hyperlink"/>
          <w:rFonts w:ascii="Arial" w:hAnsi="Arial" w:cs="Arial"/>
        </w:rPr>
      </w:pPr>
      <w:hyperlink r:id="rId12" w:history="1">
        <w:r w:rsidRPr="0011279A">
          <w:rPr>
            <w:rStyle w:val="Hyperlink"/>
            <w:rFonts w:ascii="Arial" w:hAnsi="Arial" w:cs="Arial"/>
          </w:rPr>
          <w:t>http://www.lse.ac.uk/GranthamInstitute/faqs/what-is-the-polluter-pays-principle/</w:t>
        </w:r>
      </w:hyperlink>
    </w:p>
    <w:p w:rsidR="00014A21" w:rsidRPr="0011279A" w:rsidRDefault="00014A21" w:rsidP="00014A21">
      <w:pPr>
        <w:pStyle w:val="Heading2"/>
        <w:rPr>
          <w:rFonts w:ascii="Arial" w:hAnsi="Arial" w:cs="Arial"/>
        </w:rPr>
      </w:pPr>
    </w:p>
    <w:p w:rsidR="00014A21" w:rsidRPr="0011279A" w:rsidRDefault="00014A21" w:rsidP="00014A21">
      <w:pPr>
        <w:pStyle w:val="Heading2"/>
        <w:rPr>
          <w:rFonts w:ascii="Arial" w:hAnsi="Arial" w:cs="Arial"/>
        </w:rPr>
      </w:pPr>
      <w:r w:rsidRPr="0011279A">
        <w:rPr>
          <w:rFonts w:ascii="Arial" w:hAnsi="Arial" w:cs="Arial"/>
        </w:rPr>
        <w:t>Importance</w:t>
      </w:r>
    </w:p>
    <w:p w:rsidR="00014A21" w:rsidRPr="0011279A" w:rsidRDefault="00014A21" w:rsidP="00014A21">
      <w:pPr>
        <w:rPr>
          <w:rFonts w:ascii="Arial" w:hAnsi="Arial" w:cs="Arial"/>
        </w:rPr>
      </w:pPr>
      <w:r w:rsidRPr="0011279A">
        <w:rPr>
          <w:rFonts w:ascii="Arial" w:hAnsi="Arial" w:cs="Arial"/>
        </w:rPr>
        <w:t xml:space="preserve">Environmental laws are in place to ensure - among other things - that contractors and designers develop projects in such a way that cause the lease amount of environmental harm, and to make best use of resources. As the philiosiphy above states, UK law ensure that these companies bear the costs of preventing and/or reapiring damage to the environment as opposed to offloading these costs to the taxpayers money i.e. clean up costs or healthcare expenses. Principly, it ensures that a companies factor in the costs of environmental protection into their business expenditures. </w:t>
      </w:r>
      <w:hyperlink r:id="rId13" w:history="1">
        <w:r w:rsidRPr="0011279A">
          <w:rPr>
            <w:rStyle w:val="Hyperlink"/>
            <w:rFonts w:ascii="Arial" w:hAnsi="Arial" w:cs="Arial"/>
          </w:rPr>
          <w:t>https://uk.practicallaw.thomsonreuters.com/6-503-1654?transitionType=Default&amp;contextData=(sc.Default)&amp;firstPage=true&amp;bhcp=1</w:t>
        </w:r>
      </w:hyperlink>
    </w:p>
    <w:p w:rsidR="00014A21" w:rsidRPr="0011279A" w:rsidRDefault="00014A21" w:rsidP="00014A21">
      <w:pPr>
        <w:pStyle w:val="Heading2"/>
        <w:rPr>
          <w:rFonts w:ascii="Arial" w:hAnsi="Arial" w:cs="Arial"/>
          <w:lang w:val="en-GB" w:eastAsia="en-GB"/>
        </w:rPr>
      </w:pPr>
      <w:r w:rsidRPr="0011279A">
        <w:rPr>
          <w:rFonts w:ascii="Arial" w:hAnsi="Arial" w:cs="Arial"/>
          <w:lang w:val="en-GB" w:eastAsia="en-GB"/>
        </w:rPr>
        <w:t>LEGISLATION</w:t>
      </w:r>
    </w:p>
    <w:p w:rsidR="00014A21" w:rsidRPr="0011279A" w:rsidRDefault="00014A21" w:rsidP="00014A21">
      <w:pPr>
        <w:rPr>
          <w:rFonts w:ascii="Arial" w:hAnsi="Arial" w:cs="Arial"/>
          <w:lang w:val="en-GB" w:eastAsia="en-GB"/>
        </w:rPr>
      </w:pPr>
      <w:r w:rsidRPr="0011279A">
        <w:rPr>
          <w:rFonts w:ascii="Arial" w:hAnsi="Arial" w:cs="Arial"/>
          <w:lang w:val="en-GB" w:eastAsia="en-GB"/>
        </w:rPr>
        <w:t xml:space="preserve">Environmental laws provide for criminal liability civil </w:t>
      </w:r>
      <w:proofErr w:type="gramStart"/>
      <w:r w:rsidRPr="0011279A">
        <w:rPr>
          <w:rFonts w:ascii="Arial" w:hAnsi="Arial" w:cs="Arial"/>
          <w:lang w:val="en-GB" w:eastAsia="en-GB"/>
        </w:rPr>
        <w:t>liability  enforcement</w:t>
      </w:r>
      <w:proofErr w:type="gramEnd"/>
      <w:r w:rsidRPr="0011279A">
        <w:rPr>
          <w:rFonts w:ascii="Arial" w:hAnsi="Arial" w:cs="Arial"/>
          <w:lang w:val="en-GB" w:eastAsia="en-GB"/>
        </w:rPr>
        <w:t xml:space="preserve"> and compensation. Environmental regulators have enforcement and prosecution policies to provide for applying the provisions for liability, and indeed are required to have such policies. During the past 10 years, the Environmental Liability Directive (2004/35/EC) and the Environmental Crime Directive (2008/ 99/EC) have strengthened the powers that regulators and individuals have to both prosecute and seek compensation for environmental damage caused by others.</w:t>
      </w:r>
    </w:p>
    <w:p w:rsidR="00014A21" w:rsidRPr="0011279A" w:rsidRDefault="00014A21" w:rsidP="00014A21">
      <w:pPr>
        <w:rPr>
          <w:rFonts w:ascii="Arial" w:hAnsi="Arial" w:cs="Arial"/>
          <w:lang w:val="en-GB" w:eastAsia="en-GB"/>
        </w:rPr>
      </w:pPr>
      <w:r w:rsidRPr="0011279A">
        <w:rPr>
          <w:rFonts w:ascii="Arial" w:hAnsi="Arial" w:cs="Arial"/>
          <w:lang w:val="en-GB" w:eastAsia="en-GB"/>
        </w:rPr>
        <w:t>Under UK law, there are two types of environmental liability:</w:t>
      </w:r>
    </w:p>
    <w:p w:rsidR="00014A21" w:rsidRPr="0011279A" w:rsidRDefault="00014A21" w:rsidP="00014A21">
      <w:pPr>
        <w:pStyle w:val="ListParagraph"/>
        <w:numPr>
          <w:ilvl w:val="0"/>
          <w:numId w:val="1"/>
        </w:numPr>
        <w:rPr>
          <w:rFonts w:ascii="Arial" w:hAnsi="Arial" w:cs="Arial"/>
          <w:lang w:eastAsia="en-GB"/>
        </w:rPr>
      </w:pPr>
      <w:r w:rsidRPr="0011279A">
        <w:rPr>
          <w:rFonts w:ascii="Arial" w:hAnsi="Arial" w:cs="Arial"/>
          <w:lang w:eastAsia="en-GB"/>
        </w:rPr>
        <w:t xml:space="preserve">Criminal liability: This applies where a person or organisation has broken a law defined in a statute, and as a result, has caused deliberate harm to the environment. E.g. an operative on site who illegally disposes of hazardous waste. </w:t>
      </w:r>
    </w:p>
    <w:p w:rsidR="00014A21" w:rsidRPr="0011279A" w:rsidRDefault="00014A21" w:rsidP="00014A21">
      <w:pPr>
        <w:pStyle w:val="ListParagraph"/>
        <w:numPr>
          <w:ilvl w:val="0"/>
          <w:numId w:val="1"/>
        </w:numPr>
        <w:rPr>
          <w:rFonts w:ascii="Arial" w:hAnsi="Arial" w:cs="Arial"/>
          <w:lang w:eastAsia="en-GB"/>
        </w:rPr>
      </w:pPr>
      <w:r w:rsidRPr="0011279A">
        <w:rPr>
          <w:rFonts w:ascii="Arial" w:hAnsi="Arial" w:cs="Arial"/>
          <w:lang w:eastAsia="en-GB"/>
        </w:rPr>
        <w:t xml:space="preserve">Civil Liability: This refers to cases where a person or organisation seeks compensation from another for alleged damage. E.g. breach of a contract. </w:t>
      </w:r>
    </w:p>
    <w:p w:rsidR="00014A21" w:rsidRPr="0011279A" w:rsidRDefault="00014A21" w:rsidP="00014A21">
      <w:pPr>
        <w:rPr>
          <w:rFonts w:ascii="Arial" w:hAnsi="Arial" w:cs="Arial"/>
        </w:rPr>
      </w:pPr>
      <w:hyperlink r:id="rId14" w:history="1">
        <w:r w:rsidRPr="0011279A">
          <w:rPr>
            <w:rStyle w:val="Hyperlink"/>
            <w:rFonts w:ascii="Arial" w:hAnsi="Arial" w:cs="Arial"/>
          </w:rPr>
          <w:t>https://app.croneri.co.uk/topics/environmental-liability/indepth?product=</w:t>
        </w:r>
      </w:hyperlink>
    </w:p>
    <w:p w:rsidR="00014A21" w:rsidRPr="0011279A" w:rsidRDefault="00014A21" w:rsidP="00014A21">
      <w:pPr>
        <w:rPr>
          <w:rFonts w:ascii="Arial" w:hAnsi="Arial" w:cs="Arial"/>
        </w:rPr>
      </w:pPr>
    </w:p>
    <w:p w:rsidR="00014A21" w:rsidRPr="0011279A" w:rsidRDefault="00014A21" w:rsidP="00014A21">
      <w:pPr>
        <w:rPr>
          <w:rFonts w:ascii="Arial" w:hAnsi="Arial" w:cs="Arial"/>
        </w:rPr>
      </w:pPr>
      <w:r w:rsidRPr="0011279A">
        <w:rPr>
          <w:rFonts w:ascii="Arial" w:hAnsi="Arial" w:cs="Arial"/>
        </w:rPr>
        <w:t>For example, the table below breaks down a select few issues, the relative legislative areas and where liability falls:</w:t>
      </w:r>
    </w:p>
    <w:p w:rsidR="00014A21" w:rsidRPr="0011279A" w:rsidRDefault="00014A21" w:rsidP="00014A21">
      <w:pPr>
        <w:rPr>
          <w:rFonts w:ascii="Arial" w:hAnsi="Arial" w:cs="Arial"/>
          <w:u w:val="single"/>
        </w:rPr>
      </w:pPr>
      <w:r w:rsidRPr="0011279A">
        <w:rPr>
          <w:rFonts w:ascii="Arial" w:hAnsi="Arial" w:cs="Arial"/>
          <w:u w:val="single"/>
        </w:rPr>
        <w:t>Table 6: Environmental Issues, Legislitive control and Liability</w:t>
      </w:r>
    </w:p>
    <w:tbl>
      <w:tblPr>
        <w:tblStyle w:val="TableGrid"/>
        <w:tblW w:w="0" w:type="auto"/>
        <w:tblLayout w:type="fixed"/>
        <w:tblLook w:val="04A0" w:firstRow="1" w:lastRow="0" w:firstColumn="1" w:lastColumn="0" w:noHBand="0" w:noVBand="1"/>
      </w:tblPr>
      <w:tblGrid>
        <w:gridCol w:w="1555"/>
        <w:gridCol w:w="3118"/>
        <w:gridCol w:w="3957"/>
      </w:tblGrid>
      <w:tr w:rsidR="00014A21" w:rsidRPr="0011279A" w:rsidTr="002822DF">
        <w:tc>
          <w:tcPr>
            <w:tcW w:w="1555" w:type="dxa"/>
          </w:tcPr>
          <w:p w:rsidR="00014A21" w:rsidRPr="0011279A" w:rsidRDefault="00014A21" w:rsidP="002822DF">
            <w:pPr>
              <w:rPr>
                <w:rFonts w:ascii="Arial" w:hAnsi="Arial" w:cs="Arial"/>
                <w:b/>
              </w:rPr>
            </w:pPr>
            <w:r w:rsidRPr="0011279A">
              <w:rPr>
                <w:rFonts w:ascii="Arial" w:hAnsi="Arial" w:cs="Arial"/>
                <w:b/>
              </w:rPr>
              <w:t>Issues</w:t>
            </w:r>
          </w:p>
        </w:tc>
        <w:tc>
          <w:tcPr>
            <w:tcW w:w="3118" w:type="dxa"/>
          </w:tcPr>
          <w:p w:rsidR="00014A21" w:rsidRPr="0011279A" w:rsidRDefault="00014A21" w:rsidP="002822DF">
            <w:pPr>
              <w:rPr>
                <w:rFonts w:ascii="Arial" w:hAnsi="Arial" w:cs="Arial"/>
                <w:b/>
              </w:rPr>
            </w:pPr>
            <w:r w:rsidRPr="0011279A">
              <w:rPr>
                <w:rFonts w:ascii="Arial" w:hAnsi="Arial" w:cs="Arial"/>
                <w:b/>
              </w:rPr>
              <w:t>Legislative Description</w:t>
            </w:r>
          </w:p>
        </w:tc>
        <w:tc>
          <w:tcPr>
            <w:tcW w:w="3957" w:type="dxa"/>
          </w:tcPr>
          <w:p w:rsidR="00014A21" w:rsidRPr="0011279A" w:rsidRDefault="00014A21" w:rsidP="002822DF">
            <w:pPr>
              <w:rPr>
                <w:rFonts w:ascii="Arial" w:hAnsi="Arial" w:cs="Arial"/>
                <w:b/>
              </w:rPr>
            </w:pPr>
            <w:r w:rsidRPr="0011279A">
              <w:rPr>
                <w:rFonts w:ascii="Arial" w:hAnsi="Arial" w:cs="Arial"/>
                <w:b/>
              </w:rPr>
              <w:t>Liability</w:t>
            </w:r>
          </w:p>
        </w:tc>
      </w:tr>
      <w:tr w:rsidR="00014A21" w:rsidRPr="0011279A" w:rsidTr="002822DF">
        <w:tc>
          <w:tcPr>
            <w:tcW w:w="1555" w:type="dxa"/>
          </w:tcPr>
          <w:p w:rsidR="00014A21" w:rsidRPr="0011279A" w:rsidRDefault="00014A21" w:rsidP="002822DF">
            <w:pPr>
              <w:rPr>
                <w:rFonts w:ascii="Arial" w:hAnsi="Arial" w:cs="Arial"/>
              </w:rPr>
            </w:pPr>
            <w:r w:rsidRPr="0011279A">
              <w:rPr>
                <w:rFonts w:ascii="Arial" w:hAnsi="Arial" w:cs="Arial"/>
              </w:rPr>
              <w:t>Contaminated Land</w:t>
            </w:r>
          </w:p>
        </w:tc>
        <w:tc>
          <w:tcPr>
            <w:tcW w:w="3118" w:type="dxa"/>
          </w:tcPr>
          <w:p w:rsidR="00014A21" w:rsidRPr="0011279A" w:rsidRDefault="00014A21" w:rsidP="002822DF">
            <w:pPr>
              <w:rPr>
                <w:rFonts w:ascii="Arial" w:hAnsi="Arial" w:cs="Arial"/>
                <w:lang w:val="en-GB"/>
              </w:rPr>
            </w:pPr>
            <w:r w:rsidRPr="0011279A">
              <w:rPr>
                <w:rFonts w:ascii="Arial" w:hAnsi="Arial" w:cs="Arial"/>
                <w:lang w:val="en-GB"/>
              </w:rPr>
              <w:t>Controlled by Environmental Protection Act 1990 Pt.2A  - “</w:t>
            </w:r>
            <w:r w:rsidRPr="0011279A">
              <w:rPr>
                <w:rFonts w:ascii="Arial" w:hAnsi="Arial" w:cs="Arial"/>
                <w:b/>
                <w:lang w:val="en-GB"/>
              </w:rPr>
              <w:t>L</w:t>
            </w:r>
            <w:r w:rsidRPr="0011279A">
              <w:rPr>
                <w:rFonts w:ascii="Arial" w:hAnsi="Arial" w:cs="Arial"/>
                <w:b/>
                <w:bCs/>
                <w:lang w:val="en-GB"/>
              </w:rPr>
              <w:t>and</w:t>
            </w:r>
            <w:r w:rsidRPr="0011279A">
              <w:rPr>
                <w:rFonts w:ascii="Arial" w:hAnsi="Arial" w:cs="Arial"/>
                <w:b/>
                <w:lang w:val="en-GB"/>
              </w:rPr>
              <w:t> </w:t>
            </w:r>
            <w:r w:rsidRPr="0011279A">
              <w:rPr>
                <w:rFonts w:ascii="Arial" w:hAnsi="Arial" w:cs="Arial"/>
                <w:lang w:val="en-GB"/>
              </w:rPr>
              <w:t>where substances could cause: significant harm to people or protected species; significant pollution of surface waters or groundwater” (Gov.uk, 2015)</w:t>
            </w:r>
          </w:p>
        </w:tc>
        <w:tc>
          <w:tcPr>
            <w:tcW w:w="3957" w:type="dxa"/>
          </w:tcPr>
          <w:p w:rsidR="00014A21" w:rsidRPr="0011279A" w:rsidRDefault="00014A21" w:rsidP="002822DF">
            <w:pPr>
              <w:rPr>
                <w:rFonts w:ascii="Arial" w:hAnsi="Arial" w:cs="Arial"/>
              </w:rPr>
            </w:pPr>
            <w:r w:rsidRPr="0011279A">
              <w:rPr>
                <w:rFonts w:ascii="Arial" w:hAnsi="Arial" w:cs="Arial"/>
              </w:rPr>
              <w:t xml:space="preserve">Liability falls under two classifications: </w:t>
            </w:r>
          </w:p>
          <w:p w:rsidR="00014A21" w:rsidRPr="0011279A" w:rsidRDefault="00014A21" w:rsidP="002822DF">
            <w:pPr>
              <w:rPr>
                <w:rFonts w:ascii="Arial" w:hAnsi="Arial" w:cs="Arial"/>
              </w:rPr>
            </w:pPr>
            <w:r w:rsidRPr="0011279A">
              <w:rPr>
                <w:rFonts w:ascii="Arial" w:hAnsi="Arial" w:cs="Arial"/>
              </w:rPr>
              <w:t>Class A – Persons caused or allowed the contamination</w:t>
            </w:r>
          </w:p>
          <w:p w:rsidR="00014A21" w:rsidRPr="0011279A" w:rsidRDefault="00014A21" w:rsidP="002822DF">
            <w:pPr>
              <w:rPr>
                <w:rFonts w:ascii="Arial" w:hAnsi="Arial" w:cs="Arial"/>
              </w:rPr>
            </w:pPr>
            <w:r w:rsidRPr="0011279A">
              <w:rPr>
                <w:rFonts w:ascii="Arial" w:hAnsi="Arial" w:cs="Arial"/>
              </w:rPr>
              <w:t>Class B – Persons who own or use the land</w:t>
            </w:r>
          </w:p>
          <w:p w:rsidR="00014A21" w:rsidRPr="0011279A" w:rsidRDefault="00014A21" w:rsidP="002822DF">
            <w:pPr>
              <w:rPr>
                <w:rFonts w:ascii="Arial" w:hAnsi="Arial" w:cs="Arial"/>
              </w:rPr>
            </w:pPr>
          </w:p>
          <w:p w:rsidR="00014A21" w:rsidRPr="0011279A" w:rsidRDefault="00014A21" w:rsidP="002822DF">
            <w:pPr>
              <w:rPr>
                <w:rFonts w:ascii="Arial" w:hAnsi="Arial" w:cs="Arial"/>
              </w:rPr>
            </w:pPr>
            <w:r w:rsidRPr="0011279A">
              <w:rPr>
                <w:rFonts w:ascii="Arial" w:hAnsi="Arial" w:cs="Arial"/>
              </w:rPr>
              <w:t xml:space="preserve">Under the contaminated land regime, liability is imposed in the first instance on those who caused or knowlingly permitted the contaminating substances to be present on the land (Class A Persons). Should there be no ‘Class A’ persons can be found, liability passes to the current owner or occupier of the land, regardless whether or not they are aware of the contamination. </w:t>
            </w:r>
          </w:p>
          <w:p w:rsidR="00014A21" w:rsidRPr="0011279A" w:rsidRDefault="00014A21" w:rsidP="002822DF">
            <w:pPr>
              <w:rPr>
                <w:rFonts w:ascii="Arial" w:hAnsi="Arial" w:cs="Arial"/>
              </w:rPr>
            </w:pPr>
          </w:p>
          <w:p w:rsidR="00014A21" w:rsidRPr="0011279A" w:rsidRDefault="00014A21" w:rsidP="002822DF">
            <w:pPr>
              <w:rPr>
                <w:rFonts w:ascii="Arial" w:hAnsi="Arial" w:cs="Arial"/>
              </w:rPr>
            </w:pPr>
            <w:hyperlink r:id="rId15" w:history="1">
              <w:r w:rsidRPr="0011279A">
                <w:rPr>
                  <w:rStyle w:val="Hyperlink"/>
                  <w:rFonts w:ascii="Arial" w:hAnsi="Arial" w:cs="Arial"/>
                </w:rPr>
                <w:t>https://www.willans.co.uk/knowledge/unexpected-liability-for-contaminated-land/</w:t>
              </w:r>
            </w:hyperlink>
          </w:p>
        </w:tc>
      </w:tr>
      <w:tr w:rsidR="00014A21" w:rsidRPr="0011279A" w:rsidTr="002822DF">
        <w:tc>
          <w:tcPr>
            <w:tcW w:w="1555" w:type="dxa"/>
          </w:tcPr>
          <w:p w:rsidR="00014A21" w:rsidRPr="0011279A" w:rsidRDefault="00014A21" w:rsidP="002822DF">
            <w:pPr>
              <w:rPr>
                <w:rFonts w:ascii="Arial" w:hAnsi="Arial" w:cs="Arial"/>
              </w:rPr>
            </w:pPr>
            <w:r w:rsidRPr="0011279A">
              <w:rPr>
                <w:rFonts w:ascii="Arial" w:hAnsi="Arial" w:cs="Arial"/>
              </w:rPr>
              <w:t>Land and air pollution</w:t>
            </w:r>
          </w:p>
        </w:tc>
        <w:tc>
          <w:tcPr>
            <w:tcW w:w="3118" w:type="dxa"/>
          </w:tcPr>
          <w:p w:rsidR="00014A21" w:rsidRPr="0011279A" w:rsidRDefault="00014A21" w:rsidP="002822DF">
            <w:pPr>
              <w:rPr>
                <w:rFonts w:ascii="Arial" w:hAnsi="Arial" w:cs="Arial"/>
                <w:color w:val="2E2E2E"/>
              </w:rPr>
            </w:pPr>
            <w:r w:rsidRPr="0011279A">
              <w:rPr>
                <w:rFonts w:ascii="Arial" w:hAnsi="Arial" w:cs="Arial"/>
                <w:lang w:val="en-GB"/>
              </w:rPr>
              <w:t xml:space="preserve">Controlled by Environmental Protection Act 1990 Pt.2 – This section can be broken down into three classifications: Inert waste (i.e. rubble etc.), Controlled waste (i.e. Plasterboard etc.) and Hazardous waste (i.e. asbestos etc.) In law, waste is defined as </w:t>
            </w:r>
            <w:r w:rsidRPr="0011279A">
              <w:rPr>
                <w:rFonts w:ascii="Arial" w:hAnsi="Arial" w:cs="Arial"/>
                <w:color w:val="2E2E2E"/>
              </w:rPr>
              <w:t xml:space="preserve">“any substance or object which the holder discards or intends or is required to discard” (Waste </w:t>
            </w:r>
            <w:r w:rsidRPr="0011279A">
              <w:rPr>
                <w:rFonts w:ascii="Arial" w:hAnsi="Arial" w:cs="Arial"/>
                <w:color w:val="2E2E2E"/>
              </w:rPr>
              <w:lastRenderedPageBreak/>
              <w:t>Framework Directive 2008/98/EC)</w:t>
            </w:r>
          </w:p>
          <w:p w:rsidR="00014A21" w:rsidRPr="0011279A" w:rsidRDefault="00014A21" w:rsidP="002822DF">
            <w:pPr>
              <w:rPr>
                <w:rFonts w:ascii="Arial" w:hAnsi="Arial" w:cs="Arial"/>
                <w:color w:val="2E2E2E"/>
              </w:rPr>
            </w:pPr>
          </w:p>
          <w:p w:rsidR="00014A21" w:rsidRPr="0011279A" w:rsidRDefault="00014A21" w:rsidP="002822DF">
            <w:pPr>
              <w:rPr>
                <w:rFonts w:ascii="Arial" w:hAnsi="Arial" w:cs="Arial"/>
              </w:rPr>
            </w:pPr>
            <w:hyperlink r:id="rId16" w:history="1">
              <w:r w:rsidRPr="0011279A">
                <w:rPr>
                  <w:rStyle w:val="Hyperlink"/>
                  <w:rFonts w:ascii="Arial" w:hAnsi="Arial" w:cs="Arial"/>
                </w:rPr>
                <w:t>http://www.environmentlaw.org.uk/rte.asp?id=32</w:t>
              </w:r>
            </w:hyperlink>
          </w:p>
        </w:tc>
        <w:tc>
          <w:tcPr>
            <w:tcW w:w="3957" w:type="dxa"/>
          </w:tcPr>
          <w:p w:rsidR="00014A21" w:rsidRPr="0011279A" w:rsidRDefault="00014A21" w:rsidP="002822DF">
            <w:pPr>
              <w:jc w:val="both"/>
              <w:rPr>
                <w:rFonts w:ascii="Arial" w:hAnsi="Arial" w:cs="Arial"/>
                <w:color w:val="777777"/>
                <w:shd w:val="clear" w:color="auto" w:fill="FFFFFF"/>
              </w:rPr>
            </w:pPr>
            <w:r w:rsidRPr="0011279A">
              <w:rPr>
                <w:rFonts w:ascii="Arial" w:hAnsi="Arial" w:cs="Arial"/>
                <w:color w:val="777777"/>
                <w:shd w:val="clear" w:color="auto" w:fill="FFFFFF"/>
              </w:rPr>
              <w:lastRenderedPageBreak/>
              <w:t xml:space="preserve">The Court of Appeal has held that where a person deposits controlled waste, or knowingly causes or permits controlled waste to be deposited on any land and the deposit did not comply with any licence, that person will be liable even if he does not know the circumstances of non-compliance. </w:t>
            </w:r>
          </w:p>
          <w:p w:rsidR="00014A21" w:rsidRPr="0011279A" w:rsidRDefault="00014A21" w:rsidP="002822DF">
            <w:pPr>
              <w:jc w:val="both"/>
              <w:rPr>
                <w:rFonts w:ascii="Arial" w:hAnsi="Arial" w:cs="Arial"/>
                <w:color w:val="777777"/>
                <w:shd w:val="clear" w:color="auto" w:fill="FFFFFF"/>
              </w:rPr>
            </w:pPr>
          </w:p>
          <w:p w:rsidR="00014A21" w:rsidRPr="0011279A" w:rsidRDefault="00014A21" w:rsidP="002822DF">
            <w:pPr>
              <w:jc w:val="both"/>
              <w:rPr>
                <w:rFonts w:ascii="Arial" w:hAnsi="Arial" w:cs="Arial"/>
              </w:rPr>
            </w:pPr>
            <w:hyperlink r:id="rId17" w:history="1">
              <w:r w:rsidRPr="0011279A">
                <w:rPr>
                  <w:rStyle w:val="Hyperlink"/>
                  <w:rFonts w:ascii="Arial" w:hAnsi="Arial" w:cs="Arial"/>
                </w:rPr>
                <w:t>https://uk.practicallaw.thomsonreuters.com/7-100-</w:t>
              </w:r>
              <w:r w:rsidRPr="0011279A">
                <w:rPr>
                  <w:rStyle w:val="Hyperlink"/>
                  <w:rFonts w:ascii="Arial" w:hAnsi="Arial" w:cs="Arial"/>
                </w:rPr>
                <w:lastRenderedPageBreak/>
                <w:t>0430?transitionType=Default&amp;contextData=(sc.Default)&amp;firstPage=true&amp;bhcp=1</w:t>
              </w:r>
            </w:hyperlink>
          </w:p>
        </w:tc>
      </w:tr>
      <w:tr w:rsidR="00014A21" w:rsidRPr="0011279A" w:rsidTr="002822DF">
        <w:tc>
          <w:tcPr>
            <w:tcW w:w="1555" w:type="dxa"/>
          </w:tcPr>
          <w:p w:rsidR="00014A21" w:rsidRPr="0011279A" w:rsidRDefault="00014A21" w:rsidP="002822DF">
            <w:pPr>
              <w:rPr>
                <w:rFonts w:ascii="Arial" w:hAnsi="Arial" w:cs="Arial"/>
              </w:rPr>
            </w:pPr>
            <w:r w:rsidRPr="0011279A">
              <w:rPr>
                <w:rFonts w:ascii="Arial" w:hAnsi="Arial" w:cs="Arial"/>
              </w:rPr>
              <w:lastRenderedPageBreak/>
              <w:t>Water Pollution</w:t>
            </w:r>
          </w:p>
        </w:tc>
        <w:tc>
          <w:tcPr>
            <w:tcW w:w="3118" w:type="dxa"/>
          </w:tcPr>
          <w:p w:rsidR="00014A21" w:rsidRPr="0011279A" w:rsidRDefault="00014A21" w:rsidP="002822DF">
            <w:pPr>
              <w:rPr>
                <w:rFonts w:ascii="Arial" w:hAnsi="Arial" w:cs="Arial"/>
              </w:rPr>
            </w:pPr>
            <w:r w:rsidRPr="0011279A">
              <w:rPr>
                <w:rFonts w:ascii="Arial" w:hAnsi="Arial" w:cs="Arial"/>
              </w:rPr>
              <w:t>Governed by WRA 91 (Part 3), regulated by EA / NRW</w:t>
            </w:r>
          </w:p>
          <w:p w:rsidR="00014A21" w:rsidRPr="0011279A" w:rsidRDefault="00014A21" w:rsidP="002822DF">
            <w:pPr>
              <w:jc w:val="both"/>
              <w:rPr>
                <w:rFonts w:ascii="Arial" w:hAnsi="Arial" w:cs="Arial"/>
              </w:rPr>
            </w:pPr>
          </w:p>
          <w:p w:rsidR="00014A21" w:rsidRPr="0011279A" w:rsidRDefault="00014A21" w:rsidP="002822DF">
            <w:pPr>
              <w:rPr>
                <w:rFonts w:ascii="Arial" w:hAnsi="Arial" w:cs="Arial"/>
                <w:highlight w:val="yellow"/>
              </w:rPr>
            </w:pPr>
            <w:r w:rsidRPr="0011279A">
              <w:rPr>
                <w:rFonts w:ascii="Arial" w:hAnsi="Arial" w:cs="Arial"/>
                <w:highlight w:val="yellow"/>
              </w:rPr>
              <w:t>Offence to cause or knowingly permit any poisonous, noxious, polluting or solid matter to enter controlled waters</w:t>
            </w:r>
          </w:p>
          <w:p w:rsidR="00014A21" w:rsidRPr="0011279A" w:rsidRDefault="00014A21" w:rsidP="002822DF">
            <w:pPr>
              <w:rPr>
                <w:rFonts w:ascii="Arial" w:hAnsi="Arial" w:cs="Arial"/>
                <w:highlight w:val="yellow"/>
              </w:rPr>
            </w:pPr>
            <w:r w:rsidRPr="0011279A">
              <w:rPr>
                <w:rFonts w:ascii="Arial" w:hAnsi="Arial" w:cs="Arial"/>
                <w:highlight w:val="yellow"/>
              </w:rPr>
              <w:t>Trade effluent is governed under discharge consents</w:t>
            </w:r>
          </w:p>
          <w:p w:rsidR="00014A21" w:rsidRPr="0011279A" w:rsidRDefault="00014A21" w:rsidP="002822DF">
            <w:pPr>
              <w:rPr>
                <w:rFonts w:ascii="Arial" w:hAnsi="Arial" w:cs="Arial"/>
                <w:highlight w:val="yellow"/>
              </w:rPr>
            </w:pPr>
            <w:r w:rsidRPr="0011279A">
              <w:rPr>
                <w:rFonts w:ascii="Arial" w:hAnsi="Arial" w:cs="Arial"/>
                <w:highlight w:val="yellow"/>
              </w:rPr>
              <w:t>Also for run-off if contaminated</w:t>
            </w:r>
          </w:p>
          <w:p w:rsidR="00014A21" w:rsidRPr="0011279A" w:rsidRDefault="00014A21" w:rsidP="002822DF">
            <w:pPr>
              <w:rPr>
                <w:rFonts w:ascii="Arial" w:hAnsi="Arial" w:cs="Arial"/>
              </w:rPr>
            </w:pPr>
            <w:r w:rsidRPr="0011279A">
              <w:rPr>
                <w:rFonts w:ascii="Arial" w:hAnsi="Arial" w:cs="Arial"/>
                <w:highlight w:val="yellow"/>
              </w:rPr>
              <w:t>Abstraction also under consent</w:t>
            </w:r>
          </w:p>
          <w:p w:rsidR="00014A21" w:rsidRPr="0011279A" w:rsidRDefault="00014A21" w:rsidP="002822DF">
            <w:pPr>
              <w:jc w:val="both"/>
              <w:rPr>
                <w:rFonts w:ascii="Arial" w:hAnsi="Arial" w:cs="Arial"/>
              </w:rPr>
            </w:pPr>
          </w:p>
        </w:tc>
        <w:tc>
          <w:tcPr>
            <w:tcW w:w="3957" w:type="dxa"/>
          </w:tcPr>
          <w:p w:rsidR="00014A21" w:rsidRPr="0011279A" w:rsidRDefault="00014A21" w:rsidP="002822DF">
            <w:pPr>
              <w:rPr>
                <w:rFonts w:ascii="Arial" w:hAnsi="Arial" w:cs="Arial"/>
              </w:rPr>
            </w:pPr>
            <w:r w:rsidRPr="0011279A">
              <w:rPr>
                <w:rFonts w:ascii="Arial" w:hAnsi="Arial" w:cs="Arial"/>
              </w:rPr>
              <w:t>Body corporate AND individuals can be liable</w:t>
            </w:r>
          </w:p>
          <w:p w:rsidR="00014A21" w:rsidRPr="0011279A" w:rsidRDefault="00014A21" w:rsidP="002822DF">
            <w:pPr>
              <w:rPr>
                <w:rFonts w:ascii="Arial" w:hAnsi="Arial" w:cs="Arial"/>
              </w:rPr>
            </w:pPr>
            <w:r w:rsidRPr="0011279A">
              <w:rPr>
                <w:rFonts w:ascii="Arial" w:hAnsi="Arial" w:cs="Arial"/>
                <w:color w:val="394753"/>
                <w:sz w:val="21"/>
                <w:szCs w:val="21"/>
                <w:shd w:val="clear" w:color="auto" w:fill="F8F8F8"/>
              </w:rPr>
              <w:t>Section 161 of the Water Resources Act 1991, for example, states that</w:t>
            </w:r>
          </w:p>
          <w:p w:rsidR="00014A21" w:rsidRPr="0011279A" w:rsidRDefault="00014A21" w:rsidP="002822DF">
            <w:pPr>
              <w:pStyle w:val="NormalWeb"/>
              <w:shd w:val="clear" w:color="auto" w:fill="F8F8F8"/>
              <w:spacing w:before="0" w:beforeAutospacing="0" w:after="150" w:afterAutospacing="0"/>
              <w:rPr>
                <w:rFonts w:ascii="Arial" w:hAnsi="Arial" w:cs="Arial"/>
                <w:color w:val="394753"/>
                <w:sz w:val="26"/>
                <w:szCs w:val="26"/>
                <w:highlight w:val="yellow"/>
              </w:rPr>
            </w:pPr>
            <w:r w:rsidRPr="0011279A">
              <w:rPr>
                <w:rFonts w:ascii="Arial" w:hAnsi="Arial" w:cs="Arial"/>
                <w:color w:val="394753"/>
                <w:sz w:val="26"/>
                <w:szCs w:val="26"/>
                <w:highlight w:val="yellow"/>
              </w:rPr>
              <w:t>“Where the Authority carries out such works or operations… [to prevent pollution or clean up works] … it shall… be entitled to recover the expenses reasonably incurred in doing so from any person, who, as the case may be:</w:t>
            </w:r>
          </w:p>
          <w:p w:rsidR="00014A21" w:rsidRPr="0011279A" w:rsidRDefault="00014A21" w:rsidP="00014A21">
            <w:pPr>
              <w:pStyle w:val="NormalWeb"/>
              <w:numPr>
                <w:ilvl w:val="0"/>
                <w:numId w:val="2"/>
              </w:numPr>
              <w:shd w:val="clear" w:color="auto" w:fill="F8F8F8"/>
              <w:spacing w:before="0" w:beforeAutospacing="0" w:after="0" w:afterAutospacing="0"/>
              <w:rPr>
                <w:rFonts w:ascii="Arial" w:hAnsi="Arial" w:cs="Arial"/>
                <w:color w:val="394753"/>
                <w:sz w:val="26"/>
                <w:szCs w:val="26"/>
                <w:highlight w:val="yellow"/>
              </w:rPr>
            </w:pPr>
            <w:r w:rsidRPr="0011279A">
              <w:rPr>
                <w:rFonts w:ascii="Arial" w:hAnsi="Arial" w:cs="Arial"/>
                <w:color w:val="394753"/>
                <w:sz w:val="26"/>
                <w:szCs w:val="26"/>
                <w:highlight w:val="yellow"/>
              </w:rPr>
              <w:t>caused or knowingly permitted the matter in question to be present at the place from which it was likely, in the opinion of the Authority, to enter any con-trolled waters, or</w:t>
            </w:r>
          </w:p>
          <w:p w:rsidR="00014A21" w:rsidRPr="0011279A" w:rsidRDefault="00014A21" w:rsidP="00014A21">
            <w:pPr>
              <w:pStyle w:val="NormalWeb"/>
              <w:numPr>
                <w:ilvl w:val="0"/>
                <w:numId w:val="2"/>
              </w:numPr>
              <w:shd w:val="clear" w:color="auto" w:fill="F8F8F8"/>
              <w:spacing w:before="0" w:beforeAutospacing="0" w:after="0" w:afterAutospacing="0"/>
              <w:rPr>
                <w:rFonts w:ascii="Arial" w:hAnsi="Arial" w:cs="Arial"/>
                <w:color w:val="394753"/>
                <w:sz w:val="26"/>
                <w:szCs w:val="26"/>
                <w:highlight w:val="yellow"/>
              </w:rPr>
            </w:pPr>
            <w:proofErr w:type="gramStart"/>
            <w:r w:rsidRPr="0011279A">
              <w:rPr>
                <w:rFonts w:ascii="Arial" w:hAnsi="Arial" w:cs="Arial"/>
                <w:color w:val="394753"/>
                <w:sz w:val="26"/>
                <w:szCs w:val="26"/>
                <w:highlight w:val="yellow"/>
              </w:rPr>
              <w:t>caused</w:t>
            </w:r>
            <w:proofErr w:type="gramEnd"/>
            <w:r w:rsidRPr="0011279A">
              <w:rPr>
                <w:rFonts w:ascii="Arial" w:hAnsi="Arial" w:cs="Arial"/>
                <w:color w:val="394753"/>
                <w:sz w:val="26"/>
                <w:szCs w:val="26"/>
                <w:highlight w:val="yellow"/>
              </w:rPr>
              <w:t xml:space="preserve"> or knowingly permitted the matter in question to be present in any controlled waters.”</w:t>
            </w:r>
          </w:p>
          <w:p w:rsidR="00014A21" w:rsidRPr="0011279A" w:rsidRDefault="00014A21" w:rsidP="002822DF">
            <w:pPr>
              <w:rPr>
                <w:rFonts w:ascii="Arial" w:hAnsi="Arial" w:cs="Arial"/>
              </w:rPr>
            </w:pPr>
          </w:p>
          <w:p w:rsidR="00014A21" w:rsidRPr="0011279A" w:rsidRDefault="00014A21" w:rsidP="002822DF">
            <w:pPr>
              <w:jc w:val="both"/>
              <w:rPr>
                <w:rFonts w:ascii="Arial" w:hAnsi="Arial" w:cs="Arial"/>
              </w:rPr>
            </w:pPr>
            <w:hyperlink r:id="rId18" w:history="1">
              <w:r w:rsidRPr="0011279A">
                <w:rPr>
                  <w:rStyle w:val="Hyperlink"/>
                  <w:rFonts w:ascii="Arial" w:hAnsi="Arial" w:cs="Arial"/>
                </w:rPr>
                <w:t>http://www.environmentlaw.org.uk/rte.asp?id=110</w:t>
              </w:r>
            </w:hyperlink>
          </w:p>
        </w:tc>
      </w:tr>
    </w:tbl>
    <w:p w:rsidR="00014A21" w:rsidRPr="0011279A" w:rsidRDefault="00014A21" w:rsidP="00014A21">
      <w:pPr>
        <w:rPr>
          <w:rFonts w:ascii="Arial" w:hAnsi="Arial" w:cs="Arial"/>
        </w:rPr>
      </w:pPr>
    </w:p>
    <w:p w:rsidR="00014A21" w:rsidRPr="0011279A" w:rsidRDefault="00014A21" w:rsidP="00014A21">
      <w:pPr>
        <w:pStyle w:val="Heading2"/>
        <w:rPr>
          <w:rFonts w:ascii="Arial" w:hAnsi="Arial" w:cs="Arial"/>
        </w:rPr>
      </w:pPr>
      <w:r w:rsidRPr="0011279A">
        <w:rPr>
          <w:rFonts w:ascii="Arial" w:hAnsi="Arial" w:cs="Arial"/>
        </w:rPr>
        <w:t xml:space="preserve">consideration for </w:t>
      </w:r>
      <w:r>
        <w:rPr>
          <w:rFonts w:ascii="Arial" w:hAnsi="Arial" w:cs="Arial"/>
        </w:rPr>
        <w:t xml:space="preserve">construction </w:t>
      </w:r>
      <w:r w:rsidRPr="0011279A">
        <w:rPr>
          <w:rFonts w:ascii="Arial" w:hAnsi="Arial" w:cs="Arial"/>
        </w:rPr>
        <w:t>projects</w:t>
      </w:r>
    </w:p>
    <w:p w:rsidR="00014A21" w:rsidRPr="0011279A" w:rsidRDefault="00014A21" w:rsidP="00014A21">
      <w:pPr>
        <w:rPr>
          <w:rFonts w:ascii="Arial" w:hAnsi="Arial" w:cs="Arial"/>
        </w:rPr>
      </w:pPr>
      <w:proofErr w:type="gramStart"/>
      <w:r w:rsidRPr="0011279A">
        <w:rPr>
          <w:rFonts w:ascii="Arial" w:hAnsi="Arial" w:cs="Arial"/>
        </w:rPr>
        <w:t>issues</w:t>
      </w:r>
      <w:proofErr w:type="gramEnd"/>
      <w:r w:rsidRPr="0011279A">
        <w:rPr>
          <w:rFonts w:ascii="Arial" w:hAnsi="Arial" w:cs="Arial"/>
        </w:rPr>
        <w:t xml:space="preserve"> - </w:t>
      </w:r>
      <w:hyperlink r:id="rId19" w:history="1">
        <w:r w:rsidRPr="0011279A">
          <w:rPr>
            <w:rStyle w:val="Hyperlink"/>
            <w:rFonts w:ascii="Arial" w:hAnsi="Arial" w:cs="Arial"/>
          </w:rPr>
          <w:t>http://www.faradayselectrical.co.uk/environmental-issues-caused-construction/</w:t>
        </w:r>
      </w:hyperlink>
      <w:r w:rsidRPr="0011279A">
        <w:rPr>
          <w:rFonts w:ascii="Arial" w:hAnsi="Arial" w:cs="Arial"/>
        </w:rPr>
        <w:t xml:space="preserve"> </w:t>
      </w:r>
    </w:p>
    <w:p w:rsidR="00014A21" w:rsidRPr="0011279A" w:rsidRDefault="00014A21" w:rsidP="00014A21">
      <w:pPr>
        <w:pStyle w:val="NormalWeb"/>
        <w:shd w:val="clear" w:color="auto" w:fill="FFFFFF"/>
        <w:spacing w:before="0" w:beforeAutospacing="0" w:after="210" w:afterAutospacing="0"/>
        <w:rPr>
          <w:rFonts w:ascii="Arial" w:hAnsi="Arial" w:cs="Arial"/>
          <w:color w:val="333333"/>
        </w:rPr>
      </w:pPr>
      <w:r w:rsidRPr="0011279A">
        <w:rPr>
          <w:rFonts w:ascii="Arial" w:hAnsi="Arial" w:cs="Arial"/>
          <w:color w:val="54565B"/>
          <w:shd w:val="clear" w:color="auto" w:fill="FFFFFF"/>
        </w:rPr>
        <w:t>“The Environment Agency reported that the Construction Industry is responsible for nearly a third of all industry-related pollution incidents in the U.K and according to Sustainable Build more water pollution incidents than any other industry.”</w:t>
      </w:r>
      <w:r>
        <w:rPr>
          <w:rFonts w:ascii="Arial" w:hAnsi="Arial" w:cs="Arial"/>
        </w:rPr>
        <w:t xml:space="preserve"> </w:t>
      </w:r>
      <w:r>
        <w:rPr>
          <w:rFonts w:ascii="Open Sans" w:hAnsi="Open Sans" w:cs="Open Sans"/>
          <w:color w:val="000000"/>
          <w:sz w:val="20"/>
          <w:szCs w:val="20"/>
          <w:shd w:val="clear" w:color="auto" w:fill="FFFFFF"/>
        </w:rPr>
        <w:t>(Aig.co.uk, 2020)</w:t>
      </w:r>
      <w:r w:rsidRPr="0011279A">
        <w:rPr>
          <w:rFonts w:ascii="Arial" w:hAnsi="Arial" w:cs="Arial"/>
          <w:color w:val="333333"/>
        </w:rPr>
        <w:t xml:space="preserve"> </w:t>
      </w:r>
    </w:p>
    <w:p w:rsidR="001476C5" w:rsidRPr="001476C5" w:rsidRDefault="001476C5" w:rsidP="001476C5">
      <w:bookmarkStart w:id="1" w:name="_GoBack"/>
      <w:bookmarkEnd w:id="1"/>
    </w:p>
    <w:sectPr w:rsidR="001476C5" w:rsidRPr="00147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184F56"/>
    <w:multiLevelType w:val="hybridMultilevel"/>
    <w:tmpl w:val="CA4A0EA4"/>
    <w:lvl w:ilvl="0" w:tplc="5F96751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F84C57"/>
    <w:multiLevelType w:val="multilevel"/>
    <w:tmpl w:val="CF522B3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cwMjMzMDU1Nzc3NjZV0lEKTi0uzszPAykwrAUAWyJKwCwAAAA="/>
  </w:docVars>
  <w:rsids>
    <w:rsidRoot w:val="001476C5"/>
    <w:rsid w:val="00014A21"/>
    <w:rsid w:val="001476C5"/>
    <w:rsid w:val="00585EB3"/>
    <w:rsid w:val="007B7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A37856-E90E-4725-BF0C-60D8892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76C5"/>
    <w:pPr>
      <w:spacing w:before="120" w:after="200" w:line="264" w:lineRule="auto"/>
    </w:pPr>
    <w:rPr>
      <w:color w:val="595959" w:themeColor="text1" w:themeTint="A6"/>
      <w:lang w:val="en-US"/>
    </w:rPr>
  </w:style>
  <w:style w:type="paragraph" w:styleId="Heading2">
    <w:name w:val="heading 2"/>
    <w:basedOn w:val="Normal"/>
    <w:next w:val="Normal"/>
    <w:link w:val="Heading2Char"/>
    <w:uiPriority w:val="9"/>
    <w:unhideWhenUsed/>
    <w:qFormat/>
    <w:rsid w:val="00014A21"/>
    <w:pPr>
      <w:keepNext/>
      <w:keepLines/>
      <w:spacing w:before="240" w:after="0"/>
      <w:contextualSpacing/>
      <w:outlineLvl w:val="1"/>
    </w:pPr>
    <w:rPr>
      <w:rFonts w:asciiTheme="majorHAnsi" w:eastAsiaTheme="majorEastAsia" w:hAnsiTheme="majorHAnsi" w:cstheme="majorBidi"/>
      <w:caps/>
      <w:color w:val="2E74B5"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76C5"/>
    <w:rPr>
      <w:color w:val="525252" w:themeColor="accent3" w:themeShade="80"/>
      <w:u w:val="single"/>
    </w:rPr>
  </w:style>
  <w:style w:type="paragraph" w:styleId="ListParagraph">
    <w:name w:val="List Paragraph"/>
    <w:basedOn w:val="Normal"/>
    <w:uiPriority w:val="34"/>
    <w:qFormat/>
    <w:rsid w:val="001476C5"/>
    <w:pPr>
      <w:spacing w:before="0" w:after="160" w:line="259" w:lineRule="auto"/>
      <w:ind w:left="720"/>
      <w:contextualSpacing/>
    </w:pPr>
    <w:rPr>
      <w:color w:val="auto"/>
      <w:lang w:val="en-GB"/>
    </w:rPr>
  </w:style>
  <w:style w:type="paragraph" w:styleId="NormalWeb">
    <w:name w:val="Normal (Web)"/>
    <w:basedOn w:val="Normal"/>
    <w:uiPriority w:val="99"/>
    <w:unhideWhenUsed/>
    <w:rsid w:val="001476C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Heading2Char">
    <w:name w:val="Heading 2 Char"/>
    <w:basedOn w:val="DefaultParagraphFont"/>
    <w:link w:val="Heading2"/>
    <w:uiPriority w:val="9"/>
    <w:rsid w:val="00014A21"/>
    <w:rPr>
      <w:rFonts w:asciiTheme="majorHAnsi" w:eastAsiaTheme="majorEastAsia" w:hAnsiTheme="majorHAnsi" w:cstheme="majorBidi"/>
      <w:caps/>
      <w:color w:val="2E74B5" w:themeColor="accent1" w:themeShade="BF"/>
      <w:sz w:val="24"/>
      <w:lang w:val="en-US"/>
    </w:rPr>
  </w:style>
  <w:style w:type="paragraph" w:styleId="Title">
    <w:name w:val="Title"/>
    <w:basedOn w:val="Normal"/>
    <w:link w:val="TitleChar"/>
    <w:uiPriority w:val="2"/>
    <w:unhideWhenUsed/>
    <w:qFormat/>
    <w:rsid w:val="00014A21"/>
    <w:pPr>
      <w:spacing w:before="480" w:after="40" w:line="240" w:lineRule="auto"/>
      <w:contextualSpacing/>
      <w:jc w:val="center"/>
    </w:pPr>
    <w:rPr>
      <w:rFonts w:asciiTheme="majorHAnsi" w:eastAsiaTheme="majorEastAsia" w:hAnsiTheme="majorHAnsi" w:cstheme="majorBidi"/>
      <w:color w:val="2E74B5" w:themeColor="accent1" w:themeShade="BF"/>
      <w:kern w:val="28"/>
      <w:sz w:val="60"/>
    </w:rPr>
  </w:style>
  <w:style w:type="character" w:customStyle="1" w:styleId="TitleChar">
    <w:name w:val="Title Char"/>
    <w:basedOn w:val="DefaultParagraphFont"/>
    <w:link w:val="Title"/>
    <w:uiPriority w:val="2"/>
    <w:rsid w:val="00014A21"/>
    <w:rPr>
      <w:rFonts w:asciiTheme="majorHAnsi" w:eastAsiaTheme="majorEastAsia" w:hAnsiTheme="majorHAnsi" w:cstheme="majorBidi"/>
      <w:color w:val="2E74B5" w:themeColor="accent1" w:themeShade="BF"/>
      <w:kern w:val="28"/>
      <w:sz w:val="60"/>
      <w:lang w:val="en-US"/>
    </w:rPr>
  </w:style>
  <w:style w:type="table" w:styleId="TableGrid">
    <w:name w:val="Table Grid"/>
    <w:basedOn w:val="TableNormal"/>
    <w:uiPriority w:val="39"/>
    <w:rsid w:val="00014A21"/>
    <w:pPr>
      <w:spacing w:after="0" w:line="240" w:lineRule="auto"/>
    </w:pPr>
    <w:rPr>
      <w:color w:val="595959" w:themeColor="text1" w:themeTint="A6"/>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na.com.au/requirement-common-law-legality-contract/" TargetMode="External"/><Relationship Id="rId13" Type="http://schemas.openxmlformats.org/officeDocument/2006/relationships/hyperlink" Target="https://uk.practicallaw.thomsonreuters.com/6-503-1654?transitionType=Default&amp;contextData=(sc.Default)&amp;firstPage=true&amp;bhcp=1" TargetMode="External"/><Relationship Id="rId18" Type="http://schemas.openxmlformats.org/officeDocument/2006/relationships/hyperlink" Target="http://www.environmentlaw.org.uk/rte.asp?id=11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evisolicitors.co.uk/news/intention-create-legal-relations/" TargetMode="External"/><Relationship Id="rId12" Type="http://schemas.openxmlformats.org/officeDocument/2006/relationships/hyperlink" Target="http://www.lse.ac.uk/GranthamInstitute/faqs/what-is-the-polluter-pays-principle/" TargetMode="External"/><Relationship Id="rId17" Type="http://schemas.openxmlformats.org/officeDocument/2006/relationships/hyperlink" Target="https://uk.practicallaw.thomsonreuters.com/7-100-0430?transitionType=Default&amp;contextData=(sc.Default)&amp;firstPage=true&amp;bhcp=1" TargetMode="External"/><Relationship Id="rId2" Type="http://schemas.openxmlformats.org/officeDocument/2006/relationships/styles" Target="styles.xml"/><Relationship Id="rId16" Type="http://schemas.openxmlformats.org/officeDocument/2006/relationships/hyperlink" Target="http://www.environmentlaw.org.uk/rte.asp?id=3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brief.co.uk/contract-law/legal-intent-in-contract/" TargetMode="External"/><Relationship Id="rId11" Type="http://schemas.openxmlformats.org/officeDocument/2006/relationships/hyperlink" Target="https://www.mcna.com.au/requirement-common-law-legality-contract/" TargetMode="External"/><Relationship Id="rId5" Type="http://schemas.openxmlformats.org/officeDocument/2006/relationships/hyperlink" Target="https://www.netlawman.co.uk/ia/intention-contract" TargetMode="External"/><Relationship Id="rId15" Type="http://schemas.openxmlformats.org/officeDocument/2006/relationships/hyperlink" Target="https://www.willans.co.uk/knowledge/unexpected-liability-for-contaminated-land/" TargetMode="External"/><Relationship Id="rId10" Type="http://schemas.openxmlformats.org/officeDocument/2006/relationships/hyperlink" Target="https://www.mcna.com.au/requirement-common-law-legality-contract/" TargetMode="External"/><Relationship Id="rId19" Type="http://schemas.openxmlformats.org/officeDocument/2006/relationships/hyperlink" Target="http://www.faradayselectrical.co.uk/environmental-issues-caused-construction/" TargetMode="External"/><Relationship Id="rId4" Type="http://schemas.openxmlformats.org/officeDocument/2006/relationships/webSettings" Target="webSettings.xml"/><Relationship Id="rId9" Type="http://schemas.openxmlformats.org/officeDocument/2006/relationships/hyperlink" Target="https://www.mcna.com.au/requirement-common-law-legality-contract/" TargetMode="External"/><Relationship Id="rId14" Type="http://schemas.openxmlformats.org/officeDocument/2006/relationships/hyperlink" Target="https://app.croneri.co.uk/topics/environmental-liability/indepth?pro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3104</Words>
  <Characters>17697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dc:creator>
  <cp:keywords/>
  <dc:description/>
  <cp:lastModifiedBy>Owen</cp:lastModifiedBy>
  <cp:revision>1</cp:revision>
  <dcterms:created xsi:type="dcterms:W3CDTF">2020-02-24T14:03:00Z</dcterms:created>
  <dcterms:modified xsi:type="dcterms:W3CDTF">2020-02-24T15:03:00Z</dcterms:modified>
</cp:coreProperties>
</file>