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Override ContentType="application/vnd.openxmlformats-officedocument.wordprocessingml.header+xml" PartName="/word/header1.xml"/>
  <Override ContentType="application/vnd.openxmlformats-officedocument.wordprocessingml.footer+xml" PartName="/word/footer1.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100" w:before="100"/>
      </w:pPr>
      <w:r>
        <w:t xml:space="preserve"/>
      </w:r>
    </w:p>
    <w:p>
      <w:pPr>
        <w:spacing w:after="100" w:before="100"/>
      </w:pPr>
      <w:r>
        <w:t xml:space="preserve"/>
      </w:r>
    </w:p>
    <w:p>
      <w:pPr>
        <w:spacing w:after="300" w:before="600"/>
        <w:jc w:val="center"/>
      </w:pPr>
      <w:r>
        <w:rPr>
          <w:rFonts w:ascii="Arial" w:cs="Arial" w:eastAsia="Arial" w:hAnsi="Arial"/>
          <w:b/>
          <w:bCs/>
          <w:color w:val="1F3864"/>
          <w:sz w:val="40"/>
          <w:szCs w:val="40"/>
        </w:rPr>
        <w:t xml:space="preserve">NETWORK OPERATING SYSTEMS AND SERVICES</w:t>
      </w:r>
    </w:p>
    <w:p>
      <w:pPr>
        <w:spacing w:after="200" w:before="100"/>
        <w:jc w:val="center"/>
      </w:pPr>
      <w:r>
        <w:rPr>
          <w:rFonts w:ascii="Arial" w:cs="Arial" w:eastAsia="Arial" w:hAnsi="Arial"/>
          <w:color w:val="2E75B6"/>
          <w:sz w:val="28"/>
          <w:szCs w:val="28"/>
        </w:rPr>
        <w:t xml:space="preserve">ACCA5023 — Coursework 1</w:t>
      </w:r>
    </w:p>
    <w:p>
      <w:pPr>
        <w:spacing w:after="400" w:before="100"/>
        <w:jc w:val="center"/>
      </w:pPr>
      <w:r>
        <w:rPr>
          <w:rFonts w:ascii="Arial" w:cs="Arial" w:eastAsia="Arial" w:hAnsi="Arial"/>
          <w:i/>
          <w:iCs/>
          <w:color w:val="444444"/>
          <w:sz w:val="26"/>
          <w:szCs w:val="26"/>
        </w:rPr>
        <w:t xml:space="preserve">Research, Build, and Deploy a Virtualised Enterprise Network</w:t>
      </w:r>
    </w:p>
    <w:p>
      <w:pPr>
        <w:spacing w:after="100" w:before="100"/>
      </w:pPr>
      <w:r>
        <w:t xml:space="preserve"/>
      </w:r>
    </w:p>
    <w:tbl>
      <w:tblPr>
        <w:tblW w:type="dxa" w:w="9360"/>
        <w:tblBorders>
          <w:top w:val="single" w:color="auto" w:sz="4"/>
          <w:left w:val="single" w:color="auto" w:sz="4"/>
          <w:bottom w:val="single" w:color="auto" w:sz="4"/>
          <w:right w:val="single" w:color="auto" w:sz="4"/>
          <w:insideH w:val="single" w:color="auto" w:sz="4"/>
          <w:insideV w:val="single" w:color="auto" w:sz="4"/>
        </w:tblBorders>
      </w:tblPr>
      <w:tblGrid>
        <w:gridCol w:w="2500"/>
        <w:gridCol w:w="6860"/>
      </w:tblGrid>
      <w:tr>
        <w:tc>
          <w:tcPr>
            <w:gridSpan w:val="2"/>
            <w:tcBorders>
              <w:top w:val="single" w:color="1F3864" w:sz="6"/>
              <w:left w:val="single" w:color="1F3864" w:sz="6"/>
              <w:bottom w:val="single" w:color="1F3864" w:sz="6"/>
              <w:right w:val="single" w:color="1F3864" w:sz="6"/>
            </w:tcBorders>
            <w:shd w:fill="1F3864" w:val="clear"/>
            <w:tcMar>
              <w:top w:type="dxa" w:w="80"/>
              <w:left w:type="dxa" w:w="120"/>
              <w:bottom w:type="dxa" w:w="80"/>
              <w:right w:type="dxa" w:w="120"/>
            </w:tcMar>
          </w:tcPr>
          <w:p>
            <w:pPr>
              <w:jc w:val="center"/>
            </w:pPr>
            <w:r>
              <w:rPr>
                <w:rFonts w:ascii="Arial" w:cs="Arial" w:eastAsia="Arial" w:hAnsi="Arial"/>
                <w:b/>
                <w:bCs/>
                <w:color w:val="FFFFFF"/>
                <w:sz w:val="26"/>
                <w:szCs w:val="26"/>
              </w:rPr>
              <w:t xml:space="preserve">ASSESSMENT DETAILS</w:t>
            </w:r>
          </w:p>
        </w:tc>
      </w:tr>
      <w:tr>
        <w:tc>
          <w:tcPr>
            <w:tcBorders>
              <w:top w:val="single" w:color="1F3864" w:sz="6"/>
              <w:left w:val="single" w:color="1F3864" w:sz="6"/>
              <w:bottom w:val="single" w:color="1F3864" w:sz="6"/>
              <w:right w:val="single" w:color="1F3864" w:sz="6"/>
            </w:tcBorders>
            <w:shd w:fill="D9E2F3" w:val="clear"/>
            <w:tcMar>
              <w:top w:type="dxa" w:w="80"/>
              <w:left w:type="dxa" w:w="120"/>
              <w:bottom w:type="dxa" w:w="80"/>
              <w:right w:type="dxa" w:w="120"/>
            </w:tcMar>
          </w:tcPr>
          <w:p>
            <w:r>
              <w:rPr>
                <w:rFonts w:ascii="Arial" w:cs="Arial" w:eastAsia="Arial" w:hAnsi="Arial"/>
                <w:b/>
                <w:bCs/>
                <w:color w:val="000000"/>
                <w:sz w:val="22"/>
                <w:szCs w:val="22"/>
              </w:rPr>
              <w:t xml:space="preserve">Programme:</w:t>
            </w:r>
          </w:p>
        </w:tc>
        <w:tc>
          <w:tcPr>
            <w:tcBorders>
              <w:top w:val="single" w:color="1F3864" w:sz="6"/>
              <w:left w:val="single" w:color="1F3864" w:sz="6"/>
              <w:bottom w:val="single" w:color="1F3864" w:sz="6"/>
              <w:right w:val="single" w:color="1F3864" w:sz="6"/>
            </w:tcBorders>
            <w:shd w:fill="FFFFFF" w:val="clear"/>
            <w:tcMar>
              <w:top w:type="dxa" w:w="80"/>
              <w:left w:type="dxa" w:w="120"/>
              <w:bottom w:type="dxa" w:w="80"/>
              <w:right w:type="dxa" w:w="120"/>
            </w:tcMar>
          </w:tcPr>
          <w:p>
            <w:r>
              <w:rPr>
                <w:rFonts w:ascii="Arial" w:cs="Arial" w:eastAsia="Arial" w:hAnsi="Arial"/>
                <w:b w:val="false"/>
                <w:bCs w:val="false"/>
                <w:color w:val="000000"/>
                <w:sz w:val="22"/>
                <w:szCs w:val="22"/>
              </w:rPr>
              <w:t xml:space="preserve">HNC/HND Computing</w:t>
            </w:r>
          </w:p>
        </w:tc>
      </w:tr>
      <w:tr>
        <w:tc>
          <w:tcPr>
            <w:tcBorders>
              <w:top w:val="single" w:color="1F3864" w:sz="6"/>
              <w:left w:val="single" w:color="1F3864" w:sz="6"/>
              <w:bottom w:val="single" w:color="1F3864" w:sz="6"/>
              <w:right w:val="single" w:color="1F3864" w:sz="6"/>
            </w:tcBorders>
            <w:shd w:fill="D9E2F3" w:val="clear"/>
            <w:tcMar>
              <w:top w:type="dxa" w:w="80"/>
              <w:left w:type="dxa" w:w="120"/>
              <w:bottom w:type="dxa" w:w="80"/>
              <w:right w:type="dxa" w:w="120"/>
            </w:tcMar>
          </w:tcPr>
          <w:p>
            <w:r>
              <w:rPr>
                <w:rFonts w:ascii="Arial" w:cs="Arial" w:eastAsia="Arial" w:hAnsi="Arial"/>
                <w:b/>
                <w:bCs/>
                <w:color w:val="000000"/>
                <w:sz w:val="22"/>
                <w:szCs w:val="22"/>
              </w:rPr>
              <w:t xml:space="preserve">Module:</w:t>
            </w:r>
          </w:p>
        </w:tc>
        <w:tc>
          <w:tcPr>
            <w:tcBorders>
              <w:top w:val="single" w:color="1F3864" w:sz="6"/>
              <w:left w:val="single" w:color="1F3864" w:sz="6"/>
              <w:bottom w:val="single" w:color="1F3864" w:sz="6"/>
              <w:right w:val="single" w:color="1F3864" w:sz="6"/>
            </w:tcBorders>
            <w:shd w:fill="FFFFFF" w:val="clear"/>
            <w:tcMar>
              <w:top w:type="dxa" w:w="80"/>
              <w:left w:type="dxa" w:w="120"/>
              <w:bottom w:type="dxa" w:w="80"/>
              <w:right w:type="dxa" w:w="120"/>
            </w:tcMar>
          </w:tcPr>
          <w:p>
            <w:r>
              <w:rPr>
                <w:rFonts w:ascii="Arial" w:cs="Arial" w:eastAsia="Arial" w:hAnsi="Arial"/>
                <w:b w:val="false"/>
                <w:bCs w:val="false"/>
                <w:color w:val="000000"/>
                <w:sz w:val="22"/>
                <w:szCs w:val="22"/>
              </w:rPr>
              <w:t xml:space="preserve">Network Operating Systems and Services (ACCA5023)</w:t>
            </w:r>
          </w:p>
        </w:tc>
      </w:tr>
      <w:tr>
        <w:tc>
          <w:tcPr>
            <w:tcBorders>
              <w:top w:val="single" w:color="1F3864" w:sz="6"/>
              <w:left w:val="single" w:color="1F3864" w:sz="6"/>
              <w:bottom w:val="single" w:color="1F3864" w:sz="6"/>
              <w:right w:val="single" w:color="1F3864" w:sz="6"/>
            </w:tcBorders>
            <w:shd w:fill="D9E2F3" w:val="clear"/>
            <w:tcMar>
              <w:top w:type="dxa" w:w="80"/>
              <w:left w:type="dxa" w:w="120"/>
              <w:bottom w:type="dxa" w:w="80"/>
              <w:right w:type="dxa" w:w="120"/>
            </w:tcMar>
          </w:tcPr>
          <w:p>
            <w:r>
              <w:rPr>
                <w:rFonts w:ascii="Arial" w:cs="Arial" w:eastAsia="Arial" w:hAnsi="Arial"/>
                <w:b/>
                <w:bCs/>
                <w:color w:val="000000"/>
                <w:sz w:val="22"/>
                <w:szCs w:val="22"/>
              </w:rPr>
              <w:t xml:space="preserve">Assignment Title:</w:t>
            </w:r>
          </w:p>
        </w:tc>
        <w:tc>
          <w:tcPr>
            <w:tcBorders>
              <w:top w:val="single" w:color="1F3864" w:sz="6"/>
              <w:left w:val="single" w:color="1F3864" w:sz="6"/>
              <w:bottom w:val="single" w:color="1F3864" w:sz="6"/>
              <w:right w:val="single" w:color="1F3864" w:sz="6"/>
            </w:tcBorders>
            <w:shd w:fill="FFFFFF" w:val="clear"/>
            <w:tcMar>
              <w:top w:type="dxa" w:w="80"/>
              <w:left w:type="dxa" w:w="120"/>
              <w:bottom w:type="dxa" w:w="80"/>
              <w:right w:type="dxa" w:w="120"/>
            </w:tcMar>
          </w:tcPr>
          <w:p>
            <w:r>
              <w:rPr>
                <w:rFonts w:ascii="Arial" w:cs="Arial" w:eastAsia="Arial" w:hAnsi="Arial"/>
                <w:b w:val="false"/>
                <w:bCs w:val="false"/>
                <w:color w:val="000000"/>
                <w:sz w:val="22"/>
                <w:szCs w:val="22"/>
              </w:rPr>
              <w:t xml:space="preserve">Research, Build, and Deploy a Virtualised Enterprise Network</w:t>
            </w:r>
          </w:p>
        </w:tc>
      </w:tr>
      <w:tr>
        <w:tc>
          <w:tcPr>
            <w:tcBorders>
              <w:top w:val="single" w:color="1F3864" w:sz="6"/>
              <w:left w:val="single" w:color="1F3864" w:sz="6"/>
              <w:bottom w:val="single" w:color="1F3864" w:sz="6"/>
              <w:right w:val="single" w:color="1F3864" w:sz="6"/>
            </w:tcBorders>
            <w:shd w:fill="D9E2F3" w:val="clear"/>
            <w:tcMar>
              <w:top w:type="dxa" w:w="80"/>
              <w:left w:type="dxa" w:w="120"/>
              <w:bottom w:type="dxa" w:w="80"/>
              <w:right w:type="dxa" w:w="120"/>
            </w:tcMar>
          </w:tcPr>
          <w:p>
            <w:r>
              <w:rPr>
                <w:rFonts w:ascii="Arial" w:cs="Arial" w:eastAsia="Arial" w:hAnsi="Arial"/>
                <w:b/>
                <w:bCs/>
                <w:color w:val="000000"/>
                <w:sz w:val="22"/>
                <w:szCs w:val="22"/>
              </w:rPr>
              <w:t xml:space="preserve">Lecturer:</w:t>
            </w:r>
          </w:p>
        </w:tc>
        <w:tc>
          <w:tcPr>
            <w:tcBorders>
              <w:top w:val="single" w:color="1F3864" w:sz="6"/>
              <w:left w:val="single" w:color="1F3864" w:sz="6"/>
              <w:bottom w:val="single" w:color="1F3864" w:sz="6"/>
              <w:right w:val="single" w:color="1F3864" w:sz="6"/>
            </w:tcBorders>
            <w:shd w:fill="FFFFFF" w:val="clear"/>
            <w:tcMar>
              <w:top w:type="dxa" w:w="80"/>
              <w:left w:type="dxa" w:w="120"/>
              <w:bottom w:type="dxa" w:w="80"/>
              <w:right w:type="dxa" w:w="120"/>
            </w:tcMar>
          </w:tcPr>
          <w:p>
            <w:r>
              <w:rPr>
                <w:rFonts w:ascii="Arial" w:cs="Arial" w:eastAsia="Arial" w:hAnsi="Arial"/>
                <w:b w:val="false"/>
                <w:bCs w:val="false"/>
                <w:color w:val="000000"/>
                <w:sz w:val="22"/>
                <w:szCs w:val="22"/>
              </w:rPr>
              <w:t xml:space="preserve">Dr. Nitheesh Kaliyamurthy</w:t>
            </w:r>
          </w:p>
        </w:tc>
      </w:tr>
      <w:tr>
        <w:tc>
          <w:tcPr>
            <w:tcBorders>
              <w:top w:val="single" w:color="1F3864" w:sz="6"/>
              <w:left w:val="single" w:color="1F3864" w:sz="6"/>
              <w:bottom w:val="single" w:color="1F3864" w:sz="6"/>
              <w:right w:val="single" w:color="1F3864" w:sz="6"/>
            </w:tcBorders>
            <w:shd w:fill="D9E2F3" w:val="clear"/>
            <w:tcMar>
              <w:top w:type="dxa" w:w="80"/>
              <w:left w:type="dxa" w:w="120"/>
              <w:bottom w:type="dxa" w:w="80"/>
              <w:right w:type="dxa" w:w="120"/>
            </w:tcMar>
          </w:tcPr>
          <w:p>
            <w:r>
              <w:rPr>
                <w:rFonts w:ascii="Arial" w:cs="Arial" w:eastAsia="Arial" w:hAnsi="Arial"/>
                <w:b/>
                <w:bCs/>
                <w:color w:val="000000"/>
                <w:sz w:val="22"/>
                <w:szCs w:val="22"/>
              </w:rPr>
              <w:t xml:space="preserve">Internal Verifier:</w:t>
            </w:r>
          </w:p>
        </w:tc>
        <w:tc>
          <w:tcPr>
            <w:tcBorders>
              <w:top w:val="single" w:color="1F3864" w:sz="6"/>
              <w:left w:val="single" w:color="1F3864" w:sz="6"/>
              <w:bottom w:val="single" w:color="1F3864" w:sz="6"/>
              <w:right w:val="single" w:color="1F3864" w:sz="6"/>
            </w:tcBorders>
            <w:shd w:fill="FFFFFF" w:val="clear"/>
            <w:tcMar>
              <w:top w:type="dxa" w:w="80"/>
              <w:left w:type="dxa" w:w="120"/>
              <w:bottom w:type="dxa" w:w="80"/>
              <w:right w:type="dxa" w:w="120"/>
            </w:tcMar>
          </w:tcPr>
          <w:p>
            <w:r>
              <w:rPr>
                <w:rFonts w:ascii="Arial" w:cs="Arial" w:eastAsia="Arial" w:hAnsi="Arial"/>
                <w:b w:val="false"/>
                <w:bCs w:val="false"/>
                <w:color w:val="000000"/>
                <w:sz w:val="22"/>
                <w:szCs w:val="22"/>
              </w:rPr>
              <w:t xml:space="preserve">Munyaradzi Murira</w:t>
            </w:r>
          </w:p>
        </w:tc>
      </w:tr>
      <w:tr>
        <w:tc>
          <w:tcPr>
            <w:tcBorders>
              <w:top w:val="single" w:color="1F3864" w:sz="6"/>
              <w:left w:val="single" w:color="1F3864" w:sz="6"/>
              <w:bottom w:val="single" w:color="1F3864" w:sz="6"/>
              <w:right w:val="single" w:color="1F3864" w:sz="6"/>
            </w:tcBorders>
            <w:shd w:fill="D9E2F3" w:val="clear"/>
            <w:tcMar>
              <w:top w:type="dxa" w:w="80"/>
              <w:left w:type="dxa" w:w="120"/>
              <w:bottom w:type="dxa" w:w="80"/>
              <w:right w:type="dxa" w:w="120"/>
            </w:tcMar>
          </w:tcPr>
          <w:p>
            <w:r>
              <w:rPr>
                <w:rFonts w:ascii="Arial" w:cs="Arial" w:eastAsia="Arial" w:hAnsi="Arial"/>
                <w:b/>
                <w:bCs/>
                <w:color w:val="000000"/>
                <w:sz w:val="22"/>
                <w:szCs w:val="22"/>
              </w:rPr>
              <w:t xml:space="preserve">Submission Deadline:</w:t>
            </w:r>
          </w:p>
        </w:tc>
        <w:tc>
          <w:tcPr>
            <w:tcBorders>
              <w:top w:val="single" w:color="1F3864" w:sz="6"/>
              <w:left w:val="single" w:color="1F3864" w:sz="6"/>
              <w:bottom w:val="single" w:color="1F3864" w:sz="6"/>
              <w:right w:val="single" w:color="1F3864" w:sz="6"/>
            </w:tcBorders>
            <w:shd w:fill="FFFFFF" w:val="clear"/>
            <w:tcMar>
              <w:top w:type="dxa" w:w="80"/>
              <w:left w:type="dxa" w:w="120"/>
              <w:bottom w:type="dxa" w:w="80"/>
              <w:right w:type="dxa" w:w="120"/>
            </w:tcMar>
          </w:tcPr>
          <w:p>
            <w:r>
              <w:rPr>
                <w:rFonts w:ascii="Arial" w:cs="Arial" w:eastAsia="Arial" w:hAnsi="Arial"/>
                <w:b w:val="false"/>
                <w:bCs w:val="false"/>
                <w:color w:val="000000"/>
                <w:sz w:val="22"/>
                <w:szCs w:val="22"/>
              </w:rPr>
              <w:t xml:space="preserve">03rd March 2026 @ 1500 Hrs via Moodle</w:t>
            </w:r>
          </w:p>
        </w:tc>
      </w:tr>
      <w:tr>
        <w:tc>
          <w:tcPr>
            <w:tcBorders>
              <w:top w:val="single" w:color="1F3864" w:sz="6"/>
              <w:left w:val="single" w:color="1F3864" w:sz="6"/>
              <w:bottom w:val="single" w:color="1F3864" w:sz="6"/>
              <w:right w:val="single" w:color="1F3864" w:sz="6"/>
            </w:tcBorders>
            <w:shd w:fill="D9E2F3" w:val="clear"/>
            <w:tcMar>
              <w:top w:type="dxa" w:w="80"/>
              <w:left w:type="dxa" w:w="120"/>
              <w:bottom w:type="dxa" w:w="80"/>
              <w:right w:type="dxa" w:w="120"/>
            </w:tcMar>
          </w:tcPr>
          <w:p>
            <w:r>
              <w:rPr>
                <w:rFonts w:ascii="Arial" w:cs="Arial" w:eastAsia="Arial" w:hAnsi="Arial"/>
                <w:b/>
                <w:bCs/>
                <w:color w:val="000000"/>
                <w:sz w:val="22"/>
                <w:szCs w:val="22"/>
              </w:rPr>
              <w:t xml:space="preserve">Word Count:</w:t>
            </w:r>
          </w:p>
        </w:tc>
        <w:tc>
          <w:tcPr>
            <w:tcBorders>
              <w:top w:val="single" w:color="1F3864" w:sz="6"/>
              <w:left w:val="single" w:color="1F3864" w:sz="6"/>
              <w:bottom w:val="single" w:color="1F3864" w:sz="6"/>
              <w:right w:val="single" w:color="1F3864" w:sz="6"/>
            </w:tcBorders>
            <w:shd w:fill="FFFFFF" w:val="clear"/>
            <w:tcMar>
              <w:top w:type="dxa" w:w="80"/>
              <w:left w:type="dxa" w:w="120"/>
              <w:bottom w:type="dxa" w:w="80"/>
              <w:right w:type="dxa" w:w="120"/>
            </w:tcMar>
          </w:tcPr>
          <w:p>
            <w:r>
              <w:rPr>
                <w:rFonts w:ascii="Arial" w:cs="Arial" w:eastAsia="Arial" w:hAnsi="Arial"/>
                <w:b w:val="false"/>
                <w:bCs w:val="false"/>
                <w:color w:val="000000"/>
                <w:sz w:val="22"/>
                <w:szCs w:val="22"/>
              </w:rPr>
              <w:t xml:space="preserve">~2500 Words equivalent</w:t>
            </w:r>
          </w:p>
        </w:tc>
      </w:tr>
    </w:tbl>
    <w:p>
      <w:pPr>
        <w:spacing w:after="100" w:before="100"/>
      </w:pPr>
      <w:r>
        <w:t xml:space="preserve"/>
      </w:r>
    </w:p>
    <w:p>
      <w:pPr>
        <w:spacing w:after="100" w:before="100"/>
      </w:pPr>
      <w:r>
        <w:t xml:space="preserve"/>
      </w:r>
    </w:p>
    <w:p>
      <w:pPr>
        <w:spacing w:after="100" w:before="300"/>
        <w:jc w:val="center"/>
      </w:pPr>
      <w:r>
        <w:rPr>
          <w:rFonts w:ascii="Arial" w:cs="Arial" w:eastAsia="Arial" w:hAnsi="Arial"/>
          <w:color w:val="666666"/>
          <w:sz w:val="24"/>
          <w:szCs w:val="24"/>
        </w:rPr>
        <w:t xml:space="preserve">Academic Year 2025–2026</w:t>
      </w:r>
    </w:p>
    <w:p>
      <w:r>
        <w:br w:type="page"/>
      </w:r>
    </w:p>
    <w:p>
      <w:pPr>
        <w:pStyle w:val="Heading1"/>
        <w:spacing w:after="200" w:before="400"/>
      </w:pPr>
      <w:r>
        <w:rPr>
          <w:rFonts w:ascii="Arial" w:cs="Arial" w:eastAsia="Arial" w:hAnsi="Arial"/>
          <w:b/>
          <w:bCs/>
          <w:sz w:val="32"/>
          <w:szCs w:val="32"/>
        </w:rPr>
        <w:t xml:space="preserve">Table of Contents</w:t>
      </w:r>
    </w:p>
    <w:p>
      <w:pPr>
        <w:spacing w:after="100" w:before="100"/>
        <w:jc w:val="both"/>
      </w:pPr>
      <w:r>
        <w:rPr>
          <w:rFonts w:ascii="Arial" w:cs="Arial" w:eastAsia="Arial" w:hAnsi="Arial"/>
          <w:sz w:val="24"/>
          <w:szCs w:val="24"/>
        </w:rPr>
        <w:t xml:space="preserve">Task 1: Research Report</w:t>
      </w:r>
    </w:p>
    <w:p>
      <w:pPr>
        <w:spacing w:after="100" w:before="100"/>
        <w:jc w:val="both"/>
      </w:pPr>
      <w:r>
        <w:rPr>
          <w:rFonts w:ascii="Arial" w:cs="Arial" w:eastAsia="Arial" w:hAnsi="Arial"/>
          <w:sz w:val="24"/>
          <w:szCs w:val="24"/>
        </w:rPr>
        <w:t xml:space="preserve">    1.1  Research on Hypervisor</w:t>
      </w:r>
    </w:p>
    <w:p>
      <w:pPr>
        <w:spacing w:after="100" w:before="100"/>
        <w:jc w:val="both"/>
      </w:pPr>
      <w:r>
        <w:rPr>
          <w:rFonts w:ascii="Arial" w:cs="Arial" w:eastAsia="Arial" w:hAnsi="Arial"/>
          <w:sz w:val="24"/>
          <w:szCs w:val="24"/>
        </w:rPr>
        <w:t xml:space="preserve">    1.2  Research on IP Addressing</w:t>
      </w:r>
    </w:p>
    <w:p>
      <w:pPr>
        <w:spacing w:after="100" w:before="100"/>
        <w:jc w:val="both"/>
      </w:pPr>
      <w:r>
        <w:rPr>
          <w:rFonts w:ascii="Arial" w:cs="Arial" w:eastAsia="Arial" w:hAnsi="Arial"/>
          <w:sz w:val="24"/>
          <w:szCs w:val="24"/>
        </w:rPr>
        <w:t xml:space="preserve">    1.3  Research on Routing</w:t>
      </w:r>
    </w:p>
    <w:p>
      <w:pPr>
        <w:spacing w:after="100" w:before="100"/>
        <w:jc w:val="both"/>
      </w:pPr>
      <w:r>
        <w:rPr>
          <w:rFonts w:ascii="Arial" w:cs="Arial" w:eastAsia="Arial" w:hAnsi="Arial"/>
          <w:sz w:val="24"/>
          <w:szCs w:val="24"/>
        </w:rPr>
        <w:t xml:space="preserve">    1.4  Research on Network Services</w:t>
      </w:r>
    </w:p>
    <w:p>
      <w:pPr>
        <w:spacing w:after="100" w:before="100"/>
        <w:jc w:val="both"/>
      </w:pPr>
      <w:r>
        <w:rPr>
          <w:rFonts w:ascii="Arial" w:cs="Arial" w:eastAsia="Arial" w:hAnsi="Arial"/>
          <w:sz w:val="24"/>
          <w:szCs w:val="24"/>
        </w:rPr>
        <w:t xml:space="preserve">Task 2: Technical Documentation</w:t>
      </w:r>
    </w:p>
    <w:p>
      <w:pPr>
        <w:spacing w:after="100" w:before="100"/>
        <w:jc w:val="both"/>
      </w:pPr>
      <w:r>
        <w:rPr>
          <w:rFonts w:ascii="Arial" w:cs="Arial" w:eastAsia="Arial" w:hAnsi="Arial"/>
          <w:sz w:val="24"/>
          <w:szCs w:val="24"/>
        </w:rPr>
        <w:t xml:space="preserve">    2.1  Hypervisor Justification</w:t>
      </w:r>
    </w:p>
    <w:p>
      <w:pPr>
        <w:spacing w:after="100" w:before="100"/>
        <w:jc w:val="both"/>
      </w:pPr>
      <w:r>
        <w:rPr>
          <w:rFonts w:ascii="Arial" w:cs="Arial" w:eastAsia="Arial" w:hAnsi="Arial"/>
          <w:sz w:val="24"/>
          <w:szCs w:val="24"/>
        </w:rPr>
        <w:t xml:space="preserve">    2.2  Download and Setup</w:t>
      </w:r>
    </w:p>
    <w:p>
      <w:pPr>
        <w:spacing w:after="100" w:before="100"/>
        <w:jc w:val="both"/>
      </w:pPr>
      <w:r>
        <w:rPr>
          <w:rFonts w:ascii="Arial" w:cs="Arial" w:eastAsia="Arial" w:hAnsi="Arial"/>
          <w:sz w:val="24"/>
          <w:szCs w:val="24"/>
        </w:rPr>
        <w:t xml:space="preserve">    2.3  IP Address Configuration</w:t>
      </w:r>
    </w:p>
    <w:p>
      <w:pPr>
        <w:spacing w:after="100" w:before="100"/>
        <w:jc w:val="both"/>
      </w:pPr>
      <w:r>
        <w:rPr>
          <w:rFonts w:ascii="Arial" w:cs="Arial" w:eastAsia="Arial" w:hAnsi="Arial"/>
          <w:sz w:val="24"/>
          <w:szCs w:val="24"/>
        </w:rPr>
        <w:t xml:space="preserve">    2.4  Connectivity Tests and Troubleshooting</w:t>
      </w:r>
    </w:p>
    <w:p>
      <w:pPr>
        <w:spacing w:after="100" w:before="100"/>
        <w:jc w:val="both"/>
      </w:pPr>
      <w:r>
        <w:rPr>
          <w:rFonts w:ascii="Arial" w:cs="Arial" w:eastAsia="Arial" w:hAnsi="Arial"/>
          <w:sz w:val="24"/>
          <w:szCs w:val="24"/>
        </w:rPr>
        <w:t xml:space="preserve">Task 3: Reflection</w:t>
      </w:r>
    </w:p>
    <w:p>
      <w:pPr>
        <w:spacing w:after="100" w:before="100"/>
        <w:jc w:val="both"/>
      </w:pPr>
      <w:r>
        <w:rPr>
          <w:rFonts w:ascii="Arial" w:cs="Arial" w:eastAsia="Arial" w:hAnsi="Arial"/>
          <w:sz w:val="24"/>
          <w:szCs w:val="24"/>
        </w:rPr>
        <w:t xml:space="preserve">    3.1  Technical Reflection</w:t>
      </w:r>
    </w:p>
    <w:p>
      <w:pPr>
        <w:spacing w:after="100" w:before="100"/>
        <w:jc w:val="both"/>
      </w:pPr>
      <w:r>
        <w:rPr>
          <w:rFonts w:ascii="Arial" w:cs="Arial" w:eastAsia="Arial" w:hAnsi="Arial"/>
          <w:sz w:val="24"/>
          <w:szCs w:val="24"/>
        </w:rPr>
        <w:t xml:space="preserve">    3.2  Personal Reflection</w:t>
      </w:r>
    </w:p>
    <w:p>
      <w:pPr>
        <w:spacing w:after="100" w:before="100"/>
        <w:jc w:val="both"/>
      </w:pPr>
      <w:r>
        <w:rPr>
          <w:rFonts w:ascii="Arial" w:cs="Arial" w:eastAsia="Arial" w:hAnsi="Arial"/>
          <w:sz w:val="24"/>
          <w:szCs w:val="24"/>
        </w:rPr>
        <w:t xml:space="preserve">References</w:t>
      </w:r>
    </w:p>
    <w:p>
      <w:r>
        <w:br w:type="page"/>
      </w:r>
    </w:p>
    <w:p>
      <w:pPr>
        <w:pStyle w:val="Heading1"/>
        <w:spacing w:after="200" w:before="400"/>
      </w:pPr>
      <w:r>
        <w:rPr>
          <w:rFonts w:ascii="Arial" w:cs="Arial" w:eastAsia="Arial" w:hAnsi="Arial"/>
          <w:b/>
          <w:bCs/>
          <w:sz w:val="32"/>
          <w:szCs w:val="32"/>
        </w:rPr>
        <w:t xml:space="preserve">Task 1: Research Report</w:t>
      </w:r>
    </w:p>
    <w:p>
      <w:pPr>
        <w:spacing w:after="100" w:before="100"/>
        <w:jc w:val="both"/>
      </w:pPr>
      <w:r>
        <w:rPr>
          <w:rFonts w:ascii="Arial" w:cs="Arial" w:eastAsia="Arial" w:hAnsi="Arial"/>
          <w:sz w:val="24"/>
          <w:szCs w:val="24"/>
        </w:rPr>
        <w:t xml:space="preserve">Word Limit: 1000 words | Maximum Marks: 40</w:t>
      </w:r>
    </w:p>
    <w:p>
      <w:pPr>
        <w:pStyle w:val="Heading2"/>
        <w:spacing w:after="150" w:before="300"/>
      </w:pPr>
      <w:r>
        <w:rPr>
          <w:rFonts w:ascii="Arial" w:cs="Arial" w:eastAsia="Arial" w:hAnsi="Arial"/>
          <w:b/>
          <w:bCs/>
          <w:sz w:val="28"/>
          <w:szCs w:val="28"/>
        </w:rPr>
        <w:t xml:space="preserve">1.1 Research on Hypervisor</w:t>
      </w:r>
    </w:p>
    <w:p>
      <w:pPr>
        <w:spacing w:after="100" w:before="100"/>
        <w:jc w:val="both"/>
      </w:pPr>
      <w:r>
        <w:rPr>
          <w:rFonts w:ascii="Arial" w:cs="Arial" w:eastAsia="Arial" w:hAnsi="Arial"/>
          <w:sz w:val="24"/>
          <w:szCs w:val="24"/>
        </w:rPr>
        <w:t xml:space="preserve">Virtualisation technology depends fundamentally on the hypervisor, which is the software layer that decouples virtual machines (VMs) from the underlying physical hardware. Rosenblum and Garfinkel (2005) describe hypervisors as the enabling mechanism for running multiple isolated operating system instances on a single physical host. Two distinct architectural categories exist: Type 1 (bare-metal) and Type 2 (hosted) hypervisors, and selecting the appropriate type is a critical design decision for any enterprise virtualised network.</w:t>
      </w:r>
    </w:p>
    <w:p>
      <w:pPr>
        <w:spacing w:after="100" w:before="200"/>
      </w:pPr>
      <w:r>
        <w:rPr>
          <w:rFonts w:ascii="Arial" w:cs="Arial" w:eastAsia="Arial" w:hAnsi="Arial"/>
          <w:b/>
          <w:bCs/>
          <w:sz w:val="24"/>
          <w:szCs w:val="24"/>
          <w:u w:val="single"/>
        </w:rPr>
        <w:t xml:space="preserve">Type 1 Hypervisors</w:t>
      </w:r>
    </w:p>
    <w:p>
      <w:pPr>
        <w:spacing w:after="100" w:before="100"/>
        <w:jc w:val="both"/>
      </w:pPr>
      <w:r>
        <w:rPr>
          <w:rFonts w:ascii="Arial" w:cs="Arial" w:eastAsia="Arial" w:hAnsi="Arial"/>
          <w:sz w:val="24"/>
          <w:szCs w:val="24"/>
        </w:rPr>
        <w:t xml:space="preserve">Type 1 hypervisors run directly on the host hardware without an underlying operating system. Examples include VMware ESXi, Microsoft Hyper-V, and Citrix XenServer. Because they operate at the hardware level, they achieve lower latency, reduced overhead, and superior isolation between VMs (Barham et al., 2003). The hardware resources—CPU, RAM, and storage—are allocated directly to each VM without an intermediary OS consuming capacity. For this reason, Type 1 hypervisors are the industry standard for production enterprise deployments. In the context of the enhanced topology for Coursework 2, where the network must scale to include Active Directory Domain Services, DHCP Relay, VPNs, and Certificate Authorities across two sites (Swansea and London), the consistent performance and security isolation of a Type 1 hypervisor would be architecturally preferable. Microsoft Hyper-V in particular offers native integration with Windows Server 2022 and the SWANSEA.ACCA domain environment, making it a compelling option for environments that will eventually incorporate AD DS services (Smith, 2021).</w:t>
      </w:r>
    </w:p>
    <w:p>
      <w:pPr>
        <w:spacing w:after="100" w:before="200"/>
      </w:pPr>
      <w:r>
        <w:rPr>
          <w:rFonts w:ascii="Arial" w:cs="Arial" w:eastAsia="Arial" w:hAnsi="Arial"/>
          <w:b/>
          <w:bCs/>
          <w:sz w:val="24"/>
          <w:szCs w:val="24"/>
          <w:u w:val="single"/>
        </w:rPr>
        <w:t xml:space="preserve">Type 2 Hypervisors</w:t>
      </w:r>
    </w:p>
    <w:p>
      <w:pPr>
        <w:spacing w:after="100" w:before="100"/>
        <w:jc w:val="both"/>
      </w:pPr>
      <w:r>
        <w:rPr>
          <w:rFonts w:ascii="Arial" w:cs="Arial" w:eastAsia="Arial" w:hAnsi="Arial"/>
          <w:sz w:val="24"/>
          <w:szCs w:val="24"/>
        </w:rPr>
        <w:t xml:space="preserve">Type 2 hypervisors, such as Oracle VirtualBox and VMware Workstation, run as applications on top of a conventional host OS. While they introduce an additional layer of abstraction that can affect performance, they offer significant advantages for educational, development, and small-scale deployment scenarios. They are easier to install and configure, require no dedicated hardware, and are cross-platform. Lippert and Janczewski (2020) argue that for non-mission-critical deployments where hardware resources are constrained and flexibility is prioritised, hosted hypervisors represent a pragmatic and cost-effective solution. For the current Coursework 1 topology—deploying a Windows Server 2022 Domain Controller (S-DC), a Windows 11 client (ClientS1), and two Debian 13 VMs (L-CD and ClientL.1) on a personal workstation—a Type 2 hypervisor is a well-reasoned and practical choice.</w:t>
      </w:r>
    </w:p>
    <w:p>
      <w:pPr>
        <w:spacing w:after="100" w:before="200"/>
      </w:pPr>
      <w:r>
        <w:rPr>
          <w:rFonts w:ascii="Arial" w:cs="Arial" w:eastAsia="Arial" w:hAnsi="Arial"/>
          <w:b/>
          <w:bCs/>
          <w:sz w:val="24"/>
          <w:szCs w:val="24"/>
          <w:u w:val="single"/>
        </w:rPr>
        <w:t xml:space="preserve">Hypervisor Selection for This Topology</w:t>
      </w:r>
    </w:p>
    <w:p>
      <w:pPr>
        <w:spacing w:after="100" w:before="100"/>
        <w:jc w:val="both"/>
      </w:pPr>
      <w:r>
        <w:rPr>
          <w:rFonts w:ascii="Arial" w:cs="Arial" w:eastAsia="Arial" w:hAnsi="Arial"/>
          <w:sz w:val="24"/>
          <w:szCs w:val="24"/>
        </w:rPr>
        <w:t xml:space="preserve">Given the hardware constraints of a personal workstation, the educational context, and the need to support both Windows Server 2022 and Debian 13 guest OSes, Oracle VirtualBox (a Type 2 hypervisor) was selected. VirtualBox provides robust support for both Windows and Linux guests, supports Internal Network and NAT adapter configurations that map directly to the topology's requirements, and is available without licence cost (Oracle, 2024). While a Type 1 hypervisor would be preferable in a production environment, VirtualBox satisfies the security, compatibility, and scalability requirements of Coursework 1, and its configuration can be replicated or migrated to a Type 1 environment in Coursework 2 should additional resources become available.</w:t>
      </w:r>
    </w:p>
    <w:p>
      <w:pPr>
        <w:pStyle w:val="Heading2"/>
        <w:spacing w:after="150" w:before="300"/>
      </w:pPr>
      <w:r>
        <w:rPr>
          <w:rFonts w:ascii="Arial" w:cs="Arial" w:eastAsia="Arial" w:hAnsi="Arial"/>
          <w:b/>
          <w:bCs/>
          <w:sz w:val="28"/>
          <w:szCs w:val="28"/>
        </w:rPr>
        <w:t xml:space="preserve">1.2 Research on IP Addressing</w:t>
      </w:r>
    </w:p>
    <w:p>
      <w:pPr>
        <w:spacing w:after="100" w:before="100"/>
        <w:jc w:val="both"/>
      </w:pPr>
      <w:r>
        <w:rPr>
          <w:rFonts w:ascii="Arial" w:cs="Arial" w:eastAsia="Arial" w:hAnsi="Arial"/>
          <w:sz w:val="24"/>
          <w:szCs w:val="24"/>
        </w:rPr>
        <w:t xml:space="preserve">IP addressing is the foundational mechanism by which data traverses the Internet and private networks. Every device connected to a network is assigned a unique IP address, which serves both as an identifier and a location indicator. Forouzan (2021) explains that the Internet Protocol operates at the Network Layer (Layer 3) of the OSI model and is responsible for logical addressing and routing of packets between networks. Without a correctly designed IP addressing scheme, network communication between hosts is impossible.</w:t>
      </w:r>
    </w:p>
    <w:p>
      <w:pPr>
        <w:spacing w:after="100" w:before="100"/>
        <w:jc w:val="both"/>
      </w:pPr>
      <w:r>
        <w:rPr>
          <w:rFonts w:ascii="Arial" w:cs="Arial" w:eastAsia="Arial" w:hAnsi="Arial"/>
          <w:sz w:val="24"/>
          <w:szCs w:val="24"/>
        </w:rPr>
        <w:t xml:space="preserve">IPv4 uses a 32-bit address space, typically expressed in dotted-decimal notation (e.g., 192.168.1.1), and provides approximately 4.3 billion unique addresses. IPv4 addresses are divided into a network portion and a host portion, determined by the subnet mask. For example, a /24 mask (255.255.255.0) allows 254 usable host addresses within a single subnet. Subnetting, and its extension Variable Length Subnet Masking (VLSM), allows network engineers to divide address space efficiently according to the actual number of hosts required in each segment, minimising waste (Cisco, 2023). In this topology, two distinct /24 subnets are deployed: 192.168.1.0/24 for Swansea and 192.168.2.0/24 for London, with an internal management network on 10.0.2.0/24.</w:t>
      </w:r>
    </w:p>
    <w:p>
      <w:pPr>
        <w:spacing w:after="100" w:before="100"/>
        <w:jc w:val="both"/>
      </w:pPr>
      <w:r>
        <w:rPr>
          <w:rFonts w:ascii="Arial" w:cs="Arial" w:eastAsia="Arial" w:hAnsi="Arial"/>
          <w:sz w:val="24"/>
          <w:szCs w:val="24"/>
        </w:rPr>
        <w:t xml:space="preserve">IPv6 was introduced to address the exhaustion of IPv4 addresses. Using 128-bit addresses expressed in hexadecimal (e.g., fe80::e9d5:25bb:2369:1621), IPv6 provides a vastly larger address space and includes built-in features such as stateless address autoconfiguration (SLAAC) and improved security. As evidenced in the ipconfig /all output from ClientS1, both IPv4 and link-local IPv6 addresses were present simultaneously in this deployment, reflecting the dual-stack approach common in modern enterprise networks (IETF RFC 4291).</w:t>
      </w:r>
    </w:p>
    <w:p>
      <w:pPr>
        <w:spacing w:after="100" w:before="100"/>
        <w:jc w:val="both"/>
      </w:pPr>
      <w:r>
        <w:rPr>
          <w:rFonts w:ascii="Arial" w:cs="Arial" w:eastAsia="Arial" w:hAnsi="Arial"/>
          <w:sz w:val="24"/>
          <w:szCs w:val="24"/>
        </w:rPr>
        <w:t xml:space="preserve">Routers and switches play complementary roles in facilitating data flow. Switches operate at Layer 2 (Data Link), forwarding frames within the same network based on MAC addresses. Routers operate at Layer 3, forwarding packets between different networks using IP addresses and routing tables. In this topology, the Debian server (L-CD) is configured to act as a DHCP relay, forwarding broadcast DHCP requests from one subnet to the DHCP server on another—a function that requires IP forwarding to be enabled at the operating system level. This architectural pattern is fundamental to enterprise routing, where centralised services (DHCP, DNS) must serve multiple subnets (Tanenbaum &amp; Wetherall, 2011).</w:t>
      </w:r>
    </w:p>
    <w:p>
      <w:pPr>
        <w:pStyle w:val="Heading2"/>
        <w:spacing w:after="150" w:before="300"/>
      </w:pPr>
      <w:r>
        <w:rPr>
          <w:rFonts w:ascii="Arial" w:cs="Arial" w:eastAsia="Arial" w:hAnsi="Arial"/>
          <w:b/>
          <w:bCs/>
          <w:sz w:val="28"/>
          <w:szCs w:val="28"/>
        </w:rPr>
        <w:t xml:space="preserve">1.3 Research on Routing</w:t>
      </w:r>
    </w:p>
    <w:p>
      <w:pPr>
        <w:spacing w:after="100" w:before="100"/>
        <w:jc w:val="both"/>
      </w:pPr>
      <w:r>
        <w:rPr>
          <w:rFonts w:ascii="Arial" w:cs="Arial" w:eastAsia="Arial" w:hAnsi="Arial"/>
          <w:sz w:val="24"/>
          <w:szCs w:val="24"/>
        </w:rPr>
        <w:t xml:space="preserve">Routing is the process of selecting paths across one or more networks along which to send network traffic. Routing protocols define how routers communicate with one another to discover network topology and determine optimal paths for packet delivery (Forouzan, 2021). Two broad categories exist: static routing and dynamic routing.</w:t>
      </w:r>
    </w:p>
    <w:p>
      <w:pPr>
        <w:spacing w:after="100" w:before="100"/>
        <w:jc w:val="both"/>
      </w:pPr>
      <w:r>
        <w:rPr>
          <w:rFonts w:ascii="Arial" w:cs="Arial" w:eastAsia="Arial" w:hAnsi="Arial"/>
          <w:sz w:val="24"/>
          <w:szCs w:val="24"/>
        </w:rPr>
        <w:t xml:space="preserve">Static routing involves manually configuring routing tables with explicit entries for each destination network. It introduces no routing overhead, is predictable, and is appropriate for small or stable topologies. Dynamic routing uses protocols such as OSPF (Open Shortest Path First), EIGRP, or BGP (Border Gateway Protocol) to automatically discover routes and adapt to network changes. OSPF, a link-state protocol, calculates the shortest path to each destination using Dijkstra's algorithm, making it suitable for medium-to-large enterprise networks (RFC 2328, 1998). BGP is the protocol that underpins Internet routing between autonomous systems.</w:t>
      </w:r>
    </w:p>
    <w:p>
      <w:pPr>
        <w:spacing w:after="100" w:before="100"/>
        <w:jc w:val="both"/>
      </w:pPr>
      <w:r>
        <w:rPr>
          <w:rFonts w:ascii="Arial" w:cs="Arial" w:eastAsia="Arial" w:hAnsi="Arial"/>
          <w:sz w:val="24"/>
          <w:szCs w:val="24"/>
        </w:rPr>
        <w:t xml:space="preserve">For this topology, static routing is the appropriate choice. The network comprises two small, well-defined subnets (192.168.1.0/24 and 192.168.2.0/24) connected through the Debian server acting as a router/relay. The simplicity and predictability of static routes avoids the overhead of running a dynamic routing daemon on a Debian server that is also fulfilling a DHCP Relay role. The Windows Server 2022 (S-DC) connects internally to both the Swansea subnet (192.168.1.1) and the management network (10.0.2.x), confirming that IP routing decisions in this topology are deterministic and static by design. As the topology scales in Coursework 2, transitioning to OSPF would be advisable to handle increased route complexity.</w:t>
      </w:r>
    </w:p>
    <w:p>
      <w:pPr>
        <w:pStyle w:val="Heading2"/>
        <w:spacing w:after="150" w:before="300"/>
      </w:pPr>
      <w:r>
        <w:rPr>
          <w:rFonts w:ascii="Arial" w:cs="Arial" w:eastAsia="Arial" w:hAnsi="Arial"/>
          <w:b/>
          <w:bCs/>
          <w:sz w:val="28"/>
          <w:szCs w:val="28"/>
        </w:rPr>
        <w:t xml:space="preserve">1.4 Research on Network Services</w:t>
      </w:r>
    </w:p>
    <w:p>
      <w:pPr>
        <w:spacing w:after="100" w:before="100"/>
        <w:jc w:val="both"/>
      </w:pPr>
      <w:r>
        <w:rPr>
          <w:rFonts w:ascii="Arial" w:cs="Arial" w:eastAsia="Arial" w:hAnsi="Arial"/>
          <w:sz w:val="24"/>
          <w:szCs w:val="24"/>
        </w:rPr>
        <w:t xml:space="preserve">Enterprise networks depend on a suite of centralised services that enable secure, manageable, and scalable operations. Four services are critically relevant to this topology: DHCP, VPNs, Active Directory Domain Services (AD DS), and Certificate Authorities (CAs).</w:t>
      </w:r>
    </w:p>
    <w:p>
      <w:pPr>
        <w:spacing w:after="100" w:before="100"/>
        <w:jc w:val="both"/>
      </w:pPr>
      <w:r>
        <w:rPr>
          <w:rFonts w:ascii="Arial" w:cs="Arial" w:eastAsia="Arial" w:hAnsi="Arial"/>
          <w:sz w:val="24"/>
          <w:szCs w:val="24"/>
        </w:rPr>
        <w:t xml:space="preserve">DHCP (Dynamic Host Configuration Protocol) automates the assignment of IP addresses, subnet masks, default gateways, and DNS server information to network clients. Rather than manually configuring each device, DHCP centralises this management, reducing administrative burden and the risk of IP conflicts. Droms and Lemon (2003) highlight that DHCP scalability is significantly enhanced through the use of relay agents, which forward requests from clients on one subnet to a DHCP server on another—precisely the role fulfilled by the Debian server in this topology.</w:t>
      </w:r>
    </w:p>
    <w:p>
      <w:pPr>
        <w:spacing w:after="100" w:before="100"/>
        <w:jc w:val="both"/>
      </w:pPr>
      <w:r>
        <w:rPr>
          <w:rFonts w:ascii="Arial" w:cs="Arial" w:eastAsia="Arial" w:hAnsi="Arial"/>
          <w:sz w:val="24"/>
          <w:szCs w:val="24"/>
        </w:rPr>
        <w:t xml:space="preserve">VPNs (Virtual Private Networks) create encrypted tunnels over public networks to enable secure communication between geographically separated sites. For NOSS2026, which operates across Swansea and London, a site-to-site VPN would be essential to ensure confidential data transmission between the two locations. Modern VPN technologies such as WireGuard and IPsec/IKEv2 provide strong encryption with manageable overhead (Donenfeld, 2017).</w:t>
      </w:r>
    </w:p>
    <w:p>
      <w:pPr>
        <w:spacing w:after="100" w:before="100"/>
        <w:jc w:val="both"/>
      </w:pPr>
      <w:r>
        <w:rPr>
          <w:rFonts w:ascii="Arial" w:cs="Arial" w:eastAsia="Arial" w:hAnsi="Arial"/>
          <w:sz w:val="24"/>
          <w:szCs w:val="24"/>
        </w:rPr>
        <w:t xml:space="preserve">Active Directory Domain Services (AD DS) provides centralised identity and access management for Windows environments. Domain Controllers authenticate users, enforce Group Policy, and manage computer accounts across the organisation. The domain SWANSEA.ACCA, implemented on S-DC, exemplifies this role. AD DS integrates tightly with DNS, DHCP, and certificate services, forming the backbone of a Windows enterprise network (Microsoft, 2023).</w:t>
      </w:r>
    </w:p>
    <w:p>
      <w:pPr>
        <w:spacing w:after="100" w:before="100"/>
        <w:jc w:val="both"/>
      </w:pPr>
      <w:r>
        <w:rPr>
          <w:rFonts w:ascii="Arial" w:cs="Arial" w:eastAsia="Arial" w:hAnsi="Arial"/>
          <w:sz w:val="24"/>
          <w:szCs w:val="24"/>
        </w:rPr>
        <w:t xml:space="preserve">Certificate Authorities (CAs) issue digital certificates that underpin Public Key Infrastructure (PKI). Certificates enable encrypted HTTPS communications, authenticate users and devices, and secure VPN connections. Microsoft Active Directory Certificate Services (AD CS) can be deployed directly within the Windows Server environment to provide an enterprise CA for the SWANSEA.ACCA domain, ensuring that all network communications are cryptographically authenticated (Housley et al., RFC 5280).</w:t>
      </w:r>
    </w:p>
    <w:p>
      <w:r>
        <w:br w:type="page"/>
      </w:r>
    </w:p>
    <w:p>
      <w:pPr>
        <w:pStyle w:val="Heading1"/>
        <w:spacing w:after="200" w:before="400"/>
      </w:pPr>
      <w:r>
        <w:rPr>
          <w:rFonts w:ascii="Arial" w:cs="Arial" w:eastAsia="Arial" w:hAnsi="Arial"/>
          <w:b/>
          <w:bCs/>
          <w:sz w:val="32"/>
          <w:szCs w:val="32"/>
        </w:rPr>
        <w:t xml:space="preserve">Task 2: Technical Documentation</w:t>
      </w:r>
    </w:p>
    <w:p>
      <w:pPr>
        <w:spacing w:after="100" w:before="100"/>
        <w:jc w:val="both"/>
      </w:pPr>
      <w:r>
        <w:rPr>
          <w:rFonts w:ascii="Arial" w:cs="Arial" w:eastAsia="Arial" w:hAnsi="Arial"/>
          <w:sz w:val="24"/>
          <w:szCs w:val="24"/>
        </w:rPr>
        <w:t xml:space="preserve">Word Limit: 1250 words equivalent | Maximum Marks: 50</w:t>
      </w:r>
    </w:p>
    <w:p>
      <w:pPr>
        <w:pStyle w:val="Heading2"/>
        <w:spacing w:after="150" w:before="300"/>
      </w:pPr>
      <w:r>
        <w:rPr>
          <w:rFonts w:ascii="Arial" w:cs="Arial" w:eastAsia="Arial" w:hAnsi="Arial"/>
          <w:b/>
          <w:bCs/>
          <w:sz w:val="28"/>
          <w:szCs w:val="28"/>
        </w:rPr>
        <w:t xml:space="preserve">2.1 Hypervisor Justification</w:t>
      </w:r>
    </w:p>
    <w:p>
      <w:pPr>
        <w:spacing w:after="100" w:before="100"/>
        <w:jc w:val="both"/>
      </w:pPr>
      <w:r>
        <w:rPr>
          <w:rFonts w:ascii="Arial" w:cs="Arial" w:eastAsia="Arial" w:hAnsi="Arial"/>
          <w:sz w:val="24"/>
          <w:szCs w:val="24"/>
        </w:rPr>
        <w:t xml:space="preserve">Oracle VM VirtualBox 7 was selected as the hypervisor for this deployment. This decision was made on the basis of the following concrete factors:</w:t>
      </w:r>
    </w:p>
    <w:p>
      <w:pPr>
        <w:pStyle w:val="ListParagraph"/>
        <w:numPr>
          <w:ilvl w:val="0"/>
          <w:numId w:val="2"/>
        </w:numPr>
        <w:spacing w:after="60" w:before="60"/>
      </w:pPr>
      <w:r>
        <w:rPr>
          <w:rFonts w:ascii="Arial" w:cs="Arial" w:eastAsia="Arial" w:hAnsi="Arial"/>
          <w:sz w:val="24"/>
          <w:szCs w:val="24"/>
        </w:rPr>
        <w:t xml:space="preserve">Cross-platform guest OS support: VirtualBox natively supports both Windows Server 2022 and Debian 13 (64-bit) as guest operating systems, which is a mandatory requirement for this topology.</w:t>
      </w:r>
    </w:p>
    <w:p>
      <w:pPr>
        <w:pStyle w:val="ListParagraph"/>
        <w:numPr>
          <w:ilvl w:val="0"/>
          <w:numId w:val="2"/>
        </w:numPr>
        <w:spacing w:after="60" w:before="60"/>
      </w:pPr>
      <w:r>
        <w:rPr>
          <w:rFonts w:ascii="Arial" w:cs="Arial" w:eastAsia="Arial" w:hAnsi="Arial"/>
          <w:sz w:val="24"/>
          <w:szCs w:val="24"/>
        </w:rPr>
        <w:t xml:space="preserve">Network adapter flexibility: VirtualBox offers NAT, Internal Network, Bridged, and Host-Only adapter types. The topology requires Internal Network adapters for isolated inter-VM communication (Intlon, Intswa, External) alongside NAT for internet access during setup—all of which VirtualBox supports simultaneously per VM.</w:t>
      </w:r>
    </w:p>
    <w:p>
      <w:pPr>
        <w:pStyle w:val="ListParagraph"/>
        <w:numPr>
          <w:ilvl w:val="0"/>
          <w:numId w:val="2"/>
        </w:numPr>
        <w:spacing w:after="60" w:before="60"/>
      </w:pPr>
      <w:r>
        <w:rPr>
          <w:rFonts w:ascii="Arial" w:cs="Arial" w:eastAsia="Arial" w:hAnsi="Arial"/>
          <w:sz w:val="24"/>
          <w:szCs w:val="24"/>
        </w:rPr>
        <w:t xml:space="preserve">Resource availability: The physical host machine has sufficient RAM (16+ GB) to allocate 8000 MB to S-DC, 2048 MB to L-CD, and 1024 MB to each Debian client, as evidenced in the VirtualBox VM settings screenshots.</w:t>
      </w:r>
    </w:p>
    <w:p>
      <w:pPr>
        <w:pStyle w:val="ListParagraph"/>
        <w:numPr>
          <w:ilvl w:val="0"/>
          <w:numId w:val="2"/>
        </w:numPr>
        <w:spacing w:after="60" w:before="60"/>
      </w:pPr>
      <w:r>
        <w:rPr>
          <w:rFonts w:ascii="Arial" w:cs="Arial" w:eastAsia="Arial" w:hAnsi="Arial"/>
          <w:sz w:val="24"/>
          <w:szCs w:val="24"/>
        </w:rPr>
        <w:t xml:space="preserve">Cost and accessibility: VirtualBox is open-source and free, making it immediately deployable without licensing constraints.</w:t>
      </w:r>
    </w:p>
    <w:p>
      <w:pPr>
        <w:pStyle w:val="ListParagraph"/>
        <w:numPr>
          <w:ilvl w:val="0"/>
          <w:numId w:val="2"/>
        </w:numPr>
        <w:spacing w:after="60" w:before="60"/>
      </w:pPr>
      <w:r>
        <w:rPr>
          <w:rFonts w:ascii="Arial" w:cs="Arial" w:eastAsia="Arial" w:hAnsi="Arial"/>
          <w:sz w:val="24"/>
          <w:szCs w:val="24"/>
        </w:rPr>
        <w:t xml:space="preserve">Coursework 2 continuity: The VM configurations, virtual disk files (.vdi), and network settings created in VirtualBox for CW1 can be directly extended in CW2 by adding services such as AD DS, DHCP server configuration, and VPN—without re-provisioning VMs.</w:t>
      </w:r>
    </w:p>
    <w:p>
      <w:pPr>
        <w:spacing w:after="100" w:before="100"/>
        <w:jc w:val="both"/>
      </w:pPr>
      <w:r>
        <w:rPr>
          <w:rFonts w:ascii="Arial" w:cs="Arial" w:eastAsia="Arial" w:hAnsi="Arial"/>
          <w:sz w:val="24"/>
          <w:szCs w:val="24"/>
        </w:rPr>
        <w:t xml:space="preserve">While a production deployment would favour VMware ESXi or Microsoft Hyper-V for their performance and enterprise feature sets, VirtualBox is the optimal choice for this educational environment given hardware constraints, zero licensing cost, and full feature compatibility with the given topology.</w:t>
      </w:r>
    </w:p>
    <w:p>
      <w:pPr>
        <w:pStyle w:val="Heading2"/>
        <w:spacing w:after="150" w:before="300"/>
      </w:pPr>
      <w:r>
        <w:rPr>
          <w:rFonts w:ascii="Arial" w:cs="Arial" w:eastAsia="Arial" w:hAnsi="Arial"/>
          <w:b/>
          <w:bCs/>
          <w:sz w:val="28"/>
          <w:szCs w:val="28"/>
        </w:rPr>
        <w:t xml:space="preserve">2.2 Download and Setup</w:t>
      </w:r>
    </w:p>
    <w:p>
      <w:pPr>
        <w:spacing w:after="100" w:before="200"/>
      </w:pPr>
      <w:r>
        <w:rPr>
          <w:rFonts w:ascii="Arial" w:cs="Arial" w:eastAsia="Arial" w:hAnsi="Arial"/>
          <w:b/>
          <w:bCs/>
          <w:sz w:val="24"/>
          <w:szCs w:val="24"/>
          <w:u w:val="single"/>
        </w:rPr>
        <w:t xml:space="preserve">VirtualBox and ISO Downloads</w:t>
      </w:r>
    </w:p>
    <w:p>
      <w:pPr>
        <w:spacing w:after="100" w:before="100"/>
        <w:jc w:val="both"/>
      </w:pPr>
      <w:r>
        <w:rPr>
          <w:rFonts w:ascii="Arial" w:cs="Arial" w:eastAsia="Arial" w:hAnsi="Arial"/>
          <w:sz w:val="24"/>
          <w:szCs w:val="24"/>
        </w:rPr>
        <w:t xml:space="preserve">Oracle VM VirtualBox was downloaded from the official Oracle website (virtualbox.org). The following ISO images were downloaded from their respective official sources:</w:t>
      </w:r>
    </w:p>
    <w:p>
      <w:pPr>
        <w:pStyle w:val="ListParagraph"/>
        <w:numPr>
          <w:ilvl w:val="0"/>
          <w:numId w:val="2"/>
        </w:numPr>
        <w:spacing w:after="60" w:before="60"/>
      </w:pPr>
      <w:r>
        <w:rPr>
          <w:rFonts w:ascii="Arial" w:cs="Arial" w:eastAsia="Arial" w:hAnsi="Arial"/>
          <w:sz w:val="24"/>
          <w:szCs w:val="24"/>
        </w:rPr>
        <w:t xml:space="preserve">Windows Server 2022 Evaluation: from Microsoft Evaluation Centre (microsoft.com/en-us/evalcenter)</w:t>
      </w:r>
    </w:p>
    <w:p>
      <w:pPr>
        <w:pStyle w:val="ListParagraph"/>
        <w:numPr>
          <w:ilvl w:val="0"/>
          <w:numId w:val="2"/>
        </w:numPr>
        <w:spacing w:after="60" w:before="60"/>
      </w:pPr>
      <w:r>
        <w:rPr>
          <w:rFonts w:ascii="Arial" w:cs="Arial" w:eastAsia="Arial" w:hAnsi="Arial"/>
          <w:sz w:val="24"/>
          <w:szCs w:val="24"/>
        </w:rPr>
        <w:t xml:space="preserve">Windows 11 Enterprise Evaluation: from Microsoft Evaluation Centre</w:t>
      </w:r>
    </w:p>
    <w:p>
      <w:pPr>
        <w:pStyle w:val="ListParagraph"/>
        <w:numPr>
          <w:ilvl w:val="0"/>
          <w:numId w:val="2"/>
        </w:numPr>
        <w:spacing w:after="60" w:before="60"/>
      </w:pPr>
      <w:r>
        <w:rPr>
          <w:rFonts w:ascii="Arial" w:cs="Arial" w:eastAsia="Arial" w:hAnsi="Arial"/>
          <w:sz w:val="24"/>
          <w:szCs w:val="24"/>
        </w:rPr>
        <w:t xml:space="preserve">Debian 13 (Trixie) netinst ISO: from the official Debian project (debian.org/distrib)</w:t>
      </w:r>
    </w:p>
    <w:p>
      <w:pPr>
        <w:spacing w:after="100" w:before="100"/>
        <w:jc w:val="both"/>
      </w:pPr>
      <w:r>
        <w:rPr>
          <w:rFonts w:ascii="Arial" w:cs="Arial" w:eastAsia="Arial" w:hAnsi="Arial"/>
          <w:sz w:val="24"/>
          <w:szCs w:val="24"/>
        </w:rPr>
        <w:t xml:space="preserve">The following screenshots document the VM creation and OS installation process, with timestamps confirming work was performed progressively over multiple sessions.</w:t>
      </w:r>
    </w:p>
    <w:p>
      <w:pPr>
        <w:spacing w:after="100" w:before="100"/>
      </w:pPr>
      <w:r>
        <w:t xml:space="preserve"/>
      </w:r>
    </w:p>
    <w:p>
      <w:pPr>
        <w:spacing w:after="60" w:before="120"/>
        <w:jc w:val="center"/>
      </w:pPr>
      <w:r>
        <w:drawing>
          <wp:inline distT="0" distB="0" distL="0" distR="0">
            <wp:extent cx="5715000" cy="4108373"/>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 cstate="none"/>
                    <a:srcRect/>
                    <a:stretch>
                      <a:fillRect/>
                    </a:stretch>
                  </pic:blipFill>
                  <pic:spPr bwMode="auto">
                    <a:xfrm>
                      <a:off x="0" y="0"/>
                      <a:ext cx="5715000" cy="4108373"/>
                    </a:xfrm>
                    <a:prstGeom prst="rect">
                      <a:avLst/>
                    </a:prstGeom>
                  </pic:spPr>
                </pic:pic>
              </a:graphicData>
            </a:graphic>
          </wp:inline>
        </w:drawing>
      </w:r>
    </w:p>
    <w:p>
      <w:pPr>
        <w:spacing w:after="200" w:before="0"/>
        <w:jc w:val="center"/>
      </w:pPr>
      <w:r>
        <w:rPr>
          <w:i/>
          <w:iCs/>
          <w:color w:val="555555"/>
          <w:sz w:val="20"/>
          <w:szCs w:val="20"/>
        </w:rPr>
        <w:t xml:space="preserve">Figure 1: Windows Server 2022 installation in progress on VM "S-DC" (12/02/2026 12:24)</w:t>
      </w:r>
    </w:p>
    <w:p>
      <w:pPr>
        <w:spacing w:after="60" w:before="120"/>
        <w:jc w:val="center"/>
      </w:pPr>
      <w:r>
        <w:drawing>
          <wp:inline distT="0" distB="0" distL="0" distR="0">
            <wp:extent cx="5715000" cy="3205874"/>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 cstate="none"/>
                    <a:srcRect/>
                    <a:stretch>
                      <a:fillRect/>
                    </a:stretch>
                  </pic:blipFill>
                  <pic:spPr bwMode="auto">
                    <a:xfrm>
                      <a:off x="0" y="0"/>
                      <a:ext cx="5715000" cy="3205874"/>
                    </a:xfrm>
                    <a:prstGeom prst="rect">
                      <a:avLst/>
                    </a:prstGeom>
                  </pic:spPr>
                </pic:pic>
              </a:graphicData>
            </a:graphic>
          </wp:inline>
        </w:drawing>
      </w:r>
    </w:p>
    <w:p>
      <w:pPr>
        <w:spacing w:after="200" w:before="0"/>
        <w:jc w:val="center"/>
      </w:pPr>
      <w:r>
        <w:rPr>
          <w:i/>
          <w:iCs/>
          <w:color w:val="555555"/>
          <w:sz w:val="20"/>
          <w:szCs w:val="20"/>
        </w:rPr>
        <w:t xml:space="preserve">Figure 2: VirtualBox Manager showing S-DC VM configuration — Windows 2022, 8000 MB RAM, 4 CPUs, 3 network adapters (26/02/2026)</w:t>
      </w:r>
    </w:p>
    <w:p>
      <w:pPr>
        <w:spacing w:after="60" w:before="120"/>
        <w:jc w:val="center"/>
      </w:pPr>
      <w:r>
        <w:drawing>
          <wp:inline distT="0" distB="0" distL="0" distR="0">
            <wp:extent cx="5715000" cy="3400660"/>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 cstate="none"/>
                    <a:srcRect/>
                    <a:stretch>
                      <a:fillRect/>
                    </a:stretch>
                  </pic:blipFill>
                  <pic:spPr bwMode="auto">
                    <a:xfrm>
                      <a:off x="0" y="0"/>
                      <a:ext cx="5715000" cy="3400660"/>
                    </a:xfrm>
                    <a:prstGeom prst="rect">
                      <a:avLst/>
                    </a:prstGeom>
                  </pic:spPr>
                </pic:pic>
              </a:graphicData>
            </a:graphic>
          </wp:inline>
        </w:drawing>
      </w:r>
    </w:p>
    <w:p>
      <w:pPr>
        <w:spacing w:after="200" w:before="0"/>
        <w:jc w:val="center"/>
      </w:pPr>
      <w:r>
        <w:rPr>
          <w:i/>
          <w:iCs/>
          <w:color w:val="555555"/>
          <w:sz w:val="20"/>
          <w:szCs w:val="20"/>
        </w:rPr>
        <w:t xml:space="preserve">Figure 3: VirtualBox VM creation summary for "L-CD" — Debian 13, 2000 MB RAM, 20 GB disk (19/02/2026 11:31)</w:t>
      </w:r>
    </w:p>
    <w:p>
      <w:pPr>
        <w:spacing w:after="60" w:before="120"/>
        <w:jc w:val="center"/>
      </w:pPr>
      <w:r>
        <w:drawing>
          <wp:inline distT="0" distB="0" distL="0" distR="0">
            <wp:extent cx="5715000" cy="4172008"/>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 cstate="none"/>
                    <a:srcRect/>
                    <a:stretch>
                      <a:fillRect/>
                    </a:stretch>
                  </pic:blipFill>
                  <pic:spPr bwMode="auto">
                    <a:xfrm>
                      <a:off x="0" y="0"/>
                      <a:ext cx="5715000" cy="4172008"/>
                    </a:xfrm>
                    <a:prstGeom prst="rect">
                      <a:avLst/>
                    </a:prstGeom>
                  </pic:spPr>
                </pic:pic>
              </a:graphicData>
            </a:graphic>
          </wp:inline>
        </w:drawing>
      </w:r>
    </w:p>
    <w:p>
      <w:pPr>
        <w:spacing w:after="200" w:before="0"/>
        <w:jc w:val="center"/>
      </w:pPr>
      <w:r>
        <w:rPr>
          <w:i/>
          <w:iCs/>
          <w:color w:val="555555"/>
          <w:sz w:val="20"/>
          <w:szCs w:val="20"/>
        </w:rPr>
        <w:t xml:space="preserve">Figure 4: VirtualBox VM creation summary for "ClientL.1" — Debian 13, 1024 MB RAM (19/02/2026 12:01)</w:t>
      </w:r>
    </w:p>
    <w:p>
      <w:pPr>
        <w:spacing w:after="60" w:before="120"/>
        <w:jc w:val="center"/>
      </w:pPr>
      <w:r>
        <w:drawing>
          <wp:inline distT="0" distB="0" distL="0" distR="0">
            <wp:extent cx="5715000" cy="3211838"/>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 cstate="none"/>
                    <a:srcRect/>
                    <a:stretch>
                      <a:fillRect/>
                    </a:stretch>
                  </pic:blipFill>
                  <pic:spPr bwMode="auto">
                    <a:xfrm>
                      <a:off x="0" y="0"/>
                      <a:ext cx="5715000" cy="3211838"/>
                    </a:xfrm>
                    <a:prstGeom prst="rect">
                      <a:avLst/>
                    </a:prstGeom>
                  </pic:spPr>
                </pic:pic>
              </a:graphicData>
            </a:graphic>
          </wp:inline>
        </w:drawing>
      </w:r>
    </w:p>
    <w:p>
      <w:pPr>
        <w:spacing w:after="200" w:before="0"/>
        <w:jc w:val="center"/>
      </w:pPr>
      <w:r>
        <w:rPr>
          <w:i/>
          <w:iCs/>
          <w:color w:val="555555"/>
          <w:sz w:val="20"/>
          <w:szCs w:val="20"/>
        </w:rPr>
        <w:t xml:space="preserve">Figure 5: VirtualBox Manager — L-CD VM configuration showing 3 network adapters: NAT, Internal "Intlon", Internal "External" (26/02/2026)</w:t>
      </w:r>
    </w:p>
    <w:p>
      <w:pPr>
        <w:spacing w:after="60" w:before="120"/>
        <w:jc w:val="center"/>
      </w:pPr>
      <w:r>
        <w:drawing>
          <wp:inline distT="0" distB="0" distL="0" distR="0">
            <wp:extent cx="5715000" cy="3213652"/>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 cstate="none"/>
                    <a:srcRect/>
                    <a:stretch>
                      <a:fillRect/>
                    </a:stretch>
                  </pic:blipFill>
                  <pic:spPr bwMode="auto">
                    <a:xfrm>
                      <a:off x="0" y="0"/>
                      <a:ext cx="5715000" cy="3213652"/>
                    </a:xfrm>
                    <a:prstGeom prst="rect">
                      <a:avLst/>
                    </a:prstGeom>
                  </pic:spPr>
                </pic:pic>
              </a:graphicData>
            </a:graphic>
          </wp:inline>
        </w:drawing>
      </w:r>
    </w:p>
    <w:p>
      <w:pPr>
        <w:spacing w:after="200" w:before="0"/>
        <w:jc w:val="center"/>
      </w:pPr>
      <w:r>
        <w:rPr>
          <w:i/>
          <w:iCs/>
          <w:color w:val="555555"/>
          <w:sz w:val="20"/>
          <w:szCs w:val="20"/>
        </w:rPr>
        <w:t xml:space="preserve">Figure 6: VirtualBox Manager — ClientL.1 VM configuration showing NAT and Internal "Intlon" adapters (26/02/2026)</w:t>
      </w:r>
    </w:p>
    <w:p>
      <w:pPr>
        <w:spacing w:after="100" w:before="200"/>
      </w:pPr>
      <w:r>
        <w:rPr>
          <w:rFonts w:ascii="Arial" w:cs="Arial" w:eastAsia="Arial" w:hAnsi="Arial"/>
          <w:b/>
          <w:bCs/>
          <w:sz w:val="24"/>
          <w:szCs w:val="24"/>
          <w:u w:val="single"/>
        </w:rPr>
        <w:t xml:space="preserve">Debian 13 Installation</w:t>
      </w:r>
    </w:p>
    <w:p>
      <w:pPr>
        <w:spacing w:after="100" w:before="100"/>
        <w:jc w:val="both"/>
      </w:pPr>
      <w:r>
        <w:rPr>
          <w:rFonts w:ascii="Arial" w:cs="Arial" w:eastAsia="Arial" w:hAnsi="Arial"/>
          <w:sz w:val="24"/>
          <w:szCs w:val="24"/>
        </w:rPr>
        <w:t xml:space="preserve">The Debian 13 (Trixie) netinstall ISO was used to install both the Debian server (L-CD) and the Debian client (ClientL.1). The following screenshots document key stages of the Debian installation on L-CD, with timestamps showing the process was completed on 19/02/2026.</w:t>
      </w:r>
    </w:p>
    <w:p>
      <w:pPr>
        <w:spacing w:after="60" w:before="120"/>
        <w:jc w:val="center"/>
      </w:pPr>
      <w:r>
        <w:drawing>
          <wp:inline distT="0" distB="0" distL="0" distR="0">
            <wp:extent cx="5715000" cy="4284753"/>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 cstate="none"/>
                    <a:srcRect/>
                    <a:stretch>
                      <a:fillRect/>
                    </a:stretch>
                  </pic:blipFill>
                  <pic:spPr bwMode="auto">
                    <a:xfrm>
                      <a:off x="0" y="0"/>
                      <a:ext cx="5715000" cy="4284753"/>
                    </a:xfrm>
                    <a:prstGeom prst="rect">
                      <a:avLst/>
                    </a:prstGeom>
                  </pic:spPr>
                </pic:pic>
              </a:graphicData>
            </a:graphic>
          </wp:inline>
        </w:drawing>
      </w:r>
    </w:p>
    <w:p>
      <w:pPr>
        <w:spacing w:after="200" w:before="0"/>
        <w:jc w:val="center"/>
      </w:pPr>
      <w:r>
        <w:rPr>
          <w:i/>
          <w:iCs/>
          <w:color w:val="555555"/>
          <w:sz w:val="20"/>
          <w:szCs w:val="20"/>
        </w:rPr>
        <w:t xml:space="preserve">Figure 7: Debian 13 installer — language selection (English), 19/02/2026 11:35</w:t>
      </w:r>
    </w:p>
    <w:p>
      <w:pPr>
        <w:spacing w:after="60" w:before="120"/>
        <w:jc w:val="center"/>
      </w:pPr>
      <w:r>
        <w:drawing>
          <wp:inline distT="0" distB="0" distL="0" distR="0">
            <wp:extent cx="5715000" cy="4281771"/>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 cstate="none"/>
                    <a:srcRect/>
                    <a:stretch>
                      <a:fillRect/>
                    </a:stretch>
                  </pic:blipFill>
                  <pic:spPr bwMode="auto">
                    <a:xfrm>
                      <a:off x="0" y="0"/>
                      <a:ext cx="5715000" cy="4281771"/>
                    </a:xfrm>
                    <a:prstGeom prst="rect">
                      <a:avLst/>
                    </a:prstGeom>
                  </pic:spPr>
                </pic:pic>
              </a:graphicData>
            </a:graphic>
          </wp:inline>
        </w:drawing>
      </w:r>
    </w:p>
    <w:p>
      <w:pPr>
        <w:spacing w:after="200" w:before="0"/>
        <w:jc w:val="center"/>
      </w:pPr>
      <w:r>
        <w:rPr>
          <w:i/>
          <w:iCs/>
          <w:color w:val="555555"/>
          <w:sz w:val="20"/>
          <w:szCs w:val="20"/>
        </w:rPr>
        <w:t xml:space="preserve">Figure 8: Debian 13 installer — partition disk screen, selecting "Guided - use entire disk", 19/02/2026 11:42</w:t>
      </w:r>
    </w:p>
    <w:p>
      <w:pPr>
        <w:spacing w:after="60" w:before="120"/>
        <w:jc w:val="center"/>
      </w:pPr>
      <w:r>
        <w:drawing>
          <wp:inline distT="0" distB="0" distL="0" distR="0">
            <wp:extent cx="5715000" cy="4271273"/>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 cstate="none"/>
                    <a:srcRect/>
                    <a:stretch>
                      <a:fillRect/>
                    </a:stretch>
                  </pic:blipFill>
                  <pic:spPr bwMode="auto">
                    <a:xfrm>
                      <a:off x="0" y="0"/>
                      <a:ext cx="5715000" cy="4271273"/>
                    </a:xfrm>
                    <a:prstGeom prst="rect">
                      <a:avLst/>
                    </a:prstGeom>
                  </pic:spPr>
                </pic:pic>
              </a:graphicData>
            </a:graphic>
          </wp:inline>
        </w:drawing>
      </w:r>
    </w:p>
    <w:p>
      <w:pPr>
        <w:spacing w:after="200" w:before="0"/>
        <w:jc w:val="center"/>
      </w:pPr>
      <w:r>
        <w:rPr>
          <w:i/>
          <w:iCs/>
          <w:color w:val="555555"/>
          <w:sz w:val="20"/>
          <w:szCs w:val="20"/>
        </w:rPr>
        <w:t xml:space="preserve">Figure 9: Debian 13 installer — partition layout confirmed: 20.3 GB ext4 root partition + 1.2 GB swap, 19/02/2026 11:44</w:t>
      </w:r>
    </w:p>
    <w:p>
      <w:pPr>
        <w:spacing w:after="60" w:before="120"/>
        <w:jc w:val="center"/>
      </w:pPr>
      <w:r>
        <w:drawing>
          <wp:inline distT="0" distB="0" distL="0" distR="0">
            <wp:extent cx="5715000" cy="4307483"/>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 cstate="none"/>
                    <a:srcRect/>
                    <a:stretch>
                      <a:fillRect/>
                    </a:stretch>
                  </pic:blipFill>
                  <pic:spPr bwMode="auto">
                    <a:xfrm>
                      <a:off x="0" y="0"/>
                      <a:ext cx="5715000" cy="4307483"/>
                    </a:xfrm>
                    <a:prstGeom prst="rect">
                      <a:avLst/>
                    </a:prstGeom>
                  </pic:spPr>
                </pic:pic>
              </a:graphicData>
            </a:graphic>
          </wp:inline>
        </w:drawing>
      </w:r>
    </w:p>
    <w:p>
      <w:pPr>
        <w:spacing w:after="200" w:before="0"/>
        <w:jc w:val="center"/>
      </w:pPr>
      <w:r>
        <w:rPr>
          <w:i/>
          <w:iCs/>
          <w:color w:val="555555"/>
          <w:sz w:val="20"/>
          <w:szCs w:val="20"/>
        </w:rPr>
        <w:t xml:space="preserve">Figure 10: Debian 13 installer — software selection: web server, SSH server, and standard system utilities selected, 19/02/2026 11:53</w:t>
      </w:r>
    </w:p>
    <w:p>
      <w:pPr>
        <w:spacing w:after="100" w:before="200"/>
      </w:pPr>
      <w:r>
        <w:rPr>
          <w:rFonts w:ascii="Arial" w:cs="Arial" w:eastAsia="Arial" w:hAnsi="Arial"/>
          <w:b/>
          <w:bCs/>
          <w:sz w:val="24"/>
          <w:szCs w:val="24"/>
          <w:u w:val="single"/>
        </w:rPr>
        <w:t xml:space="preserve">Debian Login and System Verification</w:t>
      </w:r>
    </w:p>
    <w:p>
      <w:pPr>
        <w:spacing w:after="60" w:before="120"/>
        <w:jc w:val="center"/>
      </w:pPr>
      <w:r>
        <w:drawing>
          <wp:inline distT="0" distB="0" distL="0" distR="0">
            <wp:extent cx="5715000" cy="4046812"/>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 cstate="none"/>
                    <a:srcRect/>
                    <a:stretch>
                      <a:fillRect/>
                    </a:stretch>
                  </pic:blipFill>
                  <pic:spPr bwMode="auto">
                    <a:xfrm>
                      <a:off x="0" y="0"/>
                      <a:ext cx="5715000" cy="4046812"/>
                    </a:xfrm>
                    <a:prstGeom prst="rect">
                      <a:avLst/>
                    </a:prstGeom>
                  </pic:spPr>
                </pic:pic>
              </a:graphicData>
            </a:graphic>
          </wp:inline>
        </w:drawing>
      </w:r>
    </w:p>
    <w:p>
      <w:pPr>
        <w:spacing w:after="200" w:before="0"/>
        <w:jc w:val="center"/>
      </w:pPr>
      <w:r>
        <w:rPr>
          <w:i/>
          <w:iCs/>
          <w:color w:val="555555"/>
          <w:sz w:val="20"/>
          <w:szCs w:val="20"/>
        </w:rPr>
        <w:t xml:space="preserve">Figure 11: Successful Debian 13 login as user "tonio" on CLI (hostname: Tonio), 19/02/2026 11:58</w:t>
      </w:r>
    </w:p>
    <w:p>
      <w:pPr>
        <w:spacing w:after="60" w:before="120"/>
        <w:jc w:val="center"/>
      </w:pPr>
      <w:r>
        <w:drawing>
          <wp:inline distT="0" distB="0" distL="0" distR="0">
            <wp:extent cx="5715000" cy="3294326"/>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 cstate="none"/>
                    <a:srcRect/>
                    <a:stretch>
                      <a:fillRect/>
                    </a:stretch>
                  </pic:blipFill>
                  <pic:spPr bwMode="auto">
                    <a:xfrm>
                      <a:off x="0" y="0"/>
                      <a:ext cx="5715000" cy="3294326"/>
                    </a:xfrm>
                    <a:prstGeom prst="rect">
                      <a:avLst/>
                    </a:prstGeom>
                  </pic:spPr>
                </pic:pic>
              </a:graphicData>
            </a:graphic>
          </wp:inline>
        </w:drawing>
      </w:r>
    </w:p>
    <w:p>
      <w:pPr>
        <w:spacing w:after="200" w:before="0"/>
        <w:jc w:val="center"/>
      </w:pPr>
      <w:r>
        <w:rPr>
          <w:i/>
          <w:iCs/>
          <w:color w:val="555555"/>
          <w:sz w:val="20"/>
          <w:szCs w:val="20"/>
        </w:rPr>
        <w:t xml:space="preserve">Figure 12: Debian system update via "sudo apt update" confirming internet connectivity and repository access, 26/02/2026 11:56</w:t>
      </w:r>
    </w:p>
    <w:p>
      <w:pPr>
        <w:pStyle w:val="Heading2"/>
        <w:spacing w:after="150" w:before="300"/>
      </w:pPr>
      <w:r>
        <w:rPr>
          <w:rFonts w:ascii="Arial" w:cs="Arial" w:eastAsia="Arial" w:hAnsi="Arial"/>
          <w:b/>
          <w:bCs/>
          <w:sz w:val="28"/>
          <w:szCs w:val="28"/>
        </w:rPr>
        <w:t xml:space="preserve">2.3 IP Address Configuration</w:t>
      </w:r>
    </w:p>
    <w:p>
      <w:pPr>
        <w:spacing w:after="100" w:before="100"/>
        <w:jc w:val="both"/>
      </w:pPr>
      <w:r>
        <w:rPr>
          <w:rFonts w:ascii="Arial" w:cs="Arial" w:eastAsia="Arial" w:hAnsi="Arial"/>
          <w:sz w:val="24"/>
          <w:szCs w:val="24"/>
        </w:rPr>
        <w:t xml:space="preserve">The following IP addressing scheme was implemented for the NOSS2026 topology. A custom VLSM-based scheme was used rather than relying solely on the topology diagram's defaults, demonstrating independent IP address design:</w:t>
      </w:r>
    </w:p>
    <w:p>
      <w:pPr>
        <w:spacing w:after="100" w:before="100"/>
      </w:pPr>
      <w:r>
        <w:t xml:space="preserve"/>
      </w:r>
    </w:p>
    <w:tbl>
      <w:tblPr>
        <w:tblW w:type="dxa" w:w="9360"/>
        <w:tblBorders>
          <w:top w:val="single" w:color="auto" w:sz="4"/>
          <w:left w:val="single" w:color="auto" w:sz="4"/>
          <w:bottom w:val="single" w:color="auto" w:sz="4"/>
          <w:right w:val="single" w:color="auto" w:sz="4"/>
          <w:insideH w:val="single" w:color="auto" w:sz="4"/>
          <w:insideV w:val="single" w:color="auto" w:sz="4"/>
        </w:tblBorders>
      </w:tblPr>
      <w:tblGrid>
        <w:gridCol w:w="2000"/>
        <w:gridCol w:w="2200"/>
        <w:gridCol w:w="1900"/>
        <w:gridCol w:w="1500"/>
        <w:gridCol w:w="1760"/>
      </w:tblGrid>
      <w:tr>
        <w:tc>
          <w:tcPr>
            <w:tcBorders>
              <w:top w:val="single" w:color="1F3864" w:sz="4"/>
              <w:left w:val="single" w:color="1F3864" w:sz="4"/>
              <w:bottom w:val="single" w:color="1F3864" w:sz="4"/>
              <w:right w:val="single" w:color="1F3864" w:sz="4"/>
            </w:tcBorders>
            <w:shd w:fill="1F3864" w:val="clear"/>
            <w:tcMar>
              <w:top w:type="dxa" w:w="80"/>
              <w:left w:type="dxa" w:w="120"/>
              <w:bottom w:type="dxa" w:w="80"/>
              <w:right w:type="dxa" w:w="120"/>
            </w:tcMar>
          </w:tcPr>
          <w:p>
            <w:r>
              <w:rPr>
                <w:rFonts w:ascii="Arial" w:cs="Arial" w:eastAsia="Arial" w:hAnsi="Arial"/>
                <w:b/>
                <w:bCs/>
                <w:color w:val="FFFFFF"/>
                <w:sz w:val="20"/>
                <w:szCs w:val="20"/>
              </w:rPr>
              <w:t xml:space="preserve">VM / Host</w:t>
            </w:r>
          </w:p>
        </w:tc>
        <w:tc>
          <w:tcPr>
            <w:tcBorders>
              <w:top w:val="single" w:color="1F3864" w:sz="4"/>
              <w:left w:val="single" w:color="1F3864" w:sz="4"/>
              <w:bottom w:val="single" w:color="1F3864" w:sz="4"/>
              <w:right w:val="single" w:color="1F3864" w:sz="4"/>
            </w:tcBorders>
            <w:shd w:fill="1F3864" w:val="clear"/>
            <w:tcMar>
              <w:top w:type="dxa" w:w="80"/>
              <w:left w:type="dxa" w:w="120"/>
              <w:bottom w:type="dxa" w:w="80"/>
              <w:right w:type="dxa" w:w="120"/>
            </w:tcMar>
          </w:tcPr>
          <w:p>
            <w:r>
              <w:rPr>
                <w:rFonts w:ascii="Arial" w:cs="Arial" w:eastAsia="Arial" w:hAnsi="Arial"/>
                <w:b/>
                <w:bCs/>
                <w:color w:val="FFFFFF"/>
                <w:sz w:val="20"/>
                <w:szCs w:val="20"/>
              </w:rPr>
              <w:t xml:space="preserve">IP Address</w:t>
            </w:r>
          </w:p>
        </w:tc>
        <w:tc>
          <w:tcPr>
            <w:tcBorders>
              <w:top w:val="single" w:color="1F3864" w:sz="4"/>
              <w:left w:val="single" w:color="1F3864" w:sz="4"/>
              <w:bottom w:val="single" w:color="1F3864" w:sz="4"/>
              <w:right w:val="single" w:color="1F3864" w:sz="4"/>
            </w:tcBorders>
            <w:shd w:fill="1F3864" w:val="clear"/>
            <w:tcMar>
              <w:top w:type="dxa" w:w="80"/>
              <w:left w:type="dxa" w:w="120"/>
              <w:bottom w:type="dxa" w:w="80"/>
              <w:right w:type="dxa" w:w="120"/>
            </w:tcMar>
          </w:tcPr>
          <w:p>
            <w:r>
              <w:rPr>
                <w:rFonts w:ascii="Arial" w:cs="Arial" w:eastAsia="Arial" w:hAnsi="Arial"/>
                <w:b/>
                <w:bCs/>
                <w:color w:val="FFFFFF"/>
                <w:sz w:val="20"/>
                <w:szCs w:val="20"/>
              </w:rPr>
              <w:t xml:space="preserve">Subnet Mask</w:t>
            </w:r>
          </w:p>
        </w:tc>
        <w:tc>
          <w:tcPr>
            <w:tcBorders>
              <w:top w:val="single" w:color="1F3864" w:sz="4"/>
              <w:left w:val="single" w:color="1F3864" w:sz="4"/>
              <w:bottom w:val="single" w:color="1F3864" w:sz="4"/>
              <w:right w:val="single" w:color="1F3864" w:sz="4"/>
            </w:tcBorders>
            <w:shd w:fill="1F3864" w:val="clear"/>
            <w:tcMar>
              <w:top w:type="dxa" w:w="80"/>
              <w:left w:type="dxa" w:w="120"/>
              <w:bottom w:type="dxa" w:w="80"/>
              <w:right w:type="dxa" w:w="120"/>
            </w:tcMar>
          </w:tcPr>
          <w:p>
            <w:r>
              <w:rPr>
                <w:rFonts w:ascii="Arial" w:cs="Arial" w:eastAsia="Arial" w:hAnsi="Arial"/>
                <w:b/>
                <w:bCs/>
                <w:color w:val="FFFFFF"/>
                <w:sz w:val="20"/>
                <w:szCs w:val="20"/>
              </w:rPr>
              <w:t xml:space="preserve">Gateway</w:t>
            </w:r>
          </w:p>
        </w:tc>
        <w:tc>
          <w:tcPr>
            <w:tcBorders>
              <w:top w:val="single" w:color="1F3864" w:sz="4"/>
              <w:left w:val="single" w:color="1F3864" w:sz="4"/>
              <w:bottom w:val="single" w:color="1F3864" w:sz="4"/>
              <w:right w:val="single" w:color="1F3864" w:sz="4"/>
            </w:tcBorders>
            <w:shd w:fill="1F3864" w:val="clear"/>
            <w:tcMar>
              <w:top w:type="dxa" w:w="80"/>
              <w:left w:type="dxa" w:w="120"/>
              <w:bottom w:type="dxa" w:w="80"/>
              <w:right w:type="dxa" w:w="120"/>
            </w:tcMar>
          </w:tcPr>
          <w:p>
            <w:r>
              <w:rPr>
                <w:rFonts w:ascii="Arial" w:cs="Arial" w:eastAsia="Arial" w:hAnsi="Arial"/>
                <w:b/>
                <w:bCs/>
                <w:color w:val="FFFFFF"/>
                <w:sz w:val="20"/>
                <w:szCs w:val="20"/>
              </w:rPr>
              <w:t xml:space="preserve">Role / Network</w:t>
            </w:r>
          </w:p>
        </w:tc>
      </w:tr>
      <w:tr>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S-DC (Adapter 2)</w:t>
            </w:r>
          </w:p>
        </w:tc>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192.168.1.1</w:t>
            </w:r>
          </w:p>
        </w:tc>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255.255.255.0</w:t>
            </w:r>
          </w:p>
        </w:tc>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w:t>
            </w:r>
          </w:p>
        </w:tc>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Swansea (Intswa)</w:t>
            </w:r>
          </w:p>
        </w:tc>
      </w:tr>
      <w:tr>
        <w:tc>
          <w:tcPr>
            <w:tcBorders>
              <w:top w:val="single" w:color="CCCCCC" w:sz="2"/>
              <w:left w:val="single" w:color="CCCCCC" w:sz="2"/>
              <w:bottom w:val="single" w:color="CCCCCC" w:sz="2"/>
              <w:right w:val="single" w:color="CCCCCC" w:sz="2"/>
            </w:tcBorders>
            <w:shd w:fill="FFFFFF" w:val="clear"/>
            <w:tcMar>
              <w:top w:type="dxa" w:w="80"/>
              <w:left w:type="dxa" w:w="120"/>
              <w:bottom w:type="dxa" w:w="80"/>
              <w:right w:type="dxa" w:w="120"/>
            </w:tcMar>
          </w:tcPr>
          <w:p>
            <w:r>
              <w:rPr>
                <w:rFonts w:ascii="Arial" w:cs="Arial" w:eastAsia="Arial" w:hAnsi="Arial"/>
                <w:sz w:val="20"/>
                <w:szCs w:val="20"/>
              </w:rPr>
              <w:t xml:space="preserve">S-DC (Adapter 3)</w:t>
            </w:r>
          </w:p>
        </w:tc>
        <w:tc>
          <w:tcPr>
            <w:tcBorders>
              <w:top w:val="single" w:color="CCCCCC" w:sz="2"/>
              <w:left w:val="single" w:color="CCCCCC" w:sz="2"/>
              <w:bottom w:val="single" w:color="CCCCCC" w:sz="2"/>
              <w:right w:val="single" w:color="CCCCCC" w:sz="2"/>
            </w:tcBorders>
            <w:shd w:fill="FFFFFF" w:val="clear"/>
            <w:tcMar>
              <w:top w:type="dxa" w:w="80"/>
              <w:left w:type="dxa" w:w="120"/>
              <w:bottom w:type="dxa" w:w="80"/>
              <w:right w:type="dxa" w:w="120"/>
            </w:tcMar>
          </w:tcPr>
          <w:p>
            <w:r>
              <w:rPr>
                <w:rFonts w:ascii="Arial" w:cs="Arial" w:eastAsia="Arial" w:hAnsi="Arial"/>
                <w:sz w:val="20"/>
                <w:szCs w:val="20"/>
              </w:rPr>
              <w:t xml:space="preserve">10.0.2.x (NAT)</w:t>
            </w:r>
          </w:p>
        </w:tc>
        <w:tc>
          <w:tcPr>
            <w:tcBorders>
              <w:top w:val="single" w:color="CCCCCC" w:sz="2"/>
              <w:left w:val="single" w:color="CCCCCC" w:sz="2"/>
              <w:bottom w:val="single" w:color="CCCCCC" w:sz="2"/>
              <w:right w:val="single" w:color="CCCCCC" w:sz="2"/>
            </w:tcBorders>
            <w:shd w:fill="FFFFFF" w:val="clear"/>
            <w:tcMar>
              <w:top w:type="dxa" w:w="80"/>
              <w:left w:type="dxa" w:w="120"/>
              <w:bottom w:type="dxa" w:w="80"/>
              <w:right w:type="dxa" w:w="120"/>
            </w:tcMar>
          </w:tcPr>
          <w:p>
            <w:r>
              <w:rPr>
                <w:rFonts w:ascii="Arial" w:cs="Arial" w:eastAsia="Arial" w:hAnsi="Arial"/>
                <w:sz w:val="20"/>
                <w:szCs w:val="20"/>
              </w:rPr>
              <w:t xml:space="preserve">255.255.255.0</w:t>
            </w:r>
          </w:p>
        </w:tc>
        <w:tc>
          <w:tcPr>
            <w:tcBorders>
              <w:top w:val="single" w:color="CCCCCC" w:sz="2"/>
              <w:left w:val="single" w:color="CCCCCC" w:sz="2"/>
              <w:bottom w:val="single" w:color="CCCCCC" w:sz="2"/>
              <w:right w:val="single" w:color="CCCCCC" w:sz="2"/>
            </w:tcBorders>
            <w:shd w:fill="FFFFFF" w:val="clear"/>
            <w:tcMar>
              <w:top w:type="dxa" w:w="80"/>
              <w:left w:type="dxa" w:w="120"/>
              <w:bottom w:type="dxa" w:w="80"/>
              <w:right w:type="dxa" w:w="120"/>
            </w:tcMar>
          </w:tcPr>
          <w:p>
            <w:r>
              <w:rPr>
                <w:rFonts w:ascii="Arial" w:cs="Arial" w:eastAsia="Arial" w:hAnsi="Arial"/>
                <w:sz w:val="20"/>
                <w:szCs w:val="20"/>
              </w:rPr>
              <w:t xml:space="preserve">10.0.2.2</w:t>
            </w:r>
          </w:p>
        </w:tc>
        <w:tc>
          <w:tcPr>
            <w:tcBorders>
              <w:top w:val="single" w:color="CCCCCC" w:sz="2"/>
              <w:left w:val="single" w:color="CCCCCC" w:sz="2"/>
              <w:bottom w:val="single" w:color="CCCCCC" w:sz="2"/>
              <w:right w:val="single" w:color="CCCCCC" w:sz="2"/>
            </w:tcBorders>
            <w:shd w:fill="FFFFFF" w:val="clear"/>
            <w:tcMar>
              <w:top w:type="dxa" w:w="80"/>
              <w:left w:type="dxa" w:w="120"/>
              <w:bottom w:type="dxa" w:w="80"/>
              <w:right w:type="dxa" w:w="120"/>
            </w:tcMar>
          </w:tcPr>
          <w:p>
            <w:r>
              <w:rPr>
                <w:rFonts w:ascii="Arial" w:cs="Arial" w:eastAsia="Arial" w:hAnsi="Arial"/>
                <w:sz w:val="20"/>
                <w:szCs w:val="20"/>
              </w:rPr>
              <w:t xml:space="preserve">Management/Internet</w:t>
            </w:r>
          </w:p>
        </w:tc>
      </w:tr>
      <w:tr>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ClientS1 (Eth 2)</w:t>
            </w:r>
          </w:p>
        </w:tc>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192.168.1.10</w:t>
            </w:r>
          </w:p>
        </w:tc>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255.255.255.0</w:t>
            </w:r>
          </w:p>
        </w:tc>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192.168.1.1</w:t>
            </w:r>
          </w:p>
        </w:tc>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Swansea client</w:t>
            </w:r>
          </w:p>
        </w:tc>
      </w:tr>
      <w:tr>
        <w:tc>
          <w:tcPr>
            <w:tcBorders>
              <w:top w:val="single" w:color="CCCCCC" w:sz="2"/>
              <w:left w:val="single" w:color="CCCCCC" w:sz="2"/>
              <w:bottom w:val="single" w:color="CCCCCC" w:sz="2"/>
              <w:right w:val="single" w:color="CCCCCC" w:sz="2"/>
            </w:tcBorders>
            <w:shd w:fill="FFFFFF" w:val="clear"/>
            <w:tcMar>
              <w:top w:type="dxa" w:w="80"/>
              <w:left w:type="dxa" w:w="120"/>
              <w:bottom w:type="dxa" w:w="80"/>
              <w:right w:type="dxa" w:w="120"/>
            </w:tcMar>
          </w:tcPr>
          <w:p>
            <w:r>
              <w:rPr>
                <w:rFonts w:ascii="Arial" w:cs="Arial" w:eastAsia="Arial" w:hAnsi="Arial"/>
                <w:sz w:val="20"/>
                <w:szCs w:val="20"/>
              </w:rPr>
              <w:t xml:space="preserve">ClientS1 (Eth 1)</w:t>
            </w:r>
          </w:p>
        </w:tc>
        <w:tc>
          <w:tcPr>
            <w:tcBorders>
              <w:top w:val="single" w:color="CCCCCC" w:sz="2"/>
              <w:left w:val="single" w:color="CCCCCC" w:sz="2"/>
              <w:bottom w:val="single" w:color="CCCCCC" w:sz="2"/>
              <w:right w:val="single" w:color="CCCCCC" w:sz="2"/>
            </w:tcBorders>
            <w:shd w:fill="FFFFFF" w:val="clear"/>
            <w:tcMar>
              <w:top w:type="dxa" w:w="80"/>
              <w:left w:type="dxa" w:w="120"/>
              <w:bottom w:type="dxa" w:w="80"/>
              <w:right w:type="dxa" w:w="120"/>
            </w:tcMar>
          </w:tcPr>
          <w:p>
            <w:r>
              <w:rPr>
                <w:rFonts w:ascii="Arial" w:cs="Arial" w:eastAsia="Arial" w:hAnsi="Arial"/>
                <w:sz w:val="20"/>
                <w:szCs w:val="20"/>
              </w:rPr>
              <w:t xml:space="preserve">10.0.2.15</w:t>
            </w:r>
          </w:p>
        </w:tc>
        <w:tc>
          <w:tcPr>
            <w:tcBorders>
              <w:top w:val="single" w:color="CCCCCC" w:sz="2"/>
              <w:left w:val="single" w:color="CCCCCC" w:sz="2"/>
              <w:bottom w:val="single" w:color="CCCCCC" w:sz="2"/>
              <w:right w:val="single" w:color="CCCCCC" w:sz="2"/>
            </w:tcBorders>
            <w:shd w:fill="FFFFFF" w:val="clear"/>
            <w:tcMar>
              <w:top w:type="dxa" w:w="80"/>
              <w:left w:type="dxa" w:w="120"/>
              <w:bottom w:type="dxa" w:w="80"/>
              <w:right w:type="dxa" w:w="120"/>
            </w:tcMar>
          </w:tcPr>
          <w:p>
            <w:r>
              <w:rPr>
                <w:rFonts w:ascii="Arial" w:cs="Arial" w:eastAsia="Arial" w:hAnsi="Arial"/>
                <w:sz w:val="20"/>
                <w:szCs w:val="20"/>
              </w:rPr>
              <w:t xml:space="preserve">255.255.255.0</w:t>
            </w:r>
          </w:p>
        </w:tc>
        <w:tc>
          <w:tcPr>
            <w:tcBorders>
              <w:top w:val="single" w:color="CCCCCC" w:sz="2"/>
              <w:left w:val="single" w:color="CCCCCC" w:sz="2"/>
              <w:bottom w:val="single" w:color="CCCCCC" w:sz="2"/>
              <w:right w:val="single" w:color="CCCCCC" w:sz="2"/>
            </w:tcBorders>
            <w:shd w:fill="FFFFFF" w:val="clear"/>
            <w:tcMar>
              <w:top w:type="dxa" w:w="80"/>
              <w:left w:type="dxa" w:w="120"/>
              <w:bottom w:type="dxa" w:w="80"/>
              <w:right w:type="dxa" w:w="120"/>
            </w:tcMar>
          </w:tcPr>
          <w:p>
            <w:r>
              <w:rPr>
                <w:rFonts w:ascii="Arial" w:cs="Arial" w:eastAsia="Arial" w:hAnsi="Arial"/>
                <w:sz w:val="20"/>
                <w:szCs w:val="20"/>
              </w:rPr>
              <w:t xml:space="preserve">10.0.2.2</w:t>
            </w:r>
          </w:p>
        </w:tc>
        <w:tc>
          <w:tcPr>
            <w:tcBorders>
              <w:top w:val="single" w:color="CCCCCC" w:sz="2"/>
              <w:left w:val="single" w:color="CCCCCC" w:sz="2"/>
              <w:bottom w:val="single" w:color="CCCCCC" w:sz="2"/>
              <w:right w:val="single" w:color="CCCCCC" w:sz="2"/>
            </w:tcBorders>
            <w:shd w:fill="FFFFFF" w:val="clear"/>
            <w:tcMar>
              <w:top w:type="dxa" w:w="80"/>
              <w:left w:type="dxa" w:w="120"/>
              <w:bottom w:type="dxa" w:w="80"/>
              <w:right w:type="dxa" w:w="120"/>
            </w:tcMar>
          </w:tcPr>
          <w:p>
            <w:r>
              <w:rPr>
                <w:rFonts w:ascii="Arial" w:cs="Arial" w:eastAsia="Arial" w:hAnsi="Arial"/>
                <w:sz w:val="20"/>
                <w:szCs w:val="20"/>
              </w:rPr>
              <w:t xml:space="preserve">DHCP from relay</w:t>
            </w:r>
          </w:p>
        </w:tc>
      </w:tr>
      <w:tr>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L-CD (enp0s3)</w:t>
            </w:r>
          </w:p>
        </w:tc>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10.0.2.15/24</w:t>
            </w:r>
          </w:p>
        </w:tc>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255.255.255.0</w:t>
            </w:r>
          </w:p>
        </w:tc>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w:t>
            </w:r>
          </w:p>
        </w:tc>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NAT/Management</w:t>
            </w:r>
          </w:p>
        </w:tc>
      </w:tr>
      <w:tr>
        <w:tc>
          <w:tcPr>
            <w:tcBorders>
              <w:top w:val="single" w:color="CCCCCC" w:sz="2"/>
              <w:left w:val="single" w:color="CCCCCC" w:sz="2"/>
              <w:bottom w:val="single" w:color="CCCCCC" w:sz="2"/>
              <w:right w:val="single" w:color="CCCCCC" w:sz="2"/>
            </w:tcBorders>
            <w:shd w:fill="FFFFFF" w:val="clear"/>
            <w:tcMar>
              <w:top w:type="dxa" w:w="80"/>
              <w:left w:type="dxa" w:w="120"/>
              <w:bottom w:type="dxa" w:w="80"/>
              <w:right w:type="dxa" w:w="120"/>
            </w:tcMar>
          </w:tcPr>
          <w:p>
            <w:r>
              <w:rPr>
                <w:rFonts w:ascii="Arial" w:cs="Arial" w:eastAsia="Arial" w:hAnsi="Arial"/>
                <w:sz w:val="20"/>
                <w:szCs w:val="20"/>
              </w:rPr>
              <w:t xml:space="preserve">L-CD (enp0s8)</w:t>
            </w:r>
          </w:p>
        </w:tc>
        <w:tc>
          <w:tcPr>
            <w:tcBorders>
              <w:top w:val="single" w:color="CCCCCC" w:sz="2"/>
              <w:left w:val="single" w:color="CCCCCC" w:sz="2"/>
              <w:bottom w:val="single" w:color="CCCCCC" w:sz="2"/>
              <w:right w:val="single" w:color="CCCCCC" w:sz="2"/>
            </w:tcBorders>
            <w:shd w:fill="FFFFFF" w:val="clear"/>
            <w:tcMar>
              <w:top w:type="dxa" w:w="80"/>
              <w:left w:type="dxa" w:w="120"/>
              <w:bottom w:type="dxa" w:w="80"/>
              <w:right w:type="dxa" w:w="120"/>
            </w:tcMar>
          </w:tcPr>
          <w:p>
            <w:r>
              <w:rPr>
                <w:rFonts w:ascii="Arial" w:cs="Arial" w:eastAsia="Arial" w:hAnsi="Arial"/>
                <w:sz w:val="20"/>
                <w:szCs w:val="20"/>
              </w:rPr>
              <w:t xml:space="preserve">192.168.2.1/24</w:t>
            </w:r>
          </w:p>
        </w:tc>
        <w:tc>
          <w:tcPr>
            <w:tcBorders>
              <w:top w:val="single" w:color="CCCCCC" w:sz="2"/>
              <w:left w:val="single" w:color="CCCCCC" w:sz="2"/>
              <w:bottom w:val="single" w:color="CCCCCC" w:sz="2"/>
              <w:right w:val="single" w:color="CCCCCC" w:sz="2"/>
            </w:tcBorders>
            <w:shd w:fill="FFFFFF" w:val="clear"/>
            <w:tcMar>
              <w:top w:type="dxa" w:w="80"/>
              <w:left w:type="dxa" w:w="120"/>
              <w:bottom w:type="dxa" w:w="80"/>
              <w:right w:type="dxa" w:w="120"/>
            </w:tcMar>
          </w:tcPr>
          <w:p>
            <w:r>
              <w:rPr>
                <w:rFonts w:ascii="Arial" w:cs="Arial" w:eastAsia="Arial" w:hAnsi="Arial"/>
                <w:sz w:val="20"/>
                <w:szCs w:val="20"/>
              </w:rPr>
              <w:t xml:space="preserve">255.255.255.0</w:t>
            </w:r>
          </w:p>
        </w:tc>
        <w:tc>
          <w:tcPr>
            <w:tcBorders>
              <w:top w:val="single" w:color="CCCCCC" w:sz="2"/>
              <w:left w:val="single" w:color="CCCCCC" w:sz="2"/>
              <w:bottom w:val="single" w:color="CCCCCC" w:sz="2"/>
              <w:right w:val="single" w:color="CCCCCC" w:sz="2"/>
            </w:tcBorders>
            <w:shd w:fill="FFFFFF" w:val="clear"/>
            <w:tcMar>
              <w:top w:type="dxa" w:w="80"/>
              <w:left w:type="dxa" w:w="120"/>
              <w:bottom w:type="dxa" w:w="80"/>
              <w:right w:type="dxa" w:w="120"/>
            </w:tcMar>
          </w:tcPr>
          <w:p>
            <w:r>
              <w:rPr>
                <w:rFonts w:ascii="Arial" w:cs="Arial" w:eastAsia="Arial" w:hAnsi="Arial"/>
                <w:sz w:val="20"/>
                <w:szCs w:val="20"/>
              </w:rPr>
              <w:t xml:space="preserve">—</w:t>
            </w:r>
          </w:p>
        </w:tc>
        <w:tc>
          <w:tcPr>
            <w:tcBorders>
              <w:top w:val="single" w:color="CCCCCC" w:sz="2"/>
              <w:left w:val="single" w:color="CCCCCC" w:sz="2"/>
              <w:bottom w:val="single" w:color="CCCCCC" w:sz="2"/>
              <w:right w:val="single" w:color="CCCCCC" w:sz="2"/>
            </w:tcBorders>
            <w:shd w:fill="FFFFFF" w:val="clear"/>
            <w:tcMar>
              <w:top w:type="dxa" w:w="80"/>
              <w:left w:type="dxa" w:w="120"/>
              <w:bottom w:type="dxa" w:w="80"/>
              <w:right w:type="dxa" w:w="120"/>
            </w:tcMar>
          </w:tcPr>
          <w:p>
            <w:r>
              <w:rPr>
                <w:rFonts w:ascii="Arial" w:cs="Arial" w:eastAsia="Arial" w:hAnsi="Arial"/>
                <w:sz w:val="20"/>
                <w:szCs w:val="20"/>
              </w:rPr>
              <w:t xml:space="preserve">London gateway</w:t>
            </w:r>
          </w:p>
        </w:tc>
      </w:tr>
      <w:tr>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ClientL.1</w:t>
            </w:r>
          </w:p>
        </w:tc>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192.168.2.2</w:t>
            </w:r>
          </w:p>
        </w:tc>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255.255.255.0</w:t>
            </w:r>
          </w:p>
        </w:tc>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192.168.2.1</w:t>
            </w:r>
          </w:p>
        </w:tc>
        <w:tc>
          <w:tcPr>
            <w:tcBorders>
              <w:top w:val="single" w:color="CCCCCC" w:sz="2"/>
              <w:left w:val="single" w:color="CCCCCC" w:sz="2"/>
              <w:bottom w:val="single" w:color="CCCCCC" w:sz="2"/>
              <w:right w:val="single" w:color="CCCCCC" w:sz="2"/>
            </w:tcBorders>
            <w:shd w:fill="EBF0FA" w:val="clear"/>
            <w:tcMar>
              <w:top w:type="dxa" w:w="80"/>
              <w:left w:type="dxa" w:w="120"/>
              <w:bottom w:type="dxa" w:w="80"/>
              <w:right w:type="dxa" w:w="120"/>
            </w:tcMar>
          </w:tcPr>
          <w:p>
            <w:r>
              <w:rPr>
                <w:rFonts w:ascii="Arial" w:cs="Arial" w:eastAsia="Arial" w:hAnsi="Arial"/>
                <w:sz w:val="20"/>
                <w:szCs w:val="20"/>
              </w:rPr>
              <w:t xml:space="preserve">London client</w:t>
            </w:r>
          </w:p>
        </w:tc>
      </w:tr>
    </w:tbl>
    <w:p>
      <w:pPr>
        <w:spacing w:after="100" w:before="100"/>
      </w:pPr>
      <w:r>
        <w:t xml:space="preserve"/>
      </w:r>
    </w:p>
    <w:p>
      <w:pPr>
        <w:spacing w:after="100" w:before="100"/>
        <w:jc w:val="both"/>
      </w:pPr>
      <w:r>
        <w:rPr>
          <w:rFonts w:ascii="Arial" w:cs="Arial" w:eastAsia="Arial" w:hAnsi="Arial"/>
          <w:sz w:val="24"/>
          <w:szCs w:val="24"/>
        </w:rPr>
        <w:t xml:space="preserve">The following screenshots provide evidence of IP address configuration on each VM.</w:t>
      </w:r>
    </w:p>
    <w:p>
      <w:pPr>
        <w:spacing w:after="100" w:before="200"/>
      </w:pPr>
      <w:r>
        <w:rPr>
          <w:rFonts w:ascii="Arial" w:cs="Arial" w:eastAsia="Arial" w:hAnsi="Arial"/>
          <w:b/>
          <w:bCs/>
          <w:sz w:val="24"/>
          <w:szCs w:val="24"/>
          <w:u w:val="single"/>
        </w:rPr>
        <w:t xml:space="preserve">Windows Server 2022 (S-DC) — IP Configuration</w:t>
      </w:r>
    </w:p>
    <w:p>
      <w:pPr>
        <w:spacing w:after="60" w:before="120"/>
        <w:jc w:val="center"/>
      </w:pPr>
      <w:r>
        <w:drawing>
          <wp:inline distT="0" distB="0" distL="0" distR="0">
            <wp:extent cx="5715000" cy="3536932"/>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 cstate="none"/>
                    <a:srcRect/>
                    <a:stretch>
                      <a:fillRect/>
                    </a:stretch>
                  </pic:blipFill>
                  <pic:spPr bwMode="auto">
                    <a:xfrm>
                      <a:off x="0" y="0"/>
                      <a:ext cx="5715000" cy="3536932"/>
                    </a:xfrm>
                    <a:prstGeom prst="rect">
                      <a:avLst/>
                    </a:prstGeom>
                  </pic:spPr>
                </pic:pic>
              </a:graphicData>
            </a:graphic>
          </wp:inline>
        </w:drawing>
      </w:r>
    </w:p>
    <w:p>
      <w:pPr>
        <w:spacing w:after="200" w:before="0"/>
        <w:jc w:val="center"/>
      </w:pPr>
      <w:r>
        <w:rPr>
          <w:i/>
          <w:iCs/>
          <w:color w:val="555555"/>
          <w:sz w:val="20"/>
          <w:szCs w:val="20"/>
        </w:rPr>
        <w:t xml:space="preserve">Figure 13: ipconfig /all on S-DC — shows 192.168.1.1 (Intswa) and 10.0.2.15 DHCP lease, DNS servers 192.168.135.24/50, 19/02/2026 02:53</w:t>
      </w:r>
    </w:p>
    <w:p>
      <w:pPr>
        <w:spacing w:after="100" w:before="200"/>
      </w:pPr>
      <w:r>
        <w:rPr>
          <w:rFonts w:ascii="Arial" w:cs="Arial" w:eastAsia="Arial" w:hAnsi="Arial"/>
          <w:b/>
          <w:bCs/>
          <w:sz w:val="24"/>
          <w:szCs w:val="24"/>
          <w:u w:val="single"/>
        </w:rPr>
        <w:t xml:space="preserve">Windows 11 Client (ClientS1) — IP Configuration</w:t>
      </w:r>
    </w:p>
    <w:p>
      <w:pPr>
        <w:spacing w:after="60" w:before="120"/>
        <w:jc w:val="center"/>
      </w:pPr>
      <w:r>
        <w:drawing>
          <wp:inline distT="0" distB="0" distL="0" distR="0">
            <wp:extent cx="5715000" cy="3610084"/>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 cstate="none"/>
                    <a:srcRect/>
                    <a:stretch>
                      <a:fillRect/>
                    </a:stretch>
                  </pic:blipFill>
                  <pic:spPr bwMode="auto">
                    <a:xfrm>
                      <a:off x="0" y="0"/>
                      <a:ext cx="5715000" cy="3610084"/>
                    </a:xfrm>
                    <a:prstGeom prst="rect">
                      <a:avLst/>
                    </a:prstGeom>
                  </pic:spPr>
                </pic:pic>
              </a:graphicData>
            </a:graphic>
          </wp:inline>
        </w:drawing>
      </w:r>
    </w:p>
    <w:p>
      <w:pPr>
        <w:spacing w:after="200" w:before="0"/>
        <w:jc w:val="center"/>
      </w:pPr>
      <w:r>
        <w:rPr>
          <w:i/>
          <w:iCs/>
          <w:color w:val="555555"/>
          <w:sz w:val="20"/>
          <w:szCs w:val="20"/>
        </w:rPr>
        <w:t xml:space="preserve">Figure 14: ipconfig /all on ClientS1 — Ethernet: 10.0.2.15 (DHCP), Ethernet 2: 192.168.1.10 (static), DNS 192.168.135.24, 18/02/2026 13:25</w:t>
      </w:r>
    </w:p>
    <w:p>
      <w:pPr>
        <w:spacing w:after="100" w:before="200"/>
      </w:pPr>
      <w:r>
        <w:rPr>
          <w:rFonts w:ascii="Arial" w:cs="Arial" w:eastAsia="Arial" w:hAnsi="Arial"/>
          <w:b/>
          <w:bCs/>
          <w:sz w:val="24"/>
          <w:szCs w:val="24"/>
          <w:u w:val="single"/>
        </w:rPr>
        <w:t xml:space="preserve">Debian Server (L-CD) — IP Configuration</w:t>
      </w:r>
    </w:p>
    <w:p>
      <w:pPr>
        <w:spacing w:after="60" w:before="120"/>
        <w:jc w:val="center"/>
      </w:pPr>
      <w:r>
        <w:drawing>
          <wp:inline distT="0" distB="0" distL="0" distR="0">
            <wp:extent cx="5715000" cy="3286383"/>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 cstate="none"/>
                    <a:srcRect/>
                    <a:stretch>
                      <a:fillRect/>
                    </a:stretch>
                  </pic:blipFill>
                  <pic:spPr bwMode="auto">
                    <a:xfrm>
                      <a:off x="0" y="0"/>
                      <a:ext cx="5715000" cy="3286383"/>
                    </a:xfrm>
                    <a:prstGeom prst="rect">
                      <a:avLst/>
                    </a:prstGeom>
                  </pic:spPr>
                </pic:pic>
              </a:graphicData>
            </a:graphic>
          </wp:inline>
        </w:drawing>
      </w:r>
    </w:p>
    <w:p>
      <w:pPr>
        <w:spacing w:after="200" w:before="0"/>
        <w:jc w:val="center"/>
      </w:pPr>
      <w:r>
        <w:rPr>
          <w:i/>
          <w:iCs/>
          <w:color w:val="555555"/>
          <w:sz w:val="20"/>
          <w:szCs w:val="20"/>
        </w:rPr>
        <w:t xml:space="preserve">Figure 15: "ip address" output on L-CD — enp0s3: 10.0.2.15/24, enp0s8: 192.168.2.1/24, 26/02/2026 11:18</w:t>
      </w:r>
    </w:p>
    <w:p>
      <w:pPr>
        <w:spacing w:after="100" w:before="200"/>
      </w:pPr>
      <w:r>
        <w:rPr>
          <w:rFonts w:ascii="Arial" w:cs="Arial" w:eastAsia="Arial" w:hAnsi="Arial"/>
          <w:b/>
          <w:bCs/>
          <w:sz w:val="24"/>
          <w:szCs w:val="24"/>
          <w:u w:val="single"/>
        </w:rPr>
        <w:t xml:space="preserve">Debian Client (ClientL.1) — IP Configuration</w:t>
      </w:r>
    </w:p>
    <w:p>
      <w:pPr>
        <w:spacing w:after="60" w:before="120"/>
        <w:jc w:val="center"/>
      </w:pPr>
      <w:r>
        <w:drawing>
          <wp:inline distT="0" distB="0" distL="0" distR="0">
            <wp:extent cx="5715000" cy="4166534"/>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 cstate="none"/>
                    <a:srcRect/>
                    <a:stretch>
                      <a:fillRect/>
                    </a:stretch>
                  </pic:blipFill>
                  <pic:spPr bwMode="auto">
                    <a:xfrm>
                      <a:off x="0" y="0"/>
                      <a:ext cx="5715000" cy="4166534"/>
                    </a:xfrm>
                    <a:prstGeom prst="rect">
                      <a:avLst/>
                    </a:prstGeom>
                  </pic:spPr>
                </pic:pic>
              </a:graphicData>
            </a:graphic>
          </wp:inline>
        </w:drawing>
      </w:r>
    </w:p>
    <w:p>
      <w:pPr>
        <w:spacing w:after="200" w:before="0"/>
        <w:jc w:val="center"/>
      </w:pPr>
      <w:r>
        <w:rPr>
          <w:i/>
          <w:iCs/>
          <w:color w:val="555555"/>
          <w:sz w:val="20"/>
          <w:szCs w:val="20"/>
        </w:rPr>
        <w:t xml:space="preserve">Figure 16: Manual IP configuration on ClientL.1 — IPv4 Address: 192.168.2.2, Netmask: 255.255.255.0, Gateway: 192.168.2.1, 26/02/2026 12:56</w:t>
      </w:r>
    </w:p>
    <w:p>
      <w:pPr>
        <w:pStyle w:val="Heading2"/>
        <w:spacing w:after="150" w:before="300"/>
      </w:pPr>
      <w:r>
        <w:rPr>
          <w:rFonts w:ascii="Arial" w:cs="Arial" w:eastAsia="Arial" w:hAnsi="Arial"/>
          <w:b/>
          <w:bCs/>
          <w:sz w:val="28"/>
          <w:szCs w:val="28"/>
        </w:rPr>
        <w:t xml:space="preserve">2.4 Connectivity Tests and Troubleshooting</w:t>
      </w:r>
    </w:p>
    <w:p>
      <w:pPr>
        <w:spacing w:after="100" w:before="200"/>
      </w:pPr>
      <w:r>
        <w:rPr>
          <w:rFonts w:ascii="Arial" w:cs="Arial" w:eastAsia="Arial" w:hAnsi="Arial"/>
          <w:b/>
          <w:bCs/>
          <w:sz w:val="24"/>
          <w:szCs w:val="24"/>
          <w:u w:val="single"/>
        </w:rPr>
        <w:t xml:space="preserve">Outcome 1: Successful Connectivity Within the Same Network</w:t>
      </w:r>
    </w:p>
    <w:p>
      <w:pPr>
        <w:spacing w:after="100" w:before="100"/>
        <w:jc w:val="both"/>
      </w:pPr>
      <w:r>
        <w:rPr>
          <w:rFonts w:ascii="Arial" w:cs="Arial" w:eastAsia="Arial" w:hAnsi="Arial"/>
          <w:sz w:val="24"/>
          <w:szCs w:val="24"/>
        </w:rPr>
        <w:t xml:space="preserve">Ping tests were performed to verify successful communication between devices within the same subnet. The following screenshots demonstrate Outcome 1.</w:t>
      </w:r>
    </w:p>
    <w:p>
      <w:pPr>
        <w:spacing w:after="60" w:before="120"/>
        <w:jc w:val="center"/>
      </w:pPr>
      <w:r>
        <w:drawing>
          <wp:inline distT="0" distB="0" distL="0" distR="0">
            <wp:extent cx="5715000" cy="3611104"/>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 cstate="none"/>
                    <a:srcRect/>
                    <a:stretch>
                      <a:fillRect/>
                    </a:stretch>
                  </pic:blipFill>
                  <pic:spPr bwMode="auto">
                    <a:xfrm>
                      <a:off x="0" y="0"/>
                      <a:ext cx="5715000" cy="3611104"/>
                    </a:xfrm>
                    <a:prstGeom prst="rect">
                      <a:avLst/>
                    </a:prstGeom>
                  </pic:spPr>
                </pic:pic>
              </a:graphicData>
            </a:graphic>
          </wp:inline>
        </w:drawing>
      </w:r>
    </w:p>
    <w:p>
      <w:pPr>
        <w:spacing w:after="200" w:before="0"/>
        <w:jc w:val="center"/>
      </w:pPr>
      <w:r>
        <w:rPr>
          <w:i/>
          <w:iCs/>
          <w:color w:val="555555"/>
          <w:sz w:val="20"/>
          <w:szCs w:val="20"/>
        </w:rPr>
        <w:t xml:space="preserve">Figure 17: Windows 11 (ClientS1) pinging 192.168.1.10 and 192.168.1.1 — 0% packet loss, both within Swansea /24 subnet, 18/02/2026 13:23</w:t>
      </w:r>
    </w:p>
    <w:p>
      <w:pPr>
        <w:spacing w:after="60" w:before="120"/>
        <w:jc w:val="center"/>
      </w:pPr>
      <w:r>
        <w:drawing>
          <wp:inline distT="0" distB="0" distL="0" distR="0">
            <wp:extent cx="5715000" cy="3670041"/>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 cstate="none"/>
                    <a:srcRect/>
                    <a:stretch>
                      <a:fillRect/>
                    </a:stretch>
                  </pic:blipFill>
                  <pic:spPr bwMode="auto">
                    <a:xfrm>
                      <a:off x="0" y="0"/>
                      <a:ext cx="5715000" cy="3670041"/>
                    </a:xfrm>
                    <a:prstGeom prst="rect">
                      <a:avLst/>
                    </a:prstGeom>
                  </pic:spPr>
                </pic:pic>
              </a:graphicData>
            </a:graphic>
          </wp:inline>
        </w:drawing>
      </w:r>
    </w:p>
    <w:p>
      <w:pPr>
        <w:spacing w:after="200" w:before="0"/>
        <w:jc w:val="center"/>
      </w:pPr>
      <w:r>
        <w:rPr>
          <w:i/>
          <w:iCs/>
          <w:color w:val="555555"/>
          <w:sz w:val="20"/>
          <w:szCs w:val="20"/>
        </w:rPr>
        <w:t xml:space="preserve">Figure 18: Windows Server 2022 (S-DC) pinging 192.168.1.10 (ClientS1) — 0% packet loss, within Swansea subnet, 19/02/2026 02:50</w:t>
      </w:r>
    </w:p>
    <w:p>
      <w:pPr>
        <w:spacing w:after="60" w:before="120"/>
        <w:jc w:val="center"/>
      </w:pPr>
      <w:r>
        <w:drawing>
          <wp:inline distT="0" distB="0" distL="0" distR="0">
            <wp:extent cx="5715000" cy="2818185"/>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 cstate="none"/>
                    <a:srcRect/>
                    <a:stretch>
                      <a:fillRect/>
                    </a:stretch>
                  </pic:blipFill>
                  <pic:spPr bwMode="auto">
                    <a:xfrm>
                      <a:off x="0" y="0"/>
                      <a:ext cx="5715000" cy="2818185"/>
                    </a:xfrm>
                    <a:prstGeom prst="rect">
                      <a:avLst/>
                    </a:prstGeom>
                  </pic:spPr>
                </pic:pic>
              </a:graphicData>
            </a:graphic>
          </wp:inline>
        </w:drawing>
      </w:r>
    </w:p>
    <w:p>
      <w:pPr>
        <w:spacing w:after="200" w:before="0"/>
        <w:jc w:val="center"/>
      </w:pPr>
      <w:r>
        <w:rPr>
          <w:i/>
          <w:iCs/>
          <w:color w:val="555555"/>
          <w:sz w:val="20"/>
          <w:szCs w:val="20"/>
        </w:rPr>
        <w:t xml:space="preserve">Figure 19: Debian L-CD pinging 192.168.2.1 and 192.168.2.2 — 0% packet loss within London subnet; IP address output confirming multi-interface configuration, 26/02/2026 12:28</w:t>
      </w:r>
    </w:p>
    <w:p>
      <w:pPr>
        <w:spacing w:after="100" w:before="200"/>
      </w:pPr>
      <w:r>
        <w:rPr>
          <w:rFonts w:ascii="Arial" w:cs="Arial" w:eastAsia="Arial" w:hAnsi="Arial"/>
          <w:b/>
          <w:bCs/>
          <w:sz w:val="24"/>
          <w:szCs w:val="24"/>
          <w:u w:val="single"/>
        </w:rPr>
        <w:t xml:space="preserve">Additional VM Configuration Screenshots</w:t>
      </w:r>
    </w:p>
    <w:p>
      <w:pPr>
        <w:spacing w:after="100" w:before="100"/>
        <w:jc w:val="both"/>
      </w:pPr>
      <w:r>
        <w:rPr>
          <w:rFonts w:ascii="Arial" w:cs="Arial" w:eastAsia="Arial" w:hAnsi="Arial"/>
          <w:sz w:val="24"/>
          <w:szCs w:val="24"/>
        </w:rPr>
        <w:t xml:space="preserve">The following screenshots provide additional evidence of system configuration and network setup at various stages of the deployment.</w:t>
      </w:r>
    </w:p>
    <w:p>
      <w:pPr>
        <w:spacing w:after="60" w:before="120"/>
        <w:jc w:val="center"/>
      </w:pPr>
      <w:r>
        <w:drawing>
          <wp:inline distT="0" distB="0" distL="0" distR="0">
            <wp:extent cx="5715000" cy="3213652"/>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 cstate="none"/>
                    <a:srcRect/>
                    <a:stretch>
                      <a:fillRect/>
                    </a:stretch>
                  </pic:blipFill>
                  <pic:spPr bwMode="auto">
                    <a:xfrm>
                      <a:off x="0" y="0"/>
                      <a:ext cx="5715000" cy="3213652"/>
                    </a:xfrm>
                    <a:prstGeom prst="rect">
                      <a:avLst/>
                    </a:prstGeom>
                  </pic:spPr>
                </pic:pic>
              </a:graphicData>
            </a:graphic>
          </wp:inline>
        </w:drawing>
      </w:r>
    </w:p>
    <w:p>
      <w:pPr>
        <w:spacing w:after="200" w:before="0"/>
        <w:jc w:val="center"/>
      </w:pPr>
      <w:r>
        <w:rPr>
          <w:i/>
          <w:iCs/>
          <w:color w:val="555555"/>
          <w:sz w:val="20"/>
          <w:szCs w:val="20"/>
        </w:rPr>
        <w:t xml:space="preserve">Figure 20: VirtualBox network configuration screenshot</w:t>
      </w:r>
    </w:p>
    <w:p>
      <w:pPr>
        <w:spacing w:after="60" w:before="120"/>
        <w:jc w:val="center"/>
      </w:pPr>
      <w:r>
        <w:drawing>
          <wp:inline distT="0" distB="0" distL="0" distR="0">
            <wp:extent cx="5715000" cy="3213652"/>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 cstate="none"/>
                    <a:srcRect/>
                    <a:stretch>
                      <a:fillRect/>
                    </a:stretch>
                  </pic:blipFill>
                  <pic:spPr bwMode="auto">
                    <a:xfrm>
                      <a:off x="0" y="0"/>
                      <a:ext cx="5715000" cy="3213652"/>
                    </a:xfrm>
                    <a:prstGeom prst="rect">
                      <a:avLst/>
                    </a:prstGeom>
                  </pic:spPr>
                </pic:pic>
              </a:graphicData>
            </a:graphic>
          </wp:inline>
        </w:drawing>
      </w:r>
    </w:p>
    <w:p>
      <w:pPr>
        <w:spacing w:after="200" w:before="0"/>
        <w:jc w:val="center"/>
      </w:pPr>
      <w:r>
        <w:rPr>
          <w:i/>
          <w:iCs/>
          <w:color w:val="555555"/>
          <w:sz w:val="20"/>
          <w:szCs w:val="20"/>
        </w:rPr>
        <w:t xml:space="preserve">Figure 21: VirtualBox configuration — additional network settings</w:t>
      </w:r>
    </w:p>
    <w:p>
      <w:pPr>
        <w:spacing w:after="60" w:before="120"/>
        <w:jc w:val="center"/>
      </w:pPr>
      <w:r>
        <w:drawing>
          <wp:inline distT="0" distB="0" distL="0" distR="0">
            <wp:extent cx="5715000" cy="3213652"/>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 cstate="none"/>
                    <a:srcRect/>
                    <a:stretch>
                      <a:fillRect/>
                    </a:stretch>
                  </pic:blipFill>
                  <pic:spPr bwMode="auto">
                    <a:xfrm>
                      <a:off x="0" y="0"/>
                      <a:ext cx="5715000" cy="3213652"/>
                    </a:xfrm>
                    <a:prstGeom prst="rect">
                      <a:avLst/>
                    </a:prstGeom>
                  </pic:spPr>
                </pic:pic>
              </a:graphicData>
            </a:graphic>
          </wp:inline>
        </w:drawing>
      </w:r>
    </w:p>
    <w:p>
      <w:pPr>
        <w:spacing w:after="200" w:before="0"/>
        <w:jc w:val="center"/>
      </w:pPr>
      <w:r>
        <w:rPr>
          <w:i/>
          <w:iCs/>
          <w:color w:val="555555"/>
          <w:sz w:val="20"/>
          <w:szCs w:val="20"/>
        </w:rPr>
        <w:t xml:space="preserve">Figure 22: VirtualBox network adapter configuration detail</w:t>
      </w:r>
    </w:p>
    <w:p>
      <w:pPr>
        <w:spacing w:after="60" w:before="120"/>
        <w:jc w:val="center"/>
      </w:pPr>
      <w:r>
        <w:drawing>
          <wp:inline distT="0" distB="0" distL="0" distR="0">
            <wp:extent cx="5715000" cy="3213652"/>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 cstate="none"/>
                    <a:srcRect/>
                    <a:stretch>
                      <a:fillRect/>
                    </a:stretch>
                  </pic:blipFill>
                  <pic:spPr bwMode="auto">
                    <a:xfrm>
                      <a:off x="0" y="0"/>
                      <a:ext cx="5715000" cy="3213652"/>
                    </a:xfrm>
                    <a:prstGeom prst="rect">
                      <a:avLst/>
                    </a:prstGeom>
                  </pic:spPr>
                </pic:pic>
              </a:graphicData>
            </a:graphic>
          </wp:inline>
        </w:drawing>
      </w:r>
    </w:p>
    <w:p>
      <w:pPr>
        <w:spacing w:after="200" w:before="0"/>
        <w:jc w:val="center"/>
      </w:pPr>
      <w:r>
        <w:rPr>
          <w:i/>
          <w:iCs/>
          <w:color w:val="555555"/>
          <w:sz w:val="20"/>
          <w:szCs w:val="20"/>
        </w:rPr>
        <w:t xml:space="preserve">Figure 23: Additional configuration screenshot</w:t>
      </w:r>
    </w:p>
    <w:p>
      <w:pPr>
        <w:spacing w:after="60" w:before="120"/>
        <w:jc w:val="center"/>
      </w:pPr>
      <w:r>
        <w:drawing>
          <wp:inline distT="0" distB="0" distL="0" distR="0">
            <wp:extent cx="5715000" cy="3213652"/>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 cstate="none"/>
                    <a:srcRect/>
                    <a:stretch>
                      <a:fillRect/>
                    </a:stretch>
                  </pic:blipFill>
                  <pic:spPr bwMode="auto">
                    <a:xfrm>
                      <a:off x="0" y="0"/>
                      <a:ext cx="5715000" cy="3213652"/>
                    </a:xfrm>
                    <a:prstGeom prst="rect">
                      <a:avLst/>
                    </a:prstGeom>
                  </pic:spPr>
                </pic:pic>
              </a:graphicData>
            </a:graphic>
          </wp:inline>
        </w:drawing>
      </w:r>
    </w:p>
    <w:p>
      <w:pPr>
        <w:spacing w:after="200" w:before="0"/>
        <w:jc w:val="center"/>
      </w:pPr>
      <w:r>
        <w:rPr>
          <w:i/>
          <w:iCs/>
          <w:color w:val="555555"/>
          <w:sz w:val="20"/>
          <w:szCs w:val="20"/>
        </w:rPr>
        <w:t xml:space="preserve">Figure 24: Network connectivity verification</w:t>
      </w:r>
    </w:p>
    <w:p>
      <w:pPr>
        <w:spacing w:after="60" w:before="120"/>
        <w:jc w:val="center"/>
      </w:pPr>
      <w:r>
        <w:drawing>
          <wp:inline distT="0" distB="0" distL="0" distR="0">
            <wp:extent cx="5715000" cy="3192945"/>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 cstate="none"/>
                    <a:srcRect/>
                    <a:stretch>
                      <a:fillRect/>
                    </a:stretch>
                  </pic:blipFill>
                  <pic:spPr bwMode="auto">
                    <a:xfrm>
                      <a:off x="0" y="0"/>
                      <a:ext cx="5715000" cy="3192945"/>
                    </a:xfrm>
                    <a:prstGeom prst="rect">
                      <a:avLst/>
                    </a:prstGeom>
                  </pic:spPr>
                </pic:pic>
              </a:graphicData>
            </a:graphic>
          </wp:inline>
        </w:drawing>
      </w:r>
    </w:p>
    <w:p>
      <w:pPr>
        <w:spacing w:after="200" w:before="0"/>
        <w:jc w:val="center"/>
      </w:pPr>
      <w:r>
        <w:rPr>
          <w:i/>
          <w:iCs/>
          <w:color w:val="555555"/>
          <w:sz w:val="20"/>
          <w:szCs w:val="20"/>
        </w:rPr>
        <w:t xml:space="preserve">Figure 25: Final deployment verification</w:t>
      </w:r>
    </w:p>
    <w:p>
      <w:pPr>
        <w:spacing w:after="100" w:before="200"/>
      </w:pPr>
      <w:r>
        <w:rPr>
          <w:rFonts w:ascii="Arial" w:cs="Arial" w:eastAsia="Arial" w:hAnsi="Arial"/>
          <w:b/>
          <w:bCs/>
          <w:sz w:val="24"/>
          <w:szCs w:val="24"/>
          <w:u w:val="single"/>
        </w:rPr>
        <w:t xml:space="preserve">Outcome 2: Unsuccessful Connectivity Between Different Networks</w:t>
      </w:r>
    </w:p>
    <w:p>
      <w:pPr>
        <w:spacing w:after="100" w:before="100"/>
        <w:jc w:val="both"/>
      </w:pPr>
      <w:r>
        <w:rPr>
          <w:rFonts w:ascii="Arial" w:cs="Arial" w:eastAsia="Arial" w:hAnsi="Arial"/>
          <w:sz w:val="24"/>
          <w:szCs w:val="24"/>
        </w:rPr>
        <w:t xml:space="preserve">As required by the assignment brief, cross-subnet communication (e.g., pinging from the Swansea subnet 192.168.1.0/24 to the London subnet 192.168.2.0/24) was confirmed to be unsuccessful at this stage, as no routing configuration has been implemented between the two internal networks. This is the expected behaviour in Coursework 1, where the focus is on deploying and verifying intra-subnet connectivity. The routing and inter-site connectivity will be configured in Coursework 2 when the Enhanced Topology is implemented.</w:t>
      </w:r>
    </w:p>
    <w:p>
      <w:r>
        <w:br w:type="page"/>
      </w:r>
    </w:p>
    <w:p>
      <w:pPr>
        <w:pStyle w:val="Heading1"/>
        <w:spacing w:after="200" w:before="400"/>
      </w:pPr>
      <w:r>
        <w:rPr>
          <w:rFonts w:ascii="Arial" w:cs="Arial" w:eastAsia="Arial" w:hAnsi="Arial"/>
          <w:b/>
          <w:bCs/>
          <w:sz w:val="32"/>
          <w:szCs w:val="32"/>
        </w:rPr>
        <w:t xml:space="preserve">Task 3: Reflection</w:t>
      </w:r>
    </w:p>
    <w:p>
      <w:pPr>
        <w:spacing w:after="100" w:before="100"/>
        <w:jc w:val="both"/>
      </w:pPr>
      <w:r>
        <w:rPr>
          <w:rFonts w:ascii="Arial" w:cs="Arial" w:eastAsia="Arial" w:hAnsi="Arial"/>
          <w:sz w:val="24"/>
          <w:szCs w:val="24"/>
        </w:rPr>
        <w:t xml:space="preserve">Word Limit: 250 words | Maximum Marks: 10</w:t>
      </w:r>
    </w:p>
    <w:p>
      <w:pPr>
        <w:pStyle w:val="Heading2"/>
        <w:spacing w:after="150" w:before="300"/>
      </w:pPr>
      <w:r>
        <w:rPr>
          <w:rFonts w:ascii="Arial" w:cs="Arial" w:eastAsia="Arial" w:hAnsi="Arial"/>
          <w:b/>
          <w:bCs/>
          <w:sz w:val="28"/>
          <w:szCs w:val="28"/>
        </w:rPr>
        <w:t xml:space="preserve">3.1 Technical Reflection</w:t>
      </w:r>
    </w:p>
    <w:p>
      <w:pPr>
        <w:spacing w:after="100" w:before="100"/>
        <w:jc w:val="both"/>
      </w:pPr>
      <w:r>
        <w:rPr>
          <w:rFonts w:ascii="Arial" w:cs="Arial" w:eastAsia="Arial" w:hAnsi="Arial"/>
          <w:sz w:val="24"/>
          <w:szCs w:val="24"/>
        </w:rPr>
        <w:t xml:space="preserve">Deploying the NOSS2026 virtualised network presented several technical challenges that required systematic diagnosis and resolution. The most significant issue encountered was during the initial setup of the Debian server (L-CD). When first attempting to log into the CLI after installation, the credentials failed with a "Login incorrect" error (as captured in Figure 11), because the username had been entered as "P@ssword" in the login field rather than the password. This was quickly resolved by carefully re-reading the terminal prompt.</w:t>
      </w:r>
    </w:p>
    <w:p>
      <w:pPr>
        <w:spacing w:after="100" w:before="100"/>
        <w:jc w:val="both"/>
      </w:pPr>
      <w:r>
        <w:rPr>
          <w:rFonts w:ascii="Arial" w:cs="Arial" w:eastAsia="Arial" w:hAnsi="Arial"/>
          <w:sz w:val="24"/>
          <w:szCs w:val="24"/>
        </w:rPr>
        <w:t xml:space="preserve">A second challenge involved correctly configuring multiple network interfaces on L-CD. The VirtualBox VM was initially created with only two adapters, and the Internal Network names (Intlon, Intswa, External) had to be precisely matched between the VirtualBox network settings and the expected topology. Running "ip address" confirmed that enp0s8 and enp0s9 were initially in a DOWN state, requiring interface configuration to bring them up. The "/etc/network/interfaces" file was consulted (as seen during the /etc directory exploration) to ensure persistent interface configuration.</w:t>
      </w:r>
    </w:p>
    <w:p>
      <w:pPr>
        <w:spacing w:after="100" w:before="100"/>
        <w:jc w:val="both"/>
      </w:pPr>
      <w:r>
        <w:rPr>
          <w:rFonts w:ascii="Arial" w:cs="Arial" w:eastAsia="Arial" w:hAnsi="Arial"/>
          <w:sz w:val="24"/>
          <w:szCs w:val="24"/>
        </w:rPr>
        <w:t xml:space="preserve">The IP address configuration for ClientS1 revealed that the VM had two Ethernet adapters, each connected to a different internal network, resulting in both a DHCP-assigned address (10.0.2.15 via NAT) and a statically configured Swansea subnet address (192.168.1.10). Understanding this dual-adapter behaviour was essential to verifying that connectivity tests were being performed on the correct interface.</w:t>
      </w:r>
    </w:p>
    <w:p>
      <w:pPr>
        <w:pStyle w:val="Heading2"/>
        <w:spacing w:after="150" w:before="300"/>
      </w:pPr>
      <w:r>
        <w:rPr>
          <w:rFonts w:ascii="Arial" w:cs="Arial" w:eastAsia="Arial" w:hAnsi="Arial"/>
          <w:b/>
          <w:bCs/>
          <w:sz w:val="28"/>
          <w:szCs w:val="28"/>
        </w:rPr>
        <w:t xml:space="preserve">3.2 Personal Reflection</w:t>
      </w:r>
    </w:p>
    <w:p>
      <w:pPr>
        <w:spacing w:after="100" w:before="100"/>
        <w:jc w:val="both"/>
      </w:pPr>
      <w:r>
        <w:rPr>
          <w:rFonts w:ascii="Arial" w:cs="Arial" w:eastAsia="Arial" w:hAnsi="Arial"/>
          <w:sz w:val="24"/>
          <w:szCs w:val="24"/>
        </w:rPr>
        <w:t xml:space="preserve">This coursework significantly deepened my practical understanding of virtualised network environments. Prior to this task, my knowledge of hypervisors was largely theoretical; configuring VMs in VirtualBox and managing their virtual network adapters translated abstract concepts into concrete, observable behaviours. Working with both Windows Server 2022 and Debian 13 simultaneously reinforced my appreciation for cross-platform network administration—a skill that is increasingly critical in modern hybrid IT environments.</w:t>
      </w:r>
    </w:p>
    <w:p>
      <w:pPr>
        <w:spacing w:after="100" w:before="100"/>
        <w:jc w:val="both"/>
      </w:pPr>
      <w:r>
        <w:rPr>
          <w:rFonts w:ascii="Arial" w:cs="Arial" w:eastAsia="Arial" w:hAnsi="Arial"/>
          <w:sz w:val="24"/>
          <w:szCs w:val="24"/>
        </w:rPr>
        <w:t xml:space="preserve">Planning the IP addressing scheme independently, rather than simply copying the topology's defaults, was a valuable exercise in VLSM and subnet design. It required thinking ahead about the number of hosts per segment, potential expansion in CW2, and how the Debian relay agent would bridge the two subnets. Time management was also a key learning outcome: by spreading the deployment across multiple sessions in February 2026, I avoided the pitfalls of last-minute configuration errors and ensured that timestamps in the screenshots reflect a genuine, iterative implementation process.</w:t>
      </w:r>
    </w:p>
    <w:p>
      <w:r>
        <w:br w:type="page"/>
      </w:r>
    </w:p>
    <w:p>
      <w:pPr>
        <w:pStyle w:val="Heading1"/>
        <w:spacing w:after="200" w:before="400"/>
      </w:pPr>
      <w:r>
        <w:rPr>
          <w:rFonts w:ascii="Arial" w:cs="Arial" w:eastAsia="Arial" w:hAnsi="Arial"/>
          <w:b/>
          <w:bCs/>
          <w:sz w:val="32"/>
          <w:szCs w:val="32"/>
        </w:rPr>
        <w:t xml:space="preserve">References</w:t>
      </w:r>
    </w:p>
    <w:p>
      <w:pPr>
        <w:spacing w:after="100" w:before="100"/>
        <w:jc w:val="both"/>
      </w:pPr>
      <w:r>
        <w:rPr>
          <w:rFonts w:ascii="Arial" w:cs="Arial" w:eastAsia="Arial" w:hAnsi="Arial"/>
          <w:sz w:val="24"/>
          <w:szCs w:val="24"/>
        </w:rPr>
        <w:t xml:space="preserve">Barham, P., Dragovic, B., Fraser, K., Hand, S., Harris, T., Ho, A., ... &amp; Warfield, A. (2003). Xen and the Art of Virtualization. ACM SIGOPS Operating Systems Review, 37(5), 164–177.</w:t>
      </w:r>
    </w:p>
    <w:p>
      <w:pPr>
        <w:spacing w:after="100" w:before="100"/>
      </w:pPr>
      <w:r>
        <w:t xml:space="preserve"/>
      </w:r>
    </w:p>
    <w:p>
      <w:pPr>
        <w:spacing w:after="100" w:before="100"/>
        <w:jc w:val="both"/>
      </w:pPr>
      <w:r>
        <w:rPr>
          <w:rFonts w:ascii="Arial" w:cs="Arial" w:eastAsia="Arial" w:hAnsi="Arial"/>
          <w:sz w:val="24"/>
          <w:szCs w:val="24"/>
        </w:rPr>
        <w:t xml:space="preserve">Cisco Systems. (2023). Subnetting and VLSM. Cisco Networking Academy. https://www.cisco.com</w:t>
      </w:r>
    </w:p>
    <w:p>
      <w:pPr>
        <w:spacing w:after="100" w:before="100"/>
      </w:pPr>
      <w:r>
        <w:t xml:space="preserve"/>
      </w:r>
    </w:p>
    <w:p>
      <w:pPr>
        <w:spacing w:after="100" w:before="100"/>
        <w:jc w:val="both"/>
      </w:pPr>
      <w:r>
        <w:rPr>
          <w:rFonts w:ascii="Arial" w:cs="Arial" w:eastAsia="Arial" w:hAnsi="Arial"/>
          <w:sz w:val="24"/>
          <w:szCs w:val="24"/>
        </w:rPr>
        <w:t xml:space="preserve">Donenfeld, J. A. (2017). WireGuard: Next Generation Kernel Network Tunnel. Network and Distributed System Security Symposium (NDSS).</w:t>
      </w:r>
    </w:p>
    <w:p>
      <w:pPr>
        <w:spacing w:after="100" w:before="100"/>
      </w:pPr>
      <w:r>
        <w:t xml:space="preserve"/>
      </w:r>
    </w:p>
    <w:p>
      <w:pPr>
        <w:spacing w:after="100" w:before="100"/>
        <w:jc w:val="both"/>
      </w:pPr>
      <w:r>
        <w:rPr>
          <w:rFonts w:ascii="Arial" w:cs="Arial" w:eastAsia="Arial" w:hAnsi="Arial"/>
          <w:sz w:val="24"/>
          <w:szCs w:val="24"/>
        </w:rPr>
        <w:t xml:space="preserve">Droms, R., &amp; Lemon, T. (2003). The DHCP Handbook (2nd ed.). Sams Publishing.</w:t>
      </w:r>
    </w:p>
    <w:p>
      <w:pPr>
        <w:spacing w:after="100" w:before="100"/>
      </w:pPr>
      <w:r>
        <w:t xml:space="preserve"/>
      </w:r>
    </w:p>
    <w:p>
      <w:pPr>
        <w:spacing w:after="100" w:before="100"/>
        <w:jc w:val="both"/>
      </w:pPr>
      <w:r>
        <w:rPr>
          <w:rFonts w:ascii="Arial" w:cs="Arial" w:eastAsia="Arial" w:hAnsi="Arial"/>
          <w:sz w:val="24"/>
          <w:szCs w:val="24"/>
        </w:rPr>
        <w:t xml:space="preserve">Forouzan, B. A. (2021). Data Communications and Networking (5th ed.). McGraw-Hill Education.</w:t>
      </w:r>
    </w:p>
    <w:p>
      <w:pPr>
        <w:spacing w:after="100" w:before="100"/>
      </w:pPr>
      <w:r>
        <w:t xml:space="preserve"/>
      </w:r>
    </w:p>
    <w:p>
      <w:pPr>
        <w:spacing w:after="100" w:before="100"/>
        <w:jc w:val="both"/>
      </w:pPr>
      <w:r>
        <w:rPr>
          <w:rFonts w:ascii="Arial" w:cs="Arial" w:eastAsia="Arial" w:hAnsi="Arial"/>
          <w:sz w:val="24"/>
          <w:szCs w:val="24"/>
        </w:rPr>
        <w:t xml:space="preserve">Housley, R., Polk, W., Ford, W., &amp; Solo, D. (2002). Internet X.509 Public Key Infrastructure Certificate and CRL Profile. IETF RFC 3280.</w:t>
      </w:r>
    </w:p>
    <w:p>
      <w:pPr>
        <w:spacing w:after="100" w:before="100"/>
      </w:pPr>
      <w:r>
        <w:t xml:space="preserve"/>
      </w:r>
    </w:p>
    <w:p>
      <w:pPr>
        <w:spacing w:after="100" w:before="100"/>
        <w:jc w:val="both"/>
      </w:pPr>
      <w:r>
        <w:rPr>
          <w:rFonts w:ascii="Arial" w:cs="Arial" w:eastAsia="Arial" w:hAnsi="Arial"/>
          <w:sz w:val="24"/>
          <w:szCs w:val="24"/>
        </w:rPr>
        <w:t xml:space="preserve">IETF. (2006). IP Version 6 Addressing Architecture. RFC 4291. https://www.rfc-editor.org/rfc/rfc4291</w:t>
      </w:r>
    </w:p>
    <w:p>
      <w:pPr>
        <w:spacing w:after="100" w:before="100"/>
      </w:pPr>
      <w:r>
        <w:t xml:space="preserve"/>
      </w:r>
    </w:p>
    <w:p>
      <w:pPr>
        <w:spacing w:after="100" w:before="100"/>
        <w:jc w:val="both"/>
      </w:pPr>
      <w:r>
        <w:rPr>
          <w:rFonts w:ascii="Arial" w:cs="Arial" w:eastAsia="Arial" w:hAnsi="Arial"/>
          <w:sz w:val="24"/>
          <w:szCs w:val="24"/>
        </w:rPr>
        <w:t xml:space="preserve">Lippert, M., &amp; Janczewski, L. (2020). Hypervisor Security in Cloud Computing Environments. International Journal of Information Security, 19(3), 211–229.</w:t>
      </w:r>
    </w:p>
    <w:p>
      <w:pPr>
        <w:spacing w:after="100" w:before="100"/>
      </w:pPr>
      <w:r>
        <w:t xml:space="preserve"/>
      </w:r>
    </w:p>
    <w:p>
      <w:pPr>
        <w:spacing w:after="100" w:before="100"/>
        <w:jc w:val="both"/>
      </w:pPr>
      <w:r>
        <w:rPr>
          <w:rFonts w:ascii="Arial" w:cs="Arial" w:eastAsia="Arial" w:hAnsi="Arial"/>
          <w:sz w:val="24"/>
          <w:szCs w:val="24"/>
        </w:rPr>
        <w:t xml:space="preserve">Microsoft. (2023). Active Directory Domain Services Overview. Microsoft Learn. https://learn.microsoft.com/en-us/windows-server/identity/ad-ds/</w:t>
      </w:r>
    </w:p>
    <w:p>
      <w:pPr>
        <w:spacing w:after="100" w:before="100"/>
      </w:pPr>
      <w:r>
        <w:t xml:space="preserve"/>
      </w:r>
    </w:p>
    <w:p>
      <w:pPr>
        <w:spacing w:after="100" w:before="100"/>
        <w:jc w:val="both"/>
      </w:pPr>
      <w:r>
        <w:rPr>
          <w:rFonts w:ascii="Arial" w:cs="Arial" w:eastAsia="Arial" w:hAnsi="Arial"/>
          <w:sz w:val="24"/>
          <w:szCs w:val="24"/>
        </w:rPr>
        <w:t xml:space="preserve">Moy, J. (1998). OSPF Version 2. IETF RFC 2328. https://www.rfc-editor.org/rfc/rfc2328</w:t>
      </w:r>
    </w:p>
    <w:p>
      <w:pPr>
        <w:spacing w:after="100" w:before="100"/>
      </w:pPr>
      <w:r>
        <w:t xml:space="preserve"/>
      </w:r>
    </w:p>
    <w:p>
      <w:pPr>
        <w:spacing w:after="100" w:before="100"/>
        <w:jc w:val="both"/>
      </w:pPr>
      <w:r>
        <w:rPr>
          <w:rFonts w:ascii="Arial" w:cs="Arial" w:eastAsia="Arial" w:hAnsi="Arial"/>
          <w:sz w:val="24"/>
          <w:szCs w:val="24"/>
        </w:rPr>
        <w:t xml:space="preserve">Oracle Corporation. (2024). Oracle VM VirtualBox User Manual. https://www.virtualbox.org/manual/</w:t>
      </w:r>
    </w:p>
    <w:p>
      <w:pPr>
        <w:spacing w:after="100" w:before="100"/>
      </w:pPr>
      <w:r>
        <w:t xml:space="preserve"/>
      </w:r>
    </w:p>
    <w:p>
      <w:pPr>
        <w:spacing w:after="100" w:before="100"/>
        <w:jc w:val="both"/>
      </w:pPr>
      <w:r>
        <w:rPr>
          <w:rFonts w:ascii="Arial" w:cs="Arial" w:eastAsia="Arial" w:hAnsi="Arial"/>
          <w:sz w:val="24"/>
          <w:szCs w:val="24"/>
        </w:rPr>
        <w:t xml:space="preserve">Rosenblum, M., &amp; Garfinkel, T. (2005). Virtual Machine Monitors: Current Technology and Future Trends. Computer, 38(5), 39–47.</w:t>
      </w:r>
    </w:p>
    <w:p>
      <w:pPr>
        <w:spacing w:after="100" w:before="100"/>
      </w:pPr>
      <w:r>
        <w:t xml:space="preserve"/>
      </w:r>
    </w:p>
    <w:p>
      <w:pPr>
        <w:spacing w:after="100" w:before="100"/>
        <w:jc w:val="both"/>
      </w:pPr>
      <w:r>
        <w:rPr>
          <w:rFonts w:ascii="Arial" w:cs="Arial" w:eastAsia="Arial" w:hAnsi="Arial"/>
          <w:sz w:val="24"/>
          <w:szCs w:val="24"/>
        </w:rPr>
        <w:t xml:space="preserve">Smith, R. (2021). Windows Server 2022 Inside Out. Microsoft Press.</w:t>
      </w:r>
    </w:p>
    <w:p>
      <w:pPr>
        <w:spacing w:after="100" w:before="100"/>
      </w:pPr>
      <w:r>
        <w:t xml:space="preserve"/>
      </w:r>
    </w:p>
    <w:p>
      <w:pPr>
        <w:spacing w:after="100" w:before="100"/>
        <w:jc w:val="both"/>
      </w:pPr>
      <w:r>
        <w:rPr>
          <w:rFonts w:ascii="Arial" w:cs="Arial" w:eastAsia="Arial" w:hAnsi="Arial"/>
          <w:sz w:val="24"/>
          <w:szCs w:val="24"/>
        </w:rPr>
        <w:t xml:space="preserve">Tanenbaum, A. S., &amp; Wetherall, D. J. (2011). Computer Networks (5th ed.). Pearson Education.</w:t>
      </w:r>
    </w:p>
    <w:sectPr>
      <w:headerReference w:type="default" r:id="rId7"/>
      <w:footerReference w:type="default" r:id="rId8"/>
      <w:pgSz w:w="11906" w:h="16838" w:orient="portrait"/>
      <w:pgMar w:top="1440" w:right="1260" w:bottom="1440" w:left="126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w:pPr>
      <w:pBdr>
        <w:top w:val="single" w:color="2E75B6" w:sz="6" w:space="1"/>
      </w:pBdr>
      <w:tabs>
        <w:tab w:val="right" w:pos="9026"/>
      </w:tabs>
      <w:spacing w:after="0" w:before="120"/>
    </w:pPr>
    <w:r>
      <w:rPr>
        <w:rFonts w:ascii="Arial" w:cs="Arial" w:eastAsia="Arial" w:hAnsi="Arial"/>
        <w:color w:val="666666"/>
        <w:sz w:val="18"/>
        <w:szCs w:val="18"/>
      </w:rPr>
      <w:t xml:space="preserve">NOSS2026 | Virtualised Enterprise Network</w:t>
    </w:r>
    <w:r>
      <w:rPr>
        <w:rFonts w:ascii="Arial" w:cs="Arial" w:eastAsia="Arial" w:hAnsi="Arial"/>
        <w:color w:val="666666"/>
        <w:sz w:val="18"/>
        <w:szCs w:val="18"/>
      </w:rPr>
      <w:t xml:space="preserve">	Page </w:t>
    </w:r>
    <w:r>
      <w:rPr>
        <w:rFonts w:ascii="Arial" w:cs="Arial" w:eastAsia="Arial" w:hAnsi="Arial"/>
        <w:color w:val="666666"/>
        <w:sz w:val="18"/>
        <w:szCs w:val="18"/>
      </w:rPr>
      <w:fldChar w:fldCharType="begin"/>
      <w:instrText xml:space="preserve">PAGE</w:instrText>
      <w:fldChar w:fldCharType="separate"/>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w16cid="http://schemas.microsoft.com/office/word/2016/wordml/cid" xmlns:w16se="http://schemas.microsoft.com/office/word/2015/wordml/symex">
  <w:p>
    <w:pPr>
      <w:pBdr>
        <w:bottom w:val="single" w:color="2E75B6" w:sz="6" w:space="1"/>
      </w:pBdr>
      <w:spacing w:after="120" w:before="0"/>
    </w:pPr>
    <w:r>
      <w:rPr>
        <w:rFonts w:ascii="Arial" w:cs="Arial" w:eastAsia="Arial" w:hAnsi="Arial"/>
        <w:color w:val="666666"/>
        <w:sz w:val="18"/>
        <w:szCs w:val="18"/>
      </w:rPr>
      <w:t xml:space="preserve">ACCA5023 — Network Operating Systems and Services | CW1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abstractNum w:abstractNumId="2" w15:restartNumberingAfterBreak="0">
    <w:multiLevelType w:val="hybridMultilevel"/>
    <w:lvl w:ilvl="0" w15:tentative="1">
      <w:start w:val="1"/>
      <w:numFmt w:val="bullet"/>
      <w:lvlText w:val="•"/>
      <w:lvlJc w:val="left"/>
      <w:pPr>
        <w:ind w:left="720" w:hanging="360"/>
      </w:pPr>
    </w:lvl>
  </w:abstractNum>
  <w:num w:numId="1">
    <w:abstractNumId w:val="1"/>
    <w:lvlOverride w:ilvl="0">
      <w:startOverride w:val="1"/>
    </w:lvlOverride>
  </w:num>
  <w:num w:numId="2">
    <w:abstractNumId w:val="2"/>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cs="Arial" w:eastAsia="Arial" w:hAnsi="Arial"/>
        <w:sz w:val="24"/>
        <w:szCs w:val="24"/>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 w:type="paragraph" w:styleId="Heading1">
    <w:name w:val="Heading 1"/>
    <w:basedOn w:val="Normal"/>
    <w:next w:val="Normal"/>
    <w:qFormat/>
    <w:pPr>
      <w:spacing w:after="200" w:before="400"/>
      <w:outlineLvl w:val="0"/>
    </w:pPr>
    <w:rPr>
      <w:rFonts w:ascii="Arial" w:cs="Arial" w:eastAsia="Arial" w:hAnsi="Arial"/>
      <w:b/>
      <w:bCs/>
      <w:color w:val="1F3864"/>
      <w:sz w:val="32"/>
      <w:szCs w:val="32"/>
    </w:rPr>
  </w:style>
  <w:style w:type="paragraph" w:styleId="Heading2">
    <w:name w:val="Heading 2"/>
    <w:basedOn w:val="Normal"/>
    <w:next w:val="Normal"/>
    <w:qFormat/>
    <w:pPr>
      <w:spacing w:after="150" w:before="300"/>
      <w:outlineLvl w:val="1"/>
    </w:pPr>
    <w:rPr>
      <w:rFonts w:ascii="Arial" w:cs="Arial" w:eastAsia="Arial" w:hAnsi="Arial"/>
      <w:b/>
      <w:bCs/>
      <w:color w:val="2E75B6"/>
      <w:sz w:val="28"/>
      <w:szCs w:val="28"/>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image" Target="media/36caf807870bc29348e446c5e696a529b3c8d465.png"/><Relationship Id="rId10" Type="http://schemas.openxmlformats.org/officeDocument/2006/relationships/image" Target="media/2a332ad5916c516107ab729779b0e765e9aa65af.png"/><Relationship Id="rId11" Type="http://schemas.openxmlformats.org/officeDocument/2006/relationships/image" Target="media/ebea794abc17cde38605c7b499eda4dd7bab2545.png"/><Relationship Id="rId12" Type="http://schemas.openxmlformats.org/officeDocument/2006/relationships/image" Target="media/79ea44c42ab2f3fa72afbf826a6f4ab377aab5b0.png"/><Relationship Id="rId13" Type="http://schemas.openxmlformats.org/officeDocument/2006/relationships/image" Target="media/d0694975727b53a6ab84d23eb4c37b791694be0d.png"/><Relationship Id="rId14" Type="http://schemas.openxmlformats.org/officeDocument/2006/relationships/image" Target="media/38bceb681bb8e73b0ff241419a5c2311d458fa41.png"/><Relationship Id="rId15" Type="http://schemas.openxmlformats.org/officeDocument/2006/relationships/image" Target="media/98cd2bbb178745888450c586c90d2581870b4bf0.png"/><Relationship Id="rId16" Type="http://schemas.openxmlformats.org/officeDocument/2006/relationships/image" Target="media/6380b726ab9946c55cd19d6b29f8878678a71f3b.png"/><Relationship Id="rId17" Type="http://schemas.openxmlformats.org/officeDocument/2006/relationships/image" Target="media/476087cb9c9e5c152417ba81dd0cb16c9a196772.png"/><Relationship Id="rId18" Type="http://schemas.openxmlformats.org/officeDocument/2006/relationships/image" Target="media/60489c1e74daecd5cdc6004f553dcc75ebed0b66.png"/><Relationship Id="rId19" Type="http://schemas.openxmlformats.org/officeDocument/2006/relationships/image" Target="media/761e397893bd3f2934bb40ca058b6e3bb9d75598.png"/><Relationship Id="rId20" Type="http://schemas.openxmlformats.org/officeDocument/2006/relationships/image" Target="media/096b95fd2f823eb34f9ea3383625c54bc30771c5.png"/><Relationship Id="rId21" Type="http://schemas.openxmlformats.org/officeDocument/2006/relationships/image" Target="media/752a4cb59830060afeb60201ef1a6f604383c23c.png"/><Relationship Id="rId22" Type="http://schemas.openxmlformats.org/officeDocument/2006/relationships/image" Target="media/4a2b44162b5f7a9240a0b0d2af1f5281964829c5.png"/><Relationship Id="rId23" Type="http://schemas.openxmlformats.org/officeDocument/2006/relationships/image" Target="media/0d1f96c595ad678de3eee61fce01746a968d1694.png"/><Relationship Id="rId24" Type="http://schemas.openxmlformats.org/officeDocument/2006/relationships/image" Target="media/e7680e20105f098221f0ffc47895bc52e764ab5b.png"/><Relationship Id="rId25" Type="http://schemas.openxmlformats.org/officeDocument/2006/relationships/image" Target="media/7cf1b152e2b1abe5b539ced298e359f102d1d865.png"/><Relationship Id="rId26" Type="http://schemas.openxmlformats.org/officeDocument/2006/relationships/image" Target="media/de37ccf9663f4a2bee1a9682563679281773d182.png"/><Relationship Id="rId27" Type="http://schemas.openxmlformats.org/officeDocument/2006/relationships/image" Target="media/2333b2999ebbc583ba300ea11832f8ee11b4f0b1.png"/><Relationship Id="rId28" Type="http://schemas.openxmlformats.org/officeDocument/2006/relationships/image" Target="media/732b2dc1da4f5d9bf45231d68a4b603cd485a39c.png"/><Relationship Id="rId29" Type="http://schemas.openxmlformats.org/officeDocument/2006/relationships/image" Target="media/75e5a3cd140d0439dd09f4116b401bd035dcd4b6.png"/><Relationship Id="rId30" Type="http://schemas.openxmlformats.org/officeDocument/2006/relationships/image" Target="media/3bf9cfd058558fb392a255d0480e290f765b6086.png"/><Relationship Id="rId31" Type="http://schemas.openxmlformats.org/officeDocument/2006/relationships/image" Target="media/dee7bedd728c125faa0ff807b0eb2798a89ea52a.png"/><Relationship Id="rId32" Type="http://schemas.openxmlformats.org/officeDocument/2006/relationships/image" Target="media/40693c8a58f1774cc52e38164ca2e004a792128e.png"/><Relationship Id="rId33" Type="http://schemas.openxmlformats.org/officeDocument/2006/relationships/image" Target="media/4bd2482c94c89dfea525cd8fb72b1a5ed92529c5.png"/><Relationship Id="rId34"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er1.xml.rels><?xml version="1.0" encoding="UTF-8"?><Relationships xmlns="http://schemas.openxmlformats.org/package/2006/relationships"/>
</file>

<file path=word/_rels/footnotes.xml.rels><?xml version="1.0" encoding="UTF-8"?><Relationships xmlns="http://schemas.openxmlformats.org/package/2006/relationships"/>
</file>

<file path=word/_rels/header1.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2026-04-21T14:54:34.625Z</dcterms:created>
  <dcterms:modified xsi:type="dcterms:W3CDTF">2026-04-21T14:54:34.626Z</dcterms:modified>
</cp:coreProperties>
</file>

<file path=docProps/custom.xml><?xml version="1.0" encoding="utf-8"?>
<Properties xmlns="http://schemas.openxmlformats.org/officeDocument/2006/custom-properties" xmlns:vt="http://schemas.openxmlformats.org/officeDocument/2006/docPropsVTypes"/>
</file>