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627F" w:rsidRDefault="0027627F" w:rsidP="0027627F">
      <w:pPr>
        <w:spacing w:line="480" w:lineRule="auto"/>
        <w:jc w:val="center"/>
        <w:rPr>
          <w:rFonts w:ascii="Times New Roman" w:hAnsi="Times New Roman" w:cs="Times New Roman"/>
          <w:sz w:val="24"/>
          <w:szCs w:val="24"/>
        </w:rPr>
      </w:pPr>
      <w:r>
        <w:rPr>
          <w:rFonts w:ascii="Times New Roman" w:hAnsi="Times New Roman" w:cs="Times New Roman"/>
          <w:sz w:val="24"/>
          <w:szCs w:val="24"/>
          <w:u w:val="single"/>
        </w:rPr>
        <w:t>Critically analyse the nature of the Roman influence on the religious life in Africa Proconsularis.</w:t>
      </w:r>
    </w:p>
    <w:p w:rsidR="0027627F" w:rsidRDefault="0027627F" w:rsidP="0027627F">
      <w:pPr>
        <w:spacing w:line="480" w:lineRule="auto"/>
        <w:rPr>
          <w:rFonts w:ascii="Times New Roman" w:hAnsi="Times New Roman" w:cs="Times New Roman"/>
          <w:sz w:val="24"/>
          <w:szCs w:val="24"/>
        </w:rPr>
      </w:pPr>
    </w:p>
    <w:p w:rsidR="0027627F" w:rsidRDefault="00AE1365" w:rsidP="0027627F">
      <w:pPr>
        <w:spacing w:line="480" w:lineRule="auto"/>
        <w:rPr>
          <w:rFonts w:ascii="Times New Roman" w:hAnsi="Times New Roman" w:cs="Times New Roman"/>
          <w:sz w:val="24"/>
          <w:szCs w:val="24"/>
        </w:rPr>
      </w:pPr>
      <w:r>
        <w:rPr>
          <w:rFonts w:ascii="Times New Roman" w:hAnsi="Times New Roman" w:cs="Times New Roman"/>
          <w:sz w:val="24"/>
          <w:szCs w:val="24"/>
        </w:rPr>
        <w:t>The Roman province of Africa Proconsularis had a long history before the Romans conquered and settled in the area, and with that a long tradition of local deities and religious practices. North Africa was a hub of Punic culture and activity, with cities founded by the Phoenicians becoming major centres in the ancient world.</w:t>
      </w:r>
      <w:r>
        <w:rPr>
          <w:rStyle w:val="FootnoteReference"/>
          <w:rFonts w:ascii="Times New Roman" w:hAnsi="Times New Roman" w:cs="Times New Roman"/>
          <w:sz w:val="24"/>
          <w:szCs w:val="24"/>
        </w:rPr>
        <w:footnoteReference w:id="1"/>
      </w:r>
      <w:r>
        <w:rPr>
          <w:rFonts w:ascii="Times New Roman" w:hAnsi="Times New Roman" w:cs="Times New Roman"/>
          <w:sz w:val="24"/>
          <w:szCs w:val="24"/>
        </w:rPr>
        <w:t xml:space="preserve"> Unlike a lot of the surrounding areas, such as Egypt, North Africa had never been conquered</w:t>
      </w:r>
      <w:r w:rsidR="00335029">
        <w:rPr>
          <w:rFonts w:ascii="Times New Roman" w:hAnsi="Times New Roman" w:cs="Times New Roman"/>
          <w:sz w:val="24"/>
          <w:szCs w:val="24"/>
        </w:rPr>
        <w:t xml:space="preserve"> by the Greeks, giving the province a very different historical context for the study of religious change in relation to the surrounding provinces. </w:t>
      </w:r>
    </w:p>
    <w:p w:rsidR="00A01F4B" w:rsidRDefault="00A01F4B" w:rsidP="0027627F">
      <w:pPr>
        <w:spacing w:line="480" w:lineRule="auto"/>
        <w:rPr>
          <w:rFonts w:ascii="Times New Roman" w:hAnsi="Times New Roman" w:cs="Times New Roman"/>
          <w:sz w:val="24"/>
          <w:szCs w:val="24"/>
        </w:rPr>
      </w:pPr>
      <w:r>
        <w:rPr>
          <w:rFonts w:ascii="Times New Roman" w:hAnsi="Times New Roman" w:cs="Times New Roman"/>
          <w:sz w:val="24"/>
          <w:szCs w:val="24"/>
        </w:rPr>
        <w:t>The area’s most major city, Carthage, was destroyed by the Romans in the mid-second century BC and they took direct control of the area around it.</w:t>
      </w:r>
      <w:r>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Punic culture persisted there until the late first century BC with the refoundation of Carthage as a Roman colony.</w:t>
      </w:r>
      <w:r>
        <w:rPr>
          <w:rStyle w:val="FootnoteReference"/>
          <w:rFonts w:ascii="Times New Roman" w:hAnsi="Times New Roman" w:cs="Times New Roman"/>
          <w:sz w:val="24"/>
          <w:szCs w:val="24"/>
        </w:rPr>
        <w:footnoteReference w:id="3"/>
      </w:r>
      <w:r>
        <w:rPr>
          <w:rFonts w:ascii="Times New Roman" w:hAnsi="Times New Roman" w:cs="Times New Roman"/>
          <w:sz w:val="24"/>
          <w:szCs w:val="24"/>
        </w:rPr>
        <w:t xml:space="preserve"> During this process, Italian settlers moved to the area, bringing with them aspects of their own culture, including religious ideas, language, and personal morality frameworks. </w:t>
      </w:r>
      <w:r w:rsidR="00F94FBE">
        <w:rPr>
          <w:rFonts w:ascii="Times New Roman" w:hAnsi="Times New Roman" w:cs="Times New Roman"/>
          <w:sz w:val="24"/>
          <w:szCs w:val="24"/>
        </w:rPr>
        <w:t xml:space="preserve">With two distinct cultural groups interacting with each other in the context of empire, there was an inevitable result of influence from one to another on the cultural aspects that I mentioned above. </w:t>
      </w:r>
      <w:r w:rsidR="00026A3E">
        <w:rPr>
          <w:rFonts w:ascii="Times New Roman" w:hAnsi="Times New Roman" w:cs="Times New Roman"/>
          <w:sz w:val="24"/>
          <w:szCs w:val="24"/>
        </w:rPr>
        <w:t xml:space="preserve">The religion(s) of the local peoples was not exempt from these influences, nor was that of the incoming foreigners from the influence of the locals. </w:t>
      </w:r>
    </w:p>
    <w:p w:rsidR="002C48B0" w:rsidRDefault="002C48B0" w:rsidP="0027627F">
      <w:pPr>
        <w:spacing w:line="480" w:lineRule="auto"/>
        <w:rPr>
          <w:rFonts w:ascii="Times New Roman" w:hAnsi="Times New Roman" w:cs="Times New Roman"/>
          <w:sz w:val="24"/>
          <w:szCs w:val="24"/>
        </w:rPr>
      </w:pPr>
      <w:r>
        <w:rPr>
          <w:rFonts w:ascii="Times New Roman" w:hAnsi="Times New Roman" w:cs="Times New Roman"/>
          <w:sz w:val="24"/>
          <w:szCs w:val="24"/>
        </w:rPr>
        <w:t>Much of the religious evidence seems on the surface to be “very “Roman””</w:t>
      </w:r>
      <w:r w:rsidR="004F270E">
        <w:rPr>
          <w:rStyle w:val="FootnoteReference"/>
          <w:rFonts w:ascii="Times New Roman" w:hAnsi="Times New Roman" w:cs="Times New Roman"/>
          <w:sz w:val="24"/>
          <w:szCs w:val="24"/>
        </w:rPr>
        <w:footnoteReference w:id="4"/>
      </w:r>
      <w:r>
        <w:rPr>
          <w:rFonts w:ascii="Times New Roman" w:hAnsi="Times New Roman" w:cs="Times New Roman"/>
          <w:sz w:val="24"/>
          <w:szCs w:val="24"/>
        </w:rPr>
        <w:t xml:space="preserve">, with changes occurring to the iconographic representations on votive steles, forms of sacrifice and offering, </w:t>
      </w:r>
      <w:r>
        <w:rPr>
          <w:rFonts w:ascii="Times New Roman" w:hAnsi="Times New Roman" w:cs="Times New Roman"/>
          <w:sz w:val="24"/>
          <w:szCs w:val="24"/>
        </w:rPr>
        <w:lastRenderedPageBreak/>
        <w:t xml:space="preserve">and language, to name a few. </w:t>
      </w:r>
      <w:r w:rsidR="008A4558">
        <w:rPr>
          <w:rFonts w:ascii="Times New Roman" w:hAnsi="Times New Roman" w:cs="Times New Roman"/>
          <w:sz w:val="24"/>
          <w:szCs w:val="24"/>
        </w:rPr>
        <w:t>Local elites started to adopt the Latin language, which meant that they</w:t>
      </w:r>
      <w:r w:rsidR="004F270E">
        <w:rPr>
          <w:rFonts w:ascii="Times New Roman" w:hAnsi="Times New Roman" w:cs="Times New Roman"/>
          <w:sz w:val="24"/>
          <w:szCs w:val="24"/>
        </w:rPr>
        <w:t xml:space="preserve"> supposedly</w:t>
      </w:r>
      <w:r w:rsidR="008A4558">
        <w:rPr>
          <w:rFonts w:ascii="Times New Roman" w:hAnsi="Times New Roman" w:cs="Times New Roman"/>
          <w:sz w:val="24"/>
          <w:szCs w:val="24"/>
        </w:rPr>
        <w:t xml:space="preserve"> “adopted Roman names for their gods”.</w:t>
      </w:r>
      <w:r w:rsidR="008A4558">
        <w:rPr>
          <w:rStyle w:val="FootnoteReference"/>
          <w:rFonts w:ascii="Times New Roman" w:hAnsi="Times New Roman" w:cs="Times New Roman"/>
          <w:sz w:val="24"/>
          <w:szCs w:val="24"/>
        </w:rPr>
        <w:footnoteReference w:id="5"/>
      </w:r>
      <w:r w:rsidR="008A4558">
        <w:rPr>
          <w:rFonts w:ascii="Times New Roman" w:hAnsi="Times New Roman" w:cs="Times New Roman"/>
          <w:sz w:val="24"/>
          <w:szCs w:val="24"/>
        </w:rPr>
        <w:t xml:space="preserve"> </w:t>
      </w:r>
      <w:r w:rsidR="004F270E">
        <w:rPr>
          <w:rFonts w:ascii="Times New Roman" w:hAnsi="Times New Roman" w:cs="Times New Roman"/>
          <w:sz w:val="24"/>
          <w:szCs w:val="24"/>
        </w:rPr>
        <w:t>Whether this sentiment truly explains the reality of religious change in the Roman province is debatable, and should be further considered within the frameworks of ‘</w:t>
      </w:r>
      <w:r w:rsidR="004F270E">
        <w:rPr>
          <w:rFonts w:ascii="Times New Roman" w:hAnsi="Times New Roman" w:cs="Times New Roman"/>
          <w:i/>
          <w:sz w:val="24"/>
          <w:szCs w:val="24"/>
        </w:rPr>
        <w:t>interpretatio Romano/Indigena</w:t>
      </w:r>
      <w:r w:rsidR="004F270E">
        <w:rPr>
          <w:rFonts w:ascii="Times New Roman" w:hAnsi="Times New Roman" w:cs="Times New Roman"/>
          <w:sz w:val="24"/>
          <w:szCs w:val="24"/>
        </w:rPr>
        <w:t xml:space="preserve">’: were the gods attested in Roman-period evidence simply the same gods with new names? Many of the African deities were known by names of pre-existing Roman deities, so this process of interpretation and development is key to understanding religious change in the Roman province. </w:t>
      </w:r>
    </w:p>
    <w:p w:rsidR="001E18EA" w:rsidRDefault="001E18EA" w:rsidP="0027627F">
      <w:pPr>
        <w:spacing w:line="480" w:lineRule="auto"/>
        <w:rPr>
          <w:rFonts w:ascii="Times New Roman" w:hAnsi="Times New Roman" w:cs="Times New Roman"/>
          <w:sz w:val="24"/>
          <w:szCs w:val="24"/>
        </w:rPr>
      </w:pPr>
      <w:r>
        <w:rPr>
          <w:rFonts w:ascii="Times New Roman" w:hAnsi="Times New Roman" w:cs="Times New Roman"/>
          <w:sz w:val="24"/>
          <w:szCs w:val="24"/>
        </w:rPr>
        <w:t xml:space="preserve">While there was certainly change in religious life under the Romans, there is also plenty of evidence for </w:t>
      </w:r>
      <w:r w:rsidR="00C93451">
        <w:rPr>
          <w:rFonts w:ascii="Times New Roman" w:hAnsi="Times New Roman" w:cs="Times New Roman"/>
          <w:sz w:val="24"/>
          <w:szCs w:val="24"/>
        </w:rPr>
        <w:t xml:space="preserve">the </w:t>
      </w:r>
      <w:r>
        <w:rPr>
          <w:rFonts w:ascii="Times New Roman" w:hAnsi="Times New Roman" w:cs="Times New Roman"/>
          <w:sz w:val="24"/>
          <w:szCs w:val="24"/>
        </w:rPr>
        <w:t>continuity</w:t>
      </w:r>
      <w:r w:rsidR="00C93451">
        <w:rPr>
          <w:rFonts w:ascii="Times New Roman" w:hAnsi="Times New Roman" w:cs="Times New Roman"/>
          <w:sz w:val="24"/>
          <w:szCs w:val="24"/>
        </w:rPr>
        <w:t xml:space="preserve"> and persistence</w:t>
      </w:r>
      <w:r>
        <w:rPr>
          <w:rFonts w:ascii="Times New Roman" w:hAnsi="Times New Roman" w:cs="Times New Roman"/>
          <w:sz w:val="24"/>
          <w:szCs w:val="24"/>
        </w:rPr>
        <w:t xml:space="preserve"> of pre-Roman Punic religious tradition</w:t>
      </w:r>
      <w:r w:rsidR="00E40BF8">
        <w:rPr>
          <w:rFonts w:ascii="Times New Roman" w:hAnsi="Times New Roman" w:cs="Times New Roman"/>
          <w:sz w:val="24"/>
          <w:szCs w:val="24"/>
        </w:rPr>
        <w:t>. This is the case for two deities, Baal Hammo</w:t>
      </w:r>
      <w:r w:rsidR="005843BE">
        <w:rPr>
          <w:rFonts w:ascii="Times New Roman" w:hAnsi="Times New Roman" w:cs="Times New Roman"/>
          <w:sz w:val="24"/>
          <w:szCs w:val="24"/>
        </w:rPr>
        <w:t xml:space="preserve">n/Jupiter, and Tanit/Caelestis, whom I shall be using as case studies for this essay. </w:t>
      </w:r>
      <w:r w:rsidR="003E121D">
        <w:rPr>
          <w:rFonts w:ascii="Times New Roman" w:hAnsi="Times New Roman" w:cs="Times New Roman"/>
          <w:sz w:val="24"/>
          <w:szCs w:val="24"/>
        </w:rPr>
        <w:t xml:space="preserve">Persistence is not necessarily evident on its own, as it often was accompanied by change, resulting in a product that does not entirely reflect typical ‘Punic’ or ‘Roman’ examples. </w:t>
      </w:r>
      <w:r w:rsidR="00D25AF9">
        <w:rPr>
          <w:rFonts w:ascii="Times New Roman" w:hAnsi="Times New Roman" w:cs="Times New Roman"/>
          <w:sz w:val="24"/>
          <w:szCs w:val="24"/>
        </w:rPr>
        <w:t xml:space="preserve">Here it is useful to employ a framework, </w:t>
      </w:r>
      <w:r w:rsidR="00B47834">
        <w:rPr>
          <w:rFonts w:ascii="Times New Roman" w:hAnsi="Times New Roman" w:cs="Times New Roman"/>
          <w:sz w:val="24"/>
          <w:szCs w:val="24"/>
        </w:rPr>
        <w:t xml:space="preserve">coined by R. </w:t>
      </w:r>
      <w:proofErr w:type="spellStart"/>
      <w:r w:rsidR="00B47834">
        <w:rPr>
          <w:rFonts w:ascii="Times New Roman" w:hAnsi="Times New Roman" w:cs="Times New Roman"/>
          <w:sz w:val="24"/>
          <w:szCs w:val="24"/>
        </w:rPr>
        <w:t>Haeussler</w:t>
      </w:r>
      <w:proofErr w:type="spellEnd"/>
      <w:r w:rsidR="00B47834">
        <w:rPr>
          <w:rFonts w:ascii="Times New Roman" w:hAnsi="Times New Roman" w:cs="Times New Roman"/>
          <w:sz w:val="24"/>
          <w:szCs w:val="24"/>
        </w:rPr>
        <w:t xml:space="preserve"> and E. Webster, called ‘</w:t>
      </w:r>
      <w:proofErr w:type="spellStart"/>
      <w:r w:rsidR="00B47834">
        <w:rPr>
          <w:rFonts w:ascii="Times New Roman" w:hAnsi="Times New Roman" w:cs="Times New Roman"/>
          <w:sz w:val="24"/>
          <w:szCs w:val="24"/>
        </w:rPr>
        <w:t>creolage</w:t>
      </w:r>
      <w:proofErr w:type="spellEnd"/>
      <w:r w:rsidR="00B47834">
        <w:rPr>
          <w:rFonts w:ascii="Times New Roman" w:hAnsi="Times New Roman" w:cs="Times New Roman"/>
          <w:sz w:val="24"/>
          <w:szCs w:val="24"/>
        </w:rPr>
        <w:t>’: this approach posits that through cultural interaction a “new local cultural and artistic expression was created within the available repertoire and cognitive understandings.”</w:t>
      </w:r>
      <w:r w:rsidR="00B47834">
        <w:rPr>
          <w:rStyle w:val="FootnoteReference"/>
          <w:rFonts w:ascii="Times New Roman" w:hAnsi="Times New Roman" w:cs="Times New Roman"/>
          <w:sz w:val="24"/>
          <w:szCs w:val="24"/>
        </w:rPr>
        <w:footnoteReference w:id="6"/>
      </w:r>
      <w:r w:rsidR="00B47834">
        <w:rPr>
          <w:rFonts w:ascii="Times New Roman" w:hAnsi="Times New Roman" w:cs="Times New Roman"/>
          <w:sz w:val="24"/>
          <w:szCs w:val="24"/>
        </w:rPr>
        <w:t xml:space="preserve"> This helps to account for regional/geographic variations, and the role of the individual and group (in cases of religious ‘cults’) in the development of religious practices in light of the changing cultural space. </w:t>
      </w:r>
    </w:p>
    <w:p w:rsidR="00876198" w:rsidRDefault="00876198" w:rsidP="0027627F">
      <w:pPr>
        <w:spacing w:line="480" w:lineRule="auto"/>
        <w:rPr>
          <w:rFonts w:ascii="Times New Roman" w:hAnsi="Times New Roman" w:cs="Times New Roman"/>
          <w:sz w:val="24"/>
          <w:szCs w:val="24"/>
        </w:rPr>
      </w:pPr>
    </w:p>
    <w:p w:rsidR="00876198" w:rsidRDefault="004F712E" w:rsidP="0027627F">
      <w:pPr>
        <w:spacing w:line="480" w:lineRule="auto"/>
        <w:rPr>
          <w:rFonts w:ascii="Times New Roman" w:hAnsi="Times New Roman" w:cs="Times New Roman"/>
          <w:sz w:val="24"/>
          <w:szCs w:val="24"/>
        </w:rPr>
      </w:pPr>
      <w:r>
        <w:rPr>
          <w:rFonts w:ascii="Times New Roman" w:hAnsi="Times New Roman" w:cs="Times New Roman"/>
          <w:sz w:val="24"/>
          <w:szCs w:val="24"/>
        </w:rPr>
        <w:t xml:space="preserve">The two ‘most important’ deities in Roman Africa were Saturn and Caelestis. </w:t>
      </w:r>
      <w:r w:rsidR="00636CA0">
        <w:rPr>
          <w:rFonts w:ascii="Times New Roman" w:hAnsi="Times New Roman" w:cs="Times New Roman"/>
          <w:sz w:val="24"/>
          <w:szCs w:val="24"/>
        </w:rPr>
        <w:t xml:space="preserve">There is ‘clear continuity’ between them and the Punic Baal </w:t>
      </w:r>
      <w:r w:rsidR="0047201D">
        <w:rPr>
          <w:rFonts w:ascii="Times New Roman" w:hAnsi="Times New Roman" w:cs="Times New Roman"/>
          <w:sz w:val="24"/>
          <w:szCs w:val="24"/>
        </w:rPr>
        <w:t>Hammon and Tanit, respectively.</w:t>
      </w:r>
      <w:r w:rsidR="0047201D">
        <w:rPr>
          <w:rStyle w:val="FootnoteReference"/>
          <w:rFonts w:ascii="Times New Roman" w:hAnsi="Times New Roman" w:cs="Times New Roman"/>
          <w:sz w:val="24"/>
          <w:szCs w:val="24"/>
        </w:rPr>
        <w:footnoteReference w:id="7"/>
      </w:r>
      <w:r w:rsidR="0047201D">
        <w:rPr>
          <w:rFonts w:ascii="Times New Roman" w:hAnsi="Times New Roman" w:cs="Times New Roman"/>
          <w:sz w:val="24"/>
          <w:szCs w:val="24"/>
        </w:rPr>
        <w:t xml:space="preserve"> J. B. Rives in </w:t>
      </w:r>
      <w:r w:rsidR="0047201D">
        <w:rPr>
          <w:rFonts w:ascii="Times New Roman" w:hAnsi="Times New Roman" w:cs="Times New Roman"/>
          <w:sz w:val="24"/>
          <w:szCs w:val="24"/>
        </w:rPr>
        <w:lastRenderedPageBreak/>
        <w:t>his book ‘Religion and Authority in Roman Carthage from Augustus to Constantine’ describes a step in the process of this identification between Punic and Roman deities</w:t>
      </w:r>
      <w:r w:rsidR="00847FBF">
        <w:rPr>
          <w:rFonts w:ascii="Times New Roman" w:hAnsi="Times New Roman" w:cs="Times New Roman"/>
          <w:sz w:val="24"/>
          <w:szCs w:val="24"/>
        </w:rPr>
        <w:t>, in this example, Baal/Saturn</w:t>
      </w:r>
      <w:r w:rsidR="0047201D">
        <w:rPr>
          <w:rFonts w:ascii="Times New Roman" w:hAnsi="Times New Roman" w:cs="Times New Roman"/>
          <w:sz w:val="24"/>
          <w:szCs w:val="24"/>
        </w:rPr>
        <w:t xml:space="preserve">: the Greeks of the fourth, possibly fifth, century BC identified Baal with their Kronos. The Romans in turn </w:t>
      </w:r>
      <w:r w:rsidR="00B22CFA">
        <w:rPr>
          <w:rFonts w:ascii="Times New Roman" w:hAnsi="Times New Roman" w:cs="Times New Roman"/>
          <w:sz w:val="24"/>
          <w:szCs w:val="24"/>
        </w:rPr>
        <w:t>associated Kronos with their Saturn. This provided a “ready translation for Africans who wanted a Latin name for their god</w:t>
      </w:r>
      <w:r w:rsidR="00D26083">
        <w:rPr>
          <w:rFonts w:ascii="Times New Roman" w:hAnsi="Times New Roman" w:cs="Times New Roman"/>
          <w:sz w:val="24"/>
          <w:szCs w:val="24"/>
        </w:rPr>
        <w:t>.</w:t>
      </w:r>
      <w:r w:rsidR="00B22CFA">
        <w:rPr>
          <w:rFonts w:ascii="Times New Roman" w:hAnsi="Times New Roman" w:cs="Times New Roman"/>
          <w:sz w:val="24"/>
          <w:szCs w:val="24"/>
        </w:rPr>
        <w:t>”</w:t>
      </w:r>
      <w:r w:rsidR="00B22CFA">
        <w:rPr>
          <w:rStyle w:val="FootnoteReference"/>
          <w:rFonts w:ascii="Times New Roman" w:hAnsi="Times New Roman" w:cs="Times New Roman"/>
          <w:sz w:val="24"/>
          <w:szCs w:val="24"/>
        </w:rPr>
        <w:footnoteReference w:id="8"/>
      </w:r>
      <w:r w:rsidR="00D26083">
        <w:rPr>
          <w:rFonts w:ascii="Times New Roman" w:hAnsi="Times New Roman" w:cs="Times New Roman"/>
          <w:sz w:val="24"/>
          <w:szCs w:val="24"/>
        </w:rPr>
        <w:t xml:space="preserve"> This is not to say that the people of Africa thought of their Baal as the Italian Saturn</w:t>
      </w:r>
      <w:r w:rsidR="00847FBF">
        <w:rPr>
          <w:rStyle w:val="FootnoteReference"/>
          <w:rFonts w:ascii="Times New Roman" w:hAnsi="Times New Roman" w:cs="Times New Roman"/>
          <w:sz w:val="24"/>
          <w:szCs w:val="24"/>
        </w:rPr>
        <w:footnoteReference w:id="9"/>
      </w:r>
      <w:r w:rsidR="00E0355F">
        <w:rPr>
          <w:rFonts w:ascii="Times New Roman" w:hAnsi="Times New Roman" w:cs="Times New Roman"/>
          <w:sz w:val="24"/>
          <w:szCs w:val="24"/>
        </w:rPr>
        <w:t xml:space="preserve">, but that both the native Africans and the Romans were taking part in an </w:t>
      </w:r>
      <w:r w:rsidR="00E0355F">
        <w:rPr>
          <w:rFonts w:ascii="Times New Roman" w:hAnsi="Times New Roman" w:cs="Times New Roman"/>
          <w:i/>
          <w:sz w:val="24"/>
          <w:szCs w:val="24"/>
        </w:rPr>
        <w:t>interpretatio</w:t>
      </w:r>
      <w:r w:rsidR="00E0355F">
        <w:rPr>
          <w:rFonts w:ascii="Times New Roman" w:hAnsi="Times New Roman" w:cs="Times New Roman"/>
          <w:sz w:val="24"/>
          <w:szCs w:val="24"/>
        </w:rPr>
        <w:t xml:space="preserve"> process resulting in a deity that bore elements that could be recognised by either party, but that was unique to </w:t>
      </w:r>
      <w:r w:rsidR="006E069F">
        <w:rPr>
          <w:rFonts w:ascii="Times New Roman" w:hAnsi="Times New Roman" w:cs="Times New Roman"/>
          <w:sz w:val="24"/>
          <w:szCs w:val="24"/>
        </w:rPr>
        <w:t>Africa as a province in</w:t>
      </w:r>
      <w:r w:rsidR="00193683">
        <w:rPr>
          <w:rFonts w:ascii="Times New Roman" w:hAnsi="Times New Roman" w:cs="Times New Roman"/>
          <w:sz w:val="24"/>
          <w:szCs w:val="24"/>
        </w:rPr>
        <w:t xml:space="preserve"> the Roman empire. </w:t>
      </w:r>
    </w:p>
    <w:p w:rsidR="004F064F" w:rsidRDefault="00E11292" w:rsidP="0027627F">
      <w:pPr>
        <w:spacing w:line="480" w:lineRule="auto"/>
        <w:rPr>
          <w:rFonts w:ascii="Times New Roman" w:hAnsi="Times New Roman" w:cs="Times New Roman"/>
          <w:sz w:val="24"/>
          <w:szCs w:val="24"/>
        </w:rPr>
      </w:pPr>
      <w:r>
        <w:rPr>
          <w:rFonts w:ascii="Times New Roman" w:hAnsi="Times New Roman" w:cs="Times New Roman"/>
          <w:sz w:val="24"/>
          <w:szCs w:val="24"/>
        </w:rPr>
        <w:t xml:space="preserve">One of the primary sources of evidence for the worship of Baal/Saturn is votive stelai. </w:t>
      </w:r>
      <w:r w:rsidR="0049142E">
        <w:rPr>
          <w:rFonts w:ascii="Times New Roman" w:hAnsi="Times New Roman" w:cs="Times New Roman"/>
          <w:sz w:val="24"/>
          <w:szCs w:val="24"/>
        </w:rPr>
        <w:t xml:space="preserve">Andrew Wilson’s 2005 article entitled ‘Romanizing Baal: The Art of Saturn Worship in North Africa’ is a brief analysis of some of these stelai. </w:t>
      </w:r>
      <w:r w:rsidR="00BB3C71">
        <w:rPr>
          <w:rFonts w:ascii="Times New Roman" w:hAnsi="Times New Roman" w:cs="Times New Roman"/>
          <w:sz w:val="24"/>
          <w:szCs w:val="24"/>
        </w:rPr>
        <w:t>One of the issues with previous scholarship on the subject is that pre-Roman and Roman stelai had been studied separately, which resulted in an incomplete idea of the development process.</w:t>
      </w:r>
      <w:r w:rsidR="00BB3C71">
        <w:rPr>
          <w:rStyle w:val="FootnoteReference"/>
          <w:rFonts w:ascii="Times New Roman" w:hAnsi="Times New Roman" w:cs="Times New Roman"/>
          <w:sz w:val="24"/>
          <w:szCs w:val="24"/>
        </w:rPr>
        <w:footnoteReference w:id="10"/>
      </w:r>
      <w:r w:rsidR="00BB3C71">
        <w:rPr>
          <w:rFonts w:ascii="Times New Roman" w:hAnsi="Times New Roman" w:cs="Times New Roman"/>
          <w:sz w:val="24"/>
          <w:szCs w:val="24"/>
        </w:rPr>
        <w:t xml:space="preserve"> </w:t>
      </w:r>
      <w:r w:rsidR="00E1114A">
        <w:rPr>
          <w:rFonts w:ascii="Times New Roman" w:hAnsi="Times New Roman" w:cs="Times New Roman"/>
          <w:sz w:val="24"/>
          <w:szCs w:val="24"/>
        </w:rPr>
        <w:t>In his article he presents four stelai</w:t>
      </w:r>
      <w:r w:rsidR="00D360F7">
        <w:rPr>
          <w:rFonts w:ascii="Times New Roman" w:hAnsi="Times New Roman" w:cs="Times New Roman"/>
          <w:sz w:val="24"/>
          <w:szCs w:val="24"/>
        </w:rPr>
        <w:t>, in chronological order,</w:t>
      </w:r>
      <w:r w:rsidR="00E1114A">
        <w:rPr>
          <w:rFonts w:ascii="Times New Roman" w:hAnsi="Times New Roman" w:cs="Times New Roman"/>
          <w:sz w:val="24"/>
          <w:szCs w:val="24"/>
        </w:rPr>
        <w:t xml:space="preserve"> that provide a quick view of how dedications to Baal/Saturn changed once North Africa became a Roman province. </w:t>
      </w:r>
    </w:p>
    <w:p w:rsidR="00901825" w:rsidRDefault="00AC099C" w:rsidP="0027627F">
      <w:pPr>
        <w:spacing w:line="480" w:lineRule="auto"/>
        <w:rPr>
          <w:rFonts w:ascii="Times New Roman" w:hAnsi="Times New Roman" w:cs="Times New Roman"/>
          <w:sz w:val="24"/>
          <w:szCs w:val="24"/>
        </w:rPr>
      </w:pPr>
      <w:r>
        <w:rPr>
          <w:rFonts w:ascii="Times New Roman" w:hAnsi="Times New Roman" w:cs="Times New Roman"/>
          <w:sz w:val="24"/>
          <w:szCs w:val="24"/>
        </w:rPr>
        <w:t xml:space="preserve">From his analysis, I have picked out the main elements that constitute a Punic stele to </w:t>
      </w:r>
      <w:r w:rsidR="00D360F7">
        <w:rPr>
          <w:rFonts w:ascii="Times New Roman" w:hAnsi="Times New Roman" w:cs="Times New Roman"/>
          <w:sz w:val="24"/>
          <w:szCs w:val="24"/>
        </w:rPr>
        <w:t>Baal</w:t>
      </w:r>
      <w:r w:rsidR="00901825">
        <w:rPr>
          <w:rFonts w:ascii="Times New Roman" w:hAnsi="Times New Roman" w:cs="Times New Roman"/>
          <w:sz w:val="24"/>
          <w:szCs w:val="24"/>
        </w:rPr>
        <w:t>, as a summary of Wilson’s article</w:t>
      </w:r>
      <w:r w:rsidR="00D360F7">
        <w:rPr>
          <w:rStyle w:val="FootnoteReference"/>
          <w:rFonts w:ascii="Times New Roman" w:hAnsi="Times New Roman" w:cs="Times New Roman"/>
          <w:sz w:val="24"/>
          <w:szCs w:val="24"/>
        </w:rPr>
        <w:footnoteReference w:id="11"/>
      </w:r>
      <w:r w:rsidR="00901825">
        <w:rPr>
          <w:rFonts w:ascii="Times New Roman" w:hAnsi="Times New Roman" w:cs="Times New Roman"/>
          <w:sz w:val="24"/>
          <w:szCs w:val="24"/>
        </w:rPr>
        <w:t>:</w:t>
      </w:r>
    </w:p>
    <w:p w:rsidR="00901825" w:rsidRDefault="00901825" w:rsidP="00901825">
      <w:pPr>
        <w:spacing w:line="480" w:lineRule="auto"/>
        <w:ind w:left="567"/>
        <w:rPr>
          <w:rFonts w:ascii="Times New Roman" w:hAnsi="Times New Roman" w:cs="Times New Roman"/>
          <w:sz w:val="24"/>
          <w:szCs w:val="24"/>
        </w:rPr>
      </w:pPr>
      <w:r>
        <w:rPr>
          <w:rFonts w:ascii="Times New Roman" w:hAnsi="Times New Roman" w:cs="Times New Roman"/>
          <w:i/>
          <w:sz w:val="24"/>
          <w:szCs w:val="24"/>
        </w:rPr>
        <w:t xml:space="preserve">The Dedicant: </w:t>
      </w:r>
      <w:r w:rsidR="00D360F7">
        <w:rPr>
          <w:rFonts w:ascii="Times New Roman" w:hAnsi="Times New Roman" w:cs="Times New Roman"/>
          <w:sz w:val="24"/>
          <w:szCs w:val="24"/>
        </w:rPr>
        <w:t>In this earliest example the dedicant is the main focus of the visual image</w:t>
      </w:r>
      <w:r>
        <w:rPr>
          <w:rFonts w:ascii="Times New Roman" w:hAnsi="Times New Roman" w:cs="Times New Roman"/>
          <w:sz w:val="24"/>
          <w:szCs w:val="24"/>
        </w:rPr>
        <w:t>.</w:t>
      </w:r>
      <w:r w:rsidR="00D360F7">
        <w:rPr>
          <w:rFonts w:ascii="Times New Roman" w:hAnsi="Times New Roman" w:cs="Times New Roman"/>
          <w:sz w:val="24"/>
          <w:szCs w:val="24"/>
        </w:rPr>
        <w:t xml:space="preserve"> </w:t>
      </w:r>
      <w:r>
        <w:rPr>
          <w:rFonts w:ascii="Times New Roman" w:hAnsi="Times New Roman" w:cs="Times New Roman"/>
          <w:sz w:val="24"/>
          <w:szCs w:val="24"/>
        </w:rPr>
        <w:t xml:space="preserve">His face is round, with holes as eyes and a mouth. He is naked, with nipples, </w:t>
      </w:r>
      <w:r>
        <w:rPr>
          <w:rFonts w:ascii="Times New Roman" w:hAnsi="Times New Roman" w:cs="Times New Roman"/>
          <w:sz w:val="24"/>
          <w:szCs w:val="24"/>
        </w:rPr>
        <w:lastRenderedPageBreak/>
        <w:t xml:space="preserve">navel, and genitals represented. His arms are raised, with limbs merging into offerings (cakes?). </w:t>
      </w:r>
    </w:p>
    <w:p w:rsidR="004304E1" w:rsidRDefault="004304E1" w:rsidP="00901825">
      <w:pPr>
        <w:spacing w:line="480" w:lineRule="auto"/>
        <w:ind w:left="567"/>
        <w:rPr>
          <w:rFonts w:ascii="Times New Roman" w:hAnsi="Times New Roman" w:cs="Times New Roman"/>
          <w:sz w:val="24"/>
          <w:szCs w:val="24"/>
        </w:rPr>
      </w:pPr>
      <w:r>
        <w:rPr>
          <w:rFonts w:ascii="Times New Roman" w:hAnsi="Times New Roman" w:cs="Times New Roman"/>
          <w:i/>
          <w:sz w:val="24"/>
          <w:szCs w:val="24"/>
        </w:rPr>
        <w:t>The Deity:</w:t>
      </w:r>
      <w:r>
        <w:rPr>
          <w:rFonts w:ascii="Times New Roman" w:hAnsi="Times New Roman" w:cs="Times New Roman"/>
          <w:sz w:val="24"/>
          <w:szCs w:val="24"/>
        </w:rPr>
        <w:t xml:space="preserve"> Represented as a crescent moon that caps the stele. </w:t>
      </w:r>
    </w:p>
    <w:p w:rsidR="009A3CDE" w:rsidRDefault="009A3CDE" w:rsidP="00901825">
      <w:pPr>
        <w:spacing w:line="480" w:lineRule="auto"/>
        <w:ind w:left="567"/>
        <w:rPr>
          <w:rFonts w:ascii="Times New Roman" w:hAnsi="Times New Roman" w:cs="Times New Roman"/>
          <w:sz w:val="24"/>
          <w:szCs w:val="24"/>
        </w:rPr>
      </w:pPr>
      <w:r>
        <w:rPr>
          <w:rFonts w:ascii="Times New Roman" w:hAnsi="Times New Roman" w:cs="Times New Roman"/>
          <w:i/>
          <w:sz w:val="24"/>
          <w:szCs w:val="24"/>
        </w:rPr>
        <w:t>Technical method:</w:t>
      </w:r>
      <w:r w:rsidR="009A1441">
        <w:rPr>
          <w:rFonts w:ascii="Times New Roman" w:hAnsi="Times New Roman" w:cs="Times New Roman"/>
          <w:sz w:val="24"/>
          <w:szCs w:val="24"/>
        </w:rPr>
        <w:t xml:space="preserve"> The image is a flat relief with a frontal composition. A crude representation of the person. </w:t>
      </w:r>
    </w:p>
    <w:p w:rsidR="009A1441" w:rsidRDefault="009A1441" w:rsidP="00901825">
      <w:pPr>
        <w:spacing w:line="480" w:lineRule="auto"/>
        <w:ind w:left="567"/>
        <w:rPr>
          <w:rFonts w:ascii="Times New Roman" w:hAnsi="Times New Roman" w:cs="Times New Roman"/>
          <w:sz w:val="24"/>
          <w:szCs w:val="24"/>
        </w:rPr>
      </w:pPr>
      <w:r>
        <w:rPr>
          <w:rFonts w:ascii="Times New Roman" w:hAnsi="Times New Roman" w:cs="Times New Roman"/>
          <w:i/>
          <w:sz w:val="24"/>
          <w:szCs w:val="24"/>
        </w:rPr>
        <w:t>Miscellaneous:</w:t>
      </w:r>
      <w:r>
        <w:rPr>
          <w:rFonts w:ascii="Times New Roman" w:hAnsi="Times New Roman" w:cs="Times New Roman"/>
          <w:sz w:val="24"/>
          <w:szCs w:val="24"/>
        </w:rPr>
        <w:t xml:space="preserve"> A palm branch was a common motif in pre-Roman Baal stelai. </w:t>
      </w:r>
      <w:r w:rsidR="00075144">
        <w:rPr>
          <w:rFonts w:ascii="Times New Roman" w:hAnsi="Times New Roman" w:cs="Times New Roman"/>
          <w:sz w:val="24"/>
          <w:szCs w:val="24"/>
        </w:rPr>
        <w:t xml:space="preserve">There is an inscription in neo-Punic listing the name of the dedicant and that the vow had been paid, though to have inscriptions was not common. </w:t>
      </w:r>
    </w:p>
    <w:p w:rsidR="000A62CF" w:rsidRDefault="00D61B71" w:rsidP="000A62CF">
      <w:pPr>
        <w:spacing w:line="480" w:lineRule="auto"/>
        <w:rPr>
          <w:rFonts w:ascii="Times New Roman" w:hAnsi="Times New Roman" w:cs="Times New Roman"/>
          <w:sz w:val="24"/>
          <w:szCs w:val="24"/>
        </w:rPr>
      </w:pPr>
      <w:r>
        <w:rPr>
          <w:rFonts w:ascii="Times New Roman" w:hAnsi="Times New Roman" w:cs="Times New Roman"/>
          <w:sz w:val="24"/>
          <w:szCs w:val="24"/>
        </w:rPr>
        <w:t xml:space="preserve">I will follow these four categories when tracking the development of the remaining three stelai. </w:t>
      </w:r>
    </w:p>
    <w:p w:rsidR="00A851BA" w:rsidRDefault="00A851BA" w:rsidP="000A62CF">
      <w:pPr>
        <w:spacing w:line="480" w:lineRule="auto"/>
        <w:rPr>
          <w:rFonts w:ascii="Times New Roman" w:hAnsi="Times New Roman" w:cs="Times New Roman"/>
          <w:sz w:val="24"/>
          <w:szCs w:val="24"/>
        </w:rPr>
      </w:pPr>
      <w:r>
        <w:rPr>
          <w:rFonts w:ascii="Times New Roman" w:hAnsi="Times New Roman" w:cs="Times New Roman"/>
          <w:sz w:val="24"/>
          <w:szCs w:val="24"/>
        </w:rPr>
        <w:t xml:space="preserve">Fig. 2: </w:t>
      </w:r>
    </w:p>
    <w:p w:rsidR="00A851BA" w:rsidRDefault="00A851BA" w:rsidP="00A851BA">
      <w:pPr>
        <w:spacing w:line="480" w:lineRule="auto"/>
        <w:ind w:left="567"/>
        <w:rPr>
          <w:rFonts w:ascii="Times New Roman" w:hAnsi="Times New Roman" w:cs="Times New Roman"/>
          <w:sz w:val="24"/>
          <w:szCs w:val="24"/>
        </w:rPr>
      </w:pPr>
      <w:r>
        <w:rPr>
          <w:rFonts w:ascii="Times New Roman" w:hAnsi="Times New Roman" w:cs="Times New Roman"/>
          <w:i/>
          <w:sz w:val="24"/>
          <w:szCs w:val="24"/>
        </w:rPr>
        <w:t>The Dedicant</w:t>
      </w:r>
      <w:r>
        <w:rPr>
          <w:rFonts w:ascii="Times New Roman" w:hAnsi="Times New Roman" w:cs="Times New Roman"/>
          <w:sz w:val="24"/>
          <w:szCs w:val="24"/>
        </w:rPr>
        <w:t xml:space="preserve">: </w:t>
      </w:r>
      <w:r w:rsidR="00D56D8E">
        <w:rPr>
          <w:rFonts w:ascii="Times New Roman" w:hAnsi="Times New Roman" w:cs="Times New Roman"/>
          <w:sz w:val="24"/>
          <w:szCs w:val="24"/>
        </w:rPr>
        <w:t xml:space="preserve">Visual focus. </w:t>
      </w:r>
      <w:r>
        <w:rPr>
          <w:rFonts w:ascii="Times New Roman" w:hAnsi="Times New Roman" w:cs="Times New Roman"/>
          <w:sz w:val="24"/>
          <w:szCs w:val="24"/>
        </w:rPr>
        <w:t xml:space="preserve">Round face. Stylistic eyes. Clothed in a tunic and mantle. Arms raised, with limbs merging into offerings and palm branch. </w:t>
      </w:r>
    </w:p>
    <w:p w:rsidR="00D56D8E" w:rsidRDefault="00D56D8E" w:rsidP="00A851BA">
      <w:pPr>
        <w:spacing w:line="480" w:lineRule="auto"/>
        <w:ind w:left="567"/>
        <w:rPr>
          <w:rFonts w:ascii="Times New Roman" w:hAnsi="Times New Roman" w:cs="Times New Roman"/>
          <w:sz w:val="24"/>
          <w:szCs w:val="24"/>
        </w:rPr>
      </w:pPr>
      <w:r>
        <w:rPr>
          <w:rFonts w:ascii="Times New Roman" w:hAnsi="Times New Roman" w:cs="Times New Roman"/>
          <w:i/>
          <w:sz w:val="24"/>
          <w:szCs w:val="24"/>
        </w:rPr>
        <w:t>The Deity</w:t>
      </w:r>
      <w:r w:rsidRPr="00D56D8E">
        <w:rPr>
          <w:rFonts w:ascii="Times New Roman" w:hAnsi="Times New Roman" w:cs="Times New Roman"/>
          <w:sz w:val="24"/>
          <w:szCs w:val="24"/>
        </w:rPr>
        <w:t>:</w:t>
      </w:r>
      <w:r>
        <w:rPr>
          <w:rFonts w:ascii="Times New Roman" w:hAnsi="Times New Roman" w:cs="Times New Roman"/>
          <w:sz w:val="24"/>
          <w:szCs w:val="24"/>
        </w:rPr>
        <w:t xml:space="preserve"> Represented as a crescent moon that caps the stele. </w:t>
      </w:r>
    </w:p>
    <w:p w:rsidR="00D56D8E" w:rsidRDefault="00D56D8E" w:rsidP="00A851BA">
      <w:pPr>
        <w:spacing w:line="480" w:lineRule="auto"/>
        <w:ind w:left="567"/>
        <w:rPr>
          <w:rFonts w:ascii="Times New Roman" w:hAnsi="Times New Roman" w:cs="Times New Roman"/>
          <w:sz w:val="24"/>
          <w:szCs w:val="24"/>
        </w:rPr>
      </w:pPr>
      <w:r>
        <w:rPr>
          <w:rFonts w:ascii="Times New Roman" w:hAnsi="Times New Roman" w:cs="Times New Roman"/>
          <w:i/>
          <w:sz w:val="24"/>
          <w:szCs w:val="24"/>
        </w:rPr>
        <w:t>Technical method</w:t>
      </w:r>
      <w:r w:rsidRPr="00D56D8E">
        <w:rPr>
          <w:rFonts w:ascii="Times New Roman" w:hAnsi="Times New Roman" w:cs="Times New Roman"/>
          <w:sz w:val="24"/>
          <w:szCs w:val="24"/>
        </w:rPr>
        <w:t>:</w:t>
      </w:r>
      <w:r>
        <w:rPr>
          <w:rFonts w:ascii="Times New Roman" w:hAnsi="Times New Roman" w:cs="Times New Roman"/>
          <w:sz w:val="24"/>
          <w:szCs w:val="24"/>
        </w:rPr>
        <w:t xml:space="preserve"> Flat relief, though with a slightly more 3d effect. Frontal composition. Crude representation of the person. </w:t>
      </w:r>
    </w:p>
    <w:p w:rsidR="00D56D8E" w:rsidRDefault="00D56D8E" w:rsidP="00A851BA">
      <w:pPr>
        <w:spacing w:line="480" w:lineRule="auto"/>
        <w:ind w:left="567"/>
        <w:rPr>
          <w:rFonts w:ascii="Times New Roman" w:hAnsi="Times New Roman" w:cs="Times New Roman"/>
          <w:sz w:val="24"/>
          <w:szCs w:val="24"/>
        </w:rPr>
      </w:pPr>
      <w:r>
        <w:rPr>
          <w:rFonts w:ascii="Times New Roman" w:hAnsi="Times New Roman" w:cs="Times New Roman"/>
          <w:i/>
          <w:sz w:val="24"/>
          <w:szCs w:val="24"/>
        </w:rPr>
        <w:t>Miscellaneous</w:t>
      </w:r>
      <w:r w:rsidRPr="00D56D8E">
        <w:rPr>
          <w:rFonts w:ascii="Times New Roman" w:hAnsi="Times New Roman" w:cs="Times New Roman"/>
          <w:sz w:val="24"/>
          <w:szCs w:val="24"/>
        </w:rPr>
        <w:t>:</w:t>
      </w:r>
      <w:r>
        <w:rPr>
          <w:rFonts w:ascii="Times New Roman" w:hAnsi="Times New Roman" w:cs="Times New Roman"/>
          <w:sz w:val="24"/>
          <w:szCs w:val="24"/>
        </w:rPr>
        <w:t xml:space="preserve"> Palm branch, though ‘held’ by dedicant instead of beside him. Latin inscription, though message is similar: dedicant’s name, vow has been paid. </w:t>
      </w:r>
    </w:p>
    <w:p w:rsidR="003F0F21" w:rsidRDefault="003F0F21" w:rsidP="003F0F21">
      <w:pPr>
        <w:spacing w:line="480" w:lineRule="auto"/>
        <w:rPr>
          <w:rFonts w:ascii="Times New Roman" w:hAnsi="Times New Roman" w:cs="Times New Roman"/>
          <w:sz w:val="24"/>
          <w:szCs w:val="24"/>
        </w:rPr>
      </w:pPr>
      <w:r>
        <w:rPr>
          <w:rFonts w:ascii="Times New Roman" w:hAnsi="Times New Roman" w:cs="Times New Roman"/>
          <w:sz w:val="24"/>
          <w:szCs w:val="24"/>
        </w:rPr>
        <w:t xml:space="preserve">Fig. 3: </w:t>
      </w:r>
    </w:p>
    <w:p w:rsidR="003F0F21" w:rsidRDefault="003F0F21" w:rsidP="003F0F21">
      <w:pPr>
        <w:spacing w:line="480" w:lineRule="auto"/>
        <w:ind w:left="567"/>
        <w:rPr>
          <w:rFonts w:ascii="Times New Roman" w:hAnsi="Times New Roman" w:cs="Times New Roman"/>
          <w:sz w:val="24"/>
          <w:szCs w:val="24"/>
        </w:rPr>
      </w:pPr>
      <w:r>
        <w:rPr>
          <w:rFonts w:ascii="Times New Roman" w:hAnsi="Times New Roman" w:cs="Times New Roman"/>
          <w:i/>
          <w:sz w:val="24"/>
          <w:szCs w:val="24"/>
        </w:rPr>
        <w:t>The Dedicant</w:t>
      </w:r>
      <w:r>
        <w:rPr>
          <w:rFonts w:ascii="Times New Roman" w:hAnsi="Times New Roman" w:cs="Times New Roman"/>
          <w:sz w:val="24"/>
          <w:szCs w:val="24"/>
        </w:rPr>
        <w:t xml:space="preserve">: </w:t>
      </w:r>
      <w:r w:rsidR="00A8474F">
        <w:rPr>
          <w:rFonts w:ascii="Times New Roman" w:hAnsi="Times New Roman" w:cs="Times New Roman"/>
          <w:sz w:val="24"/>
          <w:szCs w:val="24"/>
        </w:rPr>
        <w:t xml:space="preserve">Visual focus. More realistic depiction. Clothed in toga. </w:t>
      </w:r>
      <w:r w:rsidR="00F66FDD">
        <w:rPr>
          <w:rFonts w:ascii="Times New Roman" w:hAnsi="Times New Roman" w:cs="Times New Roman"/>
          <w:sz w:val="24"/>
          <w:szCs w:val="24"/>
        </w:rPr>
        <w:t>Arms not raised</w:t>
      </w:r>
      <w:r w:rsidR="00A45D98">
        <w:rPr>
          <w:rFonts w:ascii="Times New Roman" w:hAnsi="Times New Roman" w:cs="Times New Roman"/>
          <w:sz w:val="24"/>
          <w:szCs w:val="24"/>
        </w:rPr>
        <w:t>, the more formal, restrained pose reminiscent of Roman offering pose</w:t>
      </w:r>
      <w:r w:rsidR="00F66FDD">
        <w:rPr>
          <w:rFonts w:ascii="Times New Roman" w:hAnsi="Times New Roman" w:cs="Times New Roman"/>
          <w:sz w:val="24"/>
          <w:szCs w:val="24"/>
        </w:rPr>
        <w:t xml:space="preserve">. Holding (perhaps) offerings (grapes and scroll)? Hands depicted. </w:t>
      </w:r>
    </w:p>
    <w:p w:rsidR="00F66FDD" w:rsidRDefault="00F66FDD" w:rsidP="003F0F21">
      <w:pPr>
        <w:spacing w:line="480" w:lineRule="auto"/>
        <w:ind w:left="567"/>
        <w:rPr>
          <w:rFonts w:ascii="Times New Roman" w:hAnsi="Times New Roman" w:cs="Times New Roman"/>
          <w:sz w:val="24"/>
          <w:szCs w:val="24"/>
        </w:rPr>
      </w:pPr>
      <w:r>
        <w:rPr>
          <w:rFonts w:ascii="Times New Roman" w:hAnsi="Times New Roman" w:cs="Times New Roman"/>
          <w:i/>
          <w:sz w:val="24"/>
          <w:szCs w:val="24"/>
        </w:rPr>
        <w:lastRenderedPageBreak/>
        <w:t>The Deity</w:t>
      </w:r>
      <w:r w:rsidRPr="00F66FDD">
        <w:rPr>
          <w:rFonts w:ascii="Times New Roman" w:hAnsi="Times New Roman" w:cs="Times New Roman"/>
          <w:sz w:val="24"/>
          <w:szCs w:val="24"/>
        </w:rPr>
        <w:t>:</w:t>
      </w:r>
      <w:r>
        <w:rPr>
          <w:rFonts w:ascii="Times New Roman" w:hAnsi="Times New Roman" w:cs="Times New Roman"/>
          <w:sz w:val="24"/>
          <w:szCs w:val="24"/>
        </w:rPr>
        <w:t xml:space="preserve"> Crescent moon at top of stele. </w:t>
      </w:r>
    </w:p>
    <w:p w:rsidR="00F66FDD" w:rsidRDefault="00F66FDD" w:rsidP="003F0F21">
      <w:pPr>
        <w:spacing w:line="480" w:lineRule="auto"/>
        <w:ind w:left="567"/>
        <w:rPr>
          <w:rFonts w:ascii="Times New Roman" w:hAnsi="Times New Roman" w:cs="Times New Roman"/>
          <w:sz w:val="24"/>
          <w:szCs w:val="24"/>
        </w:rPr>
      </w:pPr>
      <w:r>
        <w:rPr>
          <w:rFonts w:ascii="Times New Roman" w:hAnsi="Times New Roman" w:cs="Times New Roman"/>
          <w:i/>
          <w:sz w:val="24"/>
          <w:szCs w:val="24"/>
        </w:rPr>
        <w:t>Technical method</w:t>
      </w:r>
      <w:r w:rsidRPr="00F66FDD">
        <w:rPr>
          <w:rFonts w:ascii="Times New Roman" w:hAnsi="Times New Roman" w:cs="Times New Roman"/>
          <w:sz w:val="24"/>
          <w:szCs w:val="24"/>
        </w:rPr>
        <w:t>:</w:t>
      </w:r>
      <w:r>
        <w:rPr>
          <w:rFonts w:ascii="Times New Roman" w:hAnsi="Times New Roman" w:cs="Times New Roman"/>
          <w:sz w:val="24"/>
          <w:szCs w:val="24"/>
        </w:rPr>
        <w:t xml:space="preserve"> 3d elements. Frontal composition. </w:t>
      </w:r>
      <w:r w:rsidR="004E1EB8">
        <w:rPr>
          <w:rFonts w:ascii="Times New Roman" w:hAnsi="Times New Roman" w:cs="Times New Roman"/>
          <w:sz w:val="24"/>
          <w:szCs w:val="24"/>
        </w:rPr>
        <w:t xml:space="preserve">Less crude representation of person, though not entirely realistic. </w:t>
      </w:r>
    </w:p>
    <w:p w:rsidR="00A45D98" w:rsidRDefault="00A45D98" w:rsidP="003F0F21">
      <w:pPr>
        <w:spacing w:line="480" w:lineRule="auto"/>
        <w:ind w:left="567"/>
        <w:rPr>
          <w:rFonts w:ascii="Times New Roman" w:hAnsi="Times New Roman" w:cs="Times New Roman"/>
          <w:sz w:val="24"/>
          <w:szCs w:val="24"/>
        </w:rPr>
      </w:pPr>
      <w:r>
        <w:rPr>
          <w:rFonts w:ascii="Times New Roman" w:hAnsi="Times New Roman" w:cs="Times New Roman"/>
          <w:i/>
          <w:sz w:val="24"/>
          <w:szCs w:val="24"/>
        </w:rPr>
        <w:t>Miscellaneous</w:t>
      </w:r>
      <w:r w:rsidRPr="00A45D98">
        <w:rPr>
          <w:rFonts w:ascii="Times New Roman" w:hAnsi="Times New Roman" w:cs="Times New Roman"/>
          <w:sz w:val="24"/>
          <w:szCs w:val="24"/>
        </w:rPr>
        <w:t>:</w:t>
      </w:r>
      <w:r>
        <w:rPr>
          <w:rFonts w:ascii="Times New Roman" w:hAnsi="Times New Roman" w:cs="Times New Roman"/>
          <w:sz w:val="24"/>
          <w:szCs w:val="24"/>
        </w:rPr>
        <w:t xml:space="preserve"> No palm branch. No inscription. Ram (sacrifice offering) depicted, but not held by dedicant. Architectural features frame the dedicant. </w:t>
      </w:r>
    </w:p>
    <w:p w:rsidR="00A45D98" w:rsidRDefault="00A45D98" w:rsidP="00A45D98">
      <w:pPr>
        <w:spacing w:line="480" w:lineRule="auto"/>
        <w:rPr>
          <w:rFonts w:ascii="Times New Roman" w:hAnsi="Times New Roman" w:cs="Times New Roman"/>
          <w:sz w:val="24"/>
          <w:szCs w:val="24"/>
        </w:rPr>
      </w:pPr>
      <w:r>
        <w:rPr>
          <w:rFonts w:ascii="Times New Roman" w:hAnsi="Times New Roman" w:cs="Times New Roman"/>
          <w:sz w:val="24"/>
          <w:szCs w:val="24"/>
        </w:rPr>
        <w:t xml:space="preserve">Fig. 4: </w:t>
      </w:r>
    </w:p>
    <w:p w:rsidR="00A45D98" w:rsidRDefault="00A45D98" w:rsidP="00A45D98">
      <w:pPr>
        <w:spacing w:line="480" w:lineRule="auto"/>
        <w:ind w:left="567"/>
        <w:rPr>
          <w:rFonts w:ascii="Times New Roman" w:hAnsi="Times New Roman" w:cs="Times New Roman"/>
          <w:sz w:val="24"/>
          <w:szCs w:val="24"/>
        </w:rPr>
      </w:pPr>
      <w:r>
        <w:rPr>
          <w:rFonts w:ascii="Times New Roman" w:hAnsi="Times New Roman" w:cs="Times New Roman"/>
          <w:i/>
          <w:sz w:val="24"/>
          <w:szCs w:val="24"/>
        </w:rPr>
        <w:t>The Dedicant</w:t>
      </w:r>
      <w:r>
        <w:rPr>
          <w:rFonts w:ascii="Times New Roman" w:hAnsi="Times New Roman" w:cs="Times New Roman"/>
          <w:sz w:val="24"/>
          <w:szCs w:val="24"/>
        </w:rPr>
        <w:t>: No longer the sole visual focus</w:t>
      </w:r>
      <w:r w:rsidR="00F50328">
        <w:rPr>
          <w:rFonts w:ascii="Times New Roman" w:hAnsi="Times New Roman" w:cs="Times New Roman"/>
          <w:sz w:val="24"/>
          <w:szCs w:val="24"/>
        </w:rPr>
        <w:t>, relief is more crowded</w:t>
      </w:r>
      <w:r>
        <w:rPr>
          <w:rFonts w:ascii="Times New Roman" w:hAnsi="Times New Roman" w:cs="Times New Roman"/>
          <w:sz w:val="24"/>
          <w:szCs w:val="24"/>
        </w:rPr>
        <w:t>. More realistic depiction. Arms not raised, more ‘Roman’</w:t>
      </w:r>
      <w:r w:rsidR="00815B11">
        <w:rPr>
          <w:rFonts w:ascii="Times New Roman" w:hAnsi="Times New Roman" w:cs="Times New Roman"/>
          <w:sz w:val="24"/>
          <w:szCs w:val="24"/>
        </w:rPr>
        <w:t xml:space="preserve"> pose. One is seated. </w:t>
      </w:r>
      <w:r w:rsidR="00303F26">
        <w:rPr>
          <w:rFonts w:ascii="Times New Roman" w:hAnsi="Times New Roman" w:cs="Times New Roman"/>
          <w:sz w:val="24"/>
          <w:szCs w:val="24"/>
        </w:rPr>
        <w:t xml:space="preserve">Not holding an offering (?). </w:t>
      </w:r>
    </w:p>
    <w:p w:rsidR="008F0851" w:rsidRDefault="008F0851" w:rsidP="00A45D98">
      <w:pPr>
        <w:spacing w:line="480" w:lineRule="auto"/>
        <w:ind w:left="567"/>
        <w:rPr>
          <w:rFonts w:ascii="Times New Roman" w:hAnsi="Times New Roman" w:cs="Times New Roman"/>
          <w:sz w:val="24"/>
          <w:szCs w:val="24"/>
        </w:rPr>
      </w:pPr>
      <w:r>
        <w:rPr>
          <w:rFonts w:ascii="Times New Roman" w:hAnsi="Times New Roman" w:cs="Times New Roman"/>
          <w:i/>
          <w:sz w:val="24"/>
          <w:szCs w:val="24"/>
        </w:rPr>
        <w:t>The Deity</w:t>
      </w:r>
      <w:r w:rsidRPr="008F0851">
        <w:rPr>
          <w:rFonts w:ascii="Times New Roman" w:hAnsi="Times New Roman" w:cs="Times New Roman"/>
          <w:sz w:val="24"/>
          <w:szCs w:val="24"/>
        </w:rPr>
        <w:t>:</w:t>
      </w:r>
      <w:r>
        <w:rPr>
          <w:rFonts w:ascii="Times New Roman" w:hAnsi="Times New Roman" w:cs="Times New Roman"/>
          <w:sz w:val="24"/>
          <w:szCs w:val="24"/>
        </w:rPr>
        <w:t xml:space="preserve"> Pantheon of deities. </w:t>
      </w:r>
      <w:r w:rsidR="00B22685">
        <w:rPr>
          <w:rFonts w:ascii="Times New Roman" w:hAnsi="Times New Roman" w:cs="Times New Roman"/>
          <w:sz w:val="24"/>
          <w:szCs w:val="24"/>
        </w:rPr>
        <w:t xml:space="preserve">Saturn and crescent moon cap the tops. </w:t>
      </w:r>
    </w:p>
    <w:p w:rsidR="00F50328" w:rsidRDefault="00F50328" w:rsidP="00A45D98">
      <w:pPr>
        <w:spacing w:line="480" w:lineRule="auto"/>
        <w:ind w:left="567"/>
        <w:rPr>
          <w:rFonts w:ascii="Times New Roman" w:hAnsi="Times New Roman" w:cs="Times New Roman"/>
          <w:sz w:val="24"/>
          <w:szCs w:val="24"/>
        </w:rPr>
      </w:pPr>
      <w:r>
        <w:rPr>
          <w:rFonts w:ascii="Times New Roman" w:hAnsi="Times New Roman" w:cs="Times New Roman"/>
          <w:i/>
          <w:sz w:val="24"/>
          <w:szCs w:val="24"/>
        </w:rPr>
        <w:t>Technical Method</w:t>
      </w:r>
      <w:r w:rsidRPr="00F50328">
        <w:rPr>
          <w:rFonts w:ascii="Times New Roman" w:hAnsi="Times New Roman" w:cs="Times New Roman"/>
          <w:sz w:val="24"/>
          <w:szCs w:val="24"/>
        </w:rPr>
        <w:t>:</w:t>
      </w:r>
      <w:r>
        <w:rPr>
          <w:rFonts w:ascii="Times New Roman" w:hAnsi="Times New Roman" w:cs="Times New Roman"/>
          <w:sz w:val="24"/>
          <w:szCs w:val="24"/>
        </w:rPr>
        <w:t xml:space="preserve"> 3d elements. </w:t>
      </w:r>
      <w:r w:rsidR="00BF5376">
        <w:rPr>
          <w:rFonts w:ascii="Times New Roman" w:hAnsi="Times New Roman" w:cs="Times New Roman"/>
          <w:sz w:val="24"/>
          <w:szCs w:val="24"/>
        </w:rPr>
        <w:t xml:space="preserve">Frontal composition. </w:t>
      </w:r>
      <w:r w:rsidR="00B65563">
        <w:rPr>
          <w:rFonts w:ascii="Times New Roman" w:hAnsi="Times New Roman" w:cs="Times New Roman"/>
          <w:sz w:val="24"/>
          <w:szCs w:val="24"/>
        </w:rPr>
        <w:t xml:space="preserve">High quality relief, from highly-urbanised area. </w:t>
      </w:r>
    </w:p>
    <w:p w:rsidR="00BD72B8" w:rsidRDefault="00BD72B8" w:rsidP="00A45D98">
      <w:pPr>
        <w:spacing w:line="480" w:lineRule="auto"/>
        <w:ind w:left="567"/>
        <w:rPr>
          <w:rFonts w:ascii="Times New Roman" w:hAnsi="Times New Roman" w:cs="Times New Roman"/>
          <w:sz w:val="24"/>
          <w:szCs w:val="24"/>
        </w:rPr>
      </w:pPr>
      <w:r>
        <w:rPr>
          <w:rFonts w:ascii="Times New Roman" w:hAnsi="Times New Roman" w:cs="Times New Roman"/>
          <w:i/>
          <w:sz w:val="24"/>
          <w:szCs w:val="24"/>
        </w:rPr>
        <w:t>Miscellaneous</w:t>
      </w:r>
      <w:r w:rsidRPr="00BD72B8">
        <w:rPr>
          <w:rFonts w:ascii="Times New Roman" w:hAnsi="Times New Roman" w:cs="Times New Roman"/>
          <w:sz w:val="24"/>
          <w:szCs w:val="24"/>
        </w:rPr>
        <w:t>:</w:t>
      </w:r>
      <w:r>
        <w:rPr>
          <w:rFonts w:ascii="Times New Roman" w:hAnsi="Times New Roman" w:cs="Times New Roman"/>
          <w:sz w:val="24"/>
          <w:szCs w:val="24"/>
        </w:rPr>
        <w:t xml:space="preserve"> No palm branch. No inscription. Animals depicted, are they sacrificial offerings? Architectural features, including temples in which the dedicants are placed. </w:t>
      </w:r>
    </w:p>
    <w:p w:rsidR="002836A6" w:rsidRDefault="00D47C93" w:rsidP="002836A6">
      <w:pPr>
        <w:spacing w:line="480" w:lineRule="auto"/>
        <w:rPr>
          <w:rFonts w:ascii="Times New Roman" w:hAnsi="Times New Roman" w:cs="Times New Roman"/>
          <w:sz w:val="24"/>
          <w:szCs w:val="24"/>
        </w:rPr>
      </w:pPr>
      <w:r>
        <w:rPr>
          <w:rFonts w:ascii="Times New Roman" w:hAnsi="Times New Roman" w:cs="Times New Roman"/>
          <w:sz w:val="24"/>
          <w:szCs w:val="24"/>
        </w:rPr>
        <w:t xml:space="preserve">Analysis of these four images of stelai dedicated to Baal/Saturn, we can see that some major stylistic changes occurred. </w:t>
      </w:r>
      <w:r w:rsidR="00AB010B">
        <w:rPr>
          <w:rFonts w:ascii="Times New Roman" w:hAnsi="Times New Roman" w:cs="Times New Roman"/>
          <w:sz w:val="24"/>
          <w:szCs w:val="24"/>
        </w:rPr>
        <w:t xml:space="preserve">They became more ‘Roman’ in style, </w:t>
      </w:r>
      <w:r w:rsidR="004C7A76">
        <w:rPr>
          <w:rFonts w:ascii="Times New Roman" w:hAnsi="Times New Roman" w:cs="Times New Roman"/>
          <w:sz w:val="24"/>
          <w:szCs w:val="24"/>
        </w:rPr>
        <w:t>with the later examples appearing very different to the earlier ones. However, the stelai are all recognisable as that of Baal/Saturn as there is a few reoccurring elements, such as the crescent moon and the dedicant being a visual focu</w:t>
      </w:r>
      <w:r w:rsidR="00652864">
        <w:rPr>
          <w:rFonts w:ascii="Times New Roman" w:hAnsi="Times New Roman" w:cs="Times New Roman"/>
          <w:sz w:val="24"/>
          <w:szCs w:val="24"/>
        </w:rPr>
        <w:t xml:space="preserve">s. When you also consider that these changes would have happened over time, and that the differences would not have all come about at the same time, the ability to recognise them as dedications to Baal/Saturn become easier to follow when you look at them chronologically. </w:t>
      </w:r>
    </w:p>
    <w:p w:rsidR="0000212A" w:rsidRDefault="005F10E8" w:rsidP="002836A6">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frontality of the iconography is also a common trend. </w:t>
      </w:r>
      <w:r w:rsidR="002F4CEC">
        <w:rPr>
          <w:rFonts w:ascii="Times New Roman" w:hAnsi="Times New Roman" w:cs="Times New Roman"/>
          <w:sz w:val="24"/>
          <w:szCs w:val="24"/>
        </w:rPr>
        <w:t xml:space="preserve">This is a feature common in Roman sculptural art, especially funerary monuments, but it is also present in the pre-Roman stelai. </w:t>
      </w:r>
      <w:r w:rsidR="00652864">
        <w:rPr>
          <w:rFonts w:ascii="Times New Roman" w:hAnsi="Times New Roman" w:cs="Times New Roman"/>
          <w:sz w:val="24"/>
          <w:szCs w:val="24"/>
        </w:rPr>
        <w:t xml:space="preserve">It has been suggested that the worship of Baal/Saturn seems to be concentrated within the middle and lower </w:t>
      </w:r>
      <w:proofErr w:type="spellStart"/>
      <w:r w:rsidR="00652864">
        <w:rPr>
          <w:rFonts w:ascii="Times New Roman" w:hAnsi="Times New Roman" w:cs="Times New Roman"/>
          <w:sz w:val="24"/>
          <w:szCs w:val="24"/>
        </w:rPr>
        <w:t>stratas</w:t>
      </w:r>
      <w:proofErr w:type="spellEnd"/>
      <w:r w:rsidR="00652864">
        <w:rPr>
          <w:rFonts w:ascii="Times New Roman" w:hAnsi="Times New Roman" w:cs="Times New Roman"/>
          <w:sz w:val="24"/>
          <w:szCs w:val="24"/>
        </w:rPr>
        <w:t xml:space="preserve"> of society, and the idea that the frontal depictions are due to the influence of Roman occupation doesn’t take into account that this may simply be a result of “simplistic artisan work”.</w:t>
      </w:r>
      <w:r w:rsidR="00652864">
        <w:rPr>
          <w:rStyle w:val="FootnoteReference"/>
          <w:rFonts w:ascii="Times New Roman" w:hAnsi="Times New Roman" w:cs="Times New Roman"/>
          <w:sz w:val="24"/>
          <w:szCs w:val="24"/>
        </w:rPr>
        <w:footnoteReference w:id="12"/>
      </w:r>
      <w:r w:rsidR="00652864">
        <w:rPr>
          <w:rFonts w:ascii="Times New Roman" w:hAnsi="Times New Roman" w:cs="Times New Roman"/>
          <w:sz w:val="24"/>
          <w:szCs w:val="24"/>
        </w:rPr>
        <w:t xml:space="preserve"> </w:t>
      </w:r>
    </w:p>
    <w:p w:rsidR="00BB00C7" w:rsidRDefault="00BB00C7" w:rsidP="002836A6">
      <w:pPr>
        <w:spacing w:line="480" w:lineRule="auto"/>
        <w:rPr>
          <w:rFonts w:ascii="Times New Roman" w:hAnsi="Times New Roman" w:cs="Times New Roman"/>
          <w:sz w:val="24"/>
          <w:szCs w:val="24"/>
        </w:rPr>
      </w:pPr>
      <w:r>
        <w:rPr>
          <w:rFonts w:ascii="Times New Roman" w:hAnsi="Times New Roman" w:cs="Times New Roman"/>
          <w:sz w:val="24"/>
          <w:szCs w:val="24"/>
        </w:rPr>
        <w:t xml:space="preserve">The impact of Roman influence on the worship of Baal/Saturn </w:t>
      </w:r>
      <w:r w:rsidR="00D20964">
        <w:rPr>
          <w:rFonts w:ascii="Times New Roman" w:hAnsi="Times New Roman" w:cs="Times New Roman"/>
          <w:sz w:val="24"/>
          <w:szCs w:val="24"/>
        </w:rPr>
        <w:t xml:space="preserve">varied around the province of Africa Proconsularis. </w:t>
      </w:r>
      <w:r w:rsidR="0084711C">
        <w:rPr>
          <w:rFonts w:ascii="Times New Roman" w:hAnsi="Times New Roman" w:cs="Times New Roman"/>
          <w:sz w:val="24"/>
          <w:szCs w:val="24"/>
        </w:rPr>
        <w:t xml:space="preserve">In some places, such as </w:t>
      </w:r>
      <w:proofErr w:type="spellStart"/>
      <w:r w:rsidR="0084711C" w:rsidRPr="0084711C">
        <w:rPr>
          <w:rFonts w:ascii="Times New Roman" w:hAnsi="Times New Roman" w:cs="Times New Roman"/>
          <w:sz w:val="24"/>
          <w:szCs w:val="24"/>
        </w:rPr>
        <w:t>Aïn</w:t>
      </w:r>
      <w:proofErr w:type="spellEnd"/>
      <w:r w:rsidR="0084711C" w:rsidRPr="0084711C">
        <w:rPr>
          <w:rFonts w:ascii="Times New Roman" w:hAnsi="Times New Roman" w:cs="Times New Roman"/>
          <w:sz w:val="24"/>
          <w:szCs w:val="24"/>
        </w:rPr>
        <w:t xml:space="preserve"> </w:t>
      </w:r>
      <w:proofErr w:type="spellStart"/>
      <w:r w:rsidR="0084711C" w:rsidRPr="0084711C">
        <w:rPr>
          <w:rFonts w:ascii="Times New Roman" w:hAnsi="Times New Roman" w:cs="Times New Roman"/>
          <w:sz w:val="24"/>
          <w:szCs w:val="24"/>
        </w:rPr>
        <w:t>Nemcha</w:t>
      </w:r>
      <w:proofErr w:type="spellEnd"/>
      <w:r w:rsidR="0084711C">
        <w:rPr>
          <w:rFonts w:ascii="Times New Roman" w:hAnsi="Times New Roman" w:cs="Times New Roman"/>
          <w:sz w:val="24"/>
          <w:szCs w:val="24"/>
        </w:rPr>
        <w:t xml:space="preserve"> the impact is minimal, especially in iconographic senses.</w:t>
      </w:r>
      <w:r w:rsidR="0084711C">
        <w:rPr>
          <w:rStyle w:val="FootnoteReference"/>
          <w:rFonts w:ascii="Times New Roman" w:hAnsi="Times New Roman" w:cs="Times New Roman"/>
          <w:sz w:val="24"/>
          <w:szCs w:val="24"/>
        </w:rPr>
        <w:footnoteReference w:id="13"/>
      </w:r>
      <w:r w:rsidR="0084711C">
        <w:rPr>
          <w:rFonts w:ascii="Times New Roman" w:hAnsi="Times New Roman" w:cs="Times New Roman"/>
          <w:sz w:val="24"/>
          <w:szCs w:val="24"/>
        </w:rPr>
        <w:t xml:space="preserve"> Whereas in more urbanised areas </w:t>
      </w:r>
      <w:r w:rsidR="00B83C8E">
        <w:rPr>
          <w:rFonts w:ascii="Times New Roman" w:hAnsi="Times New Roman" w:cs="Times New Roman"/>
          <w:sz w:val="24"/>
          <w:szCs w:val="24"/>
        </w:rPr>
        <w:t>the changes that the worship of the deity underwent more drastic,</w:t>
      </w:r>
      <w:r w:rsidR="00793925">
        <w:rPr>
          <w:rFonts w:ascii="Times New Roman" w:hAnsi="Times New Roman" w:cs="Times New Roman"/>
          <w:sz w:val="24"/>
          <w:szCs w:val="24"/>
        </w:rPr>
        <w:t xml:space="preserve"> though still gradual, cha</w:t>
      </w:r>
      <w:bookmarkStart w:id="0" w:name="_GoBack"/>
      <w:bookmarkEnd w:id="0"/>
      <w:r w:rsidR="00793925">
        <w:rPr>
          <w:rFonts w:ascii="Times New Roman" w:hAnsi="Times New Roman" w:cs="Times New Roman"/>
          <w:sz w:val="24"/>
          <w:szCs w:val="24"/>
        </w:rPr>
        <w:t>nges.</w:t>
      </w:r>
      <w:r w:rsidR="00793925">
        <w:rPr>
          <w:rStyle w:val="FootnoteReference"/>
          <w:rFonts w:ascii="Times New Roman" w:hAnsi="Times New Roman" w:cs="Times New Roman"/>
          <w:sz w:val="24"/>
          <w:szCs w:val="24"/>
        </w:rPr>
        <w:footnoteReference w:id="14"/>
      </w:r>
      <w:r w:rsidR="00793925">
        <w:rPr>
          <w:rFonts w:ascii="Times New Roman" w:hAnsi="Times New Roman" w:cs="Times New Roman"/>
          <w:sz w:val="24"/>
          <w:szCs w:val="24"/>
        </w:rPr>
        <w:t xml:space="preserve"> As well as stylistic differences, some practices also changed. An example of this was the ritual of child sacrifice. </w:t>
      </w:r>
      <w:r w:rsidR="00114046">
        <w:rPr>
          <w:rFonts w:ascii="Times New Roman" w:hAnsi="Times New Roman" w:cs="Times New Roman"/>
          <w:sz w:val="24"/>
          <w:szCs w:val="24"/>
        </w:rPr>
        <w:t>As this was seen as barbaric by the Romans, the practice eventually faded out of existence, with animals being sacri</w:t>
      </w:r>
      <w:r w:rsidR="00F579F4">
        <w:rPr>
          <w:rFonts w:ascii="Times New Roman" w:hAnsi="Times New Roman" w:cs="Times New Roman"/>
          <w:sz w:val="24"/>
          <w:szCs w:val="24"/>
        </w:rPr>
        <w:t>ficed in place of the children.</w:t>
      </w:r>
      <w:r w:rsidR="00F579F4">
        <w:rPr>
          <w:rStyle w:val="FootnoteReference"/>
          <w:rFonts w:ascii="Times New Roman" w:hAnsi="Times New Roman" w:cs="Times New Roman"/>
          <w:sz w:val="24"/>
          <w:szCs w:val="24"/>
        </w:rPr>
        <w:footnoteReference w:id="15"/>
      </w:r>
    </w:p>
    <w:p w:rsidR="0000212A" w:rsidRDefault="0000212A">
      <w:pPr>
        <w:rPr>
          <w:rFonts w:ascii="Times New Roman" w:hAnsi="Times New Roman" w:cs="Times New Roman"/>
          <w:sz w:val="24"/>
          <w:szCs w:val="24"/>
        </w:rPr>
      </w:pPr>
      <w:r>
        <w:rPr>
          <w:rFonts w:ascii="Times New Roman" w:hAnsi="Times New Roman" w:cs="Times New Roman"/>
          <w:sz w:val="24"/>
          <w:szCs w:val="24"/>
        </w:rPr>
        <w:br w:type="page"/>
      </w:r>
    </w:p>
    <w:p w:rsidR="005F10E8" w:rsidRDefault="0000212A" w:rsidP="002836A6">
      <w:pPr>
        <w:spacing w:line="480" w:lineRule="auto"/>
        <w:rPr>
          <w:rFonts w:ascii="Times New Roman" w:hAnsi="Times New Roman" w:cs="Times New Roman"/>
          <w:sz w:val="24"/>
          <w:szCs w:val="24"/>
        </w:rPr>
      </w:pPr>
      <w:r>
        <w:rPr>
          <w:rFonts w:ascii="Times New Roman" w:hAnsi="Times New Roman" w:cs="Times New Roman"/>
          <w:sz w:val="24"/>
          <w:szCs w:val="24"/>
          <w:u w:val="single"/>
        </w:rPr>
        <w:lastRenderedPageBreak/>
        <w:t>Bibliography</w:t>
      </w:r>
    </w:p>
    <w:p w:rsidR="005F0B9E" w:rsidRPr="0075187A" w:rsidRDefault="005F0B9E" w:rsidP="002836A6">
      <w:pPr>
        <w:spacing w:line="480" w:lineRule="auto"/>
        <w:rPr>
          <w:rFonts w:ascii="Times New Roman" w:hAnsi="Times New Roman" w:cs="Times New Roman"/>
          <w:sz w:val="24"/>
          <w:szCs w:val="24"/>
        </w:rPr>
      </w:pPr>
      <w:r>
        <w:rPr>
          <w:rFonts w:ascii="Times New Roman" w:hAnsi="Times New Roman" w:cs="Times New Roman"/>
          <w:sz w:val="24"/>
          <w:szCs w:val="24"/>
        </w:rPr>
        <w:t xml:space="preserve">Rives, J. B. (1995) </w:t>
      </w:r>
      <w:r>
        <w:rPr>
          <w:rFonts w:ascii="Times New Roman" w:hAnsi="Times New Roman" w:cs="Times New Roman"/>
          <w:i/>
          <w:sz w:val="24"/>
          <w:szCs w:val="24"/>
        </w:rPr>
        <w:t>Religion and Authority in Roman Carthage from Augustus to Constantine</w:t>
      </w:r>
      <w:r>
        <w:rPr>
          <w:rFonts w:ascii="Times New Roman" w:hAnsi="Times New Roman" w:cs="Times New Roman"/>
          <w:sz w:val="24"/>
          <w:szCs w:val="24"/>
        </w:rPr>
        <w:t xml:space="preserve">. Oxford: Clarendon Press. </w:t>
      </w:r>
    </w:p>
    <w:p w:rsidR="005F0B9E" w:rsidRDefault="005F0B9E" w:rsidP="002836A6">
      <w:pPr>
        <w:spacing w:line="480" w:lineRule="auto"/>
        <w:rPr>
          <w:rFonts w:ascii="Times New Roman" w:hAnsi="Times New Roman" w:cs="Times New Roman"/>
          <w:sz w:val="24"/>
          <w:szCs w:val="24"/>
        </w:rPr>
      </w:pPr>
      <w:r>
        <w:rPr>
          <w:rFonts w:ascii="Times New Roman" w:hAnsi="Times New Roman" w:cs="Times New Roman"/>
          <w:sz w:val="24"/>
          <w:szCs w:val="24"/>
        </w:rPr>
        <w:t>Rives, J. B. (2007)</w:t>
      </w:r>
      <w:r>
        <w:rPr>
          <w:rFonts w:ascii="Times New Roman" w:hAnsi="Times New Roman" w:cs="Times New Roman"/>
          <w:i/>
          <w:sz w:val="24"/>
          <w:szCs w:val="24"/>
        </w:rPr>
        <w:t xml:space="preserve"> Religion in the Roman Empire</w:t>
      </w:r>
      <w:r>
        <w:rPr>
          <w:rFonts w:ascii="Times New Roman" w:hAnsi="Times New Roman" w:cs="Times New Roman"/>
          <w:sz w:val="24"/>
          <w:szCs w:val="24"/>
        </w:rPr>
        <w:t xml:space="preserve">. Oxford: Blackwell Publishing Ltd. </w:t>
      </w:r>
    </w:p>
    <w:p w:rsidR="005F0B9E" w:rsidRDefault="0084711C" w:rsidP="002836A6">
      <w:pPr>
        <w:spacing w:line="480" w:lineRule="auto"/>
        <w:rPr>
          <w:rFonts w:ascii="Times New Roman" w:hAnsi="Times New Roman" w:cs="Times New Roman"/>
          <w:sz w:val="24"/>
          <w:szCs w:val="24"/>
        </w:rPr>
      </w:pPr>
      <w:r>
        <w:rPr>
          <w:rFonts w:ascii="Times New Roman" w:hAnsi="Times New Roman" w:cs="Times New Roman"/>
          <w:sz w:val="24"/>
          <w:szCs w:val="24"/>
        </w:rPr>
        <w:t>Wilson, A. (2005</w:t>
      </w:r>
      <w:r w:rsidR="005F0B9E">
        <w:rPr>
          <w:rFonts w:ascii="Times New Roman" w:hAnsi="Times New Roman" w:cs="Times New Roman"/>
          <w:sz w:val="24"/>
          <w:szCs w:val="24"/>
        </w:rPr>
        <w:t xml:space="preserve">) ‘Romanizing Baal: the art of Saturn worship in North Africa’, </w:t>
      </w:r>
      <w:r w:rsidR="005F0B9E" w:rsidRPr="0000212A">
        <w:rPr>
          <w:rFonts w:ascii="Times New Roman" w:hAnsi="Times New Roman" w:cs="Times New Roman"/>
          <w:i/>
          <w:sz w:val="24"/>
          <w:szCs w:val="24"/>
        </w:rPr>
        <w:t>Proceedings of the 8</w:t>
      </w:r>
      <w:r w:rsidR="005F0B9E" w:rsidRPr="0000212A">
        <w:rPr>
          <w:rFonts w:ascii="Times New Roman" w:hAnsi="Times New Roman" w:cs="Times New Roman"/>
          <w:i/>
          <w:sz w:val="24"/>
          <w:szCs w:val="24"/>
          <w:vertAlign w:val="superscript"/>
        </w:rPr>
        <w:t>th</w:t>
      </w:r>
      <w:r w:rsidR="005F0B9E" w:rsidRPr="0000212A">
        <w:rPr>
          <w:rFonts w:ascii="Times New Roman" w:hAnsi="Times New Roman" w:cs="Times New Roman"/>
          <w:i/>
          <w:sz w:val="24"/>
          <w:szCs w:val="24"/>
        </w:rPr>
        <w:t xml:space="preserve"> International Colloquium on Problems of Roman Provincial Art</w:t>
      </w:r>
      <w:r w:rsidR="005F0B9E">
        <w:rPr>
          <w:rFonts w:ascii="Times New Roman" w:hAnsi="Times New Roman" w:cs="Times New Roman"/>
          <w:sz w:val="24"/>
          <w:szCs w:val="24"/>
        </w:rPr>
        <w:t xml:space="preserve">. Zagreb, 2005. Available at: </w:t>
      </w:r>
      <w:r w:rsidR="005F0B9E" w:rsidRPr="005F0B9E">
        <w:rPr>
          <w:rFonts w:ascii="Times New Roman" w:hAnsi="Times New Roman" w:cs="Times New Roman"/>
          <w:sz w:val="24"/>
          <w:szCs w:val="24"/>
        </w:rPr>
        <w:t>https://www.academia.edu/434711/Romanizing_Baal_the_art_of_Saturn_worship_in_North_Africa</w:t>
      </w:r>
      <w:r w:rsidR="005F0B9E">
        <w:rPr>
          <w:rFonts w:ascii="Times New Roman" w:hAnsi="Times New Roman" w:cs="Times New Roman"/>
          <w:sz w:val="24"/>
          <w:szCs w:val="24"/>
        </w:rPr>
        <w:t xml:space="preserve"> (Accessed: 12 June 2019)</w:t>
      </w:r>
    </w:p>
    <w:p w:rsidR="005F0B9E" w:rsidRDefault="005F0B9E" w:rsidP="002836A6">
      <w:pPr>
        <w:spacing w:line="480" w:lineRule="auto"/>
        <w:rPr>
          <w:rFonts w:ascii="Times New Roman" w:hAnsi="Times New Roman" w:cs="Times New Roman"/>
          <w:sz w:val="24"/>
          <w:szCs w:val="24"/>
        </w:rPr>
      </w:pPr>
    </w:p>
    <w:p w:rsidR="0000212A" w:rsidRDefault="0000212A" w:rsidP="002836A6">
      <w:pPr>
        <w:spacing w:line="480" w:lineRule="auto"/>
        <w:rPr>
          <w:rFonts w:ascii="Times New Roman" w:hAnsi="Times New Roman" w:cs="Times New Roman"/>
          <w:sz w:val="24"/>
          <w:szCs w:val="24"/>
        </w:rPr>
      </w:pPr>
    </w:p>
    <w:p w:rsidR="0000212A" w:rsidRDefault="0000212A" w:rsidP="002836A6">
      <w:pPr>
        <w:spacing w:line="480" w:lineRule="auto"/>
        <w:rPr>
          <w:rFonts w:ascii="Times New Roman" w:hAnsi="Times New Roman" w:cs="Times New Roman"/>
          <w:sz w:val="24"/>
          <w:szCs w:val="24"/>
        </w:rPr>
      </w:pPr>
    </w:p>
    <w:p w:rsidR="00334DFB" w:rsidRDefault="00334DFB" w:rsidP="002836A6">
      <w:pPr>
        <w:spacing w:line="480" w:lineRule="auto"/>
        <w:rPr>
          <w:rFonts w:ascii="Times New Roman" w:hAnsi="Times New Roman" w:cs="Times New Roman"/>
          <w:sz w:val="24"/>
          <w:szCs w:val="24"/>
        </w:rPr>
      </w:pPr>
    </w:p>
    <w:p w:rsidR="00334DFB" w:rsidRPr="002836A6" w:rsidRDefault="00334DFB" w:rsidP="002836A6">
      <w:pPr>
        <w:spacing w:line="480" w:lineRule="auto"/>
        <w:rPr>
          <w:rFonts w:ascii="Times New Roman" w:hAnsi="Times New Roman" w:cs="Times New Roman"/>
          <w:sz w:val="24"/>
          <w:szCs w:val="24"/>
        </w:rPr>
      </w:pPr>
    </w:p>
    <w:sectPr w:rsidR="00334DFB" w:rsidRPr="002836A6">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A92" w:rsidRDefault="00552A92" w:rsidP="00AE1365">
      <w:pPr>
        <w:spacing w:after="0" w:line="240" w:lineRule="auto"/>
      </w:pPr>
      <w:r>
        <w:separator/>
      </w:r>
    </w:p>
  </w:endnote>
  <w:endnote w:type="continuationSeparator" w:id="0">
    <w:p w:rsidR="00552A92" w:rsidRDefault="00552A92" w:rsidP="00AE13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5792214"/>
      <w:docPartObj>
        <w:docPartGallery w:val="Page Numbers (Bottom of Page)"/>
        <w:docPartUnique/>
      </w:docPartObj>
    </w:sdtPr>
    <w:sdtEndPr>
      <w:rPr>
        <w:noProof/>
      </w:rPr>
    </w:sdtEndPr>
    <w:sdtContent>
      <w:p w:rsidR="00753B2A" w:rsidRDefault="00753B2A">
        <w:pPr>
          <w:pStyle w:val="Footer"/>
          <w:jc w:val="center"/>
        </w:pPr>
        <w:r>
          <w:fldChar w:fldCharType="begin"/>
        </w:r>
        <w:r>
          <w:instrText xml:space="preserve"> PAGE   \* MERGEFORMAT </w:instrText>
        </w:r>
        <w:r>
          <w:fldChar w:fldCharType="separate"/>
        </w:r>
        <w:r>
          <w:rPr>
            <w:noProof/>
          </w:rPr>
          <w:t>7</w:t>
        </w:r>
        <w:r>
          <w:rPr>
            <w:noProof/>
          </w:rPr>
          <w:fldChar w:fldCharType="end"/>
        </w:r>
      </w:p>
    </w:sdtContent>
  </w:sdt>
  <w:p w:rsidR="00753B2A" w:rsidRDefault="00753B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A92" w:rsidRDefault="00552A92" w:rsidP="00AE1365">
      <w:pPr>
        <w:spacing w:after="0" w:line="240" w:lineRule="auto"/>
      </w:pPr>
      <w:r>
        <w:separator/>
      </w:r>
    </w:p>
  </w:footnote>
  <w:footnote w:type="continuationSeparator" w:id="0">
    <w:p w:rsidR="00552A92" w:rsidRDefault="00552A92" w:rsidP="00AE1365">
      <w:pPr>
        <w:spacing w:after="0" w:line="240" w:lineRule="auto"/>
      </w:pPr>
      <w:r>
        <w:continuationSeparator/>
      </w:r>
    </w:p>
  </w:footnote>
  <w:footnote w:id="1">
    <w:p w:rsidR="00AE1365" w:rsidRDefault="00AE1365">
      <w:pPr>
        <w:pStyle w:val="FootnoteText"/>
      </w:pPr>
      <w:r>
        <w:rPr>
          <w:rStyle w:val="FootnoteReference"/>
        </w:rPr>
        <w:footnoteRef/>
      </w:r>
      <w:r>
        <w:t xml:space="preserve"> Rives 2007: 71</w:t>
      </w:r>
    </w:p>
  </w:footnote>
  <w:footnote w:id="2">
    <w:p w:rsidR="00A01F4B" w:rsidRDefault="00A01F4B">
      <w:pPr>
        <w:pStyle w:val="FootnoteText"/>
      </w:pPr>
      <w:r>
        <w:rPr>
          <w:rStyle w:val="FootnoteReference"/>
        </w:rPr>
        <w:footnoteRef/>
      </w:r>
      <w:r>
        <w:t xml:space="preserve"> Rives 2007: 71</w:t>
      </w:r>
    </w:p>
  </w:footnote>
  <w:footnote w:id="3">
    <w:p w:rsidR="00A01F4B" w:rsidRDefault="00A01F4B">
      <w:pPr>
        <w:pStyle w:val="FootnoteText"/>
      </w:pPr>
      <w:r>
        <w:rPr>
          <w:rStyle w:val="FootnoteReference"/>
        </w:rPr>
        <w:footnoteRef/>
      </w:r>
      <w:r>
        <w:t xml:space="preserve"> Rives 2007: 71</w:t>
      </w:r>
    </w:p>
  </w:footnote>
  <w:footnote w:id="4">
    <w:p w:rsidR="004F270E" w:rsidRDefault="004F270E">
      <w:pPr>
        <w:pStyle w:val="FootnoteText"/>
      </w:pPr>
      <w:r>
        <w:rPr>
          <w:rStyle w:val="FootnoteReference"/>
        </w:rPr>
        <w:footnoteRef/>
      </w:r>
      <w:r>
        <w:t xml:space="preserve"> Rives 2007: 71</w:t>
      </w:r>
    </w:p>
  </w:footnote>
  <w:footnote w:id="5">
    <w:p w:rsidR="008A4558" w:rsidRDefault="008A4558">
      <w:pPr>
        <w:pStyle w:val="FootnoteText"/>
      </w:pPr>
      <w:r>
        <w:rPr>
          <w:rStyle w:val="FootnoteReference"/>
        </w:rPr>
        <w:footnoteRef/>
      </w:r>
      <w:r>
        <w:t xml:space="preserve"> Rives 2007: 71-72</w:t>
      </w:r>
    </w:p>
  </w:footnote>
  <w:footnote w:id="6">
    <w:p w:rsidR="00B47834" w:rsidRDefault="00B47834">
      <w:pPr>
        <w:pStyle w:val="FootnoteText"/>
      </w:pPr>
      <w:r>
        <w:rPr>
          <w:rStyle w:val="FootnoteReference"/>
        </w:rPr>
        <w:footnoteRef/>
      </w:r>
      <w:r>
        <w:t xml:space="preserve"> </w:t>
      </w:r>
      <w:proofErr w:type="spellStart"/>
      <w:r>
        <w:t>Haeussler</w:t>
      </w:r>
      <w:proofErr w:type="spellEnd"/>
      <w:r>
        <w:t>, Webster 2019: 2</w:t>
      </w:r>
    </w:p>
  </w:footnote>
  <w:footnote w:id="7">
    <w:p w:rsidR="0047201D" w:rsidRDefault="0047201D">
      <w:pPr>
        <w:pStyle w:val="FootnoteText"/>
      </w:pPr>
      <w:r>
        <w:rPr>
          <w:rStyle w:val="FootnoteReference"/>
        </w:rPr>
        <w:footnoteRef/>
      </w:r>
      <w:r>
        <w:t xml:space="preserve"> Rives 2007: 73</w:t>
      </w:r>
    </w:p>
  </w:footnote>
  <w:footnote w:id="8">
    <w:p w:rsidR="00B22CFA" w:rsidRDefault="00B22CFA">
      <w:pPr>
        <w:pStyle w:val="FootnoteText"/>
      </w:pPr>
      <w:r>
        <w:rPr>
          <w:rStyle w:val="FootnoteReference"/>
        </w:rPr>
        <w:footnoteRef/>
      </w:r>
      <w:r>
        <w:t xml:space="preserve"> Rives </w:t>
      </w:r>
      <w:r w:rsidR="00D26083">
        <w:t>1995: 151</w:t>
      </w:r>
    </w:p>
  </w:footnote>
  <w:footnote w:id="9">
    <w:p w:rsidR="00847FBF" w:rsidRDefault="00847FBF">
      <w:pPr>
        <w:pStyle w:val="FootnoteText"/>
      </w:pPr>
      <w:r>
        <w:rPr>
          <w:rStyle w:val="FootnoteReference"/>
        </w:rPr>
        <w:footnoteRef/>
      </w:r>
      <w:r>
        <w:t xml:space="preserve"> Rives 1995: 151</w:t>
      </w:r>
    </w:p>
  </w:footnote>
  <w:footnote w:id="10">
    <w:p w:rsidR="00BB3C71" w:rsidRDefault="00BB3C71">
      <w:pPr>
        <w:pStyle w:val="FootnoteText"/>
      </w:pPr>
      <w:r>
        <w:rPr>
          <w:rStyle w:val="FootnoteReference"/>
        </w:rPr>
        <w:footnoteRef/>
      </w:r>
      <w:r>
        <w:t xml:space="preserve"> Wilson 2005: 403</w:t>
      </w:r>
    </w:p>
  </w:footnote>
  <w:footnote w:id="11">
    <w:p w:rsidR="00D360F7" w:rsidRDefault="00D360F7">
      <w:pPr>
        <w:pStyle w:val="FootnoteText"/>
      </w:pPr>
      <w:r>
        <w:rPr>
          <w:rStyle w:val="FootnoteReference"/>
        </w:rPr>
        <w:footnoteRef/>
      </w:r>
      <w:r>
        <w:t xml:space="preserve"> </w:t>
      </w:r>
      <w:r w:rsidR="00901825" w:rsidRPr="00901825">
        <w:rPr>
          <w:rFonts w:cstheme="minorHAnsi"/>
        </w:rPr>
        <w:t>The image that Wilson has used is referenced as ‘Fig. 1’</w:t>
      </w:r>
      <w:r w:rsidR="00901825">
        <w:rPr>
          <w:rFonts w:cstheme="minorHAnsi"/>
        </w:rPr>
        <w:t xml:space="preserve">. </w:t>
      </w:r>
      <w:r w:rsidRPr="00901825">
        <w:rPr>
          <w:rFonts w:cstheme="minorHAnsi"/>
        </w:rPr>
        <w:t>I</w:t>
      </w:r>
      <w:r w:rsidRPr="00D360F7">
        <w:rPr>
          <w:rFonts w:cstheme="minorHAnsi"/>
        </w:rPr>
        <w:t xml:space="preserve"> shall refer to the images with the same references</w:t>
      </w:r>
      <w:r>
        <w:rPr>
          <w:rFonts w:cstheme="minorHAnsi"/>
        </w:rPr>
        <w:t xml:space="preserve"> to aid cross-referencing. </w:t>
      </w:r>
    </w:p>
  </w:footnote>
  <w:footnote w:id="12">
    <w:p w:rsidR="00652864" w:rsidRDefault="00652864">
      <w:pPr>
        <w:pStyle w:val="FootnoteText"/>
      </w:pPr>
      <w:r>
        <w:rPr>
          <w:rStyle w:val="FootnoteReference"/>
        </w:rPr>
        <w:footnoteRef/>
      </w:r>
      <w:r>
        <w:t xml:space="preserve"> Wilson 2005: 407</w:t>
      </w:r>
    </w:p>
  </w:footnote>
  <w:footnote w:id="13">
    <w:p w:rsidR="0084711C" w:rsidRDefault="0084711C">
      <w:pPr>
        <w:pStyle w:val="FootnoteText"/>
      </w:pPr>
      <w:r>
        <w:rPr>
          <w:rStyle w:val="FootnoteReference"/>
        </w:rPr>
        <w:footnoteRef/>
      </w:r>
      <w:r>
        <w:t xml:space="preserve"> Wilson 2005</w:t>
      </w:r>
      <w:r w:rsidR="00793925">
        <w:t>: 408</w:t>
      </w:r>
    </w:p>
  </w:footnote>
  <w:footnote w:id="14">
    <w:p w:rsidR="00793925" w:rsidRDefault="00793925">
      <w:pPr>
        <w:pStyle w:val="FootnoteText"/>
      </w:pPr>
      <w:r>
        <w:rPr>
          <w:rStyle w:val="FootnoteReference"/>
        </w:rPr>
        <w:footnoteRef/>
      </w:r>
      <w:r>
        <w:t xml:space="preserve"> Wilson 2005: 408</w:t>
      </w:r>
    </w:p>
  </w:footnote>
  <w:footnote w:id="15">
    <w:p w:rsidR="00F579F4" w:rsidRDefault="00F579F4">
      <w:pPr>
        <w:pStyle w:val="FootnoteText"/>
      </w:pPr>
      <w:r>
        <w:rPr>
          <w:rStyle w:val="FootnoteReference"/>
        </w:rPr>
        <w:footnoteRef/>
      </w:r>
      <w:r>
        <w:t xml:space="preserve"> Rives 2007: 73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B2A" w:rsidRPr="00753B2A" w:rsidRDefault="00753B2A">
    <w:pPr>
      <w:pStyle w:val="Header"/>
      <w:rPr>
        <w:rFonts w:ascii="Times New Roman" w:hAnsi="Times New Roman" w:cs="Times New Roman"/>
      </w:rPr>
    </w:pPr>
    <w:r w:rsidRPr="00753B2A">
      <w:rPr>
        <w:rFonts w:ascii="Times New Roman" w:hAnsi="Times New Roman" w:cs="Times New Roman"/>
      </w:rPr>
      <w:tab/>
    </w:r>
    <w:r w:rsidRPr="00753B2A">
      <w:rPr>
        <w:rFonts w:ascii="Times New Roman" w:hAnsi="Times New Roman" w:cs="Times New Roman"/>
      </w:rPr>
      <w:tab/>
      <w:t>Eleanor Travers 1500674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27F"/>
    <w:rsid w:val="0000212A"/>
    <w:rsid w:val="00026A3E"/>
    <w:rsid w:val="00075144"/>
    <w:rsid w:val="000A62CF"/>
    <w:rsid w:val="00114046"/>
    <w:rsid w:val="0012153B"/>
    <w:rsid w:val="00135025"/>
    <w:rsid w:val="00193683"/>
    <w:rsid w:val="001E18EA"/>
    <w:rsid w:val="0027627F"/>
    <w:rsid w:val="002836A6"/>
    <w:rsid w:val="002C48B0"/>
    <w:rsid w:val="002F4CEC"/>
    <w:rsid w:val="00303F26"/>
    <w:rsid w:val="00334DFB"/>
    <w:rsid w:val="00335029"/>
    <w:rsid w:val="003E121D"/>
    <w:rsid w:val="003F0F21"/>
    <w:rsid w:val="004304E1"/>
    <w:rsid w:val="0047201D"/>
    <w:rsid w:val="0049142E"/>
    <w:rsid w:val="004C7A76"/>
    <w:rsid w:val="004E1EB8"/>
    <w:rsid w:val="004F064F"/>
    <w:rsid w:val="004F270E"/>
    <w:rsid w:val="004F712E"/>
    <w:rsid w:val="00552A92"/>
    <w:rsid w:val="005843BE"/>
    <w:rsid w:val="005F0B9E"/>
    <w:rsid w:val="005F10E8"/>
    <w:rsid w:val="00636CA0"/>
    <w:rsid w:val="00652864"/>
    <w:rsid w:val="006E069F"/>
    <w:rsid w:val="006F4578"/>
    <w:rsid w:val="0075187A"/>
    <w:rsid w:val="00753B2A"/>
    <w:rsid w:val="00793925"/>
    <w:rsid w:val="00815B11"/>
    <w:rsid w:val="0084711C"/>
    <w:rsid w:val="00847FBF"/>
    <w:rsid w:val="00876198"/>
    <w:rsid w:val="008A4558"/>
    <w:rsid w:val="008F0851"/>
    <w:rsid w:val="00901825"/>
    <w:rsid w:val="009A1441"/>
    <w:rsid w:val="009A3CDE"/>
    <w:rsid w:val="00A01F4B"/>
    <w:rsid w:val="00A45D98"/>
    <w:rsid w:val="00A8474F"/>
    <w:rsid w:val="00A851BA"/>
    <w:rsid w:val="00AB010B"/>
    <w:rsid w:val="00AC099C"/>
    <w:rsid w:val="00AE1365"/>
    <w:rsid w:val="00B16FC8"/>
    <w:rsid w:val="00B22685"/>
    <w:rsid w:val="00B22CFA"/>
    <w:rsid w:val="00B47834"/>
    <w:rsid w:val="00B65563"/>
    <w:rsid w:val="00B83C8E"/>
    <w:rsid w:val="00BB00C7"/>
    <w:rsid w:val="00BB3C71"/>
    <w:rsid w:val="00BD72B8"/>
    <w:rsid w:val="00BE0249"/>
    <w:rsid w:val="00BF5376"/>
    <w:rsid w:val="00C93451"/>
    <w:rsid w:val="00D20964"/>
    <w:rsid w:val="00D25AF9"/>
    <w:rsid w:val="00D26083"/>
    <w:rsid w:val="00D360F7"/>
    <w:rsid w:val="00D47C93"/>
    <w:rsid w:val="00D56D8E"/>
    <w:rsid w:val="00D61B71"/>
    <w:rsid w:val="00E0355F"/>
    <w:rsid w:val="00E1114A"/>
    <w:rsid w:val="00E11292"/>
    <w:rsid w:val="00E40BF8"/>
    <w:rsid w:val="00F340B8"/>
    <w:rsid w:val="00F50328"/>
    <w:rsid w:val="00F579F4"/>
    <w:rsid w:val="00F66FDD"/>
    <w:rsid w:val="00F72AB3"/>
    <w:rsid w:val="00F94F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59C2E"/>
  <w15:chartTrackingRefBased/>
  <w15:docId w15:val="{DD896EEC-1174-453D-9CAB-63C7EE0AA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E136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E1365"/>
    <w:rPr>
      <w:sz w:val="20"/>
      <w:szCs w:val="20"/>
    </w:rPr>
  </w:style>
  <w:style w:type="character" w:styleId="FootnoteReference">
    <w:name w:val="footnote reference"/>
    <w:basedOn w:val="DefaultParagraphFont"/>
    <w:uiPriority w:val="99"/>
    <w:semiHidden/>
    <w:unhideWhenUsed/>
    <w:rsid w:val="00AE1365"/>
    <w:rPr>
      <w:vertAlign w:val="superscript"/>
    </w:rPr>
  </w:style>
  <w:style w:type="character" w:styleId="Hyperlink">
    <w:name w:val="Hyperlink"/>
    <w:basedOn w:val="DefaultParagraphFont"/>
    <w:uiPriority w:val="99"/>
    <w:unhideWhenUsed/>
    <w:rsid w:val="0000212A"/>
    <w:rPr>
      <w:color w:val="0000FF"/>
      <w:u w:val="single"/>
    </w:rPr>
  </w:style>
  <w:style w:type="paragraph" w:styleId="Header">
    <w:name w:val="header"/>
    <w:basedOn w:val="Normal"/>
    <w:link w:val="HeaderChar"/>
    <w:uiPriority w:val="99"/>
    <w:unhideWhenUsed/>
    <w:rsid w:val="00753B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3B2A"/>
  </w:style>
  <w:style w:type="paragraph" w:styleId="Footer">
    <w:name w:val="footer"/>
    <w:basedOn w:val="Normal"/>
    <w:link w:val="FooterChar"/>
    <w:uiPriority w:val="99"/>
    <w:unhideWhenUsed/>
    <w:rsid w:val="00753B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3B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6106"/>
    <w:rsid w:val="006F0031"/>
    <w:rsid w:val="008961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E136A913C9F48E1AEC976E5F588A2DD">
    <w:name w:val="CE136A913C9F48E1AEC976E5F588A2DD"/>
    <w:rsid w:val="008961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B25D55-872B-464A-8464-16AF7B71A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7</Pages>
  <Words>1428</Words>
  <Characters>8146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Travers (1500674)</dc:creator>
  <cp:keywords/>
  <dc:description/>
  <cp:lastModifiedBy>Eleanor Travers (1500674)</cp:lastModifiedBy>
  <cp:revision>75</cp:revision>
  <dcterms:created xsi:type="dcterms:W3CDTF">2019-06-21T12:59:00Z</dcterms:created>
  <dcterms:modified xsi:type="dcterms:W3CDTF">2019-06-21T21:52:00Z</dcterms:modified>
</cp:coreProperties>
</file>