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3000" w:lineRule="auto"/>
        <w:jc w:val="center"/>
        <w:rPr/>
      </w:pPr>
      <w:r w:rsidDel="00000000" w:rsidR="00000000" w:rsidRPr="00000000">
        <w:rPr>
          <w:b w:val="1"/>
          <w:bCs w:val="1"/>
          <w:sz w:val="40"/>
          <w:szCs w:val="40"/>
          <w:rtl w:val="0"/>
        </w:rPr>
        <w:t xml:space="preserve">Dissertation Proposal</w:t>
      </w:r>
      <w:r w:rsidDel="00000000" w:rsidR="00000000" w:rsidRPr="00000000">
        <w:rPr>
          <w:rtl w:val="0"/>
        </w:rPr>
      </w:r>
    </w:p>
    <w:p w:rsidR="00000000" w:rsidDel="00000000" w:rsidP="00000000" w:rsidRDefault="00000000" w:rsidRPr="00000000" w14:paraId="00000002">
      <w:pPr>
        <w:spacing w:before="600" w:lineRule="auto"/>
        <w:jc w:val="center"/>
        <w:rPr/>
      </w:pPr>
      <w:r w:rsidDel="00000000" w:rsidR="00000000" w:rsidRPr="00000000">
        <w:rPr>
          <w:b w:val="1"/>
          <w:bCs w:val="1"/>
          <w:sz w:val="32"/>
          <w:szCs w:val="32"/>
          <w:rtl w:val="0"/>
        </w:rPr>
        <w:t xml:space="preserve">The Impact of AI-Enabled Retail Service on Customer Satisfaction in International Retail Businesses</w:t>
      </w:r>
      <w:r w:rsidDel="00000000" w:rsidR="00000000" w:rsidRPr="00000000">
        <w:rPr>
          <w:rtl w:val="0"/>
        </w:rPr>
      </w:r>
    </w:p>
    <w:p w:rsidR="00000000" w:rsidDel="00000000" w:rsidP="00000000" w:rsidRDefault="00000000" w:rsidRPr="00000000" w14:paraId="00000003">
      <w:pPr>
        <w:spacing w:after="0" w:lineRule="auto"/>
        <w:jc w:val="center"/>
        <w:rPr/>
      </w:pPr>
      <w:r w:rsidDel="00000000" w:rsidR="00000000" w:rsidRPr="00000000">
        <w:rPr>
          <w:rtl w:val="0"/>
        </w:rPr>
        <w:t xml:space="preserve">Student Name: Sadman Hossain</w:t>
      </w:r>
    </w:p>
    <w:p w:rsidR="00000000" w:rsidDel="00000000" w:rsidP="00000000" w:rsidRDefault="00000000" w:rsidRPr="00000000" w14:paraId="00000004">
      <w:pPr>
        <w:spacing w:after="0" w:lineRule="auto"/>
        <w:jc w:val="center"/>
        <w:rPr/>
      </w:pPr>
      <w:r w:rsidDel="00000000" w:rsidR="00000000" w:rsidRPr="00000000">
        <w:rPr>
          <w:rtl w:val="0"/>
        </w:rPr>
        <w:t xml:space="preserve">Student ID: 2505391</w:t>
      </w:r>
    </w:p>
    <w:p w:rsidR="00000000" w:rsidDel="00000000" w:rsidP="00000000" w:rsidRDefault="00000000" w:rsidRPr="00000000" w14:paraId="00000005">
      <w:pPr>
        <w:spacing w:after="0" w:lineRule="auto"/>
        <w:jc w:val="center"/>
        <w:rPr/>
      </w:pPr>
      <w:r w:rsidDel="00000000" w:rsidR="00000000" w:rsidRPr="00000000">
        <w:rPr>
          <w:rtl w:val="0"/>
        </w:rPr>
        <w:t xml:space="preserve">Module:</w:t>
      </w:r>
      <w:r w:rsidDel="00000000" w:rsidR="00000000" w:rsidRPr="00000000">
        <w:rPr>
          <w:rtl w:val="0"/>
        </w:rPr>
        <w:t xml:space="preserve">LCMB7035</w:t>
      </w:r>
    </w:p>
    <w:p w:rsidR="00000000" w:rsidDel="00000000" w:rsidP="00000000" w:rsidRDefault="00000000" w:rsidRPr="00000000" w14:paraId="00000006">
      <w:pPr>
        <w:spacing w:after="0" w:lineRule="auto"/>
        <w:jc w:val="center"/>
        <w:rPr/>
      </w:pPr>
      <w:r w:rsidDel="00000000" w:rsidR="00000000" w:rsidRPr="00000000">
        <w:rPr>
          <w:rtl w:val="0"/>
        </w:rPr>
        <w:t xml:space="preserve">Supervisor</w:t>
      </w:r>
      <w:r w:rsidDel="00000000" w:rsidR="00000000" w:rsidRPr="00000000">
        <w:rPr>
          <w:rtl w:val="0"/>
        </w:rPr>
        <w:t xml:space="preserve">: Simon Chatterton</w:t>
      </w:r>
    </w:p>
    <w:p w:rsidR="00000000" w:rsidDel="00000000" w:rsidP="00000000" w:rsidRDefault="00000000" w:rsidRPr="00000000" w14:paraId="00000007">
      <w:pPr>
        <w:spacing w:after="0" w:lineRule="auto"/>
        <w:jc w:val="center"/>
        <w:rPr/>
      </w:pPr>
      <w:r w:rsidDel="00000000" w:rsidR="00000000" w:rsidRPr="00000000">
        <w:rPr>
          <w:rtl w:val="0"/>
        </w:rPr>
        <w:t xml:space="preserve">Submission Date: 11/06/2026</w:t>
      </w:r>
    </w:p>
    <w:p w:rsidR="00000000" w:rsidDel="00000000" w:rsidP="00000000" w:rsidRDefault="00000000" w:rsidRPr="00000000" w14:paraId="00000008">
      <w:pPr>
        <w:rPr/>
      </w:pPr>
      <w:r w:rsidDel="00000000" w:rsidR="00000000" w:rsidRPr="00000000">
        <w:br w:type="page"/>
      </w:r>
      <w:r w:rsidDel="00000000" w:rsidR="00000000" w:rsidRPr="00000000">
        <w:rPr>
          <w:rtl w:val="0"/>
        </w:rPr>
      </w:r>
    </w:p>
    <w:p w:rsidR="00000000" w:rsidDel="00000000" w:rsidP="00000000" w:rsidRDefault="00000000" w:rsidRPr="00000000" w14:paraId="00000009">
      <w:pPr>
        <w:jc w:val="center"/>
        <w:rPr>
          <w:sz w:val="32"/>
          <w:szCs w:val="32"/>
        </w:rPr>
      </w:pPr>
      <w:r w:rsidDel="00000000" w:rsidR="00000000" w:rsidRPr="00000000">
        <w:rPr>
          <w:b w:val="1"/>
          <w:bCs w:val="1"/>
          <w:sz w:val="32"/>
          <w:szCs w:val="32"/>
          <w:rtl w:val="0"/>
        </w:rPr>
        <w:t xml:space="preserve">The Impact of AI-Enabled Retail Service on Customer Satisfaction in International Retail Businesses</w:t>
      </w:r>
      <w:r w:rsidDel="00000000" w:rsidR="00000000" w:rsidRPr="00000000">
        <w:rPr>
          <w:rtl w:val="0"/>
        </w:rPr>
      </w:r>
    </w:p>
    <w:p w:rsidR="00000000" w:rsidDel="00000000" w:rsidP="00000000" w:rsidRDefault="00000000" w:rsidRPr="00000000" w14:paraId="0000000A">
      <w:pPr>
        <w:pStyle w:val="Heading1"/>
        <w:jc w:val="left"/>
        <w:rPr/>
      </w:pPr>
      <w:r w:rsidDel="00000000" w:rsidR="00000000" w:rsidRPr="00000000">
        <w:rPr>
          <w:rtl w:val="0"/>
        </w:rPr>
        <w:t xml:space="preserve">Introduction, Background and Research Problem</w:t>
      </w:r>
    </w:p>
    <w:p w:rsidR="00000000" w:rsidDel="00000000" w:rsidP="00000000" w:rsidRDefault="00000000" w:rsidRPr="00000000" w14:paraId="0000000B">
      <w:pPr>
        <w:rPr/>
      </w:pPr>
      <w:r w:rsidDel="00000000" w:rsidR="00000000" w:rsidRPr="00000000">
        <w:rPr>
          <w:rtl w:val="0"/>
        </w:rPr>
        <w:t xml:space="preserve">In the international retail sector, artificial intelligence has emerged as a key element as it is used to aid product search, product recommendations, customer service, order tracking, returns and personalised offers. International retail businesses do business in different countries and reach consumers via websites, mobile apps, social media and brick-and-mortar shops. This brings about a large number of customer interactions that are not always possible to handle with the traditional human service. AI-powered retail service is thus applied to improve customer interactions, making them quicker, more uniform and more personalised.</w:t>
      </w:r>
    </w:p>
    <w:p w:rsidR="00000000" w:rsidDel="00000000" w:rsidP="00000000" w:rsidRDefault="00000000" w:rsidRPr="00000000" w14:paraId="0000000C">
      <w:pPr>
        <w:rPr/>
      </w:pPr>
      <w:r w:rsidDel="00000000" w:rsidR="00000000" w:rsidRPr="00000000">
        <w:rPr>
          <w:rtl w:val="0"/>
        </w:rPr>
        <w:t xml:space="preserve">AI in retail is relevant since it can perform service-related tasks which were earlier reliant on employees. Huang and Rust (2018) state that AI can carry out mechanical, analytical, intuitive and in more advanced cases, empathetic service tasks. In a retail environment, that means answering common questions, deciphering customer preferences, recommending relevant products, and helping customers with the buying process. Davenport et al. (2020) also state that AI is transforming marketing strategy and customer behavior because it enables companies to predict, personalize and automate interactions, which was not feasible in the past.</w:t>
      </w:r>
    </w:p>
    <w:p w:rsidR="00000000" w:rsidDel="00000000" w:rsidP="00000000" w:rsidRDefault="00000000" w:rsidRPr="00000000" w14:paraId="0000000D">
      <w:pPr>
        <w:rPr/>
      </w:pPr>
      <w:r w:rsidDel="00000000" w:rsidR="00000000" w:rsidRPr="00000000">
        <w:rPr>
          <w:rtl w:val="0"/>
        </w:rPr>
        <w:t xml:space="preserve">Retail businesses are still satisfied with customer satisfaction as one of the most important outcomes. Retailers can enhance customer satisfaction by offering valuable information, prompt responses, personalized product recommendations, and a seamless shopping experience. But AI doesn't necessarily translate to satisfaction. While a chatbot can save time, it can also annoy customers when it provides them with incorrect or irrelevant responses. While a recommendation system can make shopping easier, it can also lead to dissatisfaction if the recommendations are not accurate or are perceived as intrusive. This isn't just about whether or not AI is being implemented by the retailer, but if the customer is seeing AI-enabled service as useful and satisfying.</w:t>
      </w:r>
    </w:p>
    <w:p w:rsidR="00000000" w:rsidDel="00000000" w:rsidP="00000000" w:rsidRDefault="00000000" w:rsidRPr="00000000" w14:paraId="0000000E">
      <w:pPr>
        <w:rPr/>
      </w:pPr>
      <w:r w:rsidDel="00000000" w:rsidR="00000000" w:rsidRPr="00000000">
        <w:rPr>
          <w:rtl w:val="0"/>
        </w:rPr>
        <w:t xml:space="preserve">The research problem is that international retail businesses invest in AI to enhance service efficiency and customer experience, yet, the customer satisfaction is still not certain. Grewal et al. (2021) say that AI has both positive and negative impact, AI can generate value and can also give discomfort to the customer or result in service failure. Ameen et al. (2021) reveal that AI-powered customer experience is related to service quality, convenience, trust and perceived sacrifice, and Hsu and Lin (2023) reveal that chatbot service quality and conversational quality can impact customer satisfaction. Though these studies reveal the importance of AI in service evaluation, many studies are based on the general and complicated models that include trust, loyalty, engagement or behavioural intention.</w:t>
      </w:r>
    </w:p>
    <w:p w:rsidR="00000000" w:rsidDel="00000000" w:rsidP="00000000" w:rsidRDefault="00000000" w:rsidRPr="00000000" w14:paraId="0000000F">
      <w:pPr>
        <w:rPr/>
      </w:pPr>
      <w:r w:rsidDel="00000000" w:rsidR="00000000" w:rsidRPr="00000000">
        <w:rPr>
          <w:rtl w:val="0"/>
        </w:rPr>
        <w:t xml:space="preserve">This gives rise to a clearly defined research gap which could be a focus for a bachelor dissertation. While there is extensive research on AI adoption, AI marketing and the quality of AI customer experience and chatbots, further research is needed to focus directly on the impact of AI-enabled retail service on customer satisfaction in international retail businesses. To fill this gap, the proposed study will test one simple relationship: The independent variable is AI-enabled retail service, and the dependent variable is customer satisfaction. This prevents a complicated model from developing and helps to focus the research on a direct customer outcome.</w:t>
      </w:r>
    </w:p>
    <w:p w:rsidR="00000000" w:rsidDel="00000000" w:rsidP="00000000" w:rsidRDefault="00000000" w:rsidRPr="00000000" w14:paraId="00000010">
      <w:pPr>
        <w:rPr/>
      </w:pPr>
      <w:r w:rsidDel="00000000" w:rsidR="00000000" w:rsidRPr="00000000">
        <w:rPr>
          <w:rtl w:val="0"/>
        </w:rPr>
        <w:t xml:space="preserve">The study is also valuable as international retailers tend to deploy AI in various markets, and consumers might not react to AI service in the same manner. A straightforward customer satisfaction study can reveal if the overall customer experience of these AI-assisted interactions is good or bad. This renders the topic of academic value and of practical relevance without the need of a complex model. This will continue to be about customer-facing AI service and not about in-house AI systems like inventory forecasting, warehouse robotics or pricing algorithms.</w:t>
      </w:r>
    </w:p>
    <w:p w:rsidR="00000000" w:rsidDel="00000000" w:rsidP="00000000" w:rsidRDefault="00000000" w:rsidRPr="00000000" w14:paraId="00000011">
      <w:pPr>
        <w:pStyle w:val="Heading1"/>
        <w:jc w:val="left"/>
        <w:rPr/>
      </w:pPr>
      <w:r w:rsidDel="00000000" w:rsidR="00000000" w:rsidRPr="00000000">
        <w:rPr>
          <w:rtl w:val="0"/>
        </w:rPr>
        <w:t xml:space="preserve">Research Aim, Objectives and Questions</w:t>
      </w:r>
    </w:p>
    <w:p w:rsidR="00000000" w:rsidDel="00000000" w:rsidP="00000000" w:rsidRDefault="00000000" w:rsidRPr="00000000" w14:paraId="00000012">
      <w:pPr>
        <w:rPr/>
      </w:pPr>
      <w:r w:rsidDel="00000000" w:rsidR="00000000" w:rsidRPr="00000000">
        <w:rPr>
          <w:rtl w:val="0"/>
        </w:rPr>
        <w:t xml:space="preserve">The aim of this research is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examine the impact of AI-enabled retail service on customer satisfaction in international retail businesses.</w:t>
      </w:r>
    </w:p>
    <w:p w:rsidR="00000000" w:rsidDel="00000000" w:rsidP="00000000" w:rsidRDefault="00000000" w:rsidRPr="00000000" w14:paraId="00000014">
      <w:pPr>
        <w:rPr/>
      </w:pPr>
      <w:r w:rsidDel="00000000" w:rsidR="00000000" w:rsidRPr="00000000">
        <w:rPr>
          <w:rtl w:val="0"/>
        </w:rPr>
        <w:t xml:space="preserve">The research objectives are </w:t>
      </w:r>
    </w:p>
    <w:p w:rsidR="00000000" w:rsidDel="00000000" w:rsidP="00000000" w:rsidRDefault="00000000" w:rsidRPr="00000000" w14:paraId="000000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identify how customers experience AI-enabled retail services in international retail businesses,</w:t>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examine the relationship between AI-enabled retail service and customer satisfaction</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evaluate whether AI-enabled retail service has a significant positive impact on customer satisfaction</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provide practical recommendations for international retail businesses on improving customer satisfaction through AI-enabled service.</w:t>
      </w:r>
    </w:p>
    <w:p w:rsidR="00000000" w:rsidDel="00000000" w:rsidP="00000000" w:rsidRDefault="00000000" w:rsidRPr="00000000" w14:paraId="00000019">
      <w:pPr>
        <w:rPr/>
      </w:pPr>
      <w:r w:rsidDel="00000000" w:rsidR="00000000" w:rsidRPr="00000000">
        <w:rPr>
          <w:rtl w:val="0"/>
        </w:rPr>
        <w:t xml:space="preserve">The main research question is</w:t>
      </w:r>
    </w:p>
    <w:p w:rsidR="00000000" w:rsidDel="00000000" w:rsidP="00000000" w:rsidRDefault="00000000" w:rsidRPr="00000000" w14:paraId="0000001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How does AI-enabled retail service impact customer satisfaction in international retail businesses?</w:t>
      </w:r>
    </w:p>
    <w:p w:rsidR="00000000" w:rsidDel="00000000" w:rsidP="00000000" w:rsidRDefault="00000000" w:rsidRPr="00000000" w14:paraId="0000001B">
      <w:pPr>
        <w:rPr/>
      </w:pPr>
      <w:r w:rsidDel="00000000" w:rsidR="00000000" w:rsidRPr="00000000">
        <w:rPr>
          <w:rtl w:val="0"/>
        </w:rPr>
        <w:t xml:space="preserve">The hypothesis is</w:t>
      </w:r>
    </w:p>
    <w:p w:rsidR="00000000" w:rsidDel="00000000" w:rsidP="00000000" w:rsidRDefault="00000000" w:rsidRPr="00000000" w14:paraId="0000001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H1: AI-enabled retail service has a significant positive impact on customer satisfaction in international retail businesses.</w:t>
      </w:r>
    </w:p>
    <w:p w:rsidR="00000000" w:rsidDel="00000000" w:rsidP="00000000" w:rsidRDefault="00000000" w:rsidRPr="00000000" w14:paraId="0000001D">
      <w:pPr>
        <w:rPr/>
      </w:pPr>
      <w:r w:rsidDel="00000000" w:rsidR="00000000" w:rsidRPr="00000000">
        <w:rPr>
          <w:rtl w:val="0"/>
        </w:rPr>
        <w:t xml:space="preserve">The conceptual model has only two variables. The independent variable is AI-enabled retail service. The dependent variable is customer satisfaction. The proposed relationship is: AI-enabled retail service influences customer satisfaction. AI-enabled retail service will be measured through customer perceptions of speed, convenience, usefulness, ease of interaction, personalisation and problem-solving support. Customer satisfaction will be measured through overall satisfaction, fulfilment of expectations and satisfaction with the AI-supported shopping experience.</w:t>
      </w:r>
    </w:p>
    <w:p w:rsidR="00000000" w:rsidDel="00000000" w:rsidP="00000000" w:rsidRDefault="00000000" w:rsidRPr="00000000" w14:paraId="0000001E">
      <w:pPr>
        <w:jc w:val="center"/>
        <w:rPr/>
      </w:pPr>
      <w:r w:rsidDel="00000000" w:rsidR="00000000" w:rsidRPr="00000000">
        <w:rPr>
          <w:i w:val="1"/>
          <w:iCs w:val="1"/>
          <w:rtl w:val="0"/>
        </w:rPr>
        <w:t xml:space="preserve">Figure 1: Conceptual model</w:t>
      </w:r>
      <w:r w:rsidDel="00000000" w:rsidR="00000000" w:rsidRPr="00000000">
        <w:rPr>
          <w:rtl w:val="0"/>
        </w:rPr>
      </w:r>
    </w:p>
    <w:tbl>
      <w:tblPr>
        <w:tblStyle w:val="Table1"/>
        <w:tblW w:w="9360.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600"/>
        <w:gridCol w:w="2070"/>
        <w:gridCol w:w="3690"/>
        <w:tblGridChange w:id="0">
          <w:tblGrid>
            <w:gridCol w:w="3600"/>
            <w:gridCol w:w="2070"/>
            <w:gridCol w:w="3690"/>
          </w:tblGrid>
        </w:tblGridChange>
      </w:tblGrid>
      <w:tr>
        <w:trPr>
          <w:cantSplit w:val="0"/>
          <w:tblHeader w:val="0"/>
        </w:trPr>
        <w:tc>
          <w:tcPr>
            <w:shd w:fill="eaf2f8" w:val="clear"/>
            <w:vAlign w:val="center"/>
          </w:tcPr>
          <w:p w:rsidR="00000000" w:rsidDel="00000000" w:rsidP="00000000" w:rsidRDefault="00000000" w:rsidRPr="00000000" w14:paraId="0000001F">
            <w:pPr>
              <w:jc w:val="center"/>
              <w:rPr/>
            </w:pPr>
            <w:r w:rsidDel="00000000" w:rsidR="00000000" w:rsidRPr="00000000">
              <w:rPr>
                <w:b w:val="1"/>
                <w:bCs w:val="1"/>
                <w:sz w:val="20"/>
                <w:szCs w:val="20"/>
                <w:rtl w:val="0"/>
              </w:rPr>
              <w:t xml:space="preserve">AI-enabled retail service</w:t>
              <w:br w:type="textWrapping"/>
              <w:t xml:space="preserve">(Independent variable)</w:t>
            </w:r>
            <w:r w:rsidDel="00000000" w:rsidR="00000000" w:rsidRPr="00000000">
              <w:rPr>
                <w:rtl w:val="0"/>
              </w:rPr>
            </w:r>
          </w:p>
        </w:tc>
        <w:tc>
          <w:tcPr>
            <w:shd w:fill="ffffff" w:val="clear"/>
            <w:vAlign w:val="center"/>
          </w:tcPr>
          <w:p w:rsidR="00000000" w:rsidDel="00000000" w:rsidP="00000000" w:rsidRDefault="00000000" w:rsidRPr="00000000" w14:paraId="00000020">
            <w:pPr>
              <w:jc w:val="center"/>
              <w:rPr/>
            </w:pPr>
            <w:sdt>
              <w:sdtPr>
                <w:id w:val="-2005491326"/>
                <w:tag w:val="goog_rdk_0"/>
              </w:sdtPr>
              <w:sdtContent>
                <w:r w:rsidDel="00000000" w:rsidR="00000000" w:rsidRPr="00000000">
                  <w:rPr>
                    <w:rFonts w:ascii="Cardo" w:cs="Cardo" w:eastAsia="Cardo" w:hAnsi="Cardo"/>
                    <w:b w:val="1"/>
                    <w:bCs w:val="1"/>
                    <w:sz w:val="28"/>
                    <w:szCs w:val="28"/>
                    <w:rtl w:val="0"/>
                  </w:rPr>
                  <w:t xml:space="preserve">→</w:t>
                </w:r>
              </w:sdtContent>
            </w:sdt>
            <w:r w:rsidDel="00000000" w:rsidR="00000000" w:rsidRPr="00000000">
              <w:rPr>
                <w:rtl w:val="0"/>
              </w:rPr>
            </w:r>
          </w:p>
        </w:tc>
        <w:tc>
          <w:tcPr>
            <w:shd w:fill="eaf2f8" w:val="clear"/>
            <w:vAlign w:val="center"/>
          </w:tcPr>
          <w:p w:rsidR="00000000" w:rsidDel="00000000" w:rsidP="00000000" w:rsidRDefault="00000000" w:rsidRPr="00000000" w14:paraId="00000021">
            <w:pPr>
              <w:jc w:val="center"/>
              <w:rPr/>
            </w:pPr>
            <w:r w:rsidDel="00000000" w:rsidR="00000000" w:rsidRPr="00000000">
              <w:rPr>
                <w:b w:val="1"/>
                <w:bCs w:val="1"/>
                <w:sz w:val="20"/>
                <w:szCs w:val="20"/>
                <w:rtl w:val="0"/>
              </w:rPr>
              <w:t xml:space="preserve">Customer satisfaction</w:t>
              <w:br w:type="textWrapping"/>
              <w:t xml:space="preserve">(Dependent variable)</w:t>
            </w:r>
            <w:r w:rsidDel="00000000" w:rsidR="00000000" w:rsidRPr="00000000">
              <w:rPr>
                <w:rtl w:val="0"/>
              </w:rPr>
            </w:r>
          </w:p>
        </w:tc>
      </w:tr>
    </w:tbl>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jc w:val="left"/>
        <w:rPr/>
      </w:pPr>
      <w:r w:rsidDel="00000000" w:rsidR="00000000" w:rsidRPr="00000000">
        <w:rPr>
          <w:rtl w:val="0"/>
        </w:rPr>
        <w:t xml:space="preserve">Preliminary Literature Search</w:t>
      </w:r>
    </w:p>
    <w:p w:rsidR="00000000" w:rsidDel="00000000" w:rsidP="00000000" w:rsidRDefault="00000000" w:rsidRPr="00000000" w14:paraId="00000024">
      <w:pPr>
        <w:rPr/>
      </w:pPr>
      <w:r w:rsidDel="00000000" w:rsidR="00000000" w:rsidRPr="00000000">
        <w:rPr>
          <w:rtl w:val="0"/>
        </w:rPr>
        <w:t xml:space="preserve">The theoretical framework of this study is based on AI-driven service literature. Huang and Rust (2018) describe how AI can take over or assist with service operations through various types of intelligence. This helps to frame AI powered retail service as a service experience and not just a technical system. AI tools in international retail can be seen by customers as product recommendations, online assistants, automated customer support and personalised shopping interfaces. These tools form the perception and convenience that the customer has about the retailer as they affect speed and perceived support.</w:t>
      </w:r>
    </w:p>
    <w:p w:rsidR="00000000" w:rsidDel="00000000" w:rsidP="00000000" w:rsidRDefault="00000000" w:rsidRPr="00000000" w14:paraId="00000025">
      <w:pPr>
        <w:rPr/>
      </w:pPr>
      <w:r w:rsidDel="00000000" w:rsidR="00000000" w:rsidRPr="00000000">
        <w:rPr>
          <w:rtl w:val="0"/>
        </w:rPr>
        <w:t xml:space="preserve">Davenport et al. (2020) demonstrate that AI has an impact on marketing through customer interactions, business models and service options. Their research backs up the idea that AI is not just a tool for internal use but also a technology for customers. Grewal, Roggeveen and Nordfalt (2017) also reveal that retailing is undergoing a transformation as technology, analytics and tools that assist customers in their decision making process are becoming increasingly prevalent. This is helpful for the proposed research as AI in retail services can be considered as a part of the broader digital transformation of retail.</w:t>
      </w:r>
    </w:p>
    <w:p w:rsidR="00000000" w:rsidDel="00000000" w:rsidP="00000000" w:rsidRDefault="00000000" w:rsidRPr="00000000" w14:paraId="00000026">
      <w:pPr>
        <w:rPr/>
      </w:pPr>
      <w:r w:rsidDel="00000000" w:rsidR="00000000" w:rsidRPr="00000000">
        <w:rPr>
          <w:rtl w:val="0"/>
        </w:rPr>
        <w:t xml:space="preserve">The proposed model's outcome logic is based on customer satisfaction theory. Oliver (1980) offers the explanation of satisfaction as expectation and disconfirmation; that is, customers compare their actual experience with their expected experience. AI-powered retail service can improve customer satisfaction by providing quicker responses, personalized recommendations, and seamless support, which aligns with or surpasses their expectations. Poor AI responses, delays in shopping experience, or a sense of misunderstanding can lead to a decrease in customer satisfaction. So, it is appropriate to use satisfaction as a dependent variable in the study of customer-facing AI in retail.</w:t>
      </w:r>
    </w:p>
    <w:p w:rsidR="00000000" w:rsidDel="00000000" w:rsidP="00000000" w:rsidRDefault="00000000" w:rsidRPr="00000000" w14:paraId="00000027">
      <w:pPr>
        <w:rPr/>
      </w:pPr>
      <w:r w:rsidDel="00000000" w:rsidR="00000000" w:rsidRPr="00000000">
        <w:rPr>
          <w:rtl w:val="0"/>
        </w:rPr>
        <w:t xml:space="preserve">The model is also backed by service quality literature. Parasuraman, Zeithaml and Berry (1988) define the dimensions of service quality as reliability, responsiveness, assurance, tangibles, empathy and knowledge. While their SERVQUAL model predates the current AI retail tools, the logic is still applicable: AI-driven service needs to be reliable, responsive and beneficial to customers. For instance, an AI chatbot needs to give the correct answers, and an AI suggestion tool needs to give relevant suggestions. The better the AI service does these tasks, the more likely customers will be satisfied.</w:t>
      </w:r>
    </w:p>
    <w:p w:rsidR="00000000" w:rsidDel="00000000" w:rsidP="00000000" w:rsidRDefault="00000000" w:rsidRPr="00000000" w14:paraId="00000028">
      <w:pPr>
        <w:rPr/>
      </w:pPr>
      <w:r w:rsidDel="00000000" w:rsidR="00000000" w:rsidRPr="00000000">
        <w:rPr>
          <w:rtl w:val="0"/>
        </w:rPr>
        <w:t xml:space="preserve">Recent research indicates that AI can impact customer experience and satisfaction, yet also reveals that the impact is dependent on customer service evaluations. Ameen et al. (2021) identified that service quality and convenience are factors that impact AI-enabled customer experience, but they also included trust and perceived sacrifice in their model. The results of Hsu and Lin (2023) revealed that chatbot service recovery quality and conversational quality have a significant impact on user satisfaction and loyalty. While these findings are significant, they are either for a general customer experience model or for a particular type of chatbots. The dissertation proposed is a direct IV-DV relationship in international retail businesses.</w:t>
      </w:r>
    </w:p>
    <w:p w:rsidR="00000000" w:rsidDel="00000000" w:rsidP="00000000" w:rsidRDefault="00000000" w:rsidRPr="00000000" w14:paraId="00000029">
      <w:pPr>
        <w:rPr/>
      </w:pPr>
      <w:r w:rsidDel="00000000" w:rsidR="00000000" w:rsidRPr="00000000">
        <w:rPr>
          <w:rtl w:val="0"/>
        </w:rPr>
        <w:t xml:space="preserve">Prentice, Lopes and Wang (2020) conducted a study on AI and employee service quality from the customer's point of view and concluded that AI-powered service can impact customer satisfaction and customer loyalty in the hospitality industry. While this study is not in retail, it reinforces the concept of customers assessing AI as part of the service process. Grewal et al. (2020) also demonstrate how in-store technologies can impact customer and retailer outcomes. These studies collectively support the notion of investigating AI-powered retail service as a direct determinant of customer satisfaction.</w:t>
      </w:r>
    </w:p>
    <w:p w:rsidR="00000000" w:rsidDel="00000000" w:rsidP="00000000" w:rsidRDefault="00000000" w:rsidRPr="00000000" w14:paraId="0000002A">
      <w:pPr>
        <w:rPr/>
      </w:pPr>
      <w:r w:rsidDel="00000000" w:rsidR="00000000" w:rsidRPr="00000000">
        <w:rPr>
          <w:rtl w:val="0"/>
        </w:rPr>
        <w:t xml:space="preserve">The literature thus suggests a simple and valid conceptual model. AI-powered retail service should enhance customer satisfaction, as long as it is perceived as quick, helpful, convenient and relevant to the customer. It is not that AI and satisfaction have never been studied before. The difference is that international retail research can be too generic by lumping together a whole host of measures like loyalty, trust, engagement, purchase intention and service recovery. This dissertation will contribute to the field by examining the direct link between AI in retail service and customer satisfaction with a feasible quantitative design.</w:t>
      </w:r>
    </w:p>
    <w:p w:rsidR="00000000" w:rsidDel="00000000" w:rsidP="00000000" w:rsidRDefault="00000000" w:rsidRPr="00000000" w14:paraId="0000002B">
      <w:pPr>
        <w:pStyle w:val="Heading1"/>
        <w:jc w:val="left"/>
        <w:rPr/>
      </w:pPr>
      <w:r w:rsidDel="00000000" w:rsidR="00000000" w:rsidRPr="00000000">
        <w:rPr>
          <w:rtl w:val="0"/>
        </w:rPr>
        <w:t xml:space="preserve">Research Methodology to be Used Including Ethics</w:t>
      </w:r>
    </w:p>
    <w:p w:rsidR="00000000" w:rsidDel="00000000" w:rsidP="00000000" w:rsidRDefault="00000000" w:rsidRPr="00000000" w14:paraId="0000002C">
      <w:pPr>
        <w:rPr/>
      </w:pPr>
      <w:r w:rsidDel="00000000" w:rsidR="00000000" w:rsidRPr="00000000">
        <w:rPr>
          <w:rtl w:val="0"/>
        </w:rPr>
        <w:t xml:space="preserve">In this study, the quantitative research methodology will be employed as the objective is to measure the relationship between AI enabled retail service and customer satisfaction. A quantitative method is appropriate as both variables can be measured using the questionnaire items and analysed using statistics. The research philosophy will be positivism since the study will be testing a hypothesis based on measurable customer response. The research approach will be deductive as the study will start with theory and literature and test whether the relationship is found as expected in the primary data.</w:t>
      </w:r>
    </w:p>
    <w:p w:rsidR="00000000" w:rsidDel="00000000" w:rsidP="00000000" w:rsidRDefault="00000000" w:rsidRPr="00000000" w14:paraId="0000002D">
      <w:pPr>
        <w:rPr/>
      </w:pPr>
      <w:r w:rsidDel="00000000" w:rsidR="00000000" w:rsidRPr="00000000">
        <w:rPr>
          <w:rtl w:val="0"/>
        </w:rPr>
        <w:t xml:space="preserve">The research design will be cross sectional as the data will be collected once during the dissertation period. This is suitable for a bachelor level dissertation as it is practical, time efficient and suitable for examining the perceptions of customers at a specific time. The target population will be customers who have interacted with AI-powered services of international retail companies. These can range from customers who have interacted with AI chatbots, automated customer support, personalised product recommendations, AI-driven search capabilities, virtual shopping assistants, or automated order and return processes with international retailers.</w:t>
      </w:r>
    </w:p>
    <w:p w:rsidR="00000000" w:rsidDel="00000000" w:rsidP="00000000" w:rsidRDefault="00000000" w:rsidRPr="00000000" w14:paraId="0000002E">
      <w:pPr>
        <w:rPr/>
      </w:pPr>
      <w:r w:rsidDel="00000000" w:rsidR="00000000" w:rsidRPr="00000000">
        <w:rPr>
          <w:rtl w:val="0"/>
        </w:rPr>
        <w:t xml:space="preserve">Sampling technique will be non-probability convenience sampling. This is appropriate because the researcher will probably not have access to a complete international retail customer database. The expected number of respondents is about 100 to 150 persons which is realistic for writing a bachelor level dissertation and is adequate for descriptive statistics, reliability testing, correlation and simple linear regression. The respondents must be 18 years old, have engaged with an international retail company, and have interacted with or been aware of an AI-powered retail service in the past six months.</w:t>
      </w:r>
    </w:p>
    <w:p w:rsidR="00000000" w:rsidDel="00000000" w:rsidP="00000000" w:rsidRDefault="00000000" w:rsidRPr="00000000" w14:paraId="0000002F">
      <w:pPr>
        <w:rPr/>
      </w:pPr>
      <w:r w:rsidDel="00000000" w:rsidR="00000000" w:rsidRPr="00000000">
        <w:rPr>
          <w:rtl w:val="0"/>
        </w:rPr>
        <w:t xml:space="preserve">The data will be obtained from primary sources by using an online questionnaire through google forms or microsoft forms. The questionnaire will consist of screening questions, basic demographic questions and Likert-scale items. It will be scored on a 5-point scale from strongly disagree to strongly agree. Items that will be used to measure the independent variable are: AI service helps me find products quickly, AI recommendations are relevant to my needs, AI customer support responds quickly, AI tools make the shopping process easier, and AI service is useful when I need help. Items to measure the dependent variable include: I am satisfied with my shopping experience; the AI-supported service meets my expectations; and AI-enabled service enhances my overall experience with the retailer.</w:t>
      </w:r>
    </w:p>
    <w:p w:rsidR="00000000" w:rsidDel="00000000" w:rsidP="00000000" w:rsidRDefault="00000000" w:rsidRPr="00000000" w14:paraId="00000030">
      <w:pPr>
        <w:rPr/>
      </w:pPr>
      <w:r w:rsidDel="00000000" w:rsidR="00000000" w:rsidRPr="00000000">
        <w:rPr>
          <w:rtl w:val="0"/>
        </w:rPr>
        <w:t xml:space="preserve">Data will be analyzed by SPSS, EXCEL or JAMOVI. Firstly, descriptive statistics will be used to summarise characteristics of respondents and response patterns. Cronbach’s alpha will be used to check the internal consistency of the questionnaire items. Pearson correlation will then be used to explore if there is a correlation between AI-enabled retail service and customer satisfaction. To test the hypothesis that AI-powered retail service has a significant impact on customer satisfaction, simple linear regression will be employed. This is a simple analysis method that corresponds to the simple conceptual model, as there is one independent variable and one dependent variable.</w:t>
      </w:r>
    </w:p>
    <w:p w:rsidR="00000000" w:rsidDel="00000000" w:rsidP="00000000" w:rsidRDefault="00000000" w:rsidRPr="00000000" w14:paraId="00000031">
      <w:pPr>
        <w:rPr/>
      </w:pPr>
      <w:r w:rsidDel="00000000" w:rsidR="00000000" w:rsidRPr="00000000">
        <w:rPr>
          <w:rtl w:val="0"/>
        </w:rPr>
        <w:t xml:space="preserve">Ethical issues will be handled appropriately. The participation will be voluntary and the respondents will be presented with a brief information sheet before they fill out the questionnaire. The purpose of the study, the amount of time required to complete the questionnaire, and that the responses will be used solely for academic purposes will be explained in the statement. No personally identifying information will be collected. Respondents will have the option to exit the survey prior to completion and submitted responses will be kept in a secure manner. The survey will not include any sensitive personal questions and will be limited to customer experiences of AI-powered retail services.</w:t>
      </w:r>
    </w:p>
    <w:p w:rsidR="00000000" w:rsidDel="00000000" w:rsidP="00000000" w:rsidRDefault="00000000" w:rsidRPr="00000000" w14:paraId="00000032">
      <w:pPr>
        <w:pStyle w:val="Heading1"/>
        <w:jc w:val="left"/>
        <w:rPr/>
      </w:pPr>
      <w:r w:rsidDel="00000000" w:rsidR="00000000" w:rsidRPr="00000000">
        <w:rPr>
          <w:rtl w:val="0"/>
        </w:rPr>
        <w:t xml:space="preserve">Risks</w:t>
      </w:r>
    </w:p>
    <w:p w:rsidR="00000000" w:rsidDel="00000000" w:rsidP="00000000" w:rsidRDefault="00000000" w:rsidRPr="00000000" w14:paraId="00000033">
      <w:pPr>
        <w:rPr/>
      </w:pPr>
      <w:r w:rsidDel="00000000" w:rsidR="00000000" w:rsidRPr="00000000">
        <w:rPr>
          <w:rtl w:val="0"/>
        </w:rPr>
        <w:t xml:space="preserve">The first risk is the possibility that some of the respondents may not have a clear idea about AI empowered retail service. This will be minimized with the use of simple examples in the questionnaire like chatbots, recommendation systems, automated product search and virtual shopping assistants. The second risk is low return rate. This will be done by distributing the survey on a few appropriate networks and by limiting the length of the survey. The third risk is that the respondents may not have noticed the use of AI. This will be controlled by the use of screening questions and examples at the beginning of the questionnaire.</w:t>
      </w:r>
    </w:p>
    <w:p w:rsidR="00000000" w:rsidDel="00000000" w:rsidP="00000000" w:rsidRDefault="00000000" w:rsidRPr="00000000" w14:paraId="00000034">
      <w:pPr>
        <w:rPr/>
      </w:pPr>
      <w:r w:rsidDel="00000000" w:rsidR="00000000" w:rsidRPr="00000000">
        <w:rPr>
          <w:rtl w:val="0"/>
        </w:rPr>
        <w:t xml:space="preserve">The fourth risk is that international retail businesses might get too general. This will be done by identifying international retail businesses as retail brands that have customers in more than one country, either online or offline. Time limitation is the fifth risk. This will be done by employing a simple research model, a brief online survey and simple statistical analysis. The sixth risk is the biased sampling as the convenience sampling may not reflect all international retail customers. This will be recognized and the results will be used as evidence of customer perception and not as a complete picture of all retail customers.</w:t>
      </w:r>
    </w:p>
    <w:p w:rsidR="00000000" w:rsidDel="00000000" w:rsidP="00000000" w:rsidRDefault="00000000" w:rsidRPr="00000000" w14:paraId="00000035">
      <w:pPr>
        <w:pStyle w:val="Heading1"/>
        <w:jc w:val="left"/>
        <w:rPr/>
      </w:pPr>
      <w:r w:rsidDel="00000000" w:rsidR="00000000" w:rsidRPr="00000000">
        <w:rPr>
          <w:rtl w:val="0"/>
        </w:rPr>
        <w:t xml:space="preserve">Timeline</w:t>
      </w:r>
    </w:p>
    <w:p w:rsidR="00000000" w:rsidDel="00000000" w:rsidP="00000000" w:rsidRDefault="00000000" w:rsidRPr="00000000" w14:paraId="00000036">
      <w:pPr>
        <w:rPr/>
      </w:pPr>
      <w:r w:rsidDel="00000000" w:rsidR="00000000" w:rsidRPr="00000000">
        <w:rPr>
          <w:rtl w:val="0"/>
        </w:rPr>
        <w:t xml:space="preserve">The research will be completed over eight weeks. The timeline begins with finalising the title and proposal structure, followed by literature review, questionnaire design, ethics preparation, data collection, analysis, writing and final editing. The Gantt chart below shows the planned schedule.</w:t>
      </w:r>
    </w:p>
    <w:p w:rsidR="00000000" w:rsidDel="00000000" w:rsidP="00000000" w:rsidRDefault="00000000" w:rsidRPr="00000000" w14:paraId="00000037">
      <w:pPr>
        <w:rPr/>
      </w:pPr>
      <w:r w:rsidDel="00000000" w:rsidR="00000000" w:rsidRPr="00000000">
        <w:br w:type="page"/>
      </w:r>
      <w:r w:rsidDel="00000000" w:rsidR="00000000" w:rsidRPr="00000000">
        <w:rPr>
          <w:rtl w:val="0"/>
        </w:rPr>
      </w:r>
    </w:p>
    <w:p w:rsidR="00000000" w:rsidDel="00000000" w:rsidP="00000000" w:rsidRDefault="00000000" w:rsidRPr="00000000" w14:paraId="00000038">
      <w:pPr>
        <w:jc w:val="center"/>
        <w:rPr/>
      </w:pPr>
      <w:r w:rsidDel="00000000" w:rsidR="00000000" w:rsidRPr="00000000">
        <w:rPr>
          <w:i w:val="1"/>
          <w:iCs w:val="1"/>
          <w:rtl w:val="0"/>
        </w:rPr>
        <w:t xml:space="preserve">Table 1: Gantt chart</w:t>
      </w:r>
      <w:r w:rsidDel="00000000" w:rsidR="00000000" w:rsidRPr="00000000">
        <w:rPr>
          <w:rtl w:val="0"/>
        </w:rPr>
      </w:r>
    </w:p>
    <w:tbl>
      <w:tblPr>
        <w:tblStyle w:val="Table2"/>
        <w:tblW w:w="9255.999999999998"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232"/>
        <w:gridCol w:w="878"/>
        <w:gridCol w:w="878"/>
        <w:gridCol w:w="878"/>
        <w:gridCol w:w="878"/>
        <w:gridCol w:w="878"/>
        <w:gridCol w:w="878"/>
        <w:gridCol w:w="878"/>
        <w:gridCol w:w="878"/>
        <w:tblGridChange w:id="0">
          <w:tblGrid>
            <w:gridCol w:w="2232"/>
            <w:gridCol w:w="878"/>
            <w:gridCol w:w="878"/>
            <w:gridCol w:w="878"/>
            <w:gridCol w:w="878"/>
            <w:gridCol w:w="878"/>
            <w:gridCol w:w="878"/>
            <w:gridCol w:w="878"/>
            <w:gridCol w:w="878"/>
          </w:tblGrid>
        </w:tblGridChange>
      </w:tblGrid>
      <w:tr>
        <w:trPr>
          <w:cantSplit w:val="0"/>
          <w:tblHeader w:val="0"/>
        </w:trPr>
        <w:tc>
          <w:tcPr>
            <w:shd w:fill="d9eaf7" w:val="clear"/>
            <w:vAlign w:val="center"/>
          </w:tcPr>
          <w:p w:rsidR="00000000" w:rsidDel="00000000" w:rsidP="00000000" w:rsidRDefault="00000000" w:rsidRPr="00000000" w14:paraId="00000039">
            <w:pPr>
              <w:jc w:val="center"/>
              <w:rPr/>
            </w:pPr>
            <w:r w:rsidDel="00000000" w:rsidR="00000000" w:rsidRPr="00000000">
              <w:rPr>
                <w:b w:val="1"/>
                <w:bCs w:val="1"/>
                <w:rtl w:val="0"/>
              </w:rPr>
              <w:t xml:space="preserve">Task</w:t>
            </w:r>
            <w:r w:rsidDel="00000000" w:rsidR="00000000" w:rsidRPr="00000000">
              <w:rPr>
                <w:rtl w:val="0"/>
              </w:rPr>
            </w:r>
          </w:p>
        </w:tc>
        <w:tc>
          <w:tcPr>
            <w:shd w:fill="d9eaf7" w:val="clear"/>
            <w:vAlign w:val="center"/>
          </w:tcPr>
          <w:p w:rsidR="00000000" w:rsidDel="00000000" w:rsidP="00000000" w:rsidRDefault="00000000" w:rsidRPr="00000000" w14:paraId="0000003A">
            <w:pPr>
              <w:jc w:val="center"/>
              <w:rPr/>
            </w:pPr>
            <w:r w:rsidDel="00000000" w:rsidR="00000000" w:rsidRPr="00000000">
              <w:rPr>
                <w:b w:val="1"/>
                <w:bCs w:val="1"/>
                <w:rtl w:val="0"/>
              </w:rPr>
              <w:t xml:space="preserve">Week 1</w:t>
            </w:r>
            <w:r w:rsidDel="00000000" w:rsidR="00000000" w:rsidRPr="00000000">
              <w:rPr>
                <w:rtl w:val="0"/>
              </w:rPr>
            </w:r>
          </w:p>
        </w:tc>
        <w:tc>
          <w:tcPr>
            <w:shd w:fill="d9eaf7" w:val="clear"/>
            <w:vAlign w:val="center"/>
          </w:tcPr>
          <w:p w:rsidR="00000000" w:rsidDel="00000000" w:rsidP="00000000" w:rsidRDefault="00000000" w:rsidRPr="00000000" w14:paraId="0000003B">
            <w:pPr>
              <w:jc w:val="center"/>
              <w:rPr/>
            </w:pPr>
            <w:r w:rsidDel="00000000" w:rsidR="00000000" w:rsidRPr="00000000">
              <w:rPr>
                <w:b w:val="1"/>
                <w:bCs w:val="1"/>
                <w:rtl w:val="0"/>
              </w:rPr>
              <w:t xml:space="preserve">Week 2</w:t>
            </w:r>
            <w:r w:rsidDel="00000000" w:rsidR="00000000" w:rsidRPr="00000000">
              <w:rPr>
                <w:rtl w:val="0"/>
              </w:rPr>
            </w:r>
          </w:p>
        </w:tc>
        <w:tc>
          <w:tcPr>
            <w:shd w:fill="d9eaf7" w:val="clear"/>
            <w:vAlign w:val="center"/>
          </w:tcPr>
          <w:p w:rsidR="00000000" w:rsidDel="00000000" w:rsidP="00000000" w:rsidRDefault="00000000" w:rsidRPr="00000000" w14:paraId="0000003C">
            <w:pPr>
              <w:jc w:val="center"/>
              <w:rPr/>
            </w:pPr>
            <w:r w:rsidDel="00000000" w:rsidR="00000000" w:rsidRPr="00000000">
              <w:rPr>
                <w:b w:val="1"/>
                <w:bCs w:val="1"/>
                <w:rtl w:val="0"/>
              </w:rPr>
              <w:t xml:space="preserve">Week 3</w:t>
            </w:r>
            <w:r w:rsidDel="00000000" w:rsidR="00000000" w:rsidRPr="00000000">
              <w:rPr>
                <w:rtl w:val="0"/>
              </w:rPr>
            </w:r>
          </w:p>
        </w:tc>
        <w:tc>
          <w:tcPr>
            <w:shd w:fill="d9eaf7" w:val="clear"/>
            <w:vAlign w:val="center"/>
          </w:tcPr>
          <w:p w:rsidR="00000000" w:rsidDel="00000000" w:rsidP="00000000" w:rsidRDefault="00000000" w:rsidRPr="00000000" w14:paraId="0000003D">
            <w:pPr>
              <w:jc w:val="center"/>
              <w:rPr/>
            </w:pPr>
            <w:r w:rsidDel="00000000" w:rsidR="00000000" w:rsidRPr="00000000">
              <w:rPr>
                <w:b w:val="1"/>
                <w:bCs w:val="1"/>
                <w:rtl w:val="0"/>
              </w:rPr>
              <w:t xml:space="preserve">Week 4</w:t>
            </w:r>
            <w:r w:rsidDel="00000000" w:rsidR="00000000" w:rsidRPr="00000000">
              <w:rPr>
                <w:rtl w:val="0"/>
              </w:rPr>
            </w:r>
          </w:p>
        </w:tc>
        <w:tc>
          <w:tcPr>
            <w:shd w:fill="d9eaf7" w:val="clear"/>
            <w:vAlign w:val="center"/>
          </w:tcPr>
          <w:p w:rsidR="00000000" w:rsidDel="00000000" w:rsidP="00000000" w:rsidRDefault="00000000" w:rsidRPr="00000000" w14:paraId="0000003E">
            <w:pPr>
              <w:jc w:val="center"/>
              <w:rPr/>
            </w:pPr>
            <w:r w:rsidDel="00000000" w:rsidR="00000000" w:rsidRPr="00000000">
              <w:rPr>
                <w:b w:val="1"/>
                <w:bCs w:val="1"/>
                <w:rtl w:val="0"/>
              </w:rPr>
              <w:t xml:space="preserve">Week 5</w:t>
            </w:r>
            <w:r w:rsidDel="00000000" w:rsidR="00000000" w:rsidRPr="00000000">
              <w:rPr>
                <w:rtl w:val="0"/>
              </w:rPr>
            </w:r>
          </w:p>
        </w:tc>
        <w:tc>
          <w:tcPr>
            <w:shd w:fill="d9eaf7" w:val="clear"/>
            <w:vAlign w:val="center"/>
          </w:tcPr>
          <w:p w:rsidR="00000000" w:rsidDel="00000000" w:rsidP="00000000" w:rsidRDefault="00000000" w:rsidRPr="00000000" w14:paraId="0000003F">
            <w:pPr>
              <w:jc w:val="center"/>
              <w:rPr/>
            </w:pPr>
            <w:r w:rsidDel="00000000" w:rsidR="00000000" w:rsidRPr="00000000">
              <w:rPr>
                <w:b w:val="1"/>
                <w:bCs w:val="1"/>
                <w:rtl w:val="0"/>
              </w:rPr>
              <w:t xml:space="preserve">Week 6</w:t>
            </w:r>
            <w:r w:rsidDel="00000000" w:rsidR="00000000" w:rsidRPr="00000000">
              <w:rPr>
                <w:rtl w:val="0"/>
              </w:rPr>
            </w:r>
          </w:p>
        </w:tc>
        <w:tc>
          <w:tcPr>
            <w:shd w:fill="d9eaf7" w:val="clear"/>
            <w:vAlign w:val="center"/>
          </w:tcPr>
          <w:p w:rsidR="00000000" w:rsidDel="00000000" w:rsidP="00000000" w:rsidRDefault="00000000" w:rsidRPr="00000000" w14:paraId="00000040">
            <w:pPr>
              <w:jc w:val="center"/>
              <w:rPr/>
            </w:pPr>
            <w:r w:rsidDel="00000000" w:rsidR="00000000" w:rsidRPr="00000000">
              <w:rPr>
                <w:b w:val="1"/>
                <w:bCs w:val="1"/>
                <w:rtl w:val="0"/>
              </w:rPr>
              <w:t xml:space="preserve">Week 7</w:t>
            </w:r>
            <w:r w:rsidDel="00000000" w:rsidR="00000000" w:rsidRPr="00000000">
              <w:rPr>
                <w:rtl w:val="0"/>
              </w:rPr>
            </w:r>
          </w:p>
        </w:tc>
        <w:tc>
          <w:tcPr>
            <w:shd w:fill="d9eaf7" w:val="clear"/>
            <w:vAlign w:val="center"/>
          </w:tcPr>
          <w:p w:rsidR="00000000" w:rsidDel="00000000" w:rsidP="00000000" w:rsidRDefault="00000000" w:rsidRPr="00000000" w14:paraId="00000041">
            <w:pPr>
              <w:jc w:val="center"/>
              <w:rPr/>
            </w:pPr>
            <w:r w:rsidDel="00000000" w:rsidR="00000000" w:rsidRPr="00000000">
              <w:rPr>
                <w:b w:val="1"/>
                <w:bCs w:val="1"/>
                <w:rtl w:val="0"/>
              </w:rPr>
              <w:t xml:space="preserve">Week 8</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2">
            <w:pPr>
              <w:spacing w:line="240" w:lineRule="auto"/>
              <w:jc w:val="left"/>
              <w:rPr/>
            </w:pPr>
            <w:r w:rsidDel="00000000" w:rsidR="00000000" w:rsidRPr="00000000">
              <w:rPr>
                <w:rtl w:val="0"/>
              </w:rPr>
              <w:t xml:space="preserve">Title and structure</w:t>
            </w:r>
          </w:p>
        </w:tc>
        <w:tc>
          <w:tcPr>
            <w:shd w:fill="c6e0b4" w:val="clear"/>
            <w:vAlign w:val="center"/>
          </w:tcPr>
          <w:p w:rsidR="00000000" w:rsidDel="00000000" w:rsidP="00000000" w:rsidRDefault="00000000" w:rsidRPr="00000000" w14:paraId="00000043">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44">
            <w:pPr>
              <w:jc w:val="center"/>
              <w:rPr/>
            </w:pPr>
            <w:r w:rsidDel="00000000" w:rsidR="00000000" w:rsidRPr="00000000">
              <w:rPr>
                <w:rtl w:val="0"/>
              </w:rPr>
            </w:r>
          </w:p>
        </w:tc>
        <w:tc>
          <w:tcPr>
            <w:vAlign w:val="center"/>
          </w:tcPr>
          <w:p w:rsidR="00000000" w:rsidDel="00000000" w:rsidP="00000000" w:rsidRDefault="00000000" w:rsidRPr="00000000" w14:paraId="00000045">
            <w:pPr>
              <w:jc w:val="center"/>
              <w:rPr/>
            </w:pPr>
            <w:r w:rsidDel="00000000" w:rsidR="00000000" w:rsidRPr="00000000">
              <w:rPr>
                <w:rtl w:val="0"/>
              </w:rPr>
            </w:r>
          </w:p>
        </w:tc>
        <w:tc>
          <w:tcPr>
            <w:vAlign w:val="center"/>
          </w:tcPr>
          <w:p w:rsidR="00000000" w:rsidDel="00000000" w:rsidP="00000000" w:rsidRDefault="00000000" w:rsidRPr="00000000" w14:paraId="00000046">
            <w:pPr>
              <w:jc w:val="center"/>
              <w:rPr/>
            </w:pPr>
            <w:r w:rsidDel="00000000" w:rsidR="00000000" w:rsidRPr="00000000">
              <w:rPr>
                <w:rtl w:val="0"/>
              </w:rPr>
            </w:r>
          </w:p>
        </w:tc>
        <w:tc>
          <w:tcPr>
            <w:vAlign w:val="center"/>
          </w:tcPr>
          <w:p w:rsidR="00000000" w:rsidDel="00000000" w:rsidP="00000000" w:rsidRDefault="00000000" w:rsidRPr="00000000" w14:paraId="00000047">
            <w:pPr>
              <w:jc w:val="center"/>
              <w:rPr/>
            </w:pPr>
            <w:r w:rsidDel="00000000" w:rsidR="00000000" w:rsidRPr="00000000">
              <w:rPr>
                <w:rtl w:val="0"/>
              </w:rPr>
            </w:r>
          </w:p>
        </w:tc>
        <w:tc>
          <w:tcPr>
            <w:vAlign w:val="center"/>
          </w:tcPr>
          <w:p w:rsidR="00000000" w:rsidDel="00000000" w:rsidP="00000000" w:rsidRDefault="00000000" w:rsidRPr="00000000" w14:paraId="00000048">
            <w:pPr>
              <w:jc w:val="center"/>
              <w:rPr/>
            </w:pPr>
            <w:r w:rsidDel="00000000" w:rsidR="00000000" w:rsidRPr="00000000">
              <w:rPr>
                <w:rtl w:val="0"/>
              </w:rPr>
            </w:r>
          </w:p>
        </w:tc>
        <w:tc>
          <w:tcPr>
            <w:vAlign w:val="center"/>
          </w:tcPr>
          <w:p w:rsidR="00000000" w:rsidDel="00000000" w:rsidP="00000000" w:rsidRDefault="00000000" w:rsidRPr="00000000" w14:paraId="00000049">
            <w:pPr>
              <w:jc w:val="center"/>
              <w:rPr/>
            </w:pPr>
            <w:r w:rsidDel="00000000" w:rsidR="00000000" w:rsidRPr="00000000">
              <w:rPr>
                <w:rtl w:val="0"/>
              </w:rPr>
            </w:r>
          </w:p>
        </w:tc>
        <w:tc>
          <w:tcPr>
            <w:vAlign w:val="center"/>
          </w:tcPr>
          <w:p w:rsidR="00000000" w:rsidDel="00000000" w:rsidP="00000000" w:rsidRDefault="00000000" w:rsidRPr="00000000" w14:paraId="0000004A">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4B">
            <w:pPr>
              <w:spacing w:line="240" w:lineRule="auto"/>
              <w:jc w:val="left"/>
              <w:rPr/>
            </w:pPr>
            <w:r w:rsidDel="00000000" w:rsidR="00000000" w:rsidRPr="00000000">
              <w:rPr>
                <w:rtl w:val="0"/>
              </w:rPr>
              <w:t xml:space="preserve">Intro/problem</w:t>
            </w:r>
          </w:p>
        </w:tc>
        <w:tc>
          <w:tcPr>
            <w:shd w:fill="c6e0b4" w:val="clear"/>
            <w:vAlign w:val="center"/>
          </w:tcPr>
          <w:p w:rsidR="00000000" w:rsidDel="00000000" w:rsidP="00000000" w:rsidRDefault="00000000" w:rsidRPr="00000000" w14:paraId="0000004C">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4D">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4E">
            <w:pPr>
              <w:jc w:val="center"/>
              <w:rPr/>
            </w:pPr>
            <w:r w:rsidDel="00000000" w:rsidR="00000000" w:rsidRPr="00000000">
              <w:rPr>
                <w:rtl w:val="0"/>
              </w:rPr>
            </w:r>
          </w:p>
        </w:tc>
        <w:tc>
          <w:tcPr>
            <w:vAlign w:val="center"/>
          </w:tcPr>
          <w:p w:rsidR="00000000" w:rsidDel="00000000" w:rsidP="00000000" w:rsidRDefault="00000000" w:rsidRPr="00000000" w14:paraId="0000004F">
            <w:pPr>
              <w:jc w:val="center"/>
              <w:rPr/>
            </w:pPr>
            <w:r w:rsidDel="00000000" w:rsidR="00000000" w:rsidRPr="00000000">
              <w:rPr>
                <w:rtl w:val="0"/>
              </w:rPr>
            </w:r>
          </w:p>
        </w:tc>
        <w:tc>
          <w:tcPr>
            <w:vAlign w:val="center"/>
          </w:tcPr>
          <w:p w:rsidR="00000000" w:rsidDel="00000000" w:rsidP="00000000" w:rsidRDefault="00000000" w:rsidRPr="00000000" w14:paraId="00000050">
            <w:pPr>
              <w:jc w:val="center"/>
              <w:rPr/>
            </w:pPr>
            <w:r w:rsidDel="00000000" w:rsidR="00000000" w:rsidRPr="00000000">
              <w:rPr>
                <w:rtl w:val="0"/>
              </w:rPr>
            </w:r>
          </w:p>
        </w:tc>
        <w:tc>
          <w:tcPr>
            <w:vAlign w:val="center"/>
          </w:tcPr>
          <w:p w:rsidR="00000000" w:rsidDel="00000000" w:rsidP="00000000" w:rsidRDefault="00000000" w:rsidRPr="00000000" w14:paraId="00000051">
            <w:pPr>
              <w:jc w:val="center"/>
              <w:rPr/>
            </w:pPr>
            <w:r w:rsidDel="00000000" w:rsidR="00000000" w:rsidRPr="00000000">
              <w:rPr>
                <w:rtl w:val="0"/>
              </w:rPr>
            </w:r>
          </w:p>
        </w:tc>
        <w:tc>
          <w:tcPr>
            <w:vAlign w:val="center"/>
          </w:tcPr>
          <w:p w:rsidR="00000000" w:rsidDel="00000000" w:rsidP="00000000" w:rsidRDefault="00000000" w:rsidRPr="00000000" w14:paraId="00000052">
            <w:pPr>
              <w:jc w:val="center"/>
              <w:rPr/>
            </w:pPr>
            <w:r w:rsidDel="00000000" w:rsidR="00000000" w:rsidRPr="00000000">
              <w:rPr>
                <w:rtl w:val="0"/>
              </w:rPr>
            </w:r>
          </w:p>
        </w:tc>
        <w:tc>
          <w:tcPr>
            <w:vAlign w:val="center"/>
          </w:tcPr>
          <w:p w:rsidR="00000000" w:rsidDel="00000000" w:rsidP="00000000" w:rsidRDefault="00000000" w:rsidRPr="00000000" w14:paraId="00000053">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54">
            <w:pPr>
              <w:spacing w:line="240" w:lineRule="auto"/>
              <w:jc w:val="left"/>
              <w:rPr/>
            </w:pPr>
            <w:r w:rsidDel="00000000" w:rsidR="00000000" w:rsidRPr="00000000">
              <w:rPr>
                <w:rtl w:val="0"/>
              </w:rPr>
              <w:t xml:space="preserve">Literature and gap</w:t>
            </w:r>
          </w:p>
        </w:tc>
        <w:tc>
          <w:tcPr>
            <w:vAlign w:val="center"/>
          </w:tcPr>
          <w:p w:rsidR="00000000" w:rsidDel="00000000" w:rsidP="00000000" w:rsidRDefault="00000000" w:rsidRPr="00000000" w14:paraId="00000055">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56">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57">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58">
            <w:pPr>
              <w:jc w:val="center"/>
              <w:rPr/>
            </w:pPr>
            <w:r w:rsidDel="00000000" w:rsidR="00000000" w:rsidRPr="00000000">
              <w:rPr>
                <w:rtl w:val="0"/>
              </w:rPr>
            </w:r>
          </w:p>
        </w:tc>
        <w:tc>
          <w:tcPr>
            <w:vAlign w:val="center"/>
          </w:tcPr>
          <w:p w:rsidR="00000000" w:rsidDel="00000000" w:rsidP="00000000" w:rsidRDefault="00000000" w:rsidRPr="00000000" w14:paraId="00000059">
            <w:pPr>
              <w:jc w:val="center"/>
              <w:rPr/>
            </w:pPr>
            <w:r w:rsidDel="00000000" w:rsidR="00000000" w:rsidRPr="00000000">
              <w:rPr>
                <w:rtl w:val="0"/>
              </w:rPr>
            </w:r>
          </w:p>
        </w:tc>
        <w:tc>
          <w:tcPr>
            <w:vAlign w:val="center"/>
          </w:tcPr>
          <w:p w:rsidR="00000000" w:rsidDel="00000000" w:rsidP="00000000" w:rsidRDefault="00000000" w:rsidRPr="00000000" w14:paraId="0000005A">
            <w:pPr>
              <w:jc w:val="center"/>
              <w:rPr/>
            </w:pPr>
            <w:r w:rsidDel="00000000" w:rsidR="00000000" w:rsidRPr="00000000">
              <w:rPr>
                <w:rtl w:val="0"/>
              </w:rPr>
            </w:r>
          </w:p>
        </w:tc>
        <w:tc>
          <w:tcPr>
            <w:vAlign w:val="center"/>
          </w:tcPr>
          <w:p w:rsidR="00000000" w:rsidDel="00000000" w:rsidP="00000000" w:rsidRDefault="00000000" w:rsidRPr="00000000" w14:paraId="0000005B">
            <w:pPr>
              <w:jc w:val="center"/>
              <w:rPr/>
            </w:pPr>
            <w:r w:rsidDel="00000000" w:rsidR="00000000" w:rsidRPr="00000000">
              <w:rPr>
                <w:rtl w:val="0"/>
              </w:rPr>
            </w:r>
          </w:p>
        </w:tc>
        <w:tc>
          <w:tcPr>
            <w:vAlign w:val="center"/>
          </w:tcPr>
          <w:p w:rsidR="00000000" w:rsidDel="00000000" w:rsidP="00000000" w:rsidRDefault="00000000" w:rsidRPr="00000000" w14:paraId="0000005C">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5D">
            <w:pPr>
              <w:spacing w:line="240" w:lineRule="auto"/>
              <w:jc w:val="left"/>
              <w:rPr/>
            </w:pPr>
            <w:r w:rsidDel="00000000" w:rsidR="00000000" w:rsidRPr="00000000">
              <w:rPr>
                <w:rtl w:val="0"/>
              </w:rPr>
              <w:t xml:space="preserve">Survey design</w:t>
            </w:r>
          </w:p>
        </w:tc>
        <w:tc>
          <w:tcPr>
            <w:vAlign w:val="center"/>
          </w:tcPr>
          <w:p w:rsidR="00000000" w:rsidDel="00000000" w:rsidP="00000000" w:rsidRDefault="00000000" w:rsidRPr="00000000" w14:paraId="0000005E">
            <w:pPr>
              <w:jc w:val="center"/>
              <w:rPr/>
            </w:pPr>
            <w:r w:rsidDel="00000000" w:rsidR="00000000" w:rsidRPr="00000000">
              <w:rPr>
                <w:rtl w:val="0"/>
              </w:rPr>
            </w:r>
          </w:p>
        </w:tc>
        <w:tc>
          <w:tcPr>
            <w:vAlign w:val="center"/>
          </w:tcPr>
          <w:p w:rsidR="00000000" w:rsidDel="00000000" w:rsidP="00000000" w:rsidRDefault="00000000" w:rsidRPr="00000000" w14:paraId="0000005F">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60">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61">
            <w:pPr>
              <w:jc w:val="center"/>
              <w:rPr/>
            </w:pPr>
            <w:r w:rsidDel="00000000" w:rsidR="00000000" w:rsidRPr="00000000">
              <w:rPr>
                <w:rtl w:val="0"/>
              </w:rPr>
            </w:r>
          </w:p>
        </w:tc>
        <w:tc>
          <w:tcPr>
            <w:vAlign w:val="center"/>
          </w:tcPr>
          <w:p w:rsidR="00000000" w:rsidDel="00000000" w:rsidP="00000000" w:rsidRDefault="00000000" w:rsidRPr="00000000" w14:paraId="00000062">
            <w:pPr>
              <w:jc w:val="center"/>
              <w:rPr/>
            </w:pPr>
            <w:r w:rsidDel="00000000" w:rsidR="00000000" w:rsidRPr="00000000">
              <w:rPr>
                <w:rtl w:val="0"/>
              </w:rPr>
            </w:r>
          </w:p>
        </w:tc>
        <w:tc>
          <w:tcPr>
            <w:vAlign w:val="center"/>
          </w:tcPr>
          <w:p w:rsidR="00000000" w:rsidDel="00000000" w:rsidP="00000000" w:rsidRDefault="00000000" w:rsidRPr="00000000" w14:paraId="00000063">
            <w:pPr>
              <w:jc w:val="center"/>
              <w:rPr/>
            </w:pPr>
            <w:r w:rsidDel="00000000" w:rsidR="00000000" w:rsidRPr="00000000">
              <w:rPr>
                <w:rtl w:val="0"/>
              </w:rPr>
            </w:r>
          </w:p>
        </w:tc>
        <w:tc>
          <w:tcPr>
            <w:vAlign w:val="center"/>
          </w:tcPr>
          <w:p w:rsidR="00000000" w:rsidDel="00000000" w:rsidP="00000000" w:rsidRDefault="00000000" w:rsidRPr="00000000" w14:paraId="00000064">
            <w:pPr>
              <w:jc w:val="center"/>
              <w:rPr/>
            </w:pPr>
            <w:r w:rsidDel="00000000" w:rsidR="00000000" w:rsidRPr="00000000">
              <w:rPr>
                <w:rtl w:val="0"/>
              </w:rPr>
            </w:r>
          </w:p>
        </w:tc>
        <w:tc>
          <w:tcPr>
            <w:vAlign w:val="center"/>
          </w:tcPr>
          <w:p w:rsidR="00000000" w:rsidDel="00000000" w:rsidP="00000000" w:rsidRDefault="00000000" w:rsidRPr="00000000" w14:paraId="00000065">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66">
            <w:pPr>
              <w:spacing w:line="240" w:lineRule="auto"/>
              <w:jc w:val="left"/>
              <w:rPr/>
            </w:pPr>
            <w:r w:rsidDel="00000000" w:rsidR="00000000" w:rsidRPr="00000000">
              <w:rPr>
                <w:rtl w:val="0"/>
              </w:rPr>
              <w:t xml:space="preserve">Ethics approval</w:t>
            </w:r>
          </w:p>
        </w:tc>
        <w:tc>
          <w:tcPr>
            <w:vAlign w:val="center"/>
          </w:tcPr>
          <w:p w:rsidR="00000000" w:rsidDel="00000000" w:rsidP="00000000" w:rsidRDefault="00000000" w:rsidRPr="00000000" w14:paraId="00000067">
            <w:pPr>
              <w:jc w:val="center"/>
              <w:rPr/>
            </w:pPr>
            <w:r w:rsidDel="00000000" w:rsidR="00000000" w:rsidRPr="00000000">
              <w:rPr>
                <w:rtl w:val="0"/>
              </w:rPr>
            </w:r>
          </w:p>
        </w:tc>
        <w:tc>
          <w:tcPr>
            <w:vAlign w:val="center"/>
          </w:tcPr>
          <w:p w:rsidR="00000000" w:rsidDel="00000000" w:rsidP="00000000" w:rsidRDefault="00000000" w:rsidRPr="00000000" w14:paraId="00000068">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69">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6A">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6B">
            <w:pPr>
              <w:jc w:val="center"/>
              <w:rPr/>
            </w:pPr>
            <w:r w:rsidDel="00000000" w:rsidR="00000000" w:rsidRPr="00000000">
              <w:rPr>
                <w:rtl w:val="0"/>
              </w:rPr>
            </w:r>
          </w:p>
        </w:tc>
        <w:tc>
          <w:tcPr>
            <w:vAlign w:val="center"/>
          </w:tcPr>
          <w:p w:rsidR="00000000" w:rsidDel="00000000" w:rsidP="00000000" w:rsidRDefault="00000000" w:rsidRPr="00000000" w14:paraId="0000006C">
            <w:pPr>
              <w:jc w:val="center"/>
              <w:rPr/>
            </w:pPr>
            <w:r w:rsidDel="00000000" w:rsidR="00000000" w:rsidRPr="00000000">
              <w:rPr>
                <w:rtl w:val="0"/>
              </w:rPr>
            </w:r>
          </w:p>
        </w:tc>
        <w:tc>
          <w:tcPr>
            <w:vAlign w:val="center"/>
          </w:tcPr>
          <w:p w:rsidR="00000000" w:rsidDel="00000000" w:rsidP="00000000" w:rsidRDefault="00000000" w:rsidRPr="00000000" w14:paraId="0000006D">
            <w:pPr>
              <w:jc w:val="center"/>
              <w:rPr/>
            </w:pPr>
            <w:r w:rsidDel="00000000" w:rsidR="00000000" w:rsidRPr="00000000">
              <w:rPr>
                <w:rtl w:val="0"/>
              </w:rPr>
            </w:r>
          </w:p>
        </w:tc>
        <w:tc>
          <w:tcPr>
            <w:vAlign w:val="center"/>
          </w:tcPr>
          <w:p w:rsidR="00000000" w:rsidDel="00000000" w:rsidP="00000000" w:rsidRDefault="00000000" w:rsidRPr="00000000" w14:paraId="0000006E">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6F">
            <w:pPr>
              <w:spacing w:line="240" w:lineRule="auto"/>
              <w:jc w:val="left"/>
              <w:rPr/>
            </w:pPr>
            <w:r w:rsidDel="00000000" w:rsidR="00000000" w:rsidRPr="00000000">
              <w:rPr>
                <w:rtl w:val="0"/>
              </w:rPr>
              <w:t xml:space="preserve">Data collection</w:t>
            </w:r>
          </w:p>
        </w:tc>
        <w:tc>
          <w:tcPr>
            <w:vAlign w:val="center"/>
          </w:tcPr>
          <w:p w:rsidR="00000000" w:rsidDel="00000000" w:rsidP="00000000" w:rsidRDefault="00000000" w:rsidRPr="00000000" w14:paraId="00000070">
            <w:pPr>
              <w:jc w:val="center"/>
              <w:rPr/>
            </w:pPr>
            <w:r w:rsidDel="00000000" w:rsidR="00000000" w:rsidRPr="00000000">
              <w:rPr>
                <w:rtl w:val="0"/>
              </w:rPr>
            </w:r>
          </w:p>
        </w:tc>
        <w:tc>
          <w:tcPr>
            <w:vAlign w:val="center"/>
          </w:tcPr>
          <w:p w:rsidR="00000000" w:rsidDel="00000000" w:rsidP="00000000" w:rsidRDefault="00000000" w:rsidRPr="00000000" w14:paraId="00000071">
            <w:pPr>
              <w:jc w:val="center"/>
              <w:rPr/>
            </w:pPr>
            <w:r w:rsidDel="00000000" w:rsidR="00000000" w:rsidRPr="00000000">
              <w:rPr>
                <w:rtl w:val="0"/>
              </w:rPr>
            </w:r>
          </w:p>
        </w:tc>
        <w:tc>
          <w:tcPr>
            <w:vAlign w:val="center"/>
          </w:tcPr>
          <w:p w:rsidR="00000000" w:rsidDel="00000000" w:rsidP="00000000" w:rsidRDefault="00000000" w:rsidRPr="00000000" w14:paraId="00000072">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73">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74">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75">
            <w:pPr>
              <w:jc w:val="center"/>
              <w:rPr/>
            </w:pPr>
            <w:r w:rsidDel="00000000" w:rsidR="00000000" w:rsidRPr="00000000">
              <w:rPr>
                <w:rtl w:val="0"/>
              </w:rPr>
            </w:r>
          </w:p>
        </w:tc>
        <w:tc>
          <w:tcPr>
            <w:vAlign w:val="center"/>
          </w:tcPr>
          <w:p w:rsidR="00000000" w:rsidDel="00000000" w:rsidP="00000000" w:rsidRDefault="00000000" w:rsidRPr="00000000" w14:paraId="00000076">
            <w:pPr>
              <w:jc w:val="center"/>
              <w:rPr/>
            </w:pPr>
            <w:r w:rsidDel="00000000" w:rsidR="00000000" w:rsidRPr="00000000">
              <w:rPr>
                <w:rtl w:val="0"/>
              </w:rPr>
            </w:r>
          </w:p>
        </w:tc>
        <w:tc>
          <w:tcPr>
            <w:vAlign w:val="center"/>
          </w:tcPr>
          <w:p w:rsidR="00000000" w:rsidDel="00000000" w:rsidP="00000000" w:rsidRDefault="00000000" w:rsidRPr="00000000" w14:paraId="00000077">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78">
            <w:pPr>
              <w:spacing w:line="240" w:lineRule="auto"/>
              <w:jc w:val="left"/>
              <w:rPr/>
            </w:pPr>
            <w:r w:rsidDel="00000000" w:rsidR="00000000" w:rsidRPr="00000000">
              <w:rPr>
                <w:rtl w:val="0"/>
              </w:rPr>
              <w:t xml:space="preserve">Data analysis</w:t>
            </w:r>
          </w:p>
        </w:tc>
        <w:tc>
          <w:tcPr>
            <w:vAlign w:val="center"/>
          </w:tcPr>
          <w:p w:rsidR="00000000" w:rsidDel="00000000" w:rsidP="00000000" w:rsidRDefault="00000000" w:rsidRPr="00000000" w14:paraId="00000079">
            <w:pPr>
              <w:jc w:val="center"/>
              <w:rPr/>
            </w:pPr>
            <w:r w:rsidDel="00000000" w:rsidR="00000000" w:rsidRPr="00000000">
              <w:rPr>
                <w:rtl w:val="0"/>
              </w:rPr>
            </w:r>
          </w:p>
        </w:tc>
        <w:tc>
          <w:tcPr>
            <w:vAlign w:val="center"/>
          </w:tcPr>
          <w:p w:rsidR="00000000" w:rsidDel="00000000" w:rsidP="00000000" w:rsidRDefault="00000000" w:rsidRPr="00000000" w14:paraId="0000007A">
            <w:pPr>
              <w:jc w:val="center"/>
              <w:rPr/>
            </w:pPr>
            <w:r w:rsidDel="00000000" w:rsidR="00000000" w:rsidRPr="00000000">
              <w:rPr>
                <w:rtl w:val="0"/>
              </w:rPr>
            </w:r>
          </w:p>
        </w:tc>
        <w:tc>
          <w:tcPr>
            <w:vAlign w:val="center"/>
          </w:tcPr>
          <w:p w:rsidR="00000000" w:rsidDel="00000000" w:rsidP="00000000" w:rsidRDefault="00000000" w:rsidRPr="00000000" w14:paraId="0000007B">
            <w:pPr>
              <w:jc w:val="center"/>
              <w:rPr/>
            </w:pPr>
            <w:r w:rsidDel="00000000" w:rsidR="00000000" w:rsidRPr="00000000">
              <w:rPr>
                <w:rtl w:val="0"/>
              </w:rPr>
            </w:r>
          </w:p>
        </w:tc>
        <w:tc>
          <w:tcPr>
            <w:vAlign w:val="center"/>
          </w:tcPr>
          <w:p w:rsidR="00000000" w:rsidDel="00000000" w:rsidP="00000000" w:rsidRDefault="00000000" w:rsidRPr="00000000" w14:paraId="0000007C">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7D">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7E">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7F">
            <w:pPr>
              <w:jc w:val="center"/>
              <w:rPr/>
            </w:pPr>
            <w:r w:rsidDel="00000000" w:rsidR="00000000" w:rsidRPr="00000000">
              <w:rPr>
                <w:rtl w:val="0"/>
              </w:rPr>
            </w:r>
          </w:p>
        </w:tc>
        <w:tc>
          <w:tcPr>
            <w:vAlign w:val="center"/>
          </w:tcPr>
          <w:p w:rsidR="00000000" w:rsidDel="00000000" w:rsidP="00000000" w:rsidRDefault="00000000" w:rsidRPr="00000000" w14:paraId="00000080">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81">
            <w:pPr>
              <w:spacing w:line="240" w:lineRule="auto"/>
              <w:jc w:val="left"/>
              <w:rPr/>
            </w:pPr>
            <w:r w:rsidDel="00000000" w:rsidR="00000000" w:rsidRPr="00000000">
              <w:rPr>
                <w:rtl w:val="0"/>
              </w:rPr>
              <w:t xml:space="preserve">Discussion</w:t>
            </w:r>
          </w:p>
        </w:tc>
        <w:tc>
          <w:tcPr>
            <w:vAlign w:val="center"/>
          </w:tcPr>
          <w:p w:rsidR="00000000" w:rsidDel="00000000" w:rsidP="00000000" w:rsidRDefault="00000000" w:rsidRPr="00000000" w14:paraId="00000082">
            <w:pPr>
              <w:jc w:val="center"/>
              <w:rPr/>
            </w:pPr>
            <w:r w:rsidDel="00000000" w:rsidR="00000000" w:rsidRPr="00000000">
              <w:rPr>
                <w:rtl w:val="0"/>
              </w:rPr>
            </w:r>
          </w:p>
        </w:tc>
        <w:tc>
          <w:tcPr>
            <w:vAlign w:val="center"/>
          </w:tcPr>
          <w:p w:rsidR="00000000" w:rsidDel="00000000" w:rsidP="00000000" w:rsidRDefault="00000000" w:rsidRPr="00000000" w14:paraId="00000083">
            <w:pPr>
              <w:jc w:val="center"/>
              <w:rPr/>
            </w:pPr>
            <w:r w:rsidDel="00000000" w:rsidR="00000000" w:rsidRPr="00000000">
              <w:rPr>
                <w:rtl w:val="0"/>
              </w:rPr>
            </w:r>
          </w:p>
        </w:tc>
        <w:tc>
          <w:tcPr>
            <w:vAlign w:val="center"/>
          </w:tcPr>
          <w:p w:rsidR="00000000" w:rsidDel="00000000" w:rsidP="00000000" w:rsidRDefault="00000000" w:rsidRPr="00000000" w14:paraId="00000084">
            <w:pPr>
              <w:jc w:val="center"/>
              <w:rPr/>
            </w:pPr>
            <w:r w:rsidDel="00000000" w:rsidR="00000000" w:rsidRPr="00000000">
              <w:rPr>
                <w:rtl w:val="0"/>
              </w:rPr>
            </w:r>
          </w:p>
        </w:tc>
        <w:tc>
          <w:tcPr>
            <w:vAlign w:val="center"/>
          </w:tcPr>
          <w:p w:rsidR="00000000" w:rsidDel="00000000" w:rsidP="00000000" w:rsidRDefault="00000000" w:rsidRPr="00000000" w14:paraId="00000085">
            <w:pPr>
              <w:jc w:val="center"/>
              <w:rPr/>
            </w:pPr>
            <w:r w:rsidDel="00000000" w:rsidR="00000000" w:rsidRPr="00000000">
              <w:rPr>
                <w:rtl w:val="0"/>
              </w:rPr>
            </w:r>
          </w:p>
        </w:tc>
        <w:tc>
          <w:tcPr>
            <w:vAlign w:val="center"/>
          </w:tcPr>
          <w:p w:rsidR="00000000" w:rsidDel="00000000" w:rsidP="00000000" w:rsidRDefault="00000000" w:rsidRPr="00000000" w14:paraId="00000086">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87">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88">
            <w:pPr>
              <w:jc w:val="center"/>
              <w:rPr/>
            </w:pPr>
            <w:r w:rsidDel="00000000" w:rsidR="00000000" w:rsidRPr="00000000">
              <w:rPr>
                <w:b w:val="1"/>
                <w:bCs w:val="1"/>
                <w:rtl w:val="0"/>
              </w:rPr>
              <w:t xml:space="preserve">X</w:t>
            </w:r>
            <w:r w:rsidDel="00000000" w:rsidR="00000000" w:rsidRPr="00000000">
              <w:rPr>
                <w:rtl w:val="0"/>
              </w:rPr>
            </w:r>
          </w:p>
        </w:tc>
        <w:tc>
          <w:tcPr>
            <w:vAlign w:val="center"/>
          </w:tcPr>
          <w:p w:rsidR="00000000" w:rsidDel="00000000" w:rsidP="00000000" w:rsidRDefault="00000000" w:rsidRPr="00000000" w14:paraId="00000089">
            <w:pPr>
              <w:jc w:val="center"/>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8A">
            <w:pPr>
              <w:spacing w:line="240" w:lineRule="auto"/>
              <w:jc w:val="left"/>
              <w:rPr/>
            </w:pPr>
            <w:r w:rsidDel="00000000" w:rsidR="00000000" w:rsidRPr="00000000">
              <w:rPr>
                <w:rtl w:val="0"/>
              </w:rPr>
              <w:t xml:space="preserve">Final editing</w:t>
            </w:r>
          </w:p>
        </w:tc>
        <w:tc>
          <w:tcPr>
            <w:vAlign w:val="center"/>
          </w:tcPr>
          <w:p w:rsidR="00000000" w:rsidDel="00000000" w:rsidP="00000000" w:rsidRDefault="00000000" w:rsidRPr="00000000" w14:paraId="0000008B">
            <w:pPr>
              <w:jc w:val="center"/>
              <w:rPr/>
            </w:pPr>
            <w:r w:rsidDel="00000000" w:rsidR="00000000" w:rsidRPr="00000000">
              <w:rPr>
                <w:rtl w:val="0"/>
              </w:rPr>
            </w:r>
          </w:p>
        </w:tc>
        <w:tc>
          <w:tcPr>
            <w:vAlign w:val="center"/>
          </w:tcPr>
          <w:p w:rsidR="00000000" w:rsidDel="00000000" w:rsidP="00000000" w:rsidRDefault="00000000" w:rsidRPr="00000000" w14:paraId="0000008C">
            <w:pPr>
              <w:jc w:val="center"/>
              <w:rPr/>
            </w:pPr>
            <w:r w:rsidDel="00000000" w:rsidR="00000000" w:rsidRPr="00000000">
              <w:rPr>
                <w:rtl w:val="0"/>
              </w:rPr>
            </w:r>
          </w:p>
        </w:tc>
        <w:tc>
          <w:tcPr>
            <w:vAlign w:val="center"/>
          </w:tcPr>
          <w:p w:rsidR="00000000" w:rsidDel="00000000" w:rsidP="00000000" w:rsidRDefault="00000000" w:rsidRPr="00000000" w14:paraId="0000008D">
            <w:pPr>
              <w:jc w:val="center"/>
              <w:rPr/>
            </w:pPr>
            <w:r w:rsidDel="00000000" w:rsidR="00000000" w:rsidRPr="00000000">
              <w:rPr>
                <w:rtl w:val="0"/>
              </w:rPr>
            </w:r>
          </w:p>
        </w:tc>
        <w:tc>
          <w:tcPr>
            <w:vAlign w:val="center"/>
          </w:tcPr>
          <w:p w:rsidR="00000000" w:rsidDel="00000000" w:rsidP="00000000" w:rsidRDefault="00000000" w:rsidRPr="00000000" w14:paraId="0000008E">
            <w:pPr>
              <w:jc w:val="center"/>
              <w:rPr/>
            </w:pPr>
            <w:r w:rsidDel="00000000" w:rsidR="00000000" w:rsidRPr="00000000">
              <w:rPr>
                <w:rtl w:val="0"/>
              </w:rPr>
            </w:r>
          </w:p>
        </w:tc>
        <w:tc>
          <w:tcPr>
            <w:vAlign w:val="center"/>
          </w:tcPr>
          <w:p w:rsidR="00000000" w:rsidDel="00000000" w:rsidP="00000000" w:rsidRDefault="00000000" w:rsidRPr="00000000" w14:paraId="0000008F">
            <w:pPr>
              <w:jc w:val="center"/>
              <w:rPr/>
            </w:pPr>
            <w:r w:rsidDel="00000000" w:rsidR="00000000" w:rsidRPr="00000000">
              <w:rPr>
                <w:rtl w:val="0"/>
              </w:rPr>
            </w:r>
          </w:p>
        </w:tc>
        <w:tc>
          <w:tcPr>
            <w:vAlign w:val="center"/>
          </w:tcPr>
          <w:p w:rsidR="00000000" w:rsidDel="00000000" w:rsidP="00000000" w:rsidRDefault="00000000" w:rsidRPr="00000000" w14:paraId="00000090">
            <w:pPr>
              <w:jc w:val="center"/>
              <w:rPr/>
            </w:pPr>
            <w:r w:rsidDel="00000000" w:rsidR="00000000" w:rsidRPr="00000000">
              <w:rPr>
                <w:rtl w:val="0"/>
              </w:rPr>
            </w:r>
          </w:p>
        </w:tc>
        <w:tc>
          <w:tcPr>
            <w:shd w:fill="c6e0b4" w:val="clear"/>
            <w:vAlign w:val="center"/>
          </w:tcPr>
          <w:p w:rsidR="00000000" w:rsidDel="00000000" w:rsidP="00000000" w:rsidRDefault="00000000" w:rsidRPr="00000000" w14:paraId="00000091">
            <w:pPr>
              <w:jc w:val="center"/>
              <w:rPr/>
            </w:pPr>
            <w:r w:rsidDel="00000000" w:rsidR="00000000" w:rsidRPr="00000000">
              <w:rPr>
                <w:b w:val="1"/>
                <w:bCs w:val="1"/>
                <w:rtl w:val="0"/>
              </w:rPr>
              <w:t xml:space="preserve">X</w:t>
            </w:r>
            <w:r w:rsidDel="00000000" w:rsidR="00000000" w:rsidRPr="00000000">
              <w:rPr>
                <w:rtl w:val="0"/>
              </w:rPr>
            </w:r>
          </w:p>
        </w:tc>
        <w:tc>
          <w:tcPr>
            <w:shd w:fill="c6e0b4" w:val="clear"/>
            <w:vAlign w:val="center"/>
          </w:tcPr>
          <w:p w:rsidR="00000000" w:rsidDel="00000000" w:rsidP="00000000" w:rsidRDefault="00000000" w:rsidRPr="00000000" w14:paraId="00000092">
            <w:pPr>
              <w:jc w:val="center"/>
              <w:rPr/>
            </w:pPr>
            <w:r w:rsidDel="00000000" w:rsidR="00000000" w:rsidRPr="00000000">
              <w:rPr>
                <w:b w:val="1"/>
                <w:bCs w:val="1"/>
                <w:rtl w:val="0"/>
              </w:rPr>
              <w:t xml:space="preserve">X</w:t>
            </w:r>
            <w:r w:rsidDel="00000000" w:rsidR="00000000" w:rsidRPr="00000000">
              <w:rPr>
                <w:rtl w:val="0"/>
              </w:rPr>
            </w:r>
          </w:p>
        </w:tc>
      </w:tr>
    </w:tbl>
    <w:p w:rsidR="00000000" w:rsidDel="00000000" w:rsidP="00000000" w:rsidRDefault="00000000" w:rsidRPr="00000000" w14:paraId="00000093">
      <w:pPr>
        <w:rPr/>
      </w:pPr>
      <w:r w:rsidDel="00000000" w:rsidR="00000000" w:rsidRPr="00000000">
        <w:br w:type="page"/>
      </w:r>
      <w:r w:rsidDel="00000000" w:rsidR="00000000" w:rsidRPr="00000000">
        <w:rPr>
          <w:rtl w:val="0"/>
        </w:rPr>
      </w:r>
    </w:p>
    <w:p w:rsidR="00000000" w:rsidDel="00000000" w:rsidP="00000000" w:rsidRDefault="00000000" w:rsidRPr="00000000" w14:paraId="00000094">
      <w:pPr>
        <w:pStyle w:val="Heading1"/>
        <w:rPr/>
      </w:pPr>
      <w:r w:rsidDel="00000000" w:rsidR="00000000" w:rsidRPr="00000000">
        <w:rPr>
          <w:rtl w:val="0"/>
        </w:rPr>
        <w:t xml:space="preserve">References</w:t>
      </w:r>
    </w:p>
    <w:p w:rsidR="00000000" w:rsidDel="00000000" w:rsidP="00000000" w:rsidRDefault="00000000" w:rsidRPr="00000000" w14:paraId="00000095">
      <w:pPr>
        <w:rPr/>
      </w:pPr>
      <w:r w:rsidDel="00000000" w:rsidR="00000000" w:rsidRPr="00000000">
        <w:rPr>
          <w:rtl w:val="0"/>
        </w:rPr>
        <w:t xml:space="preserve">Ameen, N., Tarhini, A., Reppel, A. and Anand, A. (2021) ‘Customer experiences in the age of artificial intelligence’, </w:t>
      </w:r>
      <w:r w:rsidDel="00000000" w:rsidR="00000000" w:rsidRPr="00000000">
        <w:rPr>
          <w:i w:val="1"/>
          <w:iCs w:val="1"/>
          <w:rtl w:val="0"/>
        </w:rPr>
        <w:t xml:space="preserve">Computers in Human Behavior</w:t>
      </w:r>
      <w:r w:rsidDel="00000000" w:rsidR="00000000" w:rsidRPr="00000000">
        <w:rPr>
          <w:rtl w:val="0"/>
        </w:rPr>
        <w:t xml:space="preserve">, 114, 106548. Available at: </w:t>
      </w:r>
      <w:hyperlink r:id="rId7">
        <w:r w:rsidDel="00000000" w:rsidR="00000000" w:rsidRPr="00000000">
          <w:rPr>
            <w:color w:val="0000ff"/>
            <w:u w:val="single"/>
            <w:rtl w:val="0"/>
          </w:rPr>
          <w:t xml:space="preserve">https://doi.org/10.1016/j.chb.2020.106548</w:t>
        </w:r>
      </w:hyperlink>
      <w:r w:rsidDel="00000000" w:rsidR="00000000" w:rsidRPr="00000000">
        <w:rPr>
          <w:rtl w:val="0"/>
        </w:rPr>
        <w:t xml:space="preserve">.</w:t>
      </w:r>
    </w:p>
    <w:p w:rsidR="00000000" w:rsidDel="00000000" w:rsidP="00000000" w:rsidRDefault="00000000" w:rsidRPr="00000000" w14:paraId="00000096">
      <w:pPr>
        <w:rPr/>
      </w:pPr>
      <w:r w:rsidDel="00000000" w:rsidR="00000000" w:rsidRPr="00000000">
        <w:rPr>
          <w:rtl w:val="0"/>
        </w:rPr>
        <w:t xml:space="preserve">Davenport, T., Guha, A., Grewal, D. and Bressgott, T. (2020) ‘How artificial intelligence will change the future of marketing’, </w:t>
      </w:r>
      <w:r w:rsidDel="00000000" w:rsidR="00000000" w:rsidRPr="00000000">
        <w:rPr>
          <w:i w:val="1"/>
          <w:iCs w:val="1"/>
          <w:rtl w:val="0"/>
        </w:rPr>
        <w:t xml:space="preserve">Journal of the Academy of Marketing Science</w:t>
      </w:r>
      <w:r w:rsidDel="00000000" w:rsidR="00000000" w:rsidRPr="00000000">
        <w:rPr>
          <w:rtl w:val="0"/>
        </w:rPr>
        <w:t xml:space="preserve">, 48(1), pp. 24-42. Available at: </w:t>
      </w:r>
      <w:hyperlink r:id="rId8">
        <w:r w:rsidDel="00000000" w:rsidR="00000000" w:rsidRPr="00000000">
          <w:rPr>
            <w:color w:val="0000ff"/>
            <w:u w:val="single"/>
            <w:rtl w:val="0"/>
          </w:rPr>
          <w:t xml:space="preserve">https://doi.org/10.1007/s11747-019-00696-0</w:t>
        </w:r>
      </w:hyperlink>
      <w:r w:rsidDel="00000000" w:rsidR="00000000" w:rsidRPr="00000000">
        <w:rPr>
          <w:rtl w:val="0"/>
        </w:rPr>
        <w:t xml:space="preserve">.</w:t>
      </w:r>
    </w:p>
    <w:p w:rsidR="00000000" w:rsidDel="00000000" w:rsidP="00000000" w:rsidRDefault="00000000" w:rsidRPr="00000000" w14:paraId="00000097">
      <w:pPr>
        <w:rPr/>
      </w:pPr>
      <w:r w:rsidDel="00000000" w:rsidR="00000000" w:rsidRPr="00000000">
        <w:rPr>
          <w:rtl w:val="0"/>
        </w:rPr>
        <w:t xml:space="preserve">Grewal, D., Guha, A., Satornino, C.B. and Schweiger, E.B. (2021) ‘Artificial intelligence: The light and the darkness’, </w:t>
      </w:r>
      <w:r w:rsidDel="00000000" w:rsidR="00000000" w:rsidRPr="00000000">
        <w:rPr>
          <w:i w:val="1"/>
          <w:iCs w:val="1"/>
          <w:rtl w:val="0"/>
        </w:rPr>
        <w:t xml:space="preserve">Journal of Business Research</w:t>
      </w:r>
      <w:r w:rsidDel="00000000" w:rsidR="00000000" w:rsidRPr="00000000">
        <w:rPr>
          <w:rtl w:val="0"/>
        </w:rPr>
        <w:t xml:space="preserve">, 136, pp. 229-236. Available at: </w:t>
      </w:r>
      <w:hyperlink r:id="rId9">
        <w:r w:rsidDel="00000000" w:rsidR="00000000" w:rsidRPr="00000000">
          <w:rPr>
            <w:color w:val="0000ff"/>
            <w:u w:val="single"/>
            <w:rtl w:val="0"/>
          </w:rPr>
          <w:t xml:space="preserve">https://doi.org/10.1016/j.jbusres.2021.07.043</w:t>
        </w:r>
      </w:hyperlink>
      <w:r w:rsidDel="00000000" w:rsidR="00000000" w:rsidRPr="00000000">
        <w:rPr>
          <w:rtl w:val="0"/>
        </w:rPr>
        <w:t xml:space="preserve">.</w:t>
      </w:r>
    </w:p>
    <w:p w:rsidR="00000000" w:rsidDel="00000000" w:rsidP="00000000" w:rsidRDefault="00000000" w:rsidRPr="00000000" w14:paraId="00000098">
      <w:pPr>
        <w:rPr/>
      </w:pPr>
      <w:r w:rsidDel="00000000" w:rsidR="00000000" w:rsidRPr="00000000">
        <w:rPr>
          <w:rtl w:val="0"/>
        </w:rPr>
        <w:t xml:space="preserve">Grewal, D., Noble, S.M., Roggeveen, A.L. and Nordfalt, J. (2020) ‘The future of in-store technology’, </w:t>
      </w:r>
      <w:r w:rsidDel="00000000" w:rsidR="00000000" w:rsidRPr="00000000">
        <w:rPr>
          <w:i w:val="1"/>
          <w:iCs w:val="1"/>
          <w:rtl w:val="0"/>
        </w:rPr>
        <w:t xml:space="preserve">Journal of the Academy of Marketing Science</w:t>
      </w:r>
      <w:r w:rsidDel="00000000" w:rsidR="00000000" w:rsidRPr="00000000">
        <w:rPr>
          <w:rtl w:val="0"/>
        </w:rPr>
        <w:t xml:space="preserve">, 48(1), pp. 96-113. Available at: </w:t>
      </w:r>
      <w:hyperlink r:id="rId10">
        <w:r w:rsidDel="00000000" w:rsidR="00000000" w:rsidRPr="00000000">
          <w:rPr>
            <w:color w:val="0000ff"/>
            <w:u w:val="single"/>
            <w:rtl w:val="0"/>
          </w:rPr>
          <w:t xml:space="preserve">https://doi.org/10.1007/s11747-019-00697-z</w:t>
        </w:r>
      </w:hyperlink>
      <w:r w:rsidDel="00000000" w:rsidR="00000000" w:rsidRPr="00000000">
        <w:rPr>
          <w:rtl w:val="0"/>
        </w:rPr>
        <w:t xml:space="preserve">.</w:t>
      </w:r>
    </w:p>
    <w:p w:rsidR="00000000" w:rsidDel="00000000" w:rsidP="00000000" w:rsidRDefault="00000000" w:rsidRPr="00000000" w14:paraId="00000099">
      <w:pPr>
        <w:rPr/>
      </w:pPr>
      <w:r w:rsidDel="00000000" w:rsidR="00000000" w:rsidRPr="00000000">
        <w:rPr>
          <w:rtl w:val="0"/>
        </w:rPr>
        <w:t xml:space="preserve">Grewal, D., Roggeveen, A.L. and Nordfalt, J. (2017) ‘The future of retailing’, </w:t>
      </w:r>
      <w:r w:rsidDel="00000000" w:rsidR="00000000" w:rsidRPr="00000000">
        <w:rPr>
          <w:i w:val="1"/>
          <w:iCs w:val="1"/>
          <w:rtl w:val="0"/>
        </w:rPr>
        <w:t xml:space="preserve">Journal of Retailing</w:t>
      </w:r>
      <w:r w:rsidDel="00000000" w:rsidR="00000000" w:rsidRPr="00000000">
        <w:rPr>
          <w:rtl w:val="0"/>
        </w:rPr>
        <w:t xml:space="preserve">, 93(1), pp. 1-6. Available at: </w:t>
      </w:r>
      <w:hyperlink r:id="rId11">
        <w:r w:rsidDel="00000000" w:rsidR="00000000" w:rsidRPr="00000000">
          <w:rPr>
            <w:color w:val="0000ff"/>
            <w:u w:val="single"/>
            <w:rtl w:val="0"/>
          </w:rPr>
          <w:t xml:space="preserve">https://doi.org/10.1016/j.jretai.2016.12.008</w:t>
        </w:r>
      </w:hyperlink>
      <w:r w:rsidDel="00000000" w:rsidR="00000000" w:rsidRPr="00000000">
        <w:rPr>
          <w:rtl w:val="0"/>
        </w:rPr>
        <w:t xml:space="preserve">.</w:t>
      </w:r>
    </w:p>
    <w:p w:rsidR="00000000" w:rsidDel="00000000" w:rsidP="00000000" w:rsidRDefault="00000000" w:rsidRPr="00000000" w14:paraId="0000009A">
      <w:pPr>
        <w:rPr/>
      </w:pPr>
      <w:r w:rsidDel="00000000" w:rsidR="00000000" w:rsidRPr="00000000">
        <w:rPr>
          <w:rtl w:val="0"/>
        </w:rPr>
        <w:t xml:space="preserve">Hsu, C.L. and Lin, J.C.C. (2023) ‘Understanding the user satisfaction and loyalty of customer service chatbots’, </w:t>
      </w:r>
      <w:r w:rsidDel="00000000" w:rsidR="00000000" w:rsidRPr="00000000">
        <w:rPr>
          <w:i w:val="1"/>
          <w:iCs w:val="1"/>
          <w:rtl w:val="0"/>
        </w:rPr>
        <w:t xml:space="preserve">Journal of Retailing and Consumer Services</w:t>
      </w:r>
      <w:r w:rsidDel="00000000" w:rsidR="00000000" w:rsidRPr="00000000">
        <w:rPr>
          <w:rtl w:val="0"/>
        </w:rPr>
        <w:t xml:space="preserve">, 71, 103211. Available at: </w:t>
      </w:r>
      <w:hyperlink r:id="rId12">
        <w:r w:rsidDel="00000000" w:rsidR="00000000" w:rsidRPr="00000000">
          <w:rPr>
            <w:color w:val="0000ff"/>
            <w:u w:val="single"/>
            <w:rtl w:val="0"/>
          </w:rPr>
          <w:t xml:space="preserve">https://doi.org/10.1016/j.jretconser.2022.103211</w:t>
        </w:r>
      </w:hyperlink>
      <w:r w:rsidDel="00000000" w:rsidR="00000000" w:rsidRPr="00000000">
        <w:rPr>
          <w:rtl w:val="0"/>
        </w:rPr>
        <w:t xml:space="preserve">.</w:t>
      </w:r>
    </w:p>
    <w:p w:rsidR="00000000" w:rsidDel="00000000" w:rsidP="00000000" w:rsidRDefault="00000000" w:rsidRPr="00000000" w14:paraId="0000009B">
      <w:pPr>
        <w:rPr/>
      </w:pPr>
      <w:r w:rsidDel="00000000" w:rsidR="00000000" w:rsidRPr="00000000">
        <w:rPr>
          <w:rtl w:val="0"/>
        </w:rPr>
        <w:t xml:space="preserve">Huang, M.H. and Rust, R.T. (2018) ‘Artificial intelligence in service’, </w:t>
      </w:r>
      <w:r w:rsidDel="00000000" w:rsidR="00000000" w:rsidRPr="00000000">
        <w:rPr>
          <w:i w:val="1"/>
          <w:iCs w:val="1"/>
          <w:rtl w:val="0"/>
        </w:rPr>
        <w:t xml:space="preserve">Journal of Service Research</w:t>
      </w:r>
      <w:r w:rsidDel="00000000" w:rsidR="00000000" w:rsidRPr="00000000">
        <w:rPr>
          <w:rtl w:val="0"/>
        </w:rPr>
        <w:t xml:space="preserve">, 21(2), pp. 155-172. Available at: </w:t>
      </w:r>
      <w:hyperlink r:id="rId13">
        <w:r w:rsidDel="00000000" w:rsidR="00000000" w:rsidRPr="00000000">
          <w:rPr>
            <w:color w:val="0000ff"/>
            <w:u w:val="single"/>
            <w:rtl w:val="0"/>
          </w:rPr>
          <w:t xml:space="preserve">https://doi.org/10.1177/1094670517752459</w:t>
        </w:r>
      </w:hyperlink>
      <w:r w:rsidDel="00000000" w:rsidR="00000000" w:rsidRPr="00000000">
        <w:rPr>
          <w:rtl w:val="0"/>
        </w:rPr>
        <w:t xml:space="preserve">.</w:t>
      </w:r>
    </w:p>
    <w:p w:rsidR="00000000" w:rsidDel="00000000" w:rsidP="00000000" w:rsidRDefault="00000000" w:rsidRPr="00000000" w14:paraId="0000009C">
      <w:pPr>
        <w:rPr/>
      </w:pPr>
      <w:r w:rsidDel="00000000" w:rsidR="00000000" w:rsidRPr="00000000">
        <w:rPr>
          <w:rtl w:val="0"/>
        </w:rPr>
        <w:t xml:space="preserve">Oliver, R.L. (1980) ‘A cognitive model of the antecedents and consequences of satisfaction decisions’, </w:t>
      </w:r>
      <w:r w:rsidDel="00000000" w:rsidR="00000000" w:rsidRPr="00000000">
        <w:rPr>
          <w:i w:val="1"/>
          <w:iCs w:val="1"/>
          <w:rtl w:val="0"/>
        </w:rPr>
        <w:t xml:space="preserve">Journal of Marketing Research</w:t>
      </w:r>
      <w:r w:rsidDel="00000000" w:rsidR="00000000" w:rsidRPr="00000000">
        <w:rPr>
          <w:rtl w:val="0"/>
        </w:rPr>
        <w:t xml:space="preserve">, 17(4), pp. 460-469. Available at: </w:t>
      </w:r>
      <w:hyperlink r:id="rId14">
        <w:r w:rsidDel="00000000" w:rsidR="00000000" w:rsidRPr="00000000">
          <w:rPr>
            <w:color w:val="0000ff"/>
            <w:u w:val="single"/>
            <w:rtl w:val="0"/>
          </w:rPr>
          <w:t xml:space="preserve">https://doi.org/10.1177/002224378001700405</w:t>
        </w:r>
      </w:hyperlink>
      <w:r w:rsidDel="00000000" w:rsidR="00000000" w:rsidRPr="00000000">
        <w:rPr>
          <w:rtl w:val="0"/>
        </w:rPr>
        <w:t xml:space="preserve">.</w:t>
      </w:r>
    </w:p>
    <w:p w:rsidR="00000000" w:rsidDel="00000000" w:rsidP="00000000" w:rsidRDefault="00000000" w:rsidRPr="00000000" w14:paraId="0000009D">
      <w:pPr>
        <w:rPr/>
      </w:pPr>
      <w:r w:rsidDel="00000000" w:rsidR="00000000" w:rsidRPr="00000000">
        <w:rPr>
          <w:rtl w:val="0"/>
        </w:rPr>
        <w:t xml:space="preserve">Parasuraman, A., Zeithaml, V.A. and Berry, L.L. (1988) ‘SERVQUAL: A multiple-item scale for measuring consumer perceptions of service quality’, </w:t>
      </w:r>
      <w:r w:rsidDel="00000000" w:rsidR="00000000" w:rsidRPr="00000000">
        <w:rPr>
          <w:i w:val="1"/>
          <w:iCs w:val="1"/>
          <w:rtl w:val="0"/>
        </w:rPr>
        <w:t xml:space="preserve">Journal of Retailing</w:t>
      </w:r>
      <w:r w:rsidDel="00000000" w:rsidR="00000000" w:rsidRPr="00000000">
        <w:rPr>
          <w:rtl w:val="0"/>
        </w:rPr>
        <w:t xml:space="preserve">, 64(1), pp. 12-40.</w:t>
      </w:r>
    </w:p>
    <w:p w:rsidR="00000000" w:rsidDel="00000000" w:rsidP="00000000" w:rsidRDefault="00000000" w:rsidRPr="00000000" w14:paraId="0000009E">
      <w:pPr>
        <w:rPr/>
      </w:pPr>
      <w:r w:rsidDel="00000000" w:rsidR="00000000" w:rsidRPr="00000000">
        <w:rPr>
          <w:rtl w:val="0"/>
        </w:rPr>
        <w:t xml:space="preserve">Prentice, C., Lopes, S.D. and Wang, X. (2020) ‘The impact of artificial intelligence and employee service quality on customer satisfaction and loyalty’, </w:t>
      </w:r>
      <w:r w:rsidDel="00000000" w:rsidR="00000000" w:rsidRPr="00000000">
        <w:rPr>
          <w:i w:val="1"/>
          <w:iCs w:val="1"/>
          <w:rtl w:val="0"/>
        </w:rPr>
        <w:t xml:space="preserve">Journal of Hospitality Marketing &amp; Management</w:t>
      </w:r>
      <w:r w:rsidDel="00000000" w:rsidR="00000000" w:rsidRPr="00000000">
        <w:rPr>
          <w:rtl w:val="0"/>
        </w:rPr>
        <w:t xml:space="preserve">, 29(7), pp. 739-756. Available at: </w:t>
      </w:r>
      <w:hyperlink r:id="rId15">
        <w:r w:rsidDel="00000000" w:rsidR="00000000" w:rsidRPr="00000000">
          <w:rPr>
            <w:color w:val="0000ff"/>
            <w:u w:val="single"/>
            <w:rtl w:val="0"/>
          </w:rPr>
          <w:t xml:space="preserve">https://doi.org/10.1080/19368623.2020.1722304</w:t>
        </w:r>
      </w:hyperlink>
      <w:r w:rsidDel="00000000" w:rsidR="00000000" w:rsidRPr="00000000">
        <w:rPr>
          <w:rtl w:val="0"/>
        </w:rPr>
        <w:t xml:space="preserve">.</w:t>
      </w:r>
    </w:p>
    <w:p w:rsidR="00000000" w:rsidDel="00000000" w:rsidP="00000000" w:rsidRDefault="00000000" w:rsidRPr="00000000" w14:paraId="0000009F">
      <w:pPr>
        <w:rPr/>
      </w:pPr>
      <w:r w:rsidDel="00000000" w:rsidR="00000000" w:rsidRPr="00000000">
        <w:rPr>
          <w:rtl w:val="0"/>
        </w:rPr>
      </w:r>
    </w:p>
    <w:sectPr>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ourier New"/>
  <w:font w:name="Cardo">
    <w:embedRegular w:fontKey="{00000000-0000-0000-0000-000000000000}" r:id="rId1" w:subsetted="0"/>
    <w:embedBold w:fontKey="{00000000-0000-0000-0000-000000000000}" r:id="rId2" w:subsetted="0"/>
    <w:embedItalic w:fontKey="{00000000-0000-0000-0000-000000000000}" r:id="rId3" w:subsetted="0"/>
  </w:font>
  <w:font w:name="Noto Sans Symbols">
    <w:embedRegular w:fontKey="{00000000-0000-0000-0000-000000000000}" r:id="rId4" w:subsetted="0"/>
    <w:embedBold w:fontKey="{00000000-0000-0000-0000-000000000000}" r:id="rId5"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color w:val="000000"/>
      <w:sz w:val="28"/>
      <w:szCs w:val="28"/>
    </w:rPr>
  </w:style>
  <w:style w:type="paragraph" w:styleId="Heading2">
    <w:name w:val="heading 2"/>
    <w:basedOn w:val="Normal"/>
    <w:next w:val="Normal"/>
    <w:pPr>
      <w:keepNext w:val="1"/>
      <w:keepLines w:val="1"/>
      <w:spacing w:after="0" w:before="200" w:lineRule="auto"/>
    </w:pPr>
    <w:rPr>
      <w:b w:val="1"/>
      <w:bCs w:val="1"/>
      <w:color w:val="000000"/>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b w:val="1"/>
      <w:bCs w:val="1"/>
      <w:color w:val="000000"/>
      <w:sz w:val="36"/>
      <w:szCs w:val="36"/>
    </w:rPr>
  </w:style>
  <w:style w:type="paragraph" w:styleId="Subtitle">
    <w:name w:val="Subtitle"/>
    <w:basedOn w:val="Normal"/>
    <w:next w:val="Normal"/>
    <w:pPr/>
    <w:rPr>
      <w:rFonts w:ascii="Calibri" w:cs="Calibri" w:eastAsia="Calibri" w:hAnsi="Calibri"/>
      <w:i w:val="1"/>
      <w:iCs w:val="1"/>
      <w:color w:val="4f81bd"/>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6/j.jretai.2016.12.008" TargetMode="External"/><Relationship Id="rId10" Type="http://schemas.openxmlformats.org/officeDocument/2006/relationships/hyperlink" Target="https://doi.org/10.1007/s11747-019-00697-z" TargetMode="External"/><Relationship Id="rId13" Type="http://schemas.openxmlformats.org/officeDocument/2006/relationships/hyperlink" Target="https://doi.org/10.1177/1094670517752459" TargetMode="External"/><Relationship Id="rId12" Type="http://schemas.openxmlformats.org/officeDocument/2006/relationships/hyperlink" Target="https://doi.org/10.1016/j.jretconser.2022.1032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jbusres.2021.07.043" TargetMode="External"/><Relationship Id="rId15" Type="http://schemas.openxmlformats.org/officeDocument/2006/relationships/hyperlink" Target="https://doi.org/10.1080/19368623.2020.1722304" TargetMode="External"/><Relationship Id="rId14" Type="http://schemas.openxmlformats.org/officeDocument/2006/relationships/hyperlink" Target="https://doi.org/10.1177/002224378001700405"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oi.org/10.1016/j.chb.2020.106548" TargetMode="External"/><Relationship Id="rId8" Type="http://schemas.openxmlformats.org/officeDocument/2006/relationships/hyperlink" Target="https://doi.org/10.1007/s11747-019-00696-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 Id="rId4" Type="http://schemas.openxmlformats.org/officeDocument/2006/relationships/font" Target="fonts/NotoSansSymbols-regular.ttf"/><Relationship Id="rId5"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TXzgtYolOZhejjXuc09uuBLGUg==">CgMxLjAaEgoBMBINCgsIB0IHEgVDYXJkbzgAciExNHdxLVh4X2NSMXZrcFRjMnVCVThwZVpyQ2lRc24zd0w=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