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9D689" w14:textId="77777777" w:rsidR="00975513" w:rsidRDefault="00975513"/>
    <w:p w14:paraId="0F50BF25" w14:textId="77777777" w:rsidR="00975513" w:rsidRDefault="00975513"/>
    <w:p w14:paraId="1DBC6712" w14:textId="77777777" w:rsidR="00975513" w:rsidRPr="00975513" w:rsidRDefault="00975513" w:rsidP="00975513">
      <w:pPr>
        <w:jc w:val="center"/>
        <w:rPr>
          <w:sz w:val="48"/>
          <w:szCs w:val="48"/>
        </w:rPr>
      </w:pPr>
    </w:p>
    <w:p w14:paraId="5FCAE372" w14:textId="5C0B2FB3" w:rsidR="00975513" w:rsidRPr="00975513" w:rsidRDefault="00975513" w:rsidP="00975513">
      <w:pPr>
        <w:jc w:val="center"/>
        <w:rPr>
          <w:sz w:val="48"/>
          <w:szCs w:val="48"/>
        </w:rPr>
      </w:pPr>
      <w:r w:rsidRPr="00975513">
        <w:rPr>
          <w:sz w:val="48"/>
          <w:szCs w:val="48"/>
        </w:rPr>
        <w:t>Module: BMSS500</w:t>
      </w:r>
      <w:r>
        <w:rPr>
          <w:sz w:val="48"/>
          <w:szCs w:val="48"/>
        </w:rPr>
        <w:t>2</w:t>
      </w:r>
    </w:p>
    <w:p w14:paraId="4D982193" w14:textId="5AFEDF2D" w:rsidR="00975513" w:rsidRPr="00975513" w:rsidRDefault="00975513" w:rsidP="00975513">
      <w:pPr>
        <w:jc w:val="center"/>
        <w:rPr>
          <w:sz w:val="28"/>
          <w:szCs w:val="28"/>
        </w:rPr>
      </w:pPr>
      <w:r>
        <w:rPr>
          <w:sz w:val="48"/>
          <w:szCs w:val="48"/>
        </w:rPr>
        <w:t xml:space="preserve">Nutrition For Sport </w:t>
      </w:r>
      <w:proofErr w:type="gramStart"/>
      <w:r>
        <w:rPr>
          <w:sz w:val="48"/>
          <w:szCs w:val="48"/>
        </w:rPr>
        <w:t>And</w:t>
      </w:r>
      <w:proofErr w:type="gramEnd"/>
      <w:r>
        <w:rPr>
          <w:sz w:val="48"/>
          <w:szCs w:val="48"/>
        </w:rPr>
        <w:t xml:space="preserve"> Exercise</w:t>
      </w:r>
    </w:p>
    <w:p w14:paraId="7E36565E" w14:textId="62F98A66" w:rsidR="00975513" w:rsidRDefault="000720CC">
      <w:r w:rsidRPr="00944D39">
        <w:rPr>
          <w:rFonts w:ascii="Arial" w:hAnsi="Arial" w:cs="Arial"/>
          <w:noProof/>
        </w:rPr>
        <w:drawing>
          <wp:anchor distT="0" distB="0" distL="114300" distR="114300" simplePos="0" relativeHeight="251659264" behindDoc="1" locked="0" layoutInCell="1" allowOverlap="1" wp14:anchorId="4EE701DB" wp14:editId="29C723D6">
            <wp:simplePos x="0" y="0"/>
            <wp:positionH relativeFrom="margin">
              <wp:posOffset>1087755</wp:posOffset>
            </wp:positionH>
            <wp:positionV relativeFrom="margin">
              <wp:posOffset>2256790</wp:posOffset>
            </wp:positionV>
            <wp:extent cx="3253105" cy="3377565"/>
            <wp:effectExtent l="0" t="0" r="0" b="635"/>
            <wp:wrapTight wrapText="bothSides">
              <wp:wrapPolygon edited="0">
                <wp:start x="0" y="0"/>
                <wp:lineTo x="0" y="21523"/>
                <wp:lineTo x="21503" y="21523"/>
                <wp:lineTo x="21503"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3105" cy="3377565"/>
                    </a:xfrm>
                    <a:prstGeom prst="rect">
                      <a:avLst/>
                    </a:prstGeom>
                  </pic:spPr>
                </pic:pic>
              </a:graphicData>
            </a:graphic>
            <wp14:sizeRelH relativeFrom="margin">
              <wp14:pctWidth>0</wp14:pctWidth>
            </wp14:sizeRelH>
            <wp14:sizeRelV relativeFrom="margin">
              <wp14:pctHeight>0</wp14:pctHeight>
            </wp14:sizeRelV>
          </wp:anchor>
        </w:drawing>
      </w:r>
    </w:p>
    <w:p w14:paraId="57E72341" w14:textId="5C83E1B6" w:rsidR="00975513" w:rsidRDefault="00975513"/>
    <w:p w14:paraId="530E9F0D" w14:textId="57834BA3" w:rsidR="00975513" w:rsidRDefault="00975513"/>
    <w:p w14:paraId="444C5D1F" w14:textId="23695B21" w:rsidR="00975513" w:rsidRDefault="00975513"/>
    <w:p w14:paraId="6F5C42AA" w14:textId="3C1F825B" w:rsidR="00975513" w:rsidRDefault="00975513"/>
    <w:p w14:paraId="7496E0CA" w14:textId="3D5723E8" w:rsidR="00975513" w:rsidRDefault="00975513"/>
    <w:p w14:paraId="71BEB661" w14:textId="42F250F0" w:rsidR="00975513" w:rsidRDefault="00975513"/>
    <w:p w14:paraId="6F309023" w14:textId="52C83AC8" w:rsidR="00975513" w:rsidRDefault="00975513"/>
    <w:p w14:paraId="3CDD460C" w14:textId="3A640024" w:rsidR="00975513" w:rsidRDefault="00975513"/>
    <w:p w14:paraId="7CB6D739" w14:textId="77777777" w:rsidR="00975513" w:rsidRDefault="00975513"/>
    <w:p w14:paraId="7302AD42" w14:textId="0EC58D6A" w:rsidR="00975513" w:rsidRDefault="00975513"/>
    <w:p w14:paraId="2F4F1F38" w14:textId="6B030A38" w:rsidR="00975513" w:rsidRDefault="00975513"/>
    <w:p w14:paraId="6132FBBB" w14:textId="4F7E808A" w:rsidR="00975513" w:rsidRPr="00975513" w:rsidRDefault="00975513" w:rsidP="000720CC">
      <w:pPr>
        <w:jc w:val="center"/>
        <w:rPr>
          <w:sz w:val="48"/>
          <w:szCs w:val="48"/>
        </w:rPr>
      </w:pPr>
      <w:r w:rsidRPr="00975513">
        <w:rPr>
          <w:sz w:val="48"/>
          <w:szCs w:val="48"/>
        </w:rPr>
        <w:t xml:space="preserve">Assignment: </w:t>
      </w:r>
      <w:r>
        <w:rPr>
          <w:sz w:val="48"/>
          <w:szCs w:val="48"/>
        </w:rPr>
        <w:t>Ergogenic Aid Evaluation</w:t>
      </w:r>
    </w:p>
    <w:p w14:paraId="7BF01F41" w14:textId="7A32A3FD" w:rsidR="00975513" w:rsidRPr="00975513" w:rsidRDefault="00975513" w:rsidP="00975513">
      <w:pPr>
        <w:jc w:val="center"/>
        <w:rPr>
          <w:sz w:val="48"/>
          <w:szCs w:val="48"/>
        </w:rPr>
      </w:pPr>
      <w:r w:rsidRPr="00975513">
        <w:rPr>
          <w:sz w:val="48"/>
          <w:szCs w:val="48"/>
        </w:rPr>
        <w:t>By: 2517477</w:t>
      </w:r>
    </w:p>
    <w:p w14:paraId="45EBF726" w14:textId="77777777" w:rsidR="00975513" w:rsidRDefault="00975513" w:rsidP="00975513">
      <w:pPr>
        <w:jc w:val="center"/>
        <w:rPr>
          <w:sz w:val="48"/>
          <w:szCs w:val="48"/>
        </w:rPr>
      </w:pPr>
      <w:r w:rsidRPr="00975513">
        <w:rPr>
          <w:sz w:val="48"/>
          <w:szCs w:val="48"/>
        </w:rPr>
        <w:t>Module Lead: Geraint Forster</w:t>
      </w:r>
    </w:p>
    <w:p w14:paraId="3E33E157" w14:textId="2D1334FE" w:rsidR="00975513" w:rsidRDefault="00975513" w:rsidP="00975513">
      <w:pPr>
        <w:jc w:val="center"/>
        <w:rPr>
          <w:sz w:val="48"/>
          <w:szCs w:val="48"/>
        </w:rPr>
      </w:pPr>
    </w:p>
    <w:p w14:paraId="4FA274FB" w14:textId="4DB41C57" w:rsidR="00975513" w:rsidRDefault="00975513" w:rsidP="00975513">
      <w:pPr>
        <w:jc w:val="both"/>
        <w:rPr>
          <w:sz w:val="28"/>
          <w:szCs w:val="28"/>
        </w:rPr>
      </w:pPr>
    </w:p>
    <w:p w14:paraId="3F53AC18" w14:textId="77777777" w:rsidR="000720CC" w:rsidRDefault="000720CC" w:rsidP="00975513">
      <w:pPr>
        <w:jc w:val="both"/>
        <w:rPr>
          <w:sz w:val="28"/>
          <w:szCs w:val="28"/>
        </w:rPr>
      </w:pPr>
    </w:p>
    <w:p w14:paraId="34736D16" w14:textId="77777777" w:rsidR="000720CC" w:rsidRDefault="000720CC" w:rsidP="00975513">
      <w:pPr>
        <w:jc w:val="both"/>
        <w:rPr>
          <w:sz w:val="28"/>
          <w:szCs w:val="28"/>
        </w:rPr>
      </w:pPr>
    </w:p>
    <w:p w14:paraId="38AF9267" w14:textId="07FDF382" w:rsidR="00975513" w:rsidRPr="0023120D" w:rsidRDefault="00975513" w:rsidP="000720CC">
      <w:r w:rsidRPr="0023120D">
        <w:t>Introduction:</w:t>
      </w:r>
    </w:p>
    <w:p w14:paraId="389A0710" w14:textId="20B2073D" w:rsidR="000720CC" w:rsidRDefault="00F430CA" w:rsidP="000720CC">
      <w:r w:rsidRPr="00F430CA">
        <w:t xml:space="preserve">Due in large part to its naturally high concentration of dietary nitrates, beetroot juice has emerged as one of the most extensively studied nutritional ergogenic aids in modern sports nutrition. Following consumption, these nitrates enter the nitrate–nitrite–nitric oxide (NO) pathway, a physiological process that increases the body's availability of nitric oxide (Lundberg et al., 2009). Nitric oxide is essential for controlling blood flow, muscle contraction, and vasodilation. Under hypoxic and acidic conditions, which are typical of high-intensity exercise, this pathway becomes especially active (Jones et al., 2018). Because of this, beetroot juice has become </w:t>
      </w:r>
      <w:r w:rsidRPr="00F430CA">
        <w:t>increasingly</w:t>
      </w:r>
      <w:r w:rsidRPr="00F430CA">
        <w:t xml:space="preserve"> popular among athletes who want to increase the effectiveness of their workouts and postpone the onset of fatigue.</w:t>
      </w:r>
    </w:p>
    <w:p w14:paraId="70E8816F" w14:textId="1552D158" w:rsidR="00F430CA" w:rsidRDefault="00F430CA" w:rsidP="000720CC">
      <w:r w:rsidRPr="00F430CA">
        <w:t xml:space="preserve">Its impact on </w:t>
      </w:r>
      <w:r w:rsidRPr="00F430CA">
        <w:t>several</w:t>
      </w:r>
      <w:r w:rsidRPr="00F430CA">
        <w:t xml:space="preserve"> important factors that determine exercise capacity makes it relevant to athletic performance. Reduced oxygen cost during submaximal exercise, increased tolerance to high-intensity workloads, and improved mitochondrial efficiency have all been linked to increased nitric oxide availability (Jones, 2014). In endurance and intermittent high-intensity sports, where even slight increases in efficiency can result in quantifiable performance gains, these adaptations are especially significant. Additionally, beetroot juice is a natural, food-based, and legally allowed supplement, which makes it a desirable choice for athletes looking for safe and evidence-based performance techniques.</w:t>
      </w:r>
    </w:p>
    <w:p w14:paraId="055548DB" w14:textId="38A92D51" w:rsidR="00F430CA" w:rsidRPr="0023120D" w:rsidRDefault="00F430CA" w:rsidP="000720CC">
      <w:r w:rsidRPr="00F430CA">
        <w:t>Time to exhaustion during high-intensity exercise, a metric frequently employed in nitrate supplementation studies, is the particular focus of this assessment. Time-to-exhaustion tests are sensitive to variations in oxygen consumption and metabolic efficiency, both of which are impacted by the availability of nitric oxide (Bailey et al., 2009). Analysing this result offers a precise and focused method of determining whether beetroot juice provides a significant ergogenic benefit when there is significant physiological strain.</w:t>
      </w:r>
    </w:p>
    <w:p w14:paraId="14F610E7" w14:textId="77777777" w:rsidR="000720CC" w:rsidRPr="0023120D" w:rsidRDefault="000720CC" w:rsidP="000720CC"/>
    <w:p w14:paraId="112C87AB" w14:textId="77777777" w:rsidR="000720CC" w:rsidRPr="0023120D" w:rsidRDefault="000720CC" w:rsidP="000720CC"/>
    <w:p w14:paraId="04FC0D3D" w14:textId="77777777" w:rsidR="0023120D" w:rsidRDefault="0023120D" w:rsidP="000720CC"/>
    <w:p w14:paraId="61163F0D" w14:textId="77777777" w:rsidR="0023120D" w:rsidRDefault="0023120D" w:rsidP="000720CC"/>
    <w:p w14:paraId="4C293D70" w14:textId="77777777" w:rsidR="0023120D" w:rsidRDefault="0023120D" w:rsidP="000720CC"/>
    <w:p w14:paraId="1CF8E49B" w14:textId="77777777" w:rsidR="0023120D" w:rsidRDefault="0023120D" w:rsidP="000720CC"/>
    <w:p w14:paraId="689AE863" w14:textId="77777777" w:rsidR="0023120D" w:rsidRDefault="0023120D" w:rsidP="000720CC"/>
    <w:p w14:paraId="2A77E4D7" w14:textId="77777777" w:rsidR="0023120D" w:rsidRDefault="0023120D" w:rsidP="000720CC"/>
    <w:p w14:paraId="3C9E49C8" w14:textId="19D20E36" w:rsidR="000720CC" w:rsidRPr="0023120D" w:rsidRDefault="000720CC" w:rsidP="000720CC">
      <w:r w:rsidRPr="0023120D">
        <w:t>Methodology Summary:</w:t>
      </w:r>
    </w:p>
    <w:p w14:paraId="2C8D36B4" w14:textId="3E154C2D" w:rsidR="0002105A" w:rsidRDefault="003A3151" w:rsidP="000720CC">
      <w:pPr>
        <w:rPr>
          <w:color w:val="000000" w:themeColor="text1"/>
        </w:rPr>
      </w:pPr>
      <w:r w:rsidRPr="003A3151">
        <w:rPr>
          <w:color w:val="000000" w:themeColor="text1"/>
        </w:rPr>
        <w:t xml:space="preserve">The effects of beetroot juice on </w:t>
      </w:r>
      <w:proofErr w:type="gramStart"/>
      <w:r w:rsidRPr="003A3151">
        <w:rPr>
          <w:color w:val="000000" w:themeColor="text1"/>
        </w:rPr>
        <w:t>high-intensity</w:t>
      </w:r>
      <w:proofErr w:type="gramEnd"/>
      <w:r w:rsidRPr="003A3151">
        <w:rPr>
          <w:color w:val="000000" w:themeColor="text1"/>
        </w:rPr>
        <w:t xml:space="preserve"> cycling performance were investigated using a randomised, controlled crossover design. A beetroot juice trial and a placebo trial were the two conditions that each participant finished. To reduce order effects, these conditions were arranged in a random order, and each participant could serve as their own control thanks to the crossover structure. To lessen the possibility of carry-over effects, there was a long enough washout period in between sessions.</w:t>
      </w:r>
    </w:p>
    <w:p w14:paraId="074333D8" w14:textId="4269541F" w:rsidR="003A3151" w:rsidRDefault="003A3151" w:rsidP="000720CC">
      <w:pPr>
        <w:rPr>
          <w:color w:val="000000" w:themeColor="text1"/>
        </w:rPr>
      </w:pPr>
      <w:r w:rsidRPr="003A3151">
        <w:rPr>
          <w:color w:val="000000" w:themeColor="text1"/>
        </w:rPr>
        <w:t xml:space="preserve">Adults in good health who were physically active and did not have any known contraindications to intense exercise made up the participants. In accordance with the usual time needed for dietary nitrate to be converted into nitric oxide, participants in each trial were given either beetroot juice or a placebo two to three hours prior to testing. An automated sphygmomanometer was used to measure the patient's resting blood pressure upon arrival </w:t>
      </w:r>
      <w:r w:rsidRPr="003A3151">
        <w:rPr>
          <w:color w:val="000000" w:themeColor="text1"/>
        </w:rPr>
        <w:t>to</w:t>
      </w:r>
      <w:r w:rsidRPr="003A3151">
        <w:rPr>
          <w:color w:val="000000" w:themeColor="text1"/>
        </w:rPr>
        <w:t xml:space="preserve"> determine their baseline cardiovascular status.</w:t>
      </w:r>
    </w:p>
    <w:p w14:paraId="0626EB0A" w14:textId="1CBBBA9C" w:rsidR="003A3151" w:rsidRDefault="003A3151" w:rsidP="000720CC">
      <w:pPr>
        <w:rPr>
          <w:color w:val="000000" w:themeColor="text1"/>
        </w:rPr>
      </w:pPr>
      <w:r w:rsidRPr="003A3151">
        <w:rPr>
          <w:color w:val="000000" w:themeColor="text1"/>
        </w:rPr>
        <w:t xml:space="preserve">A 5-minute self-selected warm-up on a </w:t>
      </w:r>
      <w:r w:rsidRPr="003A3151">
        <w:rPr>
          <w:color w:val="000000" w:themeColor="text1"/>
        </w:rPr>
        <w:t>Watt bike</w:t>
      </w:r>
      <w:r w:rsidRPr="003A3151">
        <w:rPr>
          <w:color w:val="000000" w:themeColor="text1"/>
        </w:rPr>
        <w:t xml:space="preserve"> and a 20-minute time trial comprised the exercise regimen. Because of its dependability and capacity to deliver reliable performance data, the </w:t>
      </w:r>
      <w:r w:rsidRPr="003A3151">
        <w:rPr>
          <w:color w:val="000000" w:themeColor="text1"/>
        </w:rPr>
        <w:t>Watt bike</w:t>
      </w:r>
      <w:r w:rsidRPr="003A3151">
        <w:rPr>
          <w:color w:val="000000" w:themeColor="text1"/>
        </w:rPr>
        <w:t xml:space="preserve"> was selected. Average power output and average heart rate were recorded as the main performance outcomes during the trial. To record subjective effort, ratings of perceived exertion (RPE) were gathered every five minutes. To evaluate acute cardiovascular reactions, post-exercise blood pressure was taken two to three minutes after the workout.</w:t>
      </w:r>
    </w:p>
    <w:p w14:paraId="09588475" w14:textId="07C46651" w:rsidR="003A3151" w:rsidRPr="003A3151" w:rsidRDefault="003A3151" w:rsidP="003A3151">
      <w:pPr>
        <w:rPr>
          <w:color w:val="000000" w:themeColor="text1"/>
        </w:rPr>
      </w:pPr>
      <w:r w:rsidRPr="003A3151">
        <w:rPr>
          <w:color w:val="000000" w:themeColor="text1"/>
        </w:rPr>
        <w:t>Several</w:t>
      </w:r>
      <w:r w:rsidRPr="003A3151">
        <w:rPr>
          <w:color w:val="000000" w:themeColor="text1"/>
        </w:rPr>
        <w:t xml:space="preserve"> controls were put in place to guarantee consistency between sessions. Participants took their prescribed supplement precisely two hours prior to testing and refrained from intense exercise for a full day prior to each trial. To minimise inherent performance variability, all trials were carried out at the same time of day. For both scenarios, the same warm-up procedure, room temperature, equipment configuration</w:t>
      </w:r>
      <w:r>
        <w:rPr>
          <w:color w:val="000000" w:themeColor="text1"/>
        </w:rPr>
        <w:t>.</w:t>
      </w:r>
    </w:p>
    <w:p w14:paraId="2C74558D" w14:textId="23DE35E7" w:rsidR="003A3151" w:rsidRPr="0023120D" w:rsidRDefault="003A3151" w:rsidP="003A3151">
      <w:pPr>
        <w:rPr>
          <w:color w:val="000000" w:themeColor="text1"/>
        </w:rPr>
      </w:pPr>
      <w:r w:rsidRPr="003A3151">
        <w:rPr>
          <w:color w:val="000000" w:themeColor="text1"/>
        </w:rPr>
        <w:t>The study was conducted with ethical considerations in mind. After being fully informed about the procedures and their right to withdraw, participants gave their informed consent. Adequate recovery time was given following each session, and pre-screening and monitoring helped reduce the risks associated with high-intensity exercise. Every piece of information was handled discreetly and kept safe.</w:t>
      </w:r>
    </w:p>
    <w:p w14:paraId="66384624" w14:textId="77777777" w:rsidR="0002105A" w:rsidRPr="0023120D" w:rsidRDefault="0002105A" w:rsidP="000720CC">
      <w:pPr>
        <w:rPr>
          <w:color w:val="000000" w:themeColor="text1"/>
        </w:rPr>
      </w:pPr>
    </w:p>
    <w:p w14:paraId="2FA7B09C" w14:textId="77777777" w:rsidR="0002105A" w:rsidRPr="0023120D" w:rsidRDefault="0002105A" w:rsidP="000720CC">
      <w:pPr>
        <w:rPr>
          <w:color w:val="000000" w:themeColor="text1"/>
        </w:rPr>
      </w:pPr>
    </w:p>
    <w:p w14:paraId="1AB5485F" w14:textId="77777777" w:rsidR="003A3151" w:rsidRDefault="003A3151" w:rsidP="000720CC">
      <w:pPr>
        <w:rPr>
          <w:color w:val="000000" w:themeColor="text1"/>
        </w:rPr>
      </w:pPr>
    </w:p>
    <w:p w14:paraId="7E8501F1" w14:textId="77777777" w:rsidR="003A3151" w:rsidRDefault="003A3151" w:rsidP="000720CC">
      <w:pPr>
        <w:rPr>
          <w:color w:val="000000" w:themeColor="text1"/>
        </w:rPr>
      </w:pPr>
    </w:p>
    <w:p w14:paraId="0F03DE12" w14:textId="77777777" w:rsidR="003A3151" w:rsidRDefault="003A3151" w:rsidP="000720CC">
      <w:pPr>
        <w:rPr>
          <w:color w:val="000000" w:themeColor="text1"/>
        </w:rPr>
      </w:pPr>
    </w:p>
    <w:p w14:paraId="0A52931A" w14:textId="4FA88505" w:rsidR="0002105A" w:rsidRPr="0023120D" w:rsidRDefault="0002105A" w:rsidP="000720CC">
      <w:pPr>
        <w:rPr>
          <w:color w:val="000000" w:themeColor="text1"/>
        </w:rPr>
      </w:pPr>
      <w:r w:rsidRPr="0023120D">
        <w:rPr>
          <w:color w:val="000000" w:themeColor="text1"/>
        </w:rPr>
        <w:lastRenderedPageBreak/>
        <w:t>Results Summary:</w:t>
      </w:r>
    </w:p>
    <w:p w14:paraId="2CA7BF39" w14:textId="1F3B577E" w:rsidR="0002105A" w:rsidRPr="0023120D" w:rsidRDefault="002433D6" w:rsidP="000720CC">
      <w:pPr>
        <w:rPr>
          <w:color w:val="000000" w:themeColor="text1"/>
        </w:rPr>
      </w:pPr>
      <w:r w:rsidRPr="0023120D">
        <w:rPr>
          <w:noProof/>
          <w:color w:val="000000" w:themeColor="text1"/>
        </w:rPr>
        <w:drawing>
          <wp:inline distT="0" distB="0" distL="0" distR="0" wp14:anchorId="42983139" wp14:editId="6F4199B7">
            <wp:extent cx="4430486" cy="2699205"/>
            <wp:effectExtent l="0" t="0" r="1905" b="6350"/>
            <wp:docPr id="71192922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929226" name="Picture 1" descr="A screen shot of a computer&#10;&#10;AI-generated content may be incorrect."/>
                    <pic:cNvPicPr/>
                  </pic:nvPicPr>
                  <pic:blipFill rotWithShape="1">
                    <a:blip r:embed="rId6"/>
                    <a:srcRect l="1" r="49228" b="45979"/>
                    <a:stretch>
                      <a:fillRect/>
                    </a:stretch>
                  </pic:blipFill>
                  <pic:spPr bwMode="auto">
                    <a:xfrm>
                      <a:off x="0" y="0"/>
                      <a:ext cx="4532388" cy="2761287"/>
                    </a:xfrm>
                    <a:prstGeom prst="rect">
                      <a:avLst/>
                    </a:prstGeom>
                    <a:ln>
                      <a:noFill/>
                    </a:ln>
                    <a:extLst>
                      <a:ext uri="{53640926-AAD7-44D8-BBD7-CCE9431645EC}">
                        <a14:shadowObscured xmlns:a14="http://schemas.microsoft.com/office/drawing/2010/main"/>
                      </a:ext>
                    </a:extLst>
                  </pic:spPr>
                </pic:pic>
              </a:graphicData>
            </a:graphic>
          </wp:inline>
        </w:drawing>
      </w:r>
    </w:p>
    <w:p w14:paraId="13D4E0E4" w14:textId="3CF33038" w:rsidR="00975513" w:rsidRPr="0023120D" w:rsidRDefault="00071E6E" w:rsidP="002433D6">
      <w:r w:rsidRPr="0023120D">
        <w:t>Figure 1</w:t>
      </w:r>
    </w:p>
    <w:p w14:paraId="4B7D53FC" w14:textId="77777777" w:rsidR="00071E6E" w:rsidRPr="0023120D" w:rsidRDefault="00071E6E" w:rsidP="002433D6"/>
    <w:p w14:paraId="329B5167" w14:textId="5F3D9F7C" w:rsidR="002433D6" w:rsidRPr="0023120D" w:rsidRDefault="002433D6" w:rsidP="002433D6">
      <w:r w:rsidRPr="0023120D">
        <w:t xml:space="preserve">The study compared the performance and physiological responses of six participants to the beetroot juice (A) and placebo (B) conditions. The primary outcome measure was mean power output during a 20-minute </w:t>
      </w:r>
      <w:r w:rsidR="006F61FE" w:rsidRPr="0023120D">
        <w:t>Watt bike</w:t>
      </w:r>
      <w:r w:rsidRPr="0023120D">
        <w:t xml:space="preserve"> time trial, supported by heart rate, RPE, and blood pressure measurements.</w:t>
      </w:r>
    </w:p>
    <w:p w14:paraId="593BE611" w14:textId="0B8EAF38" w:rsidR="002433D6" w:rsidRPr="0023120D" w:rsidRDefault="002433D6" w:rsidP="002433D6">
      <w:r w:rsidRPr="0023120D">
        <w:t>Overall, the study found no consistent performance advantage for the beetroot condition. Three participants had slightly higher mean power during the beetroot trial, while the other three had higher power in the placebo condition. These differences were generally minor, implying that individual responses varied rather than following a clear group trend.</w:t>
      </w:r>
    </w:p>
    <w:p w14:paraId="66553A55" w14:textId="77777777" w:rsidR="00DA4042" w:rsidRPr="0023120D" w:rsidRDefault="00DA4042" w:rsidP="00DA4042">
      <w:r w:rsidRPr="0023120D">
        <w:t>Heart rate responses showed a variety of patterns. Some participants had higher average heart rates in the beetroot condition, whereas others had the opposite. This inconsistency suggests that beetroot juice did not have a consistent cardiovascular effect during the time trial. Most participants' RPE values at five-minute intervals were similar across both conditions, indicating that perceived effort did not vary significantly between trials.</w:t>
      </w:r>
    </w:p>
    <w:p w14:paraId="45599642" w14:textId="6EABAFC2" w:rsidR="00DA4042" w:rsidRPr="0023120D" w:rsidRDefault="00DA4042" w:rsidP="00DA4042">
      <w:r w:rsidRPr="0023120D">
        <w:t>Blood pressure measurements before and after exercise showed expected physiological patterns, with systolic pressure increasing in both cases. There were no clear differences between the beetroot and placebo trials, indicating that the supplement had no significant effect on acute blood pressure responses.</w:t>
      </w:r>
    </w:p>
    <w:p w14:paraId="6D4EBF10" w14:textId="5A1C31BC" w:rsidR="00DA4042" w:rsidRPr="0023120D" w:rsidRDefault="00DA4042" w:rsidP="00DA4042">
      <w:r w:rsidRPr="0023120D">
        <w:t>Overall, the descriptive data indicate</w:t>
      </w:r>
      <w:r w:rsidR="006F61FE">
        <w:t>s</w:t>
      </w:r>
      <w:r w:rsidRPr="0023120D">
        <w:t xml:space="preserve"> that beetroot juice did not result in a significant or consistent improvement in performance across the group. While some people </w:t>
      </w:r>
      <w:r w:rsidRPr="0023120D">
        <w:lastRenderedPageBreak/>
        <w:t>demonstrated slightly higher power output with beetroot juice, others performed better with a placebo. These differences cannot be interpreted as meaningful without statistical testing, but the mixed direction of change indicates that the supplement had a minimal effect in this sample.</w:t>
      </w:r>
    </w:p>
    <w:p w14:paraId="7D8DA095" w14:textId="77777777" w:rsidR="00DA4042" w:rsidRPr="0023120D" w:rsidRDefault="00DA4042" w:rsidP="00DA4042"/>
    <w:p w14:paraId="35417AAA" w14:textId="77777777" w:rsidR="00DA4042" w:rsidRPr="0023120D" w:rsidRDefault="00DA4042" w:rsidP="00DA4042"/>
    <w:p w14:paraId="533EEE63" w14:textId="77777777" w:rsidR="00DA4042" w:rsidRPr="0023120D" w:rsidRDefault="00DA4042" w:rsidP="00DA4042"/>
    <w:p w14:paraId="746D0057" w14:textId="77777777" w:rsidR="00DA4042" w:rsidRPr="0023120D" w:rsidRDefault="00DA4042" w:rsidP="00DA4042"/>
    <w:p w14:paraId="33ABBA99" w14:textId="77777777" w:rsidR="00DA4042" w:rsidRPr="0023120D" w:rsidRDefault="00DA4042" w:rsidP="00DA4042"/>
    <w:p w14:paraId="67C76AA7" w14:textId="77777777" w:rsidR="00DA4042" w:rsidRPr="0023120D" w:rsidRDefault="00DA4042" w:rsidP="00DA4042"/>
    <w:p w14:paraId="65A89C59" w14:textId="77777777" w:rsidR="00DA4042" w:rsidRPr="0023120D" w:rsidRDefault="00DA4042" w:rsidP="00DA4042"/>
    <w:p w14:paraId="0AFCCADA" w14:textId="77777777" w:rsidR="00DA4042" w:rsidRPr="0023120D" w:rsidRDefault="00DA4042" w:rsidP="00DA4042"/>
    <w:p w14:paraId="30AD9B94" w14:textId="77777777" w:rsidR="00DA4042" w:rsidRPr="0023120D" w:rsidRDefault="00DA4042" w:rsidP="00DA4042"/>
    <w:p w14:paraId="2E529BC6" w14:textId="77777777" w:rsidR="00DA4042" w:rsidRPr="0023120D" w:rsidRDefault="00DA4042" w:rsidP="00DA4042"/>
    <w:p w14:paraId="45E26690" w14:textId="77777777" w:rsidR="00DA4042" w:rsidRPr="0023120D" w:rsidRDefault="00DA4042" w:rsidP="00DA4042"/>
    <w:p w14:paraId="30D35786" w14:textId="77777777" w:rsidR="00DA4042" w:rsidRPr="0023120D" w:rsidRDefault="00DA4042" w:rsidP="00DA4042"/>
    <w:p w14:paraId="1C0C0DBA" w14:textId="77777777" w:rsidR="00DA4042" w:rsidRPr="0023120D" w:rsidRDefault="00DA4042" w:rsidP="00DA4042"/>
    <w:p w14:paraId="216D2354" w14:textId="77777777" w:rsidR="00DA4042" w:rsidRPr="0023120D" w:rsidRDefault="00DA4042" w:rsidP="00DA4042"/>
    <w:p w14:paraId="25E79D9B" w14:textId="77777777" w:rsidR="00DA4042" w:rsidRPr="0023120D" w:rsidRDefault="00DA4042" w:rsidP="00DA4042"/>
    <w:p w14:paraId="35C99969" w14:textId="77777777" w:rsidR="00DA4042" w:rsidRPr="0023120D" w:rsidRDefault="00DA4042" w:rsidP="00DA4042"/>
    <w:p w14:paraId="69642910" w14:textId="77777777" w:rsidR="00DA4042" w:rsidRPr="0023120D" w:rsidRDefault="00DA4042" w:rsidP="00DA4042"/>
    <w:p w14:paraId="009EB68B" w14:textId="77777777" w:rsidR="00DA4042" w:rsidRPr="0023120D" w:rsidRDefault="00DA4042" w:rsidP="00DA4042"/>
    <w:p w14:paraId="651FBF36" w14:textId="77777777" w:rsidR="00DA4042" w:rsidRPr="0023120D" w:rsidRDefault="00DA4042" w:rsidP="00DA4042"/>
    <w:p w14:paraId="68B70CE7" w14:textId="77777777" w:rsidR="00DA4042" w:rsidRPr="0023120D" w:rsidRDefault="00DA4042" w:rsidP="00DA4042"/>
    <w:p w14:paraId="56FFA723" w14:textId="77777777" w:rsidR="00DA4042" w:rsidRPr="0023120D" w:rsidRDefault="00DA4042" w:rsidP="00DA4042"/>
    <w:p w14:paraId="4A12A4AD" w14:textId="77777777" w:rsidR="00DA4042" w:rsidRPr="0023120D" w:rsidRDefault="00DA4042" w:rsidP="00DA4042"/>
    <w:p w14:paraId="001E91B6" w14:textId="77777777" w:rsidR="00DA4042" w:rsidRPr="0023120D" w:rsidRDefault="00DA4042" w:rsidP="00DA4042"/>
    <w:p w14:paraId="3DEE5AF0" w14:textId="77777777" w:rsidR="00DA4042" w:rsidRPr="0023120D" w:rsidRDefault="00DA4042" w:rsidP="00DA4042"/>
    <w:p w14:paraId="797A944E" w14:textId="77777777" w:rsidR="00DA4042" w:rsidRPr="0023120D" w:rsidRDefault="00DA4042" w:rsidP="00DA4042"/>
    <w:p w14:paraId="6B1A5419" w14:textId="6E7605EE" w:rsidR="00DA4042" w:rsidRPr="0023120D" w:rsidRDefault="00DA4042" w:rsidP="00DA4042">
      <w:r w:rsidRPr="0023120D">
        <w:lastRenderedPageBreak/>
        <w:t>Discussion and Practical Implications:</w:t>
      </w:r>
    </w:p>
    <w:p w14:paraId="4B120A06" w14:textId="30668C3C" w:rsidR="00DA4042" w:rsidRPr="0023120D" w:rsidRDefault="00DA4042" w:rsidP="00DA4042">
      <w:r w:rsidRPr="0023120D">
        <w:t>This study aimed to determine if consuming acute beetroot juice improved 20-minute cycling time trial performance compared to a placebo. The results of this small crossover trial revealed no consistent performance benefit from beetroot juice among participants. While some people had slightly higher mean power in the beetroot condition, others performed better with the placebo, demonstrating significant individual variability. This mixed pattern is consistent with emerging evidence indicating that nitrate supplementation does not produce uniform improvements in all athletes.</w:t>
      </w:r>
    </w:p>
    <w:p w14:paraId="575D42BA" w14:textId="5DAF231E" w:rsidR="00DA4042" w:rsidRPr="0023120D" w:rsidRDefault="00A93D8E" w:rsidP="00DA4042">
      <w:r w:rsidRPr="0023120D">
        <w:t>The study's conflicting findings both confirm and refute previous research on beetroot juice's efficacy as an ergogenic aid. Dietary nitrate from beetroot juice has been shown in early studies to increase exercise efficiency, lower the oxygen cost of movement, and improve performance during high-intensity efforts (Larsen et al., 2007; Bailey et al., 2009). These results supported the notion that supplementing with nitrate consistently improves endurance performance. More recent research, however, has shown that these effects vary greatly, with some people showing little to no improvement and others responding strongly (Jones, 2014; McMahon et al., 2017). The current study's findings are more in line with this more recent viewpoint. There was little group-level improvement from the supplement, even though some participants showed slightly higher mean power output in the beetroot condition while others performed better with the placebo. Individual responses, on the other hand, differed significantly, reflecting the inconsistency documented in recent literature.</w:t>
      </w:r>
    </w:p>
    <w:p w14:paraId="7E6EF9D8" w14:textId="3626D668" w:rsidR="00A93D8E" w:rsidRPr="0023120D" w:rsidRDefault="00071E6E" w:rsidP="00DA4042">
      <w:r w:rsidRPr="0023120D">
        <w:t>One of the most noticeable patterns in the data was individual variability. For instance, two individuals in the beetroot condition generated a higher mean power, while two individuals in the placebo condition performed better. Participants' heart rates and RPE responses varied as well, but there was no discernible pattern. This implies that some people may benefit more from beetroot juice than others, possibly because of variations in physiology, training status, nitrate metabolism, or the makeup of the oral microbiome, which is essential for converting nitrate to nitric oxide (Porcelli et al., 2015). The existence of both "responders" and "non-responders" in this study supports the notion that nitrate supplementation is not always beneficial and reflects the variability frequently reported in the larger literature.</w:t>
      </w:r>
    </w:p>
    <w:p w14:paraId="2C523126" w14:textId="171A310F" w:rsidR="00071E6E" w:rsidRPr="0023120D" w:rsidRDefault="00071E6E" w:rsidP="00DA4042">
      <w:r w:rsidRPr="0023120D">
        <w:t xml:space="preserve">Beetroot juice may still be helpful for athletes in some circumstances, even though the effect was not consistent throughout the group. According to research, nitrate supplementation might be especially helpful during high-intensity exercises lasting five to thirty minutes, when gains in oxygen efficiency could have a significant impact on performance (Jones, 2014). Additionally, it might help athletes who participate in intermittent sports, where the availability of nitric oxide can improve muscle contractility and the capacity to sprint repeatedly (Wylie et al., 2013). Athletes should </w:t>
      </w:r>
      <w:r w:rsidRPr="0023120D">
        <w:lastRenderedPageBreak/>
        <w:t>test the supplement during training instead of assuming it will improve performance during competition, though, given the variability seen in this study.</w:t>
      </w:r>
    </w:p>
    <w:p w14:paraId="34AE8613" w14:textId="437DE9FE" w:rsidR="00071E6E" w:rsidRPr="0023120D" w:rsidRDefault="00071E6E" w:rsidP="00DA4042">
      <w:r w:rsidRPr="0023120D">
        <w:t>When interpreting these results, several limitations must be considered. The results generalisability is limited by the small sample size of six participants, which makes it more difficult to identify significant differences. The absence of blinding might have affected expectations or motivation, which could have had an impact on performance results. Furthermore, only one acute dose of beetroot juice was administered; however, some studies indicate that multi-day loading may result in more consistent improvements (Wylie et al., 2016). The inconsistent responses could also have been caused by differences in participant characteristics, such as age and fitness level. Lastly, nitrate-related improvements, which are frequently most noticeable in short-duration, high-intensity exercise, might not be fully captured by the 20-minute performance test (Jones, 2014).</w:t>
      </w:r>
    </w:p>
    <w:p w14:paraId="576C0357" w14:textId="7B8890D6" w:rsidR="00071E6E" w:rsidRPr="0023120D" w:rsidRDefault="00071E6E" w:rsidP="00DA4042">
      <w:r w:rsidRPr="0023120D">
        <w:t>Based on the findings and the observed variability, beetroot juice cannot be suggested as a supplement that works for everyone. For some people who react favourably to it, it might still be advantageous. Before using beetroot juice in competition, athletes should try it during training to see if it improves their own performance. This customised approach recognises both the potential advantages and the obvious individual differences revealed in the data, and it reflects current best practices in sports nutrition.</w:t>
      </w:r>
    </w:p>
    <w:p w14:paraId="77B0CBF5" w14:textId="77777777" w:rsidR="0023120D" w:rsidRPr="0023120D" w:rsidRDefault="0023120D" w:rsidP="00DA4042"/>
    <w:p w14:paraId="4F4D9FD6" w14:textId="77777777" w:rsidR="0023120D" w:rsidRPr="0023120D" w:rsidRDefault="0023120D" w:rsidP="00DA4042"/>
    <w:p w14:paraId="56BA122C" w14:textId="77777777" w:rsidR="0023120D" w:rsidRPr="0023120D" w:rsidRDefault="0023120D" w:rsidP="00DA4042"/>
    <w:p w14:paraId="3CB1B94E" w14:textId="77777777" w:rsidR="0023120D" w:rsidRPr="0023120D" w:rsidRDefault="0023120D" w:rsidP="00DA4042"/>
    <w:p w14:paraId="782F1A55" w14:textId="77777777" w:rsidR="0023120D" w:rsidRPr="0023120D" w:rsidRDefault="0023120D" w:rsidP="00DA4042"/>
    <w:p w14:paraId="4C99E1EA" w14:textId="77777777" w:rsidR="0023120D" w:rsidRPr="0023120D" w:rsidRDefault="0023120D" w:rsidP="00DA4042"/>
    <w:p w14:paraId="35A4F400" w14:textId="77777777" w:rsidR="0023120D" w:rsidRPr="0023120D" w:rsidRDefault="0023120D" w:rsidP="00DA4042"/>
    <w:p w14:paraId="45F83DD8" w14:textId="77777777" w:rsidR="0023120D" w:rsidRPr="0023120D" w:rsidRDefault="0023120D" w:rsidP="00DA4042"/>
    <w:p w14:paraId="67655547" w14:textId="77777777" w:rsidR="0023120D" w:rsidRPr="0023120D" w:rsidRDefault="0023120D" w:rsidP="00DA4042"/>
    <w:p w14:paraId="59B45134" w14:textId="77777777" w:rsidR="0023120D" w:rsidRPr="0023120D" w:rsidRDefault="0023120D" w:rsidP="00DA4042"/>
    <w:p w14:paraId="7EF0E9A5" w14:textId="77777777" w:rsidR="0023120D" w:rsidRPr="0023120D" w:rsidRDefault="0023120D" w:rsidP="00DA4042"/>
    <w:p w14:paraId="1A8CC98E" w14:textId="77777777" w:rsidR="0023120D" w:rsidRDefault="0023120D" w:rsidP="00DA4042">
      <w:pPr>
        <w:rPr>
          <w:color w:val="000000" w:themeColor="text1"/>
        </w:rPr>
      </w:pPr>
    </w:p>
    <w:p w14:paraId="01485527" w14:textId="77777777" w:rsidR="003A3151" w:rsidRDefault="003A3151" w:rsidP="00DA4042">
      <w:pPr>
        <w:rPr>
          <w:color w:val="000000" w:themeColor="text1"/>
        </w:rPr>
      </w:pPr>
    </w:p>
    <w:p w14:paraId="056323DE" w14:textId="77777777" w:rsidR="003A3151" w:rsidRDefault="003A3151" w:rsidP="00DA4042">
      <w:pPr>
        <w:rPr>
          <w:color w:val="000000" w:themeColor="text1"/>
        </w:rPr>
      </w:pPr>
    </w:p>
    <w:p w14:paraId="7097544A" w14:textId="4EF76ED1" w:rsidR="0023120D" w:rsidRPr="0023120D" w:rsidRDefault="0023120D" w:rsidP="00DA4042">
      <w:pPr>
        <w:rPr>
          <w:color w:val="000000" w:themeColor="text1"/>
        </w:rPr>
      </w:pPr>
      <w:r w:rsidRPr="0023120D">
        <w:rPr>
          <w:color w:val="000000" w:themeColor="text1"/>
        </w:rPr>
        <w:lastRenderedPageBreak/>
        <w:t>Ethical And Safety Considerations:</w:t>
      </w:r>
    </w:p>
    <w:p w14:paraId="0E238BEE" w14:textId="4207C76B" w:rsidR="0023120D" w:rsidRPr="0023120D" w:rsidRDefault="0023120D" w:rsidP="0023120D">
      <w:pPr>
        <w:pStyle w:val="muitypography-root"/>
        <w:spacing w:before="0" w:beforeAutospacing="0" w:after="240" w:afterAutospacing="0" w:line="360" w:lineRule="atLeast"/>
        <w:rPr>
          <w:rFonts w:asciiTheme="minorHAnsi" w:hAnsiTheme="minorHAnsi" w:cs="Open Sans"/>
          <w:color w:val="000000" w:themeColor="text1"/>
        </w:rPr>
      </w:pPr>
      <w:r w:rsidRPr="0023120D">
        <w:rPr>
          <w:rFonts w:asciiTheme="minorHAnsi" w:hAnsiTheme="minorHAnsi" w:cs="Open Sans"/>
          <w:color w:val="000000" w:themeColor="text1"/>
        </w:rPr>
        <w:t xml:space="preserve">The use of dietary supplements in sports raises significant ethical, safety, and regulatory concerns. Despite their widespread availability, supplements are not regulated to the same rigorous standards as pharmaceuticals, increasing risks of contamination, </w:t>
      </w:r>
      <w:r w:rsidR="00F430CA" w:rsidRPr="0023120D">
        <w:rPr>
          <w:rFonts w:asciiTheme="minorHAnsi" w:hAnsiTheme="minorHAnsi" w:cs="Open Sans"/>
          <w:color w:val="000000" w:themeColor="text1"/>
        </w:rPr>
        <w:t>mislabelling</w:t>
      </w:r>
      <w:r w:rsidRPr="0023120D">
        <w:rPr>
          <w:rFonts w:asciiTheme="minorHAnsi" w:hAnsiTheme="minorHAnsi" w:cs="Open Sans"/>
          <w:color w:val="000000" w:themeColor="text1"/>
        </w:rPr>
        <w:t>, or undisclosed ingredients. Research indicates that some supplements contain substances not listed on their labels, such as stimulants or anabolic agents, which pose health risks and potential violations of anti-doping rules (Maughan et al., 2018). This situation presents ethical dilemmas, as athletes may unknowingly jeopardize their health or obtain an unfair competitive edge.</w:t>
      </w:r>
    </w:p>
    <w:p w14:paraId="04BBF418" w14:textId="77777777" w:rsidR="0023120D" w:rsidRPr="0023120D" w:rsidRDefault="0023120D" w:rsidP="0023120D">
      <w:pPr>
        <w:pStyle w:val="muitypography-root"/>
        <w:spacing w:before="0" w:beforeAutospacing="0" w:after="240" w:afterAutospacing="0" w:line="360" w:lineRule="atLeast"/>
        <w:rPr>
          <w:rFonts w:asciiTheme="minorHAnsi" w:hAnsiTheme="minorHAnsi" w:cs="Open Sans"/>
          <w:color w:val="000000" w:themeColor="text1"/>
        </w:rPr>
      </w:pPr>
      <w:r w:rsidRPr="0023120D">
        <w:rPr>
          <w:rFonts w:asciiTheme="minorHAnsi" w:hAnsiTheme="minorHAnsi" w:cs="Open Sans"/>
          <w:color w:val="000000" w:themeColor="text1"/>
        </w:rPr>
        <w:t>From a safety standpoint, supplements can cause adverse effects, interact negatively with medications, or result in excessive nutrient intake. Even commonly used products like herbal extracts or high-dose vitamins can be harmful if misused. Therefore, ethical practice necessitates a cautious, evidence-based approach that prioritizes the wellbeing of athletes.</w:t>
      </w:r>
    </w:p>
    <w:p w14:paraId="00FD709E" w14:textId="47ACAF12" w:rsidR="00F430CA" w:rsidRPr="0023120D" w:rsidRDefault="00F430CA" w:rsidP="00DA4042">
      <w:r>
        <w:t>Legality and Anti-Doping:</w:t>
      </w:r>
    </w:p>
    <w:p w14:paraId="6B65D53F" w14:textId="7E5D248C" w:rsidR="00071E6E" w:rsidRDefault="00F430CA" w:rsidP="00DA4042">
      <w:r w:rsidRPr="00F430CA">
        <w:t>Supplements themselves are not prohibited by the World Anti-Doping Agency (WADA), but many of the substances they contain, including stimulants, anabolic agents, and selective androgen receptor modulators, are listed on the WADA Prohibited List (WADA, 2024). Regardless of intent, athletes are liable for any illegal substance found in their systems under WADA's strict liability principle. Contamination is therefore a serious risk to compliance.</w:t>
      </w:r>
    </w:p>
    <w:p w14:paraId="64A11A69" w14:textId="598A350E" w:rsidR="00F430CA" w:rsidRDefault="00F430CA" w:rsidP="00DA4042">
      <w:r>
        <w:t xml:space="preserve">Responsible Management </w:t>
      </w:r>
      <w:proofErr w:type="gramStart"/>
      <w:r>
        <w:t>In</w:t>
      </w:r>
      <w:proofErr w:type="gramEnd"/>
      <w:r>
        <w:t xml:space="preserve"> Practise:</w:t>
      </w:r>
    </w:p>
    <w:p w14:paraId="4B7CECA8" w14:textId="129569F6" w:rsidR="00F430CA" w:rsidRDefault="00F430CA" w:rsidP="00DA4042">
      <w:r w:rsidRPr="00F430CA">
        <w:t xml:space="preserve">Adopting a food-first strategy and utilising supplements only when there is a convincing, evidence-based rationale are key components of responsible supplement management. Athletes should select products that have been approved by respectable third-party testing programs, like Informed-Sport, which help lower the possibility of contamination or </w:t>
      </w:r>
      <w:r w:rsidRPr="00F430CA">
        <w:t>mislabelling</w:t>
      </w:r>
      <w:r w:rsidRPr="00F430CA">
        <w:t xml:space="preserve">, </w:t>
      </w:r>
      <w:r w:rsidRPr="00F430CA">
        <w:t>to</w:t>
      </w:r>
      <w:r w:rsidRPr="00F430CA">
        <w:t xml:space="preserve"> minimise risk. Transparency and accountability also depend on keeping precise records of all supplements used. </w:t>
      </w:r>
      <w:r w:rsidRPr="00F430CA">
        <w:t>Athletes</w:t>
      </w:r>
      <w:r w:rsidRPr="00F430CA">
        <w:t xml:space="preserve"> benefit from speaking with trained experts who can offer advice on appropriate and safe usage as well as assist in interpreting new research. Maintaining compliance with anti-doping regulations requires routinely reviewing updates to the WADA Prohibited List. When combined, these tactics support athlete safety, equity, and responsible sporting decision-making.</w:t>
      </w:r>
    </w:p>
    <w:p w14:paraId="22E948FA" w14:textId="4763B5B8" w:rsidR="00F430CA" w:rsidRDefault="00F430CA" w:rsidP="00DA4042"/>
    <w:p w14:paraId="2C781361" w14:textId="77777777" w:rsidR="003A3151" w:rsidRDefault="003A3151" w:rsidP="00DA4042"/>
    <w:p w14:paraId="6D9B2FF6" w14:textId="77777777" w:rsidR="003A3151" w:rsidRPr="006E4C8B" w:rsidRDefault="003A3151" w:rsidP="00DA4042"/>
    <w:p w14:paraId="118DE5C3" w14:textId="66DD4860" w:rsidR="003A3151" w:rsidRDefault="003A3151" w:rsidP="00DA4042">
      <w:r w:rsidRPr="006E4C8B">
        <w:t>References:</w:t>
      </w:r>
    </w:p>
    <w:p w14:paraId="314BEFD4" w14:textId="4C295525"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Bailey, S.J., Wilkerson, D.P., DiMenna, F.J. and Jones, A.M. (2009). Influence of repeated sprint training on pulmonary O2 uptake and muscle deoxygenation kinetics in humans. </w:t>
      </w:r>
      <w:r w:rsidRPr="006E4C8B">
        <w:rPr>
          <w:rFonts w:eastAsia="Times New Roman" w:cs="Times New Roman"/>
          <w:i/>
          <w:iCs/>
          <w:color w:val="000000"/>
          <w:kern w:val="0"/>
          <w:lang w:eastAsia="en-GB"/>
          <w14:ligatures w14:val="none"/>
        </w:rPr>
        <w:t>Journal of Applied Physiology</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"https://doi.org/10.1152/japplphysiol.00144.2009"</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https://doi.org/10.1152/japplphysiol.00144.2009</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w:t>
      </w:r>
      <w:r w:rsidRPr="006E4C8B">
        <w:rPr>
          <w:rFonts w:eastAsia="Times New Roman" w:cs="Times New Roman"/>
          <w:color w:val="000000"/>
          <w:kern w:val="0"/>
          <w:lang w:eastAsia="en-GB"/>
          <w14:ligatures w14:val="none"/>
        </w:rPr>
        <w:t xml:space="preserve"> [Accessed 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493C5994" w14:textId="10A163EE"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 xml:space="preserve">Borel, P. and </w:t>
      </w:r>
      <w:proofErr w:type="spellStart"/>
      <w:r w:rsidRPr="006E4C8B">
        <w:rPr>
          <w:rFonts w:eastAsia="Times New Roman" w:cs="Times New Roman"/>
          <w:color w:val="000000"/>
          <w:kern w:val="0"/>
          <w:lang w:eastAsia="en-GB"/>
          <w14:ligatures w14:val="none"/>
        </w:rPr>
        <w:t>Desmarchelier</w:t>
      </w:r>
      <w:proofErr w:type="spellEnd"/>
      <w:r w:rsidRPr="006E4C8B">
        <w:rPr>
          <w:rFonts w:eastAsia="Times New Roman" w:cs="Times New Roman"/>
          <w:color w:val="000000"/>
          <w:kern w:val="0"/>
          <w:lang w:eastAsia="en-GB"/>
          <w14:ligatures w14:val="none"/>
        </w:rPr>
        <w:t>, C. (2018). Annual Review of Nutrition Bioavailability of Fat-Soluble Vitamins and Phytochemicals in Humans: Effects of Genetic Variation. </w:t>
      </w:r>
      <w:r w:rsidRPr="006E4C8B">
        <w:rPr>
          <w:rFonts w:eastAsia="Times New Roman" w:cs="Times New Roman"/>
          <w:i/>
          <w:iCs/>
          <w:color w:val="000000"/>
          <w:kern w:val="0"/>
          <w:lang w:eastAsia="en-GB"/>
          <w14:ligatures w14:val="none"/>
        </w:rPr>
        <w:t>Annual Review of Nutrition Dietary Nitrate and Physical Performance</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"https://doi.org/10.1146/annurev-nutr-082117"</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https://doi.org/10.1146/annurev-nutr-082117</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w:t>
      </w:r>
      <w:r w:rsidRPr="006E4C8B">
        <w:rPr>
          <w:rFonts w:eastAsia="Times New Roman" w:cs="Times New Roman"/>
          <w:color w:val="000000"/>
          <w:kern w:val="0"/>
          <w:lang w:eastAsia="en-GB"/>
          <w14:ligatures w14:val="none"/>
        </w:rPr>
        <w:t xml:space="preserve"> [Accessed 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2B455A22" w14:textId="5540A22F"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 xml:space="preserve">Domínguez, R., Maté-Muñoz, J.L., Cuenca, E., García-Fernández, P., Mata-Ordoñez, F., Lozano-Estevan, M.C., Veiga-Herreros, P., da Silva, S.F. and </w:t>
      </w:r>
      <w:proofErr w:type="spellStart"/>
      <w:r w:rsidRPr="006E4C8B">
        <w:rPr>
          <w:rFonts w:eastAsia="Times New Roman" w:cs="Times New Roman"/>
          <w:color w:val="000000"/>
          <w:kern w:val="0"/>
          <w:lang w:eastAsia="en-GB"/>
          <w14:ligatures w14:val="none"/>
        </w:rPr>
        <w:t>Garnacho</w:t>
      </w:r>
      <w:proofErr w:type="spellEnd"/>
      <w:r w:rsidRPr="006E4C8B">
        <w:rPr>
          <w:rFonts w:eastAsia="Times New Roman" w:cs="Times New Roman"/>
          <w:color w:val="000000"/>
          <w:kern w:val="0"/>
          <w:lang w:eastAsia="en-GB"/>
          <w14:ligatures w14:val="none"/>
        </w:rPr>
        <w:t>-Castaño, M.V. (2018). Effects of beetroot juice supplementation on intermittent high-intensity exercise efforts. </w:t>
      </w:r>
      <w:r w:rsidRPr="006E4C8B">
        <w:rPr>
          <w:rFonts w:eastAsia="Times New Roman" w:cs="Times New Roman"/>
          <w:i/>
          <w:iCs/>
          <w:color w:val="000000"/>
          <w:kern w:val="0"/>
          <w:lang w:eastAsia="en-GB"/>
          <w14:ligatures w14:val="none"/>
        </w:rPr>
        <w:t>Journal of the International Society of Sports Nutrition</w:t>
      </w:r>
      <w:r w:rsidRPr="006E4C8B">
        <w:rPr>
          <w:rFonts w:eastAsia="Times New Roman" w:cs="Times New Roman"/>
          <w:color w:val="000000"/>
          <w:kern w:val="0"/>
          <w:lang w:eastAsia="en-GB"/>
          <w14:ligatures w14:val="none"/>
        </w:rPr>
        <w:t xml:space="preserve">, 15(1).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"https://doi.org/10.1186/s12970-017-0204-9."</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https://doi.org/10.1186/s12970-017-0204-9.</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 xml:space="preserve"> [Accessed: 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1E9F9C40" w14:textId="0E3C3A13"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Ferrada-Contreras, E., Romina Bonomini-</w:t>
      </w:r>
      <w:proofErr w:type="spellStart"/>
      <w:r w:rsidRPr="006E4C8B">
        <w:rPr>
          <w:rFonts w:eastAsia="Times New Roman" w:cs="Times New Roman"/>
          <w:color w:val="000000"/>
          <w:kern w:val="0"/>
          <w:lang w:eastAsia="en-GB"/>
          <w14:ligatures w14:val="none"/>
        </w:rPr>
        <w:t>Gnutzmann</w:t>
      </w:r>
      <w:proofErr w:type="spellEnd"/>
      <w:r w:rsidRPr="006E4C8B">
        <w:rPr>
          <w:rFonts w:eastAsia="Times New Roman" w:cs="Times New Roman"/>
          <w:color w:val="000000"/>
          <w:kern w:val="0"/>
          <w:lang w:eastAsia="en-GB"/>
          <w14:ligatures w14:val="none"/>
        </w:rPr>
        <w:t xml:space="preserve">, Jorquera-Aguilera, C., Norman </w:t>
      </w:r>
      <w:proofErr w:type="spellStart"/>
      <w:r w:rsidRPr="006E4C8B">
        <w:rPr>
          <w:rFonts w:eastAsia="Times New Roman" w:cs="Times New Roman"/>
          <w:color w:val="000000"/>
          <w:kern w:val="0"/>
          <w:lang w:eastAsia="en-GB"/>
          <w14:ligatures w14:val="none"/>
        </w:rPr>
        <w:t>MacmiIlan</w:t>
      </w:r>
      <w:proofErr w:type="spellEnd"/>
      <w:r w:rsidRPr="006E4C8B">
        <w:rPr>
          <w:rFonts w:eastAsia="Times New Roman" w:cs="Times New Roman"/>
          <w:color w:val="000000"/>
          <w:kern w:val="0"/>
          <w:lang w:eastAsia="en-GB"/>
          <w14:ligatures w14:val="none"/>
        </w:rPr>
        <w:t xml:space="preserve"> Kuthe, Peña-Jorquera, H. and Rodríguez</w:t>
      </w:r>
      <w:r w:rsidRPr="006E4C8B">
        <w:rPr>
          <w:rFonts w:ascii="Cambria Math" w:eastAsia="Times New Roman" w:hAnsi="Cambria Math" w:cs="Cambria Math"/>
          <w:color w:val="000000"/>
          <w:kern w:val="0"/>
          <w:lang w:eastAsia="en-GB"/>
          <w14:ligatures w14:val="none"/>
        </w:rPr>
        <w:t>‐</w:t>
      </w:r>
      <w:r w:rsidRPr="006E4C8B">
        <w:rPr>
          <w:rFonts w:eastAsia="Times New Roman" w:cs="Times New Roman"/>
          <w:color w:val="000000"/>
          <w:kern w:val="0"/>
          <w:lang w:eastAsia="en-GB"/>
          <w14:ligatures w14:val="none"/>
        </w:rPr>
        <w:t xml:space="preserve">Rodríguez, F. (2023). Does Co-Supplementation with Beetroot Juice and Other Nutritional Supplements Positively Impact Sports </w:t>
      </w:r>
      <w:proofErr w:type="gramStart"/>
      <w:r w:rsidRPr="006E4C8B">
        <w:rPr>
          <w:rFonts w:eastAsia="Times New Roman" w:cs="Times New Roman"/>
          <w:color w:val="000000"/>
          <w:kern w:val="0"/>
          <w:lang w:eastAsia="en-GB"/>
          <w14:ligatures w14:val="none"/>
        </w:rPr>
        <w:t>Performance?:</w:t>
      </w:r>
      <w:proofErr w:type="gramEnd"/>
      <w:r w:rsidRPr="006E4C8B">
        <w:rPr>
          <w:rFonts w:eastAsia="Times New Roman" w:cs="Times New Roman"/>
          <w:color w:val="000000"/>
          <w:kern w:val="0"/>
          <w:lang w:eastAsia="en-GB"/>
          <w14:ligatures w14:val="none"/>
        </w:rPr>
        <w:t xml:space="preserve"> A Systematic Review. </w:t>
      </w:r>
      <w:r w:rsidRPr="006E4C8B">
        <w:rPr>
          <w:rFonts w:eastAsia="Times New Roman" w:cs="Times New Roman"/>
          <w:i/>
          <w:iCs/>
          <w:color w:val="000000"/>
          <w:kern w:val="0"/>
          <w:lang w:eastAsia="en-GB"/>
          <w14:ligatures w14:val="none"/>
        </w:rPr>
        <w:t>Nutrients</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"https://doi.org/10.3390/nu15224838"</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https://doi.org/10.3390/nu15224838</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w:t>
      </w:r>
      <w:r w:rsidRPr="006E4C8B">
        <w:rPr>
          <w:rFonts w:eastAsia="Times New Roman" w:cs="Times New Roman"/>
          <w:color w:val="000000"/>
          <w:kern w:val="0"/>
          <w:lang w:eastAsia="en-GB"/>
          <w14:ligatures w14:val="none"/>
        </w:rPr>
        <w:t xml:space="preserve"> [Accessed:1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6C3A0B2E" w14:textId="6F0DC297"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Jones, A.M. (2014). Dietary Nitrate Supplementation and Exercise Performance. </w:t>
      </w:r>
      <w:r w:rsidRPr="006E4C8B">
        <w:rPr>
          <w:rFonts w:eastAsia="Times New Roman" w:cs="Times New Roman"/>
          <w:i/>
          <w:iCs/>
          <w:color w:val="000000"/>
          <w:kern w:val="0"/>
          <w:lang w:eastAsia="en-GB"/>
          <w14:ligatures w14:val="none"/>
        </w:rPr>
        <w:t>Sports Medicine</w:t>
      </w:r>
      <w:r w:rsidRPr="006E4C8B">
        <w:rPr>
          <w:rFonts w:eastAsia="Times New Roman" w:cs="Times New Roman"/>
          <w:color w:val="000000"/>
          <w:kern w:val="0"/>
          <w:lang w:eastAsia="en-GB"/>
          <w14:ligatures w14:val="none"/>
        </w:rPr>
        <w:t xml:space="preserve">, </w:t>
      </w:r>
      <w:proofErr w:type="spellStart"/>
      <w:r w:rsidRPr="006E4C8B">
        <w:rPr>
          <w:rFonts w:eastAsia="Times New Roman" w:cs="Times New Roman"/>
          <w:color w:val="000000"/>
          <w:kern w:val="0"/>
          <w:lang w:eastAsia="en-GB"/>
          <w14:ligatures w14:val="none"/>
        </w:rPr>
        <w:t>Avaiable</w:t>
      </w:r>
      <w:proofErr w:type="spellEnd"/>
      <w:r w:rsidRPr="006E4C8B">
        <w:rPr>
          <w:rFonts w:eastAsia="Times New Roman" w:cs="Times New Roman"/>
          <w:color w:val="000000"/>
          <w:kern w:val="0"/>
          <w:lang w:eastAsia="en-GB"/>
          <w14:ligatures w14:val="none"/>
        </w:rPr>
        <w:t xml:space="preserve"> </w:t>
      </w:r>
      <w:proofErr w:type="spellStart"/>
      <w:r w:rsidRPr="006E4C8B">
        <w:rPr>
          <w:rFonts w:eastAsia="Times New Roman" w:cs="Times New Roman"/>
          <w:color w:val="000000"/>
          <w:kern w:val="0"/>
          <w:lang w:eastAsia="en-GB"/>
          <w14:ligatures w14:val="none"/>
        </w:rPr>
        <w:t>at:</w:t>
      </w:r>
      <w:hyperlink r:id="rId7" w:history="1">
        <w:r w:rsidRPr="006E4C8B">
          <w:rPr>
            <w:rStyle w:val="Hyperlink"/>
            <w:rFonts w:eastAsia="Times New Roman" w:cs="Times New Roman"/>
            <w:kern w:val="0"/>
            <w:lang w:eastAsia="en-GB"/>
            <w14:ligatures w14:val="none"/>
          </w:rPr>
          <w:t>https</w:t>
        </w:r>
        <w:proofErr w:type="spellEnd"/>
        <w:r w:rsidRPr="006E4C8B">
          <w:rPr>
            <w:rStyle w:val="Hyperlink"/>
            <w:rFonts w:eastAsia="Times New Roman" w:cs="Times New Roman"/>
            <w:kern w:val="0"/>
            <w:lang w:eastAsia="en-GB"/>
            <w14:ligatures w14:val="none"/>
          </w:rPr>
          <w:t>://doi.org/10.1007/s40279-014-0149-y.</w:t>
        </w:r>
      </w:hyperlink>
      <w:r w:rsidRPr="006E4C8B">
        <w:rPr>
          <w:rFonts w:eastAsia="Times New Roman" w:cs="Times New Roman"/>
          <w:color w:val="000000"/>
          <w:kern w:val="0"/>
          <w:lang w:eastAsia="en-GB"/>
          <w14:ligatures w14:val="none"/>
        </w:rPr>
        <w:t xml:space="preserve"> [ Accessed: 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09CBCBF1" w14:textId="402BEF66"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Larsen, F.J., Weitzberg, E., Lundberg, J.O. and Ekblom, B. (2007). Effects of dietary nitrate on oxygen cost during exercise. </w:t>
      </w:r>
      <w:r w:rsidRPr="006E4C8B">
        <w:rPr>
          <w:rFonts w:eastAsia="Times New Roman" w:cs="Times New Roman"/>
          <w:i/>
          <w:iCs/>
          <w:color w:val="000000"/>
          <w:kern w:val="0"/>
          <w:lang w:eastAsia="en-GB"/>
          <w14:ligatures w14:val="none"/>
        </w:rPr>
        <w:t>Acta Physiologica</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spellStart"/>
      <w:r w:rsidRPr="006E4C8B">
        <w:rPr>
          <w:rFonts w:eastAsia="Times New Roman" w:cs="Times New Roman"/>
          <w:color w:val="000000"/>
          <w:kern w:val="0"/>
          <w:lang w:eastAsia="en-GB"/>
          <w14:ligatures w14:val="none"/>
        </w:rPr>
        <w:t>at</w:t>
      </w:r>
      <w:r w:rsidRPr="006E4C8B">
        <w:rPr>
          <w:rFonts w:eastAsia="Times New Roman" w:cs="Times New Roman"/>
          <w:color w:val="000000"/>
          <w:kern w:val="0"/>
          <w:lang w:eastAsia="en-GB"/>
          <w14:ligatures w14:val="none"/>
        </w:rPr>
        <w:t>:</w:t>
      </w:r>
      <w:hyperlink r:id="rId8" w:history="1">
        <w:r w:rsidRPr="006E4C8B">
          <w:rPr>
            <w:rStyle w:val="Hyperlink"/>
            <w:rFonts w:eastAsia="Times New Roman" w:cs="Times New Roman"/>
            <w:kern w:val="0"/>
            <w:lang w:eastAsia="en-GB"/>
            <w14:ligatures w14:val="none"/>
          </w:rPr>
          <w:t>https</w:t>
        </w:r>
        <w:proofErr w:type="spellEnd"/>
        <w:r w:rsidRPr="006E4C8B">
          <w:rPr>
            <w:rStyle w:val="Hyperlink"/>
            <w:rFonts w:eastAsia="Times New Roman" w:cs="Times New Roman"/>
            <w:kern w:val="0"/>
            <w:lang w:eastAsia="en-GB"/>
            <w14:ligatures w14:val="none"/>
          </w:rPr>
          <w:t>://doi.org/10.1111/j.1748-1716.2007.01713.x</w:t>
        </w:r>
      </w:hyperlink>
      <w:r w:rsidRPr="006E4C8B">
        <w:rPr>
          <w:rFonts w:eastAsia="Times New Roman" w:cs="Times New Roman"/>
          <w:color w:val="000000"/>
          <w:kern w:val="0"/>
          <w:lang w:eastAsia="en-GB"/>
          <w14:ligatures w14:val="none"/>
        </w:rPr>
        <w:t>.</w:t>
      </w:r>
      <w:r w:rsidRPr="006E4C8B">
        <w:rPr>
          <w:rFonts w:eastAsia="Times New Roman" w:cs="Times New Roman"/>
          <w:color w:val="000000"/>
          <w:kern w:val="0"/>
          <w:lang w:eastAsia="en-GB"/>
          <w14:ligatures w14:val="none"/>
        </w:rPr>
        <w:t xml:space="preserve"> [Accessed:1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6A5B8323" w14:textId="42BB7AC7"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M. Collins, S. and Kearns, D. (2020). </w:t>
      </w:r>
      <w:r w:rsidRPr="006E4C8B">
        <w:rPr>
          <w:rFonts w:eastAsia="Times New Roman" w:cs="Times New Roman"/>
          <w:i/>
          <w:iCs/>
          <w:color w:val="000000"/>
          <w:kern w:val="0"/>
          <w:lang w:eastAsia="en-GB"/>
          <w14:ligatures w14:val="none"/>
        </w:rPr>
        <w:t>The Effect of Beetroot Supplementation on High-Intensity Functional Training Performance</w:t>
      </w:r>
      <w:r w:rsidRPr="006E4C8B">
        <w:rPr>
          <w:rFonts w:eastAsia="Times New Roman" w:cs="Times New Roman"/>
          <w:color w:val="000000"/>
          <w:kern w:val="0"/>
          <w:lang w:eastAsia="en-GB"/>
          <w14:ligatures w14:val="none"/>
        </w:rPr>
        <w:t xml:space="preserve">. [online] Nih.gov. Available at: </w:t>
      </w:r>
      <w:hyperlink r:id="rId9" w:history="1">
        <w:r w:rsidRPr="006E4C8B">
          <w:rPr>
            <w:rStyle w:val="Hyperlink"/>
            <w:rFonts w:eastAsia="Times New Roman" w:cs="Times New Roman"/>
            <w:kern w:val="0"/>
            <w:lang w:eastAsia="en-GB"/>
            <w14:ligatures w14:val="none"/>
          </w:rPr>
          <w:t>https://pmc.ncbi.nlm.nih.gov/articles/PMC7241616/pdf/ijes-13-2-667.pdf</w:t>
        </w:r>
      </w:hyperlink>
      <w:r w:rsidRPr="006E4C8B">
        <w:rPr>
          <w:rFonts w:eastAsia="Times New Roman" w:cs="Times New Roman"/>
          <w:color w:val="000000"/>
          <w:kern w:val="0"/>
          <w:lang w:eastAsia="en-GB"/>
          <w14:ligatures w14:val="none"/>
        </w:rPr>
        <w:t xml:space="preserve"> [Accessed 3 Apr. 2026].</w:t>
      </w:r>
    </w:p>
    <w:p w14:paraId="53C2C475" w14:textId="3F5D1D56" w:rsid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 xml:space="preserve">Maughan, R.J., Burke, L.M., Dvorak, J., Larson-Meyer, D.E., Peeling, P., Phillips, S.M., Rawson, E.S., Walsh, N.P., Garthe, I., Geyer, H., Meeusen, R., van Loon, L., Shirreffs, S.M., Spriet, L.L., Stuart, M., </w:t>
      </w:r>
      <w:proofErr w:type="spellStart"/>
      <w:r w:rsidRPr="006E4C8B">
        <w:rPr>
          <w:rFonts w:eastAsia="Times New Roman" w:cs="Times New Roman"/>
          <w:color w:val="000000"/>
          <w:kern w:val="0"/>
          <w:lang w:eastAsia="en-GB"/>
          <w14:ligatures w14:val="none"/>
        </w:rPr>
        <w:t>Vernec</w:t>
      </w:r>
      <w:proofErr w:type="spellEnd"/>
      <w:r w:rsidRPr="006E4C8B">
        <w:rPr>
          <w:rFonts w:eastAsia="Times New Roman" w:cs="Times New Roman"/>
          <w:color w:val="000000"/>
          <w:kern w:val="0"/>
          <w:lang w:eastAsia="en-GB"/>
          <w14:ligatures w14:val="none"/>
        </w:rPr>
        <w:t>, A., Currell, K., Ali, V.M., Budgett, R.G.M. and Ljungqvist, A. (2018). IOC consensus statement: Dietary supplements and the high-</w:t>
      </w:r>
      <w:r w:rsidRPr="006E4C8B">
        <w:rPr>
          <w:rFonts w:eastAsia="Times New Roman" w:cs="Times New Roman"/>
          <w:color w:val="000000"/>
          <w:kern w:val="0"/>
          <w:lang w:eastAsia="en-GB"/>
          <w14:ligatures w14:val="none"/>
        </w:rPr>
        <w:lastRenderedPageBreak/>
        <w:t>performance athlete. </w:t>
      </w:r>
      <w:r w:rsidRPr="006E4C8B">
        <w:rPr>
          <w:rFonts w:eastAsia="Times New Roman" w:cs="Times New Roman"/>
          <w:i/>
          <w:iCs/>
          <w:color w:val="000000"/>
          <w:kern w:val="0"/>
          <w:lang w:eastAsia="en-GB"/>
          <w14:ligatures w14:val="none"/>
        </w:rPr>
        <w:t>International Journal of Sport Nutrition and Exercise Metabolism</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"https://doi.org/10.1123/ijsnem.2018-0020."</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https://doi.org/10.1123/ijsnem.2018-0020.</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 xml:space="preserve"> [ Accessed 3</w:t>
      </w:r>
      <w:r w:rsidRPr="006E4C8B">
        <w:rPr>
          <w:rFonts w:eastAsia="Times New Roman" w:cs="Times New Roman"/>
          <w:color w:val="000000"/>
          <w:kern w:val="0"/>
          <w:vertAlign w:val="superscript"/>
          <w:lang w:eastAsia="en-GB"/>
          <w14:ligatures w14:val="none"/>
        </w:rPr>
        <w:t>rd</w:t>
      </w:r>
      <w:r w:rsidRPr="006E4C8B">
        <w:rPr>
          <w:rFonts w:eastAsia="Times New Roman" w:cs="Times New Roman"/>
          <w:color w:val="000000"/>
          <w:kern w:val="0"/>
          <w:lang w:eastAsia="en-GB"/>
          <w14:ligatures w14:val="none"/>
        </w:rPr>
        <w:t xml:space="preserve"> April]</w:t>
      </w:r>
    </w:p>
    <w:p w14:paraId="05B7A95D" w14:textId="026F840D" w:rsidR="003D2561" w:rsidRPr="003D2561" w:rsidRDefault="003D2561" w:rsidP="003D2561">
      <w:pPr>
        <w:pStyle w:val="p1"/>
        <w:rPr>
          <w:rFonts w:asciiTheme="minorHAnsi" w:hAnsiTheme="minorHAnsi"/>
          <w:sz w:val="24"/>
          <w:szCs w:val="24"/>
        </w:rPr>
      </w:pPr>
      <w:r w:rsidRPr="003D2561">
        <w:rPr>
          <w:rFonts w:asciiTheme="minorHAnsi" w:hAnsiTheme="minorHAnsi"/>
          <w:sz w:val="24"/>
          <w:szCs w:val="24"/>
        </w:rPr>
        <w:t>McMahon</w:t>
      </w:r>
      <w:r>
        <w:rPr>
          <w:rFonts w:asciiTheme="minorHAnsi" w:hAnsiTheme="minorHAnsi"/>
          <w:sz w:val="24"/>
          <w:szCs w:val="24"/>
        </w:rPr>
        <w:t>,</w:t>
      </w:r>
      <w:r w:rsidRPr="003D2561">
        <w:rPr>
          <w:rFonts w:asciiTheme="minorHAnsi" w:hAnsiTheme="minorHAnsi"/>
          <w:sz w:val="24"/>
          <w:szCs w:val="24"/>
        </w:rPr>
        <w:t xml:space="preserve"> </w:t>
      </w:r>
      <w:proofErr w:type="spellStart"/>
      <w:r w:rsidRPr="003D2561">
        <w:rPr>
          <w:rFonts w:asciiTheme="minorHAnsi" w:hAnsiTheme="minorHAnsi"/>
          <w:sz w:val="24"/>
          <w:szCs w:val="24"/>
        </w:rPr>
        <w:t>Nicholas.F</w:t>
      </w:r>
      <w:proofErr w:type="spellEnd"/>
      <w:r w:rsidRPr="003D2561">
        <w:rPr>
          <w:rFonts w:asciiTheme="minorHAnsi" w:hAnsiTheme="minorHAnsi"/>
          <w:sz w:val="24"/>
          <w:szCs w:val="24"/>
        </w:rPr>
        <w:t xml:space="preserve">, Dietary Nitrate Supplementation and Endurance Exercise Performance Available at: </w:t>
      </w:r>
      <w:hyperlink r:id="rId10" w:history="1">
        <w:r w:rsidRPr="003D2561">
          <w:rPr>
            <w:rStyle w:val="Hyperlink"/>
            <w:rFonts w:asciiTheme="minorHAnsi" w:hAnsiTheme="minorHAnsi"/>
            <w:sz w:val="24"/>
            <w:szCs w:val="24"/>
          </w:rPr>
          <w:t>https://www.researchgate.net/profile/Nicholas-Mcmahon/publication/307895931_The_Effect_of_Dietary_Nitrate_Supplementation_on_Endurance_Exercise_Performance_in_Healthy_Adults_A_Systematic_Review_and_Meta-Analysis/links/581810f508ae90acb242a2f8/The-Effect-of-Dietary-Nitrate-Supplementation-on-Endurance-Exercise-Performance-in-Healthy-Adults-A-Systematic-Review-and-Meta-Analysis.pdf</w:t>
        </w:r>
      </w:hyperlink>
      <w:r w:rsidRPr="003D2561">
        <w:rPr>
          <w:rFonts w:asciiTheme="minorHAnsi" w:hAnsiTheme="minorHAnsi"/>
          <w:sz w:val="24"/>
          <w:szCs w:val="24"/>
        </w:rPr>
        <w:t xml:space="preserve"> [ Accessed: 1</w:t>
      </w:r>
      <w:r w:rsidRPr="003D2561">
        <w:rPr>
          <w:rFonts w:asciiTheme="minorHAnsi" w:hAnsiTheme="minorHAnsi"/>
          <w:sz w:val="24"/>
          <w:szCs w:val="24"/>
          <w:vertAlign w:val="superscript"/>
        </w:rPr>
        <w:t>st</w:t>
      </w:r>
      <w:r w:rsidRPr="003D2561">
        <w:rPr>
          <w:rFonts w:asciiTheme="minorHAnsi" w:hAnsiTheme="minorHAnsi"/>
          <w:sz w:val="24"/>
          <w:szCs w:val="24"/>
        </w:rPr>
        <w:t xml:space="preserve"> April]</w:t>
      </w:r>
    </w:p>
    <w:p w14:paraId="6A6D3476" w14:textId="77777777" w:rsidR="003D2561" w:rsidRPr="006E4C8B" w:rsidRDefault="003D2561" w:rsidP="006E4C8B">
      <w:pPr>
        <w:spacing w:after="240" w:line="360" w:lineRule="atLeast"/>
        <w:rPr>
          <w:rFonts w:eastAsia="Times New Roman" w:cs="Times New Roman"/>
          <w:color w:val="000000"/>
          <w:kern w:val="0"/>
          <w:lang w:eastAsia="en-GB"/>
          <w14:ligatures w14:val="none"/>
        </w:rPr>
      </w:pPr>
    </w:p>
    <w:p w14:paraId="71F7A82C" w14:textId="3060EE9B"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 xml:space="preserve">Porcelli, S., Ramaglia, M., Bellistri, G., </w:t>
      </w:r>
      <w:proofErr w:type="spellStart"/>
      <w:r w:rsidRPr="006E4C8B">
        <w:rPr>
          <w:rFonts w:eastAsia="Times New Roman" w:cs="Times New Roman"/>
          <w:color w:val="000000"/>
          <w:kern w:val="0"/>
          <w:lang w:eastAsia="en-GB"/>
          <w14:ligatures w14:val="none"/>
        </w:rPr>
        <w:t>Pavei</w:t>
      </w:r>
      <w:proofErr w:type="spellEnd"/>
      <w:r w:rsidRPr="006E4C8B">
        <w:rPr>
          <w:rFonts w:eastAsia="Times New Roman" w:cs="Times New Roman"/>
          <w:color w:val="000000"/>
          <w:kern w:val="0"/>
          <w:lang w:eastAsia="en-GB"/>
          <w14:ligatures w14:val="none"/>
        </w:rPr>
        <w:t xml:space="preserve">, G., Pugliese, L., </w:t>
      </w:r>
      <w:proofErr w:type="spellStart"/>
      <w:r w:rsidRPr="006E4C8B">
        <w:rPr>
          <w:rFonts w:eastAsia="Times New Roman" w:cs="Times New Roman"/>
          <w:color w:val="000000"/>
          <w:kern w:val="0"/>
          <w:lang w:eastAsia="en-GB"/>
          <w14:ligatures w14:val="none"/>
        </w:rPr>
        <w:t>Montorsi</w:t>
      </w:r>
      <w:proofErr w:type="spellEnd"/>
      <w:r w:rsidRPr="006E4C8B">
        <w:rPr>
          <w:rFonts w:eastAsia="Times New Roman" w:cs="Times New Roman"/>
          <w:color w:val="000000"/>
          <w:kern w:val="0"/>
          <w:lang w:eastAsia="en-GB"/>
          <w14:ligatures w14:val="none"/>
        </w:rPr>
        <w:t>, M., Rasica, L. and Marzorati, M. (2015). Aerobic Fitness Affects the Exercise Performance Responses to Nitrate Supplementation. </w:t>
      </w:r>
      <w:r w:rsidRPr="006E4C8B">
        <w:rPr>
          <w:rFonts w:eastAsia="Times New Roman" w:cs="Times New Roman"/>
          <w:i/>
          <w:iCs/>
          <w:color w:val="000000"/>
          <w:kern w:val="0"/>
          <w:lang w:eastAsia="en-GB"/>
          <w14:ligatures w14:val="none"/>
        </w:rPr>
        <w:t>Medicine &amp; Science in Sports &amp; Exercise</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Available at:</w:t>
      </w:r>
      <w:r w:rsidRPr="006E4C8B">
        <w:t xml:space="preserve"> </w:t>
      </w:r>
      <w:hyperlink r:id="rId11" w:history="1">
        <w:r w:rsidRPr="0013671C">
          <w:rPr>
            <w:rStyle w:val="Hyperlink"/>
            <w:rFonts w:eastAsia="Times New Roman" w:cs="Times New Roman"/>
            <w:kern w:val="0"/>
            <w:lang w:eastAsia="en-GB"/>
            <w14:ligatures w14:val="none"/>
          </w:rPr>
          <w:t>https://journals.lww.com/acsm-msse/fulltext/2015/08000/aerobic_fitness_affects_the_exercise_performance.11.aspx</w:t>
        </w:r>
      </w:hyperlink>
      <w:r w:rsidRPr="006E4C8B">
        <w:rPr>
          <w:rFonts w:eastAsia="Times New Roman" w:cs="Times New Roman"/>
          <w:color w:val="000000"/>
          <w:kern w:val="0"/>
          <w:lang w:eastAsia="en-GB"/>
          <w14:ligatures w14:val="none"/>
        </w:rPr>
        <w:t xml:space="preserve"> [Accessed: 1</w:t>
      </w:r>
      <w:r w:rsidRPr="006E4C8B">
        <w:rPr>
          <w:rFonts w:eastAsia="Times New Roman" w:cs="Times New Roman"/>
          <w:color w:val="000000"/>
          <w:kern w:val="0"/>
          <w:vertAlign w:val="superscript"/>
          <w:lang w:eastAsia="en-GB"/>
          <w14:ligatures w14:val="none"/>
        </w:rPr>
        <w:t>st</w:t>
      </w:r>
      <w:r w:rsidRPr="006E4C8B">
        <w:rPr>
          <w:rFonts w:eastAsia="Times New Roman" w:cs="Times New Roman"/>
          <w:color w:val="000000"/>
          <w:kern w:val="0"/>
          <w:lang w:eastAsia="en-GB"/>
          <w14:ligatures w14:val="none"/>
        </w:rPr>
        <w:t xml:space="preserve"> April]</w:t>
      </w:r>
    </w:p>
    <w:p w14:paraId="55C81126" w14:textId="4E99E63A"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World Anti-doping agency (2025). </w:t>
      </w:r>
      <w:r w:rsidRPr="006E4C8B">
        <w:rPr>
          <w:rFonts w:eastAsia="Times New Roman" w:cs="Times New Roman"/>
          <w:i/>
          <w:iCs/>
          <w:color w:val="000000"/>
          <w:kern w:val="0"/>
          <w:lang w:eastAsia="en-GB"/>
          <w14:ligatures w14:val="none"/>
        </w:rPr>
        <w:t xml:space="preserve">View of Key Updates in the WADA 2025 Prohibited List: Implications for Competitive </w:t>
      </w:r>
      <w:proofErr w:type="spellStart"/>
      <w:r w:rsidRPr="006E4C8B">
        <w:rPr>
          <w:rFonts w:eastAsia="Times New Roman" w:cs="Times New Roman"/>
          <w:i/>
          <w:iCs/>
          <w:color w:val="000000"/>
          <w:kern w:val="0"/>
          <w:lang w:eastAsia="en-GB"/>
          <w14:ligatures w14:val="none"/>
        </w:rPr>
        <w:t>Sports</w:t>
      </w:r>
      <w:r w:rsidRPr="006E4C8B">
        <w:rPr>
          <w:rFonts w:eastAsia="Times New Roman" w:cs="Times New Roman"/>
          <w:color w:val="000000"/>
          <w:kern w:val="0"/>
          <w:lang w:eastAsia="en-GB"/>
          <w14:ligatures w14:val="none"/>
        </w:rPr>
        <w:t>Available</w:t>
      </w:r>
      <w:proofErr w:type="spellEnd"/>
      <w:r w:rsidRPr="006E4C8B">
        <w:rPr>
          <w:rFonts w:eastAsia="Times New Roman" w:cs="Times New Roman"/>
          <w:color w:val="000000"/>
          <w:kern w:val="0"/>
          <w:lang w:eastAsia="en-GB"/>
          <w14:ligatures w14:val="none"/>
        </w:rPr>
        <w:t xml:space="preserve"> at: </w:t>
      </w:r>
      <w:hyperlink r:id="rId12" w:history="1">
        <w:r w:rsidRPr="006E4C8B">
          <w:rPr>
            <w:rStyle w:val="Hyperlink"/>
            <w:rFonts w:eastAsia="Times New Roman" w:cs="Times New Roman"/>
            <w:kern w:val="0"/>
            <w:lang w:eastAsia="en-GB"/>
            <w14:ligatures w14:val="none"/>
          </w:rPr>
          <w:t>https://apcz.umk.pl/QS/article/view/61192/43020</w:t>
        </w:r>
      </w:hyperlink>
      <w:r w:rsidRPr="006E4C8B">
        <w:rPr>
          <w:rFonts w:eastAsia="Times New Roman" w:cs="Times New Roman"/>
          <w:color w:val="000000"/>
          <w:kern w:val="0"/>
          <w:lang w:eastAsia="en-GB"/>
          <w14:ligatures w14:val="none"/>
        </w:rPr>
        <w:t xml:space="preserve"> [Accessed 3 Apr. 2026]</w:t>
      </w:r>
    </w:p>
    <w:p w14:paraId="045701F3" w14:textId="14E2CF6F"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Wylie, L.J., Bailey, S.J., Kelly, J., Blackwell, J.R., Vanhatalo, A. and Jones, A.M. (2016). Influence of Beetroot Juice Supplementation on Intermittent Exercise Performance. </w:t>
      </w:r>
      <w:r w:rsidRPr="006E4C8B">
        <w:rPr>
          <w:rFonts w:eastAsia="Times New Roman" w:cs="Times New Roman"/>
          <w:i/>
          <w:iCs/>
          <w:color w:val="000000"/>
          <w:kern w:val="0"/>
          <w:lang w:eastAsia="en-GB"/>
          <w14:ligatures w14:val="none"/>
        </w:rPr>
        <w:t>European Journal of Applied Physiology</w:t>
      </w:r>
      <w:r w:rsidRPr="006E4C8B">
        <w:rPr>
          <w:rFonts w:eastAsia="Times New Roman" w:cs="Times New Roman"/>
          <w:color w:val="000000"/>
          <w:kern w:val="0"/>
          <w:lang w:eastAsia="en-GB"/>
          <w14:ligatures w14:val="none"/>
        </w:rPr>
        <w:t>,</w:t>
      </w:r>
      <w:r w:rsidRPr="006E4C8B">
        <w:rPr>
          <w:rFonts w:eastAsia="Times New Roman" w:cs="Times New Roman"/>
          <w:color w:val="000000"/>
          <w:kern w:val="0"/>
          <w:lang w:eastAsia="en-GB"/>
          <w14:ligatures w14:val="none"/>
        </w:rPr>
        <w:t xml:space="preserve"> 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r w:rsidR="0013671C">
        <w:rPr>
          <w:rFonts w:eastAsia="Times New Roman" w:cs="Times New Roman"/>
          <w:color w:val="000000"/>
          <w:kern w:val="0"/>
          <w:lang w:eastAsia="en-GB"/>
          <w14:ligatures w14:val="none"/>
        </w:rPr>
        <w:fldChar w:fldCharType="begin"/>
      </w:r>
      <w:r w:rsidR="0013671C">
        <w:rPr>
          <w:rFonts w:eastAsia="Times New Roman" w:cs="Times New Roman"/>
          <w:color w:val="000000"/>
          <w:kern w:val="0"/>
          <w:lang w:eastAsia="en-GB"/>
          <w14:ligatures w14:val="none"/>
        </w:rPr>
        <w:instrText>HYPERLINK "https://doi.org/10.1007/s00421-015-3296-4."</w:instrText>
      </w:r>
      <w:r w:rsidR="0013671C">
        <w:rPr>
          <w:rFonts w:eastAsia="Times New Roman" w:cs="Times New Roman"/>
          <w:color w:val="000000"/>
          <w:kern w:val="0"/>
          <w:lang w:eastAsia="en-GB"/>
          <w14:ligatures w14:val="none"/>
        </w:rPr>
      </w:r>
      <w:r w:rsidR="0013671C">
        <w:rPr>
          <w:rFonts w:eastAsia="Times New Roman" w:cs="Times New Roman"/>
          <w:color w:val="000000"/>
          <w:kern w:val="0"/>
          <w:lang w:eastAsia="en-GB"/>
          <w14:ligatures w14:val="none"/>
        </w:rPr>
        <w:fldChar w:fldCharType="separate"/>
      </w:r>
      <w:r w:rsidRPr="006E4C8B">
        <w:rPr>
          <w:rStyle w:val="Hyperlink"/>
          <w:rFonts w:eastAsia="Times New Roman" w:cs="Times New Roman"/>
          <w:kern w:val="0"/>
          <w:lang w:eastAsia="en-GB"/>
          <w14:ligatures w14:val="none"/>
        </w:rPr>
        <w:t>https://doi.org/10.1007/s00421-015-3296-4.</w:t>
      </w:r>
      <w:r w:rsidR="0013671C">
        <w:rPr>
          <w:rFonts w:eastAsia="Times New Roman" w:cs="Times New Roman"/>
          <w:color w:val="000000"/>
          <w:kern w:val="0"/>
          <w:lang w:eastAsia="en-GB"/>
          <w14:ligatures w14:val="none"/>
        </w:rPr>
        <w:fldChar w:fldCharType="end"/>
      </w:r>
      <w:r w:rsidRPr="006E4C8B">
        <w:rPr>
          <w:rFonts w:eastAsia="Times New Roman" w:cs="Times New Roman"/>
          <w:color w:val="000000"/>
          <w:kern w:val="0"/>
          <w:lang w:eastAsia="en-GB"/>
          <w14:ligatures w14:val="none"/>
        </w:rPr>
        <w:t xml:space="preserve"> [Accessed:3</w:t>
      </w:r>
      <w:r w:rsidRPr="006E4C8B">
        <w:rPr>
          <w:rFonts w:eastAsia="Times New Roman" w:cs="Times New Roman"/>
          <w:color w:val="000000"/>
          <w:kern w:val="0"/>
          <w:vertAlign w:val="superscript"/>
          <w:lang w:eastAsia="en-GB"/>
          <w14:ligatures w14:val="none"/>
        </w:rPr>
        <w:t>rd</w:t>
      </w:r>
      <w:r w:rsidRPr="006E4C8B">
        <w:rPr>
          <w:rFonts w:eastAsia="Times New Roman" w:cs="Times New Roman"/>
          <w:color w:val="000000"/>
          <w:kern w:val="0"/>
          <w:lang w:eastAsia="en-GB"/>
          <w14:ligatures w14:val="none"/>
        </w:rPr>
        <w:t xml:space="preserve"> April]</w:t>
      </w:r>
    </w:p>
    <w:p w14:paraId="18F27B94" w14:textId="224D8733" w:rsidR="006E4C8B" w:rsidRPr="006E4C8B" w:rsidRDefault="006E4C8B" w:rsidP="006E4C8B">
      <w:pPr>
        <w:spacing w:after="240" w:line="360" w:lineRule="atLeast"/>
        <w:rPr>
          <w:rFonts w:eastAsia="Times New Roman" w:cs="Times New Roman"/>
          <w:color w:val="000000"/>
          <w:kern w:val="0"/>
          <w:lang w:eastAsia="en-GB"/>
          <w14:ligatures w14:val="none"/>
        </w:rPr>
      </w:pPr>
      <w:r w:rsidRPr="006E4C8B">
        <w:rPr>
          <w:rFonts w:eastAsia="Times New Roman" w:cs="Times New Roman"/>
          <w:color w:val="000000"/>
          <w:kern w:val="0"/>
          <w:lang w:eastAsia="en-GB"/>
          <w14:ligatures w14:val="none"/>
        </w:rPr>
        <w:t xml:space="preserve">Wylie, L.J., Kelly, J., Bailey, S.J., Blackwell, J.R., Skiba, P.F., </w:t>
      </w:r>
      <w:proofErr w:type="spellStart"/>
      <w:r w:rsidRPr="006E4C8B">
        <w:rPr>
          <w:rFonts w:eastAsia="Times New Roman" w:cs="Times New Roman"/>
          <w:color w:val="000000"/>
          <w:kern w:val="0"/>
          <w:lang w:eastAsia="en-GB"/>
          <w14:ligatures w14:val="none"/>
        </w:rPr>
        <w:t>Winyard</w:t>
      </w:r>
      <w:proofErr w:type="spellEnd"/>
      <w:r w:rsidRPr="006E4C8B">
        <w:rPr>
          <w:rFonts w:eastAsia="Times New Roman" w:cs="Times New Roman"/>
          <w:color w:val="000000"/>
          <w:kern w:val="0"/>
          <w:lang w:eastAsia="en-GB"/>
          <w14:ligatures w14:val="none"/>
        </w:rPr>
        <w:t xml:space="preserve">, P.G., </w:t>
      </w:r>
      <w:proofErr w:type="spellStart"/>
      <w:r w:rsidRPr="006E4C8B">
        <w:rPr>
          <w:rFonts w:eastAsia="Times New Roman" w:cs="Times New Roman"/>
          <w:color w:val="000000"/>
          <w:kern w:val="0"/>
          <w:lang w:eastAsia="en-GB"/>
          <w14:ligatures w14:val="none"/>
        </w:rPr>
        <w:t>Jeukendrup</w:t>
      </w:r>
      <w:proofErr w:type="spellEnd"/>
      <w:r w:rsidRPr="006E4C8B">
        <w:rPr>
          <w:rFonts w:eastAsia="Times New Roman" w:cs="Times New Roman"/>
          <w:color w:val="000000"/>
          <w:kern w:val="0"/>
          <w:lang w:eastAsia="en-GB"/>
          <w14:ligatures w14:val="none"/>
        </w:rPr>
        <w:t>, A.E., Vanhatalo, A. and Jones, A.M. (2013). Beetroot juice and exercise: pharmacodynamic and dose-response relationships. </w:t>
      </w:r>
      <w:r w:rsidRPr="006E4C8B">
        <w:rPr>
          <w:rFonts w:eastAsia="Times New Roman" w:cs="Times New Roman"/>
          <w:i/>
          <w:iCs/>
          <w:color w:val="000000"/>
          <w:kern w:val="0"/>
          <w:lang w:eastAsia="en-GB"/>
          <w14:ligatures w14:val="none"/>
        </w:rPr>
        <w:t>Journal of Applied Physiology</w:t>
      </w:r>
      <w:r w:rsidRPr="006E4C8B">
        <w:rPr>
          <w:rFonts w:eastAsia="Times New Roman" w:cs="Times New Roman"/>
          <w:color w:val="000000"/>
          <w:kern w:val="0"/>
          <w:lang w:eastAsia="en-GB"/>
          <w14:ligatures w14:val="none"/>
        </w:rPr>
        <w:t xml:space="preserve">, </w:t>
      </w:r>
      <w:r w:rsidRPr="006E4C8B">
        <w:rPr>
          <w:rFonts w:eastAsia="Times New Roman" w:cs="Times New Roman"/>
          <w:color w:val="000000"/>
          <w:kern w:val="0"/>
          <w:lang w:eastAsia="en-GB"/>
          <w14:ligatures w14:val="none"/>
        </w:rPr>
        <w:t xml:space="preserve">Available </w:t>
      </w:r>
      <w:proofErr w:type="gramStart"/>
      <w:r w:rsidRPr="006E4C8B">
        <w:rPr>
          <w:rFonts w:eastAsia="Times New Roman" w:cs="Times New Roman"/>
          <w:color w:val="000000"/>
          <w:kern w:val="0"/>
          <w:lang w:eastAsia="en-GB"/>
          <w14:ligatures w14:val="none"/>
        </w:rPr>
        <w:t xml:space="preserve">at </w:t>
      </w:r>
      <w:r w:rsidRPr="006E4C8B">
        <w:rPr>
          <w:rFonts w:eastAsia="Times New Roman" w:cs="Times New Roman"/>
          <w:color w:val="000000"/>
          <w:kern w:val="0"/>
          <w:lang w:eastAsia="en-GB"/>
          <w14:ligatures w14:val="none"/>
        </w:rPr>
        <w:t>:</w:t>
      </w:r>
      <w:proofErr w:type="gramEnd"/>
      <w:hyperlink r:id="rId13" w:history="1">
        <w:r w:rsidRPr="006E4C8B">
          <w:rPr>
            <w:rStyle w:val="Hyperlink"/>
            <w:rFonts w:eastAsia="Times New Roman" w:cs="Times New Roman"/>
            <w:kern w:val="0"/>
            <w:lang w:eastAsia="en-GB"/>
            <w14:ligatures w14:val="none"/>
          </w:rPr>
          <w:t>https://doi.org/10.1152/japplphysiol.00372.2013.</w:t>
        </w:r>
      </w:hyperlink>
      <w:r w:rsidRPr="006E4C8B">
        <w:rPr>
          <w:rFonts w:eastAsia="Times New Roman" w:cs="Times New Roman"/>
          <w:color w:val="000000"/>
          <w:kern w:val="0"/>
          <w:lang w:eastAsia="en-GB"/>
          <w14:ligatures w14:val="none"/>
        </w:rPr>
        <w:t xml:space="preserve"> [Accessed 3</w:t>
      </w:r>
      <w:r w:rsidRPr="006E4C8B">
        <w:rPr>
          <w:rFonts w:eastAsia="Times New Roman" w:cs="Times New Roman"/>
          <w:color w:val="000000"/>
          <w:kern w:val="0"/>
          <w:vertAlign w:val="superscript"/>
          <w:lang w:eastAsia="en-GB"/>
          <w14:ligatures w14:val="none"/>
        </w:rPr>
        <w:t>rd</w:t>
      </w:r>
      <w:r w:rsidRPr="006E4C8B">
        <w:rPr>
          <w:rFonts w:eastAsia="Times New Roman" w:cs="Times New Roman"/>
          <w:color w:val="000000"/>
          <w:kern w:val="0"/>
          <w:lang w:eastAsia="en-GB"/>
          <w14:ligatures w14:val="none"/>
        </w:rPr>
        <w:t xml:space="preserve"> April]</w:t>
      </w:r>
    </w:p>
    <w:p w14:paraId="5E133604" w14:textId="7F1DF551" w:rsidR="003A3151" w:rsidRPr="0023120D" w:rsidRDefault="003A3151" w:rsidP="00DA4042"/>
    <w:sectPr w:rsidR="003A3151" w:rsidRPr="00231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513"/>
    <w:rsid w:val="0002105A"/>
    <w:rsid w:val="00071E6E"/>
    <w:rsid w:val="000720CC"/>
    <w:rsid w:val="0013671C"/>
    <w:rsid w:val="0023120D"/>
    <w:rsid w:val="002433D6"/>
    <w:rsid w:val="00391104"/>
    <w:rsid w:val="003A3151"/>
    <w:rsid w:val="003D2561"/>
    <w:rsid w:val="006E4C8B"/>
    <w:rsid w:val="006F61FE"/>
    <w:rsid w:val="00711141"/>
    <w:rsid w:val="00894FF6"/>
    <w:rsid w:val="00912DE5"/>
    <w:rsid w:val="00975513"/>
    <w:rsid w:val="00A93D8E"/>
    <w:rsid w:val="00DA4042"/>
    <w:rsid w:val="00F43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77F66"/>
  <w15:chartTrackingRefBased/>
  <w15:docId w15:val="{0566A74D-5F24-A848-95F0-E1FAC9FF2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513"/>
  </w:style>
  <w:style w:type="paragraph" w:styleId="Heading1">
    <w:name w:val="heading 1"/>
    <w:basedOn w:val="Normal"/>
    <w:next w:val="Normal"/>
    <w:link w:val="Heading1Char"/>
    <w:uiPriority w:val="9"/>
    <w:qFormat/>
    <w:rsid w:val="009755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5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5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5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5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5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5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5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5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513"/>
    <w:rPr>
      <w:rFonts w:eastAsiaTheme="majorEastAsia" w:cstheme="majorBidi"/>
      <w:color w:val="272727" w:themeColor="text1" w:themeTint="D8"/>
    </w:rPr>
  </w:style>
  <w:style w:type="paragraph" w:styleId="Title">
    <w:name w:val="Title"/>
    <w:basedOn w:val="Normal"/>
    <w:next w:val="Normal"/>
    <w:link w:val="TitleChar"/>
    <w:uiPriority w:val="10"/>
    <w:qFormat/>
    <w:rsid w:val="009755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5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513"/>
    <w:pPr>
      <w:spacing w:before="160"/>
      <w:jc w:val="center"/>
    </w:pPr>
    <w:rPr>
      <w:i/>
      <w:iCs/>
      <w:color w:val="404040" w:themeColor="text1" w:themeTint="BF"/>
    </w:rPr>
  </w:style>
  <w:style w:type="character" w:customStyle="1" w:styleId="QuoteChar">
    <w:name w:val="Quote Char"/>
    <w:basedOn w:val="DefaultParagraphFont"/>
    <w:link w:val="Quote"/>
    <w:uiPriority w:val="29"/>
    <w:rsid w:val="00975513"/>
    <w:rPr>
      <w:i/>
      <w:iCs/>
      <w:color w:val="404040" w:themeColor="text1" w:themeTint="BF"/>
    </w:rPr>
  </w:style>
  <w:style w:type="paragraph" w:styleId="ListParagraph">
    <w:name w:val="List Paragraph"/>
    <w:basedOn w:val="Normal"/>
    <w:uiPriority w:val="34"/>
    <w:qFormat/>
    <w:rsid w:val="00975513"/>
    <w:pPr>
      <w:ind w:left="720"/>
      <w:contextualSpacing/>
    </w:pPr>
  </w:style>
  <w:style w:type="character" w:styleId="IntenseEmphasis">
    <w:name w:val="Intense Emphasis"/>
    <w:basedOn w:val="DefaultParagraphFont"/>
    <w:uiPriority w:val="21"/>
    <w:qFormat/>
    <w:rsid w:val="00975513"/>
    <w:rPr>
      <w:i/>
      <w:iCs/>
      <w:color w:val="0F4761" w:themeColor="accent1" w:themeShade="BF"/>
    </w:rPr>
  </w:style>
  <w:style w:type="paragraph" w:styleId="IntenseQuote">
    <w:name w:val="Intense Quote"/>
    <w:basedOn w:val="Normal"/>
    <w:next w:val="Normal"/>
    <w:link w:val="IntenseQuoteChar"/>
    <w:uiPriority w:val="30"/>
    <w:qFormat/>
    <w:rsid w:val="00975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513"/>
    <w:rPr>
      <w:i/>
      <w:iCs/>
      <w:color w:val="0F4761" w:themeColor="accent1" w:themeShade="BF"/>
    </w:rPr>
  </w:style>
  <w:style w:type="character" w:styleId="IntenseReference">
    <w:name w:val="Intense Reference"/>
    <w:basedOn w:val="DefaultParagraphFont"/>
    <w:uiPriority w:val="32"/>
    <w:qFormat/>
    <w:rsid w:val="00975513"/>
    <w:rPr>
      <w:b/>
      <w:bCs/>
      <w:smallCaps/>
      <w:color w:val="0F4761" w:themeColor="accent1" w:themeShade="BF"/>
      <w:spacing w:val="5"/>
    </w:rPr>
  </w:style>
  <w:style w:type="paragraph" w:customStyle="1" w:styleId="muitypography-root">
    <w:name w:val="muitypography-root"/>
    <w:basedOn w:val="Normal"/>
    <w:rsid w:val="002312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A3151"/>
  </w:style>
  <w:style w:type="character" w:styleId="Emphasis">
    <w:name w:val="Emphasis"/>
    <w:basedOn w:val="DefaultParagraphFont"/>
    <w:uiPriority w:val="20"/>
    <w:qFormat/>
    <w:rsid w:val="003A3151"/>
    <w:rPr>
      <w:i/>
      <w:iCs/>
    </w:rPr>
  </w:style>
  <w:style w:type="paragraph" w:customStyle="1" w:styleId="p1">
    <w:name w:val="p1"/>
    <w:basedOn w:val="Normal"/>
    <w:rsid w:val="006E4C8B"/>
    <w:pPr>
      <w:spacing w:after="0" w:line="240" w:lineRule="auto"/>
    </w:pPr>
    <w:rPr>
      <w:rFonts w:ascii="Book Antiqua" w:eastAsia="Times New Roman" w:hAnsi="Book Antiqua" w:cs="Times New Roman"/>
      <w:color w:val="000000"/>
      <w:kern w:val="0"/>
      <w:sz w:val="21"/>
      <w:szCs w:val="21"/>
      <w:lang w:eastAsia="en-GB"/>
      <w14:ligatures w14:val="none"/>
    </w:rPr>
  </w:style>
  <w:style w:type="paragraph" w:styleId="NormalWeb">
    <w:name w:val="Normal (Web)"/>
    <w:basedOn w:val="Normal"/>
    <w:uiPriority w:val="99"/>
    <w:semiHidden/>
    <w:unhideWhenUsed/>
    <w:rsid w:val="006E4C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3671C"/>
    <w:rPr>
      <w:color w:val="467886" w:themeColor="hyperlink"/>
      <w:u w:val="single"/>
    </w:rPr>
  </w:style>
  <w:style w:type="character" w:styleId="UnresolvedMention">
    <w:name w:val="Unresolved Mention"/>
    <w:basedOn w:val="DefaultParagraphFont"/>
    <w:uiPriority w:val="99"/>
    <w:semiHidden/>
    <w:unhideWhenUsed/>
    <w:rsid w:val="001367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8-1716.2007.01713.x" TargetMode="External"/><Relationship Id="rId13" Type="http://schemas.openxmlformats.org/officeDocument/2006/relationships/hyperlink" Target="https://doi.org/10.1152/japplphysiol.00372.2013." TargetMode="External"/><Relationship Id="rId3" Type="http://schemas.openxmlformats.org/officeDocument/2006/relationships/settings" Target="settings.xml"/><Relationship Id="rId7" Type="http://schemas.openxmlformats.org/officeDocument/2006/relationships/hyperlink" Target="https://doi.org/10.1007/s40279-014-0149-y." TargetMode="External"/><Relationship Id="rId12" Type="http://schemas.openxmlformats.org/officeDocument/2006/relationships/hyperlink" Target="https://apcz.umk.pl/QS/article/view/61192/430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tiff"/><Relationship Id="rId11" Type="http://schemas.openxmlformats.org/officeDocument/2006/relationships/hyperlink" Target="https://journals.lww.com/acsm-msse/fulltext/2015/08000/aerobic_fitness_affects_the_exercise_performance.11.aspx"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researchgate.net/profile/Nicholas-Mcmahon/publication/307895931_The_Effect_of_Dietary_Nitrate_Supplementation_on_Endurance_Exercise_Performance_in_Healthy_Adults_A_Systematic_Review_and_Meta-Analysis/links/581810f508ae90acb242a2f8/The-Effect-of-Dietary-Nitrate-Supplementation-on-Endurance-Exercise-Performance-in-Healthy-Adults-A-Systematic-Review-and-Meta-Analysis.pdf" TargetMode="External"/><Relationship Id="rId4" Type="http://schemas.openxmlformats.org/officeDocument/2006/relationships/webSettings" Target="webSettings.xml"/><Relationship Id="rId9" Type="http://schemas.openxmlformats.org/officeDocument/2006/relationships/hyperlink" Target="https://pmc.ncbi.nlm.nih.gov/articles/PMC7241616/pdf/ijes-13-2-667.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BE614-E4D0-F746-A124-C89A6066F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9952</TotalTime>
  <Pages>10</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3</cp:revision>
  <dcterms:created xsi:type="dcterms:W3CDTF">2026-04-02T07:06:00Z</dcterms:created>
  <dcterms:modified xsi:type="dcterms:W3CDTF">2026-04-10T20:09:00Z</dcterms:modified>
</cp:coreProperties>
</file>