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91388" w14:textId="0A2C6DE5" w:rsidR="00201404" w:rsidRPr="00FE1496" w:rsidRDefault="00201404" w:rsidP="00FE1496">
      <w:pPr>
        <w:spacing w:line="276" w:lineRule="auto"/>
        <w:rPr>
          <w:rFonts w:ascii="Arial" w:hAnsi="Arial" w:cs="Arial"/>
          <w:b/>
          <w:bCs/>
          <w:sz w:val="20"/>
          <w:szCs w:val="20"/>
          <w:u w:val="single"/>
        </w:rPr>
      </w:pPr>
      <w:r w:rsidRPr="00FE1496">
        <w:rPr>
          <w:rFonts w:ascii="Arial" w:hAnsi="Arial" w:cs="Arial"/>
          <w:b/>
          <w:bCs/>
          <w:sz w:val="20"/>
          <w:szCs w:val="20"/>
          <w:u w:val="single"/>
        </w:rPr>
        <w:t>Part 1: Critically review one theory that underpins our understanding of cognitive decline in old age.</w:t>
      </w:r>
    </w:p>
    <w:p w14:paraId="67026E1E" w14:textId="77777777" w:rsidR="000E5FBD" w:rsidRDefault="00441E3B" w:rsidP="00FE1496">
      <w:pPr>
        <w:spacing w:line="276" w:lineRule="auto"/>
        <w:rPr>
          <w:rFonts w:ascii="Arial" w:hAnsi="Arial" w:cs="Arial"/>
          <w:sz w:val="20"/>
          <w:szCs w:val="20"/>
        </w:rPr>
      </w:pPr>
      <w:r w:rsidRPr="00FE1496">
        <w:rPr>
          <w:rFonts w:ascii="Arial" w:hAnsi="Arial" w:cs="Arial"/>
          <w:sz w:val="20"/>
          <w:szCs w:val="20"/>
        </w:rPr>
        <w:t>Chronological ageing is associated with an increased risk of cognitive decline</w:t>
      </w:r>
      <w:r w:rsidR="00DC51C3" w:rsidRPr="00FE1496">
        <w:rPr>
          <w:rFonts w:ascii="Arial" w:hAnsi="Arial" w:cs="Arial"/>
          <w:sz w:val="20"/>
          <w:szCs w:val="20"/>
        </w:rPr>
        <w:t xml:space="preserve">, a consequence of the normal ageing process, </w:t>
      </w:r>
      <w:r w:rsidR="001F5105" w:rsidRPr="00FE1496">
        <w:rPr>
          <w:rFonts w:ascii="Arial" w:hAnsi="Arial" w:cs="Arial"/>
          <w:sz w:val="20"/>
          <w:szCs w:val="20"/>
        </w:rPr>
        <w:t>occurring</w:t>
      </w:r>
      <w:r w:rsidR="00DC51C3" w:rsidRPr="00FE1496">
        <w:rPr>
          <w:rFonts w:ascii="Arial" w:hAnsi="Arial" w:cs="Arial"/>
          <w:sz w:val="20"/>
          <w:szCs w:val="20"/>
        </w:rPr>
        <w:t xml:space="preserve"> even without </w:t>
      </w:r>
      <w:r w:rsidRPr="00FE1496">
        <w:rPr>
          <w:rFonts w:ascii="Arial" w:hAnsi="Arial" w:cs="Arial"/>
          <w:sz w:val="20"/>
          <w:szCs w:val="20"/>
        </w:rPr>
        <w:t xml:space="preserve">overt neurodegenerative </w:t>
      </w:r>
      <w:r w:rsidR="00DC51C3" w:rsidRPr="00FE1496">
        <w:rPr>
          <w:rFonts w:ascii="Arial" w:hAnsi="Arial" w:cs="Arial"/>
          <w:sz w:val="20"/>
          <w:szCs w:val="20"/>
        </w:rPr>
        <w:t>diseases</w:t>
      </w:r>
      <w:r w:rsidRPr="00FE1496">
        <w:rPr>
          <w:rFonts w:ascii="Arial" w:hAnsi="Arial" w:cs="Arial"/>
          <w:sz w:val="20"/>
          <w:szCs w:val="20"/>
        </w:rPr>
        <w:t xml:space="preserve"> such as </w:t>
      </w:r>
      <w:r w:rsidR="0066381E" w:rsidRPr="00FE1496">
        <w:rPr>
          <w:rFonts w:ascii="Arial" w:hAnsi="Arial" w:cs="Arial"/>
          <w:sz w:val="20"/>
          <w:szCs w:val="20"/>
        </w:rPr>
        <w:t>Alzheimer’s</w:t>
      </w:r>
      <w:r w:rsidRPr="00FE1496">
        <w:rPr>
          <w:rFonts w:ascii="Arial" w:hAnsi="Arial" w:cs="Arial"/>
          <w:sz w:val="20"/>
          <w:szCs w:val="20"/>
        </w:rPr>
        <w:t xml:space="preserve"> or </w:t>
      </w:r>
      <w:r w:rsidR="00DC51C3" w:rsidRPr="00FE1496">
        <w:rPr>
          <w:rFonts w:ascii="Arial" w:hAnsi="Arial" w:cs="Arial"/>
          <w:sz w:val="20"/>
          <w:szCs w:val="20"/>
        </w:rPr>
        <w:t>Parkinson</w:t>
      </w:r>
      <w:r w:rsidR="000E575A" w:rsidRPr="00FE1496">
        <w:rPr>
          <w:rFonts w:ascii="Arial" w:hAnsi="Arial" w:cs="Arial"/>
          <w:sz w:val="20"/>
          <w:szCs w:val="20"/>
        </w:rPr>
        <w:t>’s</w:t>
      </w:r>
      <w:r w:rsidRPr="00FE1496">
        <w:rPr>
          <w:rFonts w:ascii="Arial" w:hAnsi="Arial" w:cs="Arial"/>
          <w:sz w:val="20"/>
          <w:szCs w:val="20"/>
        </w:rPr>
        <w:t xml:space="preserve"> (Bettio et al</w:t>
      </w:r>
      <w:r w:rsidR="00C778E3" w:rsidRPr="00FE1496">
        <w:rPr>
          <w:rFonts w:ascii="Arial" w:hAnsi="Arial" w:cs="Arial"/>
          <w:sz w:val="20"/>
          <w:szCs w:val="20"/>
        </w:rPr>
        <w:t>.</w:t>
      </w:r>
      <w:r w:rsidRPr="00FE1496">
        <w:rPr>
          <w:rFonts w:ascii="Arial" w:hAnsi="Arial" w:cs="Arial"/>
          <w:sz w:val="20"/>
          <w:szCs w:val="20"/>
        </w:rPr>
        <w:t xml:space="preserve">, 2017). Pronounced structural changes </w:t>
      </w:r>
      <w:r w:rsidR="00DC51C3" w:rsidRPr="00FE1496">
        <w:rPr>
          <w:rFonts w:ascii="Arial" w:hAnsi="Arial" w:cs="Arial"/>
          <w:sz w:val="20"/>
          <w:szCs w:val="20"/>
        </w:rPr>
        <w:t>occur</w:t>
      </w:r>
      <w:r w:rsidRPr="00FE1496">
        <w:rPr>
          <w:rFonts w:ascii="Arial" w:hAnsi="Arial" w:cs="Arial"/>
          <w:sz w:val="20"/>
          <w:szCs w:val="20"/>
        </w:rPr>
        <w:t xml:space="preserve"> in the brain during old age with various factors such as atrophy, inflammation and reduced plasticity in the hippocampus resulting in progressive impairments of </w:t>
      </w:r>
      <w:r w:rsidR="00DC51C3" w:rsidRPr="00FE1496">
        <w:rPr>
          <w:rFonts w:ascii="Arial" w:hAnsi="Arial" w:cs="Arial"/>
          <w:sz w:val="20"/>
          <w:szCs w:val="20"/>
        </w:rPr>
        <w:t>critical</w:t>
      </w:r>
      <w:r w:rsidRPr="00FE1496">
        <w:rPr>
          <w:rFonts w:ascii="Arial" w:hAnsi="Arial" w:cs="Arial"/>
          <w:sz w:val="20"/>
          <w:szCs w:val="20"/>
        </w:rPr>
        <w:t xml:space="preserve"> functions such as declarative and spatial memory function (Bartsch &amp; Wulf, 2015). Other changes that can occur in old age</w:t>
      </w:r>
      <w:r w:rsidR="00DC51C3" w:rsidRPr="00FE1496">
        <w:rPr>
          <w:rFonts w:ascii="Arial" w:hAnsi="Arial" w:cs="Arial"/>
          <w:sz w:val="20"/>
          <w:szCs w:val="20"/>
        </w:rPr>
        <w:t>,</w:t>
      </w:r>
      <w:r w:rsidRPr="00FE1496">
        <w:rPr>
          <w:rFonts w:ascii="Arial" w:hAnsi="Arial" w:cs="Arial"/>
          <w:sz w:val="20"/>
          <w:szCs w:val="20"/>
        </w:rPr>
        <w:t xml:space="preserve"> such </w:t>
      </w:r>
      <w:r w:rsidR="00DC51C3" w:rsidRPr="00FE1496">
        <w:rPr>
          <w:rFonts w:ascii="Arial" w:hAnsi="Arial" w:cs="Arial"/>
          <w:sz w:val="20"/>
          <w:szCs w:val="20"/>
        </w:rPr>
        <w:t xml:space="preserve">as </w:t>
      </w:r>
      <w:r w:rsidRPr="00FE1496">
        <w:rPr>
          <w:rFonts w:ascii="Arial" w:hAnsi="Arial" w:cs="Arial"/>
          <w:sz w:val="20"/>
          <w:szCs w:val="20"/>
        </w:rPr>
        <w:t xml:space="preserve">an alteration in neurons necessary to engage in cognitive processes, and a declination of </w:t>
      </w:r>
      <w:r w:rsidR="00DC51C3" w:rsidRPr="00FE1496">
        <w:rPr>
          <w:rFonts w:ascii="Arial" w:hAnsi="Arial" w:cs="Arial"/>
          <w:sz w:val="20"/>
          <w:szCs w:val="20"/>
        </w:rPr>
        <w:t xml:space="preserve">the </w:t>
      </w:r>
      <w:r w:rsidRPr="00FE1496">
        <w:rPr>
          <w:rFonts w:ascii="Arial" w:hAnsi="Arial" w:cs="Arial"/>
          <w:sz w:val="20"/>
          <w:szCs w:val="20"/>
        </w:rPr>
        <w:t xml:space="preserve">volume of cerebral </w:t>
      </w:r>
      <w:r w:rsidR="0066381E" w:rsidRPr="00FE1496">
        <w:rPr>
          <w:rFonts w:ascii="Arial" w:hAnsi="Arial" w:cs="Arial"/>
          <w:sz w:val="20"/>
          <w:szCs w:val="20"/>
        </w:rPr>
        <w:t>grey</w:t>
      </w:r>
      <w:r w:rsidRPr="00FE1496">
        <w:rPr>
          <w:rFonts w:ascii="Arial" w:hAnsi="Arial" w:cs="Arial"/>
          <w:sz w:val="20"/>
          <w:szCs w:val="20"/>
        </w:rPr>
        <w:t xml:space="preserve"> matter</w:t>
      </w:r>
      <w:r w:rsidR="00CC5552" w:rsidRPr="00FE1496">
        <w:rPr>
          <w:rFonts w:ascii="Arial" w:hAnsi="Arial" w:cs="Arial"/>
          <w:sz w:val="20"/>
          <w:szCs w:val="20"/>
        </w:rPr>
        <w:t xml:space="preserve"> </w:t>
      </w:r>
      <w:r w:rsidRPr="00FE1496">
        <w:rPr>
          <w:rFonts w:ascii="Arial" w:hAnsi="Arial" w:cs="Arial"/>
          <w:sz w:val="20"/>
          <w:szCs w:val="20"/>
        </w:rPr>
        <w:t>in the frontal and parietal lobes, are part of biological ageing processes that affect cognitive function (Gonzales et al</w:t>
      </w:r>
      <w:r w:rsidR="00C778E3" w:rsidRPr="00FE1496">
        <w:rPr>
          <w:rFonts w:ascii="Arial" w:hAnsi="Arial" w:cs="Arial"/>
          <w:sz w:val="20"/>
          <w:szCs w:val="20"/>
        </w:rPr>
        <w:t>.</w:t>
      </w:r>
      <w:r w:rsidRPr="00FE1496">
        <w:rPr>
          <w:rFonts w:ascii="Arial" w:hAnsi="Arial" w:cs="Arial"/>
          <w:sz w:val="20"/>
          <w:szCs w:val="20"/>
        </w:rPr>
        <w:t>, 2022</w:t>
      </w:r>
      <w:r w:rsidR="00AC4EAC" w:rsidRPr="00FE1496">
        <w:rPr>
          <w:rFonts w:ascii="Arial" w:hAnsi="Arial" w:cs="Arial"/>
          <w:sz w:val="20"/>
          <w:szCs w:val="20"/>
        </w:rPr>
        <w:t>;</w:t>
      </w:r>
      <w:r w:rsidRPr="00FE1496">
        <w:rPr>
          <w:rFonts w:ascii="Arial" w:hAnsi="Arial" w:cs="Arial"/>
          <w:sz w:val="20"/>
          <w:szCs w:val="20"/>
        </w:rPr>
        <w:t xml:space="preserve"> Zieglar et al</w:t>
      </w:r>
      <w:r w:rsidR="00C778E3" w:rsidRPr="00FE1496">
        <w:rPr>
          <w:rFonts w:ascii="Arial" w:hAnsi="Arial" w:cs="Arial"/>
          <w:sz w:val="20"/>
          <w:szCs w:val="20"/>
        </w:rPr>
        <w:t>.</w:t>
      </w:r>
      <w:r w:rsidRPr="00FE1496">
        <w:rPr>
          <w:rFonts w:ascii="Arial" w:hAnsi="Arial" w:cs="Arial"/>
          <w:sz w:val="20"/>
          <w:szCs w:val="20"/>
        </w:rPr>
        <w:t>, 2012). The process of cognitive decline varies amongst individuals</w:t>
      </w:r>
      <w:r w:rsidR="00DC51C3" w:rsidRPr="00FE1496">
        <w:rPr>
          <w:rFonts w:ascii="Arial" w:hAnsi="Arial" w:cs="Arial"/>
          <w:sz w:val="20"/>
          <w:szCs w:val="20"/>
        </w:rPr>
        <w:t>,</w:t>
      </w:r>
      <w:r w:rsidRPr="00FE1496">
        <w:rPr>
          <w:rFonts w:ascii="Arial" w:hAnsi="Arial" w:cs="Arial"/>
          <w:sz w:val="20"/>
          <w:szCs w:val="20"/>
        </w:rPr>
        <w:t xml:space="preserve"> with the determinants of the differences being unknown</w:t>
      </w:r>
      <w:r w:rsidR="000E575A" w:rsidRPr="00FE1496">
        <w:rPr>
          <w:rFonts w:ascii="Arial" w:hAnsi="Arial" w:cs="Arial"/>
          <w:sz w:val="20"/>
          <w:szCs w:val="20"/>
        </w:rPr>
        <w:t>. Still, factors</w:t>
      </w:r>
      <w:r w:rsidRPr="00FE1496">
        <w:rPr>
          <w:rFonts w:ascii="Arial" w:hAnsi="Arial" w:cs="Arial"/>
          <w:sz w:val="20"/>
          <w:szCs w:val="20"/>
        </w:rPr>
        <w:t xml:space="preserve"> such as gender, general medical, physiological, dietary and lifestyle contributions all </w:t>
      </w:r>
      <w:r w:rsidR="00DC51C3" w:rsidRPr="00FE1496">
        <w:rPr>
          <w:rFonts w:ascii="Arial" w:hAnsi="Arial" w:cs="Arial"/>
          <w:sz w:val="20"/>
          <w:szCs w:val="20"/>
        </w:rPr>
        <w:t>affect</w:t>
      </w:r>
      <w:r w:rsidRPr="00FE1496">
        <w:rPr>
          <w:rFonts w:ascii="Arial" w:hAnsi="Arial" w:cs="Arial"/>
          <w:sz w:val="20"/>
          <w:szCs w:val="20"/>
        </w:rPr>
        <w:t xml:space="preserve"> the rate of decline in cognition in the elderly (Deary et al</w:t>
      </w:r>
      <w:r w:rsidR="00C778E3" w:rsidRPr="00FE1496">
        <w:rPr>
          <w:rFonts w:ascii="Arial" w:hAnsi="Arial" w:cs="Arial"/>
          <w:sz w:val="20"/>
          <w:szCs w:val="20"/>
        </w:rPr>
        <w:t>.</w:t>
      </w:r>
      <w:r w:rsidRPr="00FE1496">
        <w:rPr>
          <w:rFonts w:ascii="Arial" w:hAnsi="Arial" w:cs="Arial"/>
          <w:sz w:val="20"/>
          <w:szCs w:val="20"/>
        </w:rPr>
        <w:t>, 2019; Ancelin et al</w:t>
      </w:r>
      <w:r w:rsidR="00C778E3" w:rsidRPr="00FE1496">
        <w:rPr>
          <w:rFonts w:ascii="Arial" w:hAnsi="Arial" w:cs="Arial"/>
          <w:sz w:val="20"/>
          <w:szCs w:val="20"/>
        </w:rPr>
        <w:t>.</w:t>
      </w:r>
      <w:r w:rsidRPr="00FE1496">
        <w:rPr>
          <w:rFonts w:ascii="Arial" w:hAnsi="Arial" w:cs="Arial"/>
          <w:sz w:val="20"/>
          <w:szCs w:val="20"/>
        </w:rPr>
        <w:t xml:space="preserve">, 2014). In addition, heritability studies estimate the heritability of general cognitive function </w:t>
      </w:r>
      <w:r w:rsidR="00DC51C3" w:rsidRPr="00FE1496">
        <w:rPr>
          <w:rFonts w:ascii="Arial" w:hAnsi="Arial" w:cs="Arial"/>
          <w:sz w:val="20"/>
          <w:szCs w:val="20"/>
        </w:rPr>
        <w:t>to be</w:t>
      </w:r>
      <w:r w:rsidRPr="00FE1496">
        <w:rPr>
          <w:rFonts w:ascii="Arial" w:hAnsi="Arial" w:cs="Arial"/>
          <w:sz w:val="20"/>
          <w:szCs w:val="20"/>
        </w:rPr>
        <w:t xml:space="preserve"> approximately 50%, suggesting the likelihood of genetic influences on age related cognitive decline (Deary et al</w:t>
      </w:r>
      <w:r w:rsidR="00C778E3" w:rsidRPr="00FE1496">
        <w:rPr>
          <w:rFonts w:ascii="Arial" w:hAnsi="Arial" w:cs="Arial"/>
          <w:sz w:val="20"/>
          <w:szCs w:val="20"/>
        </w:rPr>
        <w:t>.</w:t>
      </w:r>
      <w:r w:rsidRPr="00FE1496">
        <w:rPr>
          <w:rFonts w:ascii="Arial" w:hAnsi="Arial" w:cs="Arial"/>
          <w:sz w:val="20"/>
          <w:szCs w:val="20"/>
        </w:rPr>
        <w:t>, 2004</w:t>
      </w:r>
      <w:r w:rsidR="00AC4EAC" w:rsidRPr="00FE1496">
        <w:rPr>
          <w:rFonts w:ascii="Arial" w:hAnsi="Arial" w:cs="Arial"/>
          <w:sz w:val="20"/>
          <w:szCs w:val="20"/>
        </w:rPr>
        <w:t>;</w:t>
      </w:r>
      <w:r w:rsidRPr="00FE1496">
        <w:rPr>
          <w:rFonts w:ascii="Arial" w:hAnsi="Arial" w:cs="Arial"/>
          <w:sz w:val="20"/>
          <w:szCs w:val="20"/>
        </w:rPr>
        <w:t xml:space="preserve"> Deary et al</w:t>
      </w:r>
      <w:r w:rsidR="00C778E3" w:rsidRPr="00FE1496">
        <w:rPr>
          <w:rFonts w:ascii="Arial" w:hAnsi="Arial" w:cs="Arial"/>
          <w:sz w:val="20"/>
          <w:szCs w:val="20"/>
        </w:rPr>
        <w:t>.</w:t>
      </w:r>
      <w:r w:rsidRPr="00FE1496">
        <w:rPr>
          <w:rFonts w:ascii="Arial" w:hAnsi="Arial" w:cs="Arial"/>
          <w:sz w:val="20"/>
          <w:szCs w:val="20"/>
        </w:rPr>
        <w:t>, 2009). Cognitive decline does not affect every person in their old age</w:t>
      </w:r>
      <w:r w:rsidR="00DC51C3" w:rsidRPr="00FE1496">
        <w:rPr>
          <w:rFonts w:ascii="Arial" w:hAnsi="Arial" w:cs="Arial"/>
          <w:sz w:val="20"/>
          <w:szCs w:val="20"/>
        </w:rPr>
        <w:t>;</w:t>
      </w:r>
      <w:r w:rsidRPr="00FE1496">
        <w:rPr>
          <w:rFonts w:ascii="Arial" w:hAnsi="Arial" w:cs="Arial"/>
          <w:sz w:val="20"/>
          <w:szCs w:val="20"/>
        </w:rPr>
        <w:t xml:space="preserve"> nevertheless</w:t>
      </w:r>
      <w:r w:rsidR="000E575A" w:rsidRPr="00FE1496">
        <w:rPr>
          <w:rFonts w:ascii="Arial" w:hAnsi="Arial" w:cs="Arial"/>
          <w:sz w:val="20"/>
          <w:szCs w:val="20"/>
        </w:rPr>
        <w:t xml:space="preserve">, there is an estimated risk of between 30% and 40% of developing diminishing cognitive function after age </w:t>
      </w:r>
      <w:r w:rsidRPr="00FE1496">
        <w:rPr>
          <w:rFonts w:ascii="Arial" w:hAnsi="Arial" w:cs="Arial"/>
          <w:sz w:val="20"/>
          <w:szCs w:val="20"/>
        </w:rPr>
        <w:t>65 (Schikowski &amp; Altug, 2020).</w:t>
      </w:r>
      <w:r w:rsidR="000E5FBD">
        <w:rPr>
          <w:rFonts w:ascii="Arial" w:hAnsi="Arial" w:cs="Arial"/>
          <w:sz w:val="20"/>
          <w:szCs w:val="20"/>
        </w:rPr>
        <w:t xml:space="preserve"> </w:t>
      </w:r>
    </w:p>
    <w:p w14:paraId="72541537" w14:textId="63D46A64"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Age related cognitive decline causes impaired reaction time, memory, processing speed and attention (Petrella et al</w:t>
      </w:r>
      <w:r w:rsidR="00C778E3" w:rsidRPr="00FE1496">
        <w:rPr>
          <w:rFonts w:ascii="Arial" w:hAnsi="Arial" w:cs="Arial"/>
          <w:sz w:val="20"/>
          <w:szCs w:val="20"/>
        </w:rPr>
        <w:t>.</w:t>
      </w:r>
      <w:r w:rsidRPr="00FE1496">
        <w:rPr>
          <w:rFonts w:ascii="Arial" w:hAnsi="Arial" w:cs="Arial"/>
          <w:sz w:val="20"/>
          <w:szCs w:val="20"/>
        </w:rPr>
        <w:t>,2014). Additionally, mobility, which requires complex and coordinated movements, as well as executive functioning, which involves planning, initiating, and executing actions, is affected (Buchman et al</w:t>
      </w:r>
      <w:r w:rsidR="00C778E3" w:rsidRPr="00FE1496">
        <w:rPr>
          <w:rFonts w:ascii="Arial" w:hAnsi="Arial" w:cs="Arial"/>
          <w:sz w:val="20"/>
          <w:szCs w:val="20"/>
        </w:rPr>
        <w:t>.</w:t>
      </w:r>
      <w:r w:rsidRPr="00FE1496">
        <w:rPr>
          <w:rFonts w:ascii="Arial" w:hAnsi="Arial" w:cs="Arial"/>
          <w:sz w:val="20"/>
          <w:szCs w:val="20"/>
        </w:rPr>
        <w:t>, 2011; Vazzana et al</w:t>
      </w:r>
      <w:r w:rsidR="00C778E3" w:rsidRPr="00FE1496">
        <w:rPr>
          <w:rFonts w:ascii="Arial" w:hAnsi="Arial" w:cs="Arial"/>
          <w:sz w:val="20"/>
          <w:szCs w:val="20"/>
        </w:rPr>
        <w:t>.</w:t>
      </w:r>
      <w:r w:rsidRPr="00FE1496">
        <w:rPr>
          <w:rFonts w:ascii="Arial" w:hAnsi="Arial" w:cs="Arial"/>
          <w:sz w:val="20"/>
          <w:szCs w:val="20"/>
        </w:rPr>
        <w:t xml:space="preserve">, 2010). It has been suggested by Palve and Palve (2018) </w:t>
      </w:r>
      <w:r w:rsidR="00AF35E2" w:rsidRPr="00FE1496">
        <w:rPr>
          <w:rFonts w:ascii="Arial" w:hAnsi="Arial" w:cs="Arial"/>
          <w:sz w:val="20"/>
          <w:szCs w:val="20"/>
        </w:rPr>
        <w:t xml:space="preserve">that as neural conduction velocity decreases, muscle power may decrease, resulting in physical impairment as well as cognitive decline. </w:t>
      </w:r>
    </w:p>
    <w:p w14:paraId="1EBECC4E" w14:textId="790A207E"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In the UK</w:t>
      </w:r>
      <w:r w:rsidR="00DC51C3" w:rsidRPr="00FE1496">
        <w:rPr>
          <w:rFonts w:ascii="Arial" w:hAnsi="Arial" w:cs="Arial"/>
          <w:sz w:val="20"/>
          <w:szCs w:val="20"/>
        </w:rPr>
        <w:t>,</w:t>
      </w:r>
      <w:r w:rsidRPr="00FE1496">
        <w:rPr>
          <w:rFonts w:ascii="Arial" w:hAnsi="Arial" w:cs="Arial"/>
          <w:sz w:val="20"/>
          <w:szCs w:val="20"/>
        </w:rPr>
        <w:t xml:space="preserve"> there are approximately 15.5 million people aged 60 and above, accounting for a</w:t>
      </w:r>
      <w:r w:rsidR="00DC51C3" w:rsidRPr="00FE1496">
        <w:rPr>
          <w:rFonts w:ascii="Arial" w:hAnsi="Arial" w:cs="Arial"/>
          <w:sz w:val="20"/>
          <w:szCs w:val="20"/>
        </w:rPr>
        <w:t>round</w:t>
      </w:r>
      <w:r w:rsidRPr="00FE1496">
        <w:rPr>
          <w:rFonts w:ascii="Arial" w:hAnsi="Arial" w:cs="Arial"/>
          <w:sz w:val="20"/>
          <w:szCs w:val="20"/>
        </w:rPr>
        <w:t xml:space="preserve"> 23% of the population. 3.2 million of these people are aged 80 and above, with 900,000 of these being aged 90 and over (Office for National Statistics, 2020). The Office for National Statistics (ONS:2022) predict life expectancy at birth in 2020 to be 88.7 years which is expected to increase to 91.35 years for people born in 2045. In comparison, 9% of the </w:t>
      </w:r>
      <w:r w:rsidR="0066381E" w:rsidRPr="00FE1496">
        <w:rPr>
          <w:rFonts w:ascii="Arial" w:hAnsi="Arial" w:cs="Arial"/>
          <w:sz w:val="20"/>
          <w:szCs w:val="20"/>
        </w:rPr>
        <w:t>world’s</w:t>
      </w:r>
      <w:r w:rsidRPr="00FE1496">
        <w:rPr>
          <w:rFonts w:ascii="Arial" w:hAnsi="Arial" w:cs="Arial"/>
          <w:sz w:val="20"/>
          <w:szCs w:val="20"/>
        </w:rPr>
        <w:t xml:space="preserve"> population was aged 65 or above in 2019, rising to an estimated 16% by 2050 (United Nations, 2022). Globally, in 2018, persons </w:t>
      </w:r>
      <w:r w:rsidR="00DC51C3" w:rsidRPr="00FE1496">
        <w:rPr>
          <w:rFonts w:ascii="Arial" w:hAnsi="Arial" w:cs="Arial"/>
          <w:sz w:val="20"/>
          <w:szCs w:val="20"/>
        </w:rPr>
        <w:t xml:space="preserve">aged 65 or over outnumbered children under five </w:t>
      </w:r>
      <w:r w:rsidRPr="00FE1496">
        <w:rPr>
          <w:rFonts w:ascii="Arial" w:hAnsi="Arial" w:cs="Arial"/>
          <w:sz w:val="20"/>
          <w:szCs w:val="20"/>
        </w:rPr>
        <w:t>for the first time in history (United Nations, 2022).</w:t>
      </w:r>
    </w:p>
    <w:p w14:paraId="18B0806A" w14:textId="74B09D04"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 xml:space="preserve">Due to the expanding ageing population, the need for interventional strategies to prevent cognitive decline is becoming more pressing, especially </w:t>
      </w:r>
      <w:r w:rsidR="00B17940" w:rsidRPr="00FE1496">
        <w:rPr>
          <w:rFonts w:ascii="Arial" w:hAnsi="Arial" w:cs="Arial"/>
          <w:sz w:val="20"/>
          <w:szCs w:val="20"/>
        </w:rPr>
        <w:t>as</w:t>
      </w:r>
      <w:r w:rsidRPr="00FE1496">
        <w:rPr>
          <w:rFonts w:ascii="Arial" w:hAnsi="Arial" w:cs="Arial"/>
          <w:sz w:val="20"/>
          <w:szCs w:val="20"/>
        </w:rPr>
        <w:t xml:space="preserve"> </w:t>
      </w:r>
      <w:r w:rsidR="009A1C95">
        <w:rPr>
          <w:rFonts w:ascii="Arial" w:hAnsi="Arial" w:cs="Arial"/>
          <w:sz w:val="20"/>
          <w:szCs w:val="20"/>
        </w:rPr>
        <w:t>c</w:t>
      </w:r>
      <w:r w:rsidRPr="00FE1496">
        <w:rPr>
          <w:rFonts w:ascii="Arial" w:hAnsi="Arial" w:cs="Arial"/>
          <w:sz w:val="20"/>
          <w:szCs w:val="20"/>
        </w:rPr>
        <w:t>ognitive failure is responsible for 40% of admissions to institutional care in the UK, and it is recognised as a precursor to dementia, illness, and death (Deary et al</w:t>
      </w:r>
      <w:r w:rsidR="00C778E3" w:rsidRPr="00FE1496">
        <w:rPr>
          <w:rFonts w:ascii="Arial" w:hAnsi="Arial" w:cs="Arial"/>
          <w:sz w:val="20"/>
          <w:szCs w:val="20"/>
        </w:rPr>
        <w:t>.</w:t>
      </w:r>
      <w:r w:rsidRPr="00FE1496">
        <w:rPr>
          <w:rFonts w:ascii="Arial" w:hAnsi="Arial" w:cs="Arial"/>
          <w:sz w:val="20"/>
          <w:szCs w:val="20"/>
        </w:rPr>
        <w:t xml:space="preserve">, 2009). Lee </w:t>
      </w:r>
      <w:r w:rsidR="00DC51C3" w:rsidRPr="00FE1496">
        <w:rPr>
          <w:rFonts w:ascii="Arial" w:hAnsi="Arial" w:cs="Arial"/>
          <w:sz w:val="20"/>
          <w:szCs w:val="20"/>
        </w:rPr>
        <w:t>et</w:t>
      </w:r>
      <w:r w:rsidRPr="00FE1496">
        <w:rPr>
          <w:rFonts w:ascii="Arial" w:hAnsi="Arial" w:cs="Arial"/>
          <w:sz w:val="20"/>
          <w:szCs w:val="20"/>
        </w:rPr>
        <w:t xml:space="preserve"> al</w:t>
      </w:r>
      <w:r w:rsidR="00C778E3" w:rsidRPr="00FE1496">
        <w:rPr>
          <w:rFonts w:ascii="Arial" w:hAnsi="Arial" w:cs="Arial"/>
          <w:sz w:val="20"/>
          <w:szCs w:val="20"/>
        </w:rPr>
        <w:t>.</w:t>
      </w:r>
      <w:r w:rsidRPr="00FE1496">
        <w:rPr>
          <w:rFonts w:ascii="Arial" w:hAnsi="Arial" w:cs="Arial"/>
          <w:sz w:val="20"/>
          <w:szCs w:val="20"/>
        </w:rPr>
        <w:t xml:space="preserve"> (2019) </w:t>
      </w:r>
      <w:r w:rsidR="00DC51C3" w:rsidRPr="00FE1496">
        <w:rPr>
          <w:rFonts w:ascii="Arial" w:hAnsi="Arial" w:cs="Arial"/>
          <w:sz w:val="20"/>
          <w:szCs w:val="20"/>
        </w:rPr>
        <w:t>conclude</w:t>
      </w:r>
      <w:r w:rsidRPr="00FE1496">
        <w:rPr>
          <w:rFonts w:ascii="Arial" w:hAnsi="Arial" w:cs="Arial"/>
          <w:sz w:val="20"/>
          <w:szCs w:val="20"/>
        </w:rPr>
        <w:t xml:space="preserve"> that cognitive decline is among the most significant of issues affecting the ageing population due to its association with significant medical comorbidity and psychological sequelae</w:t>
      </w:r>
      <w:r w:rsidR="009A1C95">
        <w:rPr>
          <w:rFonts w:ascii="Arial" w:hAnsi="Arial" w:cs="Arial"/>
          <w:sz w:val="20"/>
          <w:szCs w:val="20"/>
        </w:rPr>
        <w:t xml:space="preserve"> and</w:t>
      </w:r>
      <w:r w:rsidRPr="00FE1496">
        <w:rPr>
          <w:rFonts w:ascii="Arial" w:hAnsi="Arial" w:cs="Arial"/>
          <w:sz w:val="20"/>
          <w:szCs w:val="20"/>
        </w:rPr>
        <w:t xml:space="preserve"> is described by Deary et al</w:t>
      </w:r>
      <w:r w:rsidR="00C778E3" w:rsidRPr="00FE1496">
        <w:rPr>
          <w:rFonts w:ascii="Arial" w:hAnsi="Arial" w:cs="Arial"/>
          <w:sz w:val="20"/>
          <w:szCs w:val="20"/>
        </w:rPr>
        <w:t>.</w:t>
      </w:r>
      <w:r w:rsidRPr="00FE1496">
        <w:rPr>
          <w:rFonts w:ascii="Arial" w:hAnsi="Arial" w:cs="Arial"/>
          <w:sz w:val="20"/>
          <w:szCs w:val="20"/>
        </w:rPr>
        <w:t xml:space="preserve"> (2009) as the most feared aspect of </w:t>
      </w:r>
      <w:r w:rsidR="00DC51C3" w:rsidRPr="00FE1496">
        <w:rPr>
          <w:rFonts w:ascii="Arial" w:hAnsi="Arial" w:cs="Arial"/>
          <w:sz w:val="20"/>
          <w:szCs w:val="20"/>
        </w:rPr>
        <w:t>ageing</w:t>
      </w:r>
      <w:r w:rsidRPr="00FE1496">
        <w:rPr>
          <w:rFonts w:ascii="Arial" w:hAnsi="Arial" w:cs="Arial"/>
          <w:sz w:val="20"/>
          <w:szCs w:val="20"/>
        </w:rPr>
        <w:t>, as well as being the most costly financially, personally, and socially.</w:t>
      </w:r>
    </w:p>
    <w:p w14:paraId="62BC2D67" w14:textId="6A6220AC" w:rsidR="00441E3B" w:rsidRPr="00FE1496" w:rsidRDefault="00AF35E2" w:rsidP="00FE1496">
      <w:pPr>
        <w:spacing w:line="276" w:lineRule="auto"/>
        <w:rPr>
          <w:rFonts w:ascii="Arial" w:hAnsi="Arial" w:cs="Arial"/>
          <w:sz w:val="20"/>
          <w:szCs w:val="20"/>
        </w:rPr>
      </w:pPr>
      <w:r w:rsidRPr="00FE1496">
        <w:rPr>
          <w:rFonts w:ascii="Arial" w:hAnsi="Arial" w:cs="Arial"/>
          <w:sz w:val="20"/>
          <w:szCs w:val="20"/>
        </w:rPr>
        <w:t>There is a high prevalence of memory problems in the elderly, so a study of age-related changes in memory function has both practical and theoretical relevance.</w:t>
      </w:r>
      <w:r w:rsidR="00441E3B" w:rsidRPr="00FE1496">
        <w:rPr>
          <w:rFonts w:ascii="Arial" w:hAnsi="Arial" w:cs="Arial"/>
          <w:sz w:val="20"/>
          <w:szCs w:val="20"/>
        </w:rPr>
        <w:t xml:space="preserve"> (Hertzog &amp; Dixon, 1994). </w:t>
      </w:r>
      <w:r w:rsidRPr="00FE1496">
        <w:rPr>
          <w:rFonts w:ascii="Arial" w:hAnsi="Arial" w:cs="Arial"/>
          <w:sz w:val="20"/>
          <w:szCs w:val="20"/>
        </w:rPr>
        <w:t xml:space="preserve">Memory can be defined as the ability to retain something, such as information, over an interval extending beyond its physical presence. Repetition of the remembered action or object name, or evidence of the object or action's influence, proves memory (Connor, 2001). According to both neuropsychological and cognitive research, </w:t>
      </w:r>
      <w:r w:rsidR="00DC51C3" w:rsidRPr="00FE1496">
        <w:rPr>
          <w:rFonts w:ascii="Arial" w:hAnsi="Arial" w:cs="Arial"/>
          <w:sz w:val="20"/>
          <w:szCs w:val="20"/>
        </w:rPr>
        <w:t>ageing</w:t>
      </w:r>
      <w:r w:rsidRPr="00FE1496">
        <w:rPr>
          <w:rFonts w:ascii="Arial" w:hAnsi="Arial" w:cs="Arial"/>
          <w:sz w:val="20"/>
          <w:szCs w:val="20"/>
        </w:rPr>
        <w:t xml:space="preserve"> affects both memory and cognition (Shimamura, 1994). </w:t>
      </w:r>
      <w:r w:rsidR="00DC51C3" w:rsidRPr="00FE1496">
        <w:rPr>
          <w:rFonts w:ascii="Arial" w:hAnsi="Arial" w:cs="Arial"/>
          <w:sz w:val="20"/>
          <w:szCs w:val="20"/>
        </w:rPr>
        <w:t>Berherer et al. (2013) specified that</w:t>
      </w:r>
      <w:r w:rsidRPr="00FE1496">
        <w:rPr>
          <w:rFonts w:ascii="Arial" w:hAnsi="Arial" w:cs="Arial"/>
          <w:sz w:val="20"/>
          <w:szCs w:val="20"/>
        </w:rPr>
        <w:t xml:space="preserve"> working memory is particularly prone to deterioration as cognition declines.</w:t>
      </w:r>
    </w:p>
    <w:p w14:paraId="28AE7D77" w14:textId="557A3519" w:rsidR="00C8235A" w:rsidRPr="00FE1496" w:rsidRDefault="00C8235A" w:rsidP="00FE1496">
      <w:pPr>
        <w:spacing w:line="276" w:lineRule="auto"/>
        <w:rPr>
          <w:rFonts w:ascii="Arial" w:hAnsi="Arial" w:cs="Arial"/>
          <w:sz w:val="20"/>
          <w:szCs w:val="20"/>
        </w:rPr>
      </w:pPr>
      <w:r w:rsidRPr="00FE1496">
        <w:rPr>
          <w:rFonts w:ascii="Arial" w:hAnsi="Arial" w:cs="Arial"/>
          <w:sz w:val="20"/>
          <w:szCs w:val="20"/>
        </w:rPr>
        <w:t xml:space="preserve">Birren (1974) theorised that cognitive decline occurs </w:t>
      </w:r>
      <w:r w:rsidR="00DC51C3" w:rsidRPr="00FE1496">
        <w:rPr>
          <w:rFonts w:ascii="Arial" w:hAnsi="Arial" w:cs="Arial"/>
          <w:sz w:val="20"/>
          <w:szCs w:val="20"/>
        </w:rPr>
        <w:t>due to</w:t>
      </w:r>
      <w:r w:rsidRPr="00FE1496">
        <w:rPr>
          <w:rFonts w:ascii="Arial" w:hAnsi="Arial" w:cs="Arial"/>
          <w:sz w:val="20"/>
          <w:szCs w:val="20"/>
        </w:rPr>
        <w:t xml:space="preserve"> </w:t>
      </w:r>
      <w:r w:rsidR="000E575A" w:rsidRPr="00FE1496">
        <w:rPr>
          <w:rFonts w:ascii="Arial" w:hAnsi="Arial" w:cs="Arial"/>
          <w:sz w:val="20"/>
          <w:szCs w:val="20"/>
        </w:rPr>
        <w:t xml:space="preserve">the </w:t>
      </w:r>
      <w:r w:rsidRPr="00FE1496">
        <w:rPr>
          <w:rFonts w:ascii="Arial" w:hAnsi="Arial" w:cs="Arial"/>
          <w:sz w:val="20"/>
          <w:szCs w:val="20"/>
        </w:rPr>
        <w:t xml:space="preserve">generalised slowing down of abilities. Several studies have demonstrated that, as part of the normal </w:t>
      </w:r>
      <w:r w:rsidR="00DC51C3" w:rsidRPr="00FE1496">
        <w:rPr>
          <w:rFonts w:ascii="Arial" w:hAnsi="Arial" w:cs="Arial"/>
          <w:sz w:val="20"/>
          <w:szCs w:val="20"/>
        </w:rPr>
        <w:t>ageing</w:t>
      </w:r>
      <w:r w:rsidRPr="00FE1496">
        <w:rPr>
          <w:rFonts w:ascii="Arial" w:hAnsi="Arial" w:cs="Arial"/>
          <w:sz w:val="20"/>
          <w:szCs w:val="20"/>
        </w:rPr>
        <w:t xml:space="preserve"> process, many people experience a </w:t>
      </w:r>
      <w:r w:rsidR="00DC51C3" w:rsidRPr="00FE1496">
        <w:rPr>
          <w:rFonts w:ascii="Arial" w:hAnsi="Arial" w:cs="Arial"/>
          <w:sz w:val="20"/>
          <w:szCs w:val="20"/>
        </w:rPr>
        <w:t>decrease</w:t>
      </w:r>
      <w:r w:rsidRPr="00FE1496">
        <w:rPr>
          <w:rFonts w:ascii="Arial" w:hAnsi="Arial" w:cs="Arial"/>
          <w:sz w:val="20"/>
          <w:szCs w:val="20"/>
        </w:rPr>
        <w:t xml:space="preserve"> in their processing speed (Salthouse, 1985). A study by Salthouse (1991) </w:t>
      </w:r>
      <w:r w:rsidRPr="00FE1496">
        <w:rPr>
          <w:rFonts w:ascii="Arial" w:hAnsi="Arial" w:cs="Arial"/>
          <w:sz w:val="20"/>
          <w:szCs w:val="20"/>
        </w:rPr>
        <w:lastRenderedPageBreak/>
        <w:t xml:space="preserve">suggests that processing speed is </w:t>
      </w:r>
      <w:r w:rsidR="00DC51C3" w:rsidRPr="00FE1496">
        <w:rPr>
          <w:rFonts w:ascii="Arial" w:hAnsi="Arial" w:cs="Arial"/>
          <w:sz w:val="20"/>
          <w:szCs w:val="20"/>
        </w:rPr>
        <w:t>an essential</w:t>
      </w:r>
      <w:r w:rsidRPr="00FE1496">
        <w:rPr>
          <w:rFonts w:ascii="Arial" w:hAnsi="Arial" w:cs="Arial"/>
          <w:sz w:val="20"/>
          <w:szCs w:val="20"/>
        </w:rPr>
        <w:t xml:space="preserve"> construct in human cognition, associated with explicit changes in neural structure and function as well as higher-order cognitive processes like reasoning and abstraction. Thus, </w:t>
      </w:r>
      <w:r w:rsidR="00676090" w:rsidRPr="00FE1496">
        <w:rPr>
          <w:rFonts w:ascii="Arial" w:hAnsi="Arial" w:cs="Arial"/>
          <w:sz w:val="20"/>
          <w:szCs w:val="20"/>
        </w:rPr>
        <w:t xml:space="preserve">a cornerstone of integrative </w:t>
      </w:r>
      <w:r w:rsidR="00DC51C3" w:rsidRPr="00FE1496">
        <w:rPr>
          <w:rFonts w:ascii="Arial" w:hAnsi="Arial" w:cs="Arial"/>
          <w:sz w:val="20"/>
          <w:szCs w:val="20"/>
        </w:rPr>
        <w:t>cognitive ageing theories may</w:t>
      </w:r>
      <w:r w:rsidR="00676090" w:rsidRPr="00FE1496">
        <w:rPr>
          <w:rFonts w:ascii="Arial" w:hAnsi="Arial" w:cs="Arial"/>
          <w:sz w:val="20"/>
          <w:szCs w:val="20"/>
        </w:rPr>
        <w:t xml:space="preserve"> be processing speed</w:t>
      </w:r>
      <w:r w:rsidR="00B17940" w:rsidRPr="00FE1496">
        <w:rPr>
          <w:rFonts w:ascii="Arial" w:hAnsi="Arial" w:cs="Arial"/>
          <w:sz w:val="20"/>
          <w:szCs w:val="20"/>
        </w:rPr>
        <w:t xml:space="preserve"> </w:t>
      </w:r>
      <w:r w:rsidR="00676090" w:rsidRPr="00FE1496">
        <w:rPr>
          <w:rFonts w:ascii="Arial" w:hAnsi="Arial" w:cs="Arial"/>
          <w:sz w:val="20"/>
          <w:szCs w:val="20"/>
        </w:rPr>
        <w:t>(</w:t>
      </w:r>
      <w:r w:rsidR="00B17940" w:rsidRPr="00FE1496">
        <w:rPr>
          <w:rFonts w:ascii="Arial" w:hAnsi="Arial" w:cs="Arial"/>
          <w:sz w:val="20"/>
          <w:szCs w:val="20"/>
        </w:rPr>
        <w:t xml:space="preserve">Salthouse, </w:t>
      </w:r>
      <w:r w:rsidR="00676090" w:rsidRPr="00FE1496">
        <w:rPr>
          <w:rFonts w:ascii="Arial" w:hAnsi="Arial" w:cs="Arial"/>
          <w:sz w:val="20"/>
          <w:szCs w:val="20"/>
        </w:rPr>
        <w:t>1995).</w:t>
      </w:r>
    </w:p>
    <w:p w14:paraId="1B7F69CF" w14:textId="63AE15EB" w:rsidR="003A0678" w:rsidRPr="00FE1496" w:rsidRDefault="009A1C95" w:rsidP="00FE1496">
      <w:pPr>
        <w:spacing w:line="276" w:lineRule="auto"/>
        <w:rPr>
          <w:rFonts w:ascii="Arial" w:hAnsi="Arial" w:cs="Arial"/>
          <w:sz w:val="20"/>
          <w:szCs w:val="20"/>
        </w:rPr>
      </w:pPr>
      <w:r>
        <w:rPr>
          <w:rFonts w:ascii="Arial" w:hAnsi="Arial" w:cs="Arial"/>
          <w:sz w:val="20"/>
          <w:szCs w:val="20"/>
        </w:rPr>
        <w:t xml:space="preserve">According to Finkel et al. (2007), </w:t>
      </w:r>
      <w:r w:rsidR="003A0678" w:rsidRPr="00FE1496">
        <w:rPr>
          <w:rFonts w:ascii="Arial" w:hAnsi="Arial" w:cs="Arial"/>
          <w:sz w:val="20"/>
          <w:szCs w:val="20"/>
        </w:rPr>
        <w:t>processing speed appears to be the most significant indicator of memory decline</w:t>
      </w:r>
      <w:r w:rsidR="00DC51C3" w:rsidRPr="00FE1496">
        <w:rPr>
          <w:rFonts w:ascii="Arial" w:hAnsi="Arial" w:cs="Arial"/>
          <w:sz w:val="20"/>
          <w:szCs w:val="20"/>
        </w:rPr>
        <w:t>. They</w:t>
      </w:r>
      <w:r w:rsidR="003A0678" w:rsidRPr="00FE1496">
        <w:rPr>
          <w:rFonts w:ascii="Arial" w:hAnsi="Arial" w:cs="Arial"/>
          <w:sz w:val="20"/>
          <w:szCs w:val="20"/>
        </w:rPr>
        <w:t xml:space="preserve"> conducted a </w:t>
      </w:r>
      <w:r w:rsidR="00DC51C3" w:rsidRPr="00FE1496">
        <w:rPr>
          <w:rFonts w:ascii="Arial" w:hAnsi="Arial" w:cs="Arial"/>
          <w:sz w:val="20"/>
          <w:szCs w:val="20"/>
        </w:rPr>
        <w:t>longitudinal</w:t>
      </w:r>
      <w:r w:rsidR="003A0678" w:rsidRPr="00FE1496">
        <w:rPr>
          <w:rFonts w:ascii="Arial" w:hAnsi="Arial" w:cs="Arial"/>
          <w:sz w:val="20"/>
          <w:szCs w:val="20"/>
        </w:rPr>
        <w:t xml:space="preserve"> study to clarify how cognitive decline occurs among </w:t>
      </w:r>
      <w:r w:rsidR="00DC51C3" w:rsidRPr="00FE1496">
        <w:rPr>
          <w:rFonts w:ascii="Arial" w:hAnsi="Arial" w:cs="Arial"/>
          <w:sz w:val="20"/>
          <w:szCs w:val="20"/>
        </w:rPr>
        <w:t>ageing</w:t>
      </w:r>
      <w:r w:rsidR="003A0678" w:rsidRPr="00FE1496">
        <w:rPr>
          <w:rFonts w:ascii="Arial" w:hAnsi="Arial" w:cs="Arial"/>
          <w:sz w:val="20"/>
          <w:szCs w:val="20"/>
        </w:rPr>
        <w:t xml:space="preserve"> populations</w:t>
      </w:r>
      <w:r>
        <w:rPr>
          <w:rFonts w:ascii="Arial" w:hAnsi="Arial" w:cs="Arial"/>
          <w:sz w:val="20"/>
          <w:szCs w:val="20"/>
        </w:rPr>
        <w:t>,</w:t>
      </w:r>
      <w:r w:rsidR="003A0678" w:rsidRPr="00FE1496">
        <w:rPr>
          <w:rFonts w:ascii="Arial" w:hAnsi="Arial" w:cs="Arial"/>
          <w:sz w:val="20"/>
          <w:szCs w:val="20"/>
        </w:rPr>
        <w:t xml:space="preserve"> sampl</w:t>
      </w:r>
      <w:r>
        <w:rPr>
          <w:rFonts w:ascii="Arial" w:hAnsi="Arial" w:cs="Arial"/>
          <w:sz w:val="20"/>
          <w:szCs w:val="20"/>
        </w:rPr>
        <w:t>ing</w:t>
      </w:r>
      <w:r w:rsidR="003A0678" w:rsidRPr="00FE1496">
        <w:rPr>
          <w:rFonts w:ascii="Arial" w:hAnsi="Arial" w:cs="Arial"/>
          <w:sz w:val="20"/>
          <w:szCs w:val="20"/>
        </w:rPr>
        <w:t xml:space="preserve"> 806 participants, composed of twin subsets aged 50 to 88 at the first measurement wave. Participants with a diagnosis of dementia were excluded, and those who developed dementia during the study were excluded from the analysis. In person testing was used to carry out a battery of tests using the longitudinal Swedish Adoption/Twin Study of Aging (SATSA; Finkel &amp; Pedersen, 2004). Four cognitive domains can be identified by SATSA; verbal abilities, spatial abilities, memory, and processing speed. The data collection was completed in five waves over </w:t>
      </w:r>
      <w:r w:rsidR="00DC51C3" w:rsidRPr="00FE1496">
        <w:rPr>
          <w:rFonts w:ascii="Arial" w:hAnsi="Arial" w:cs="Arial"/>
          <w:sz w:val="20"/>
          <w:szCs w:val="20"/>
        </w:rPr>
        <w:t>sixteen years</w:t>
      </w:r>
      <w:r>
        <w:rPr>
          <w:rFonts w:ascii="Arial" w:hAnsi="Arial" w:cs="Arial"/>
          <w:sz w:val="20"/>
          <w:szCs w:val="20"/>
        </w:rPr>
        <w:t xml:space="preserve"> using</w:t>
      </w:r>
      <w:r w:rsidR="003A0678" w:rsidRPr="00FE1496">
        <w:rPr>
          <w:rFonts w:ascii="Arial" w:hAnsi="Arial" w:cs="Arial"/>
          <w:sz w:val="20"/>
          <w:szCs w:val="20"/>
        </w:rPr>
        <w:t xml:space="preserve"> </w:t>
      </w:r>
      <w:r w:rsidR="000E5FBD">
        <w:rPr>
          <w:rFonts w:ascii="Arial" w:hAnsi="Arial" w:cs="Arial"/>
          <w:sz w:val="20"/>
          <w:szCs w:val="20"/>
        </w:rPr>
        <w:t>v</w:t>
      </w:r>
      <w:r w:rsidR="003A0678" w:rsidRPr="00FE1496">
        <w:rPr>
          <w:rFonts w:ascii="Arial" w:hAnsi="Arial" w:cs="Arial"/>
          <w:sz w:val="20"/>
          <w:szCs w:val="20"/>
        </w:rPr>
        <w:t xml:space="preserve">arious tests to measure the four cognitive </w:t>
      </w:r>
      <w:r w:rsidR="000E575A" w:rsidRPr="00FE1496">
        <w:rPr>
          <w:rFonts w:ascii="Arial" w:hAnsi="Arial" w:cs="Arial"/>
          <w:sz w:val="20"/>
          <w:szCs w:val="20"/>
        </w:rPr>
        <w:t>abilities</w:t>
      </w:r>
      <w:r w:rsidR="00DC51C3" w:rsidRPr="00FE1496">
        <w:rPr>
          <w:rFonts w:ascii="Arial" w:hAnsi="Arial" w:cs="Arial"/>
          <w:sz w:val="20"/>
          <w:szCs w:val="20"/>
        </w:rPr>
        <w:t>,</w:t>
      </w:r>
      <w:r w:rsidR="003A0678" w:rsidRPr="00FE1496">
        <w:rPr>
          <w:rFonts w:ascii="Arial" w:hAnsi="Arial" w:cs="Arial"/>
          <w:sz w:val="20"/>
          <w:szCs w:val="20"/>
        </w:rPr>
        <w:t xml:space="preserve"> with </w:t>
      </w:r>
      <w:r w:rsidR="000E5FBD">
        <w:rPr>
          <w:rFonts w:ascii="Arial" w:hAnsi="Arial" w:cs="Arial"/>
          <w:sz w:val="20"/>
          <w:szCs w:val="20"/>
        </w:rPr>
        <w:t>s</w:t>
      </w:r>
      <w:r w:rsidR="003A0678" w:rsidRPr="00FE1496">
        <w:rPr>
          <w:rFonts w:ascii="Arial" w:hAnsi="Arial" w:cs="Arial"/>
          <w:sz w:val="20"/>
          <w:szCs w:val="20"/>
        </w:rPr>
        <w:t>ymbol digit and figure identification being used to measure processing speed. Univariate analysis of the results found that over time, all four factors declined</w:t>
      </w:r>
      <w:r w:rsidR="00DC51C3" w:rsidRPr="00FE1496">
        <w:rPr>
          <w:rFonts w:ascii="Arial" w:hAnsi="Arial" w:cs="Arial"/>
          <w:sz w:val="20"/>
          <w:szCs w:val="20"/>
        </w:rPr>
        <w:t>; however</w:t>
      </w:r>
      <w:r w:rsidR="000E575A" w:rsidRPr="00FE1496">
        <w:rPr>
          <w:rFonts w:ascii="Arial" w:hAnsi="Arial" w:cs="Arial"/>
          <w:sz w:val="20"/>
          <w:szCs w:val="20"/>
        </w:rPr>
        <w:t>,</w:t>
      </w:r>
      <w:r w:rsidR="003A0678" w:rsidRPr="00FE1496">
        <w:rPr>
          <w:rFonts w:ascii="Arial" w:hAnsi="Arial" w:cs="Arial"/>
          <w:sz w:val="20"/>
          <w:szCs w:val="20"/>
        </w:rPr>
        <w:t xml:space="preserve"> accelerated decline was steepest for speed factors. A bivariate analysis of the four cognitive factors was </w:t>
      </w:r>
      <w:r>
        <w:rPr>
          <w:rFonts w:ascii="Arial" w:hAnsi="Arial" w:cs="Arial"/>
          <w:sz w:val="20"/>
          <w:szCs w:val="20"/>
        </w:rPr>
        <w:t xml:space="preserve">also </w:t>
      </w:r>
      <w:r w:rsidR="003A0678" w:rsidRPr="00FE1496">
        <w:rPr>
          <w:rFonts w:ascii="Arial" w:hAnsi="Arial" w:cs="Arial"/>
          <w:sz w:val="20"/>
          <w:szCs w:val="20"/>
        </w:rPr>
        <w:t xml:space="preserve">conducted, with the speed factor </w:t>
      </w:r>
      <w:r w:rsidR="00DC51C3" w:rsidRPr="00FE1496">
        <w:rPr>
          <w:rFonts w:ascii="Arial" w:hAnsi="Arial" w:cs="Arial"/>
          <w:sz w:val="20"/>
          <w:szCs w:val="20"/>
        </w:rPr>
        <w:t>hypothesised</w:t>
      </w:r>
      <w:r w:rsidR="003A0678" w:rsidRPr="00FE1496">
        <w:rPr>
          <w:rFonts w:ascii="Arial" w:hAnsi="Arial" w:cs="Arial"/>
          <w:sz w:val="20"/>
          <w:szCs w:val="20"/>
        </w:rPr>
        <w:t xml:space="preserve"> to be a leading indicator of age-related changes in the other </w:t>
      </w:r>
      <w:r w:rsidR="00DC51C3" w:rsidRPr="00FE1496">
        <w:rPr>
          <w:rFonts w:ascii="Arial" w:hAnsi="Arial" w:cs="Arial"/>
          <w:sz w:val="20"/>
          <w:szCs w:val="20"/>
        </w:rPr>
        <w:t>elements</w:t>
      </w:r>
      <w:r w:rsidR="003A0678" w:rsidRPr="00FE1496">
        <w:rPr>
          <w:rFonts w:ascii="Arial" w:hAnsi="Arial" w:cs="Arial"/>
          <w:sz w:val="20"/>
          <w:szCs w:val="20"/>
        </w:rPr>
        <w:t xml:space="preserve">. There was only a modest correlation between speed and verbal factors, but speed was a leading indicator of both spatial and memory </w:t>
      </w:r>
      <w:r w:rsidR="00DC51C3" w:rsidRPr="00FE1496">
        <w:rPr>
          <w:rFonts w:ascii="Arial" w:hAnsi="Arial" w:cs="Arial"/>
          <w:sz w:val="20"/>
          <w:szCs w:val="20"/>
        </w:rPr>
        <w:t>characteristics</w:t>
      </w:r>
      <w:r w:rsidR="003A0678" w:rsidRPr="00FE1496">
        <w:rPr>
          <w:rFonts w:ascii="Arial" w:hAnsi="Arial" w:cs="Arial"/>
          <w:sz w:val="20"/>
          <w:szCs w:val="20"/>
        </w:rPr>
        <w:t>,</w:t>
      </w:r>
      <w:r w:rsidR="000E575A" w:rsidRPr="00FE1496">
        <w:rPr>
          <w:rFonts w:ascii="Arial" w:hAnsi="Arial" w:cs="Arial"/>
          <w:sz w:val="20"/>
          <w:szCs w:val="20"/>
        </w:rPr>
        <w:t xml:space="preserve"> </w:t>
      </w:r>
      <w:r w:rsidR="003A0678" w:rsidRPr="00FE1496">
        <w:rPr>
          <w:rFonts w:ascii="Arial" w:hAnsi="Arial" w:cs="Arial"/>
          <w:sz w:val="20"/>
          <w:szCs w:val="20"/>
        </w:rPr>
        <w:t xml:space="preserve">yet not the reverse. The results </w:t>
      </w:r>
      <w:r>
        <w:rPr>
          <w:rFonts w:ascii="Arial" w:hAnsi="Arial" w:cs="Arial"/>
          <w:sz w:val="20"/>
          <w:szCs w:val="20"/>
        </w:rPr>
        <w:t>support the hypothesis that</w:t>
      </w:r>
      <w:r w:rsidR="003A0678" w:rsidRPr="00FE1496">
        <w:rPr>
          <w:rFonts w:ascii="Arial" w:hAnsi="Arial" w:cs="Arial"/>
          <w:sz w:val="20"/>
          <w:szCs w:val="20"/>
        </w:rPr>
        <w:t xml:space="preserve"> processing speed is a leading indicator of fluid abilities based on the processing speed theory of </w:t>
      </w:r>
      <w:r w:rsidR="00DC51C3" w:rsidRPr="00FE1496">
        <w:rPr>
          <w:rFonts w:ascii="Arial" w:hAnsi="Arial" w:cs="Arial"/>
          <w:sz w:val="20"/>
          <w:szCs w:val="20"/>
        </w:rPr>
        <w:t>ageing</w:t>
      </w:r>
      <w:r w:rsidR="003A0678" w:rsidRPr="00FE1496">
        <w:rPr>
          <w:rFonts w:ascii="Arial" w:hAnsi="Arial" w:cs="Arial"/>
          <w:sz w:val="20"/>
          <w:szCs w:val="20"/>
        </w:rPr>
        <w:t>.</w:t>
      </w:r>
    </w:p>
    <w:p w14:paraId="6E7BA6D9" w14:textId="0FD36ACF" w:rsidR="00A33FA6" w:rsidRPr="00FE1496" w:rsidRDefault="00DC51C3" w:rsidP="00FE1496">
      <w:pPr>
        <w:spacing w:line="276" w:lineRule="auto"/>
        <w:rPr>
          <w:rFonts w:ascii="Arial" w:hAnsi="Arial" w:cs="Arial"/>
          <w:sz w:val="20"/>
          <w:szCs w:val="20"/>
        </w:rPr>
      </w:pPr>
      <w:r w:rsidRPr="00FE1496">
        <w:rPr>
          <w:rFonts w:ascii="Arial" w:hAnsi="Arial" w:cs="Arial"/>
          <w:sz w:val="20"/>
          <w:szCs w:val="20"/>
        </w:rPr>
        <w:t>Unlike</w:t>
      </w:r>
      <w:r w:rsidR="00A33FA6" w:rsidRPr="00FE1496">
        <w:rPr>
          <w:rFonts w:ascii="Arial" w:hAnsi="Arial" w:cs="Arial"/>
          <w:sz w:val="20"/>
          <w:szCs w:val="20"/>
        </w:rPr>
        <w:t xml:space="preserve"> Finkel et al</w:t>
      </w:r>
      <w:r w:rsidR="00C778E3" w:rsidRPr="00FE1496">
        <w:rPr>
          <w:rFonts w:ascii="Arial" w:hAnsi="Arial" w:cs="Arial"/>
          <w:sz w:val="20"/>
          <w:szCs w:val="20"/>
        </w:rPr>
        <w:t>.</w:t>
      </w:r>
      <w:r w:rsidR="00A33FA6" w:rsidRPr="00FE1496">
        <w:rPr>
          <w:rFonts w:ascii="Arial" w:hAnsi="Arial" w:cs="Arial"/>
          <w:sz w:val="20"/>
          <w:szCs w:val="20"/>
        </w:rPr>
        <w:t xml:space="preserve"> (2007), Albinet et al</w:t>
      </w:r>
      <w:r w:rsidR="00C778E3" w:rsidRPr="00FE1496">
        <w:rPr>
          <w:rFonts w:ascii="Arial" w:hAnsi="Arial" w:cs="Arial"/>
          <w:sz w:val="20"/>
          <w:szCs w:val="20"/>
        </w:rPr>
        <w:t>.</w:t>
      </w:r>
      <w:r w:rsidR="00A33FA6" w:rsidRPr="00FE1496">
        <w:rPr>
          <w:rFonts w:ascii="Arial" w:hAnsi="Arial" w:cs="Arial"/>
          <w:sz w:val="20"/>
          <w:szCs w:val="20"/>
        </w:rPr>
        <w:t xml:space="preserve"> (2012) claim </w:t>
      </w:r>
      <w:r w:rsidRPr="00FE1496">
        <w:rPr>
          <w:rFonts w:ascii="Arial" w:hAnsi="Arial" w:cs="Arial"/>
          <w:sz w:val="20"/>
          <w:szCs w:val="20"/>
        </w:rPr>
        <w:t xml:space="preserve">that </w:t>
      </w:r>
      <w:r w:rsidR="00A33FA6" w:rsidRPr="00FE1496">
        <w:rPr>
          <w:rFonts w:ascii="Arial" w:hAnsi="Arial" w:cs="Arial"/>
          <w:sz w:val="20"/>
          <w:szCs w:val="20"/>
        </w:rPr>
        <w:t xml:space="preserve">processing speed is not the sole cause of age-related cognitive decline. Specifically, they aimed to understand which of these competing theories best explained cognitive decline in older people, </w:t>
      </w:r>
      <w:r w:rsidRPr="00FE1496">
        <w:rPr>
          <w:rFonts w:ascii="Arial" w:hAnsi="Arial" w:cs="Arial"/>
          <w:sz w:val="20"/>
          <w:szCs w:val="20"/>
        </w:rPr>
        <w:t xml:space="preserve">the </w:t>
      </w:r>
      <w:r w:rsidR="00A33FA6" w:rsidRPr="00FE1496">
        <w:rPr>
          <w:rFonts w:ascii="Arial" w:hAnsi="Arial" w:cs="Arial"/>
          <w:sz w:val="20"/>
          <w:szCs w:val="20"/>
        </w:rPr>
        <w:t>processing speed theory or the prefrontal executive theory. Their study sampled a total of 67 participants, 28 young adults (18–32 years) and 39 healthy older adults (65–80 years) free from any neurological disease</w:t>
      </w:r>
      <w:r w:rsidRPr="00FE1496">
        <w:rPr>
          <w:rFonts w:ascii="Arial" w:hAnsi="Arial" w:cs="Arial"/>
          <w:sz w:val="20"/>
          <w:szCs w:val="20"/>
        </w:rPr>
        <w:t>,</w:t>
      </w:r>
      <w:r w:rsidR="00A33FA6" w:rsidRPr="00FE1496">
        <w:rPr>
          <w:rFonts w:ascii="Arial" w:hAnsi="Arial" w:cs="Arial"/>
          <w:sz w:val="20"/>
          <w:szCs w:val="20"/>
        </w:rPr>
        <w:t xml:space="preserve"> including </w:t>
      </w:r>
      <w:r w:rsidR="009A1C95">
        <w:rPr>
          <w:rFonts w:ascii="Arial" w:hAnsi="Arial" w:cs="Arial"/>
          <w:sz w:val="20"/>
          <w:szCs w:val="20"/>
        </w:rPr>
        <w:t>d</w:t>
      </w:r>
      <w:r w:rsidR="00A33FA6" w:rsidRPr="00FE1496">
        <w:rPr>
          <w:rFonts w:ascii="Arial" w:hAnsi="Arial" w:cs="Arial"/>
          <w:sz w:val="20"/>
          <w:szCs w:val="20"/>
        </w:rPr>
        <w:t xml:space="preserve">ementia. Participants performed a battery of nine neuropsychological tests, three of which </w:t>
      </w:r>
      <w:r w:rsidR="000E575A" w:rsidRPr="00FE1496">
        <w:rPr>
          <w:rFonts w:ascii="Arial" w:hAnsi="Arial" w:cs="Arial"/>
          <w:sz w:val="20"/>
          <w:szCs w:val="20"/>
        </w:rPr>
        <w:t>tested</w:t>
      </w:r>
      <w:r w:rsidR="00A33FA6" w:rsidRPr="00FE1496">
        <w:rPr>
          <w:rFonts w:ascii="Arial" w:hAnsi="Arial" w:cs="Arial"/>
          <w:sz w:val="20"/>
          <w:szCs w:val="20"/>
        </w:rPr>
        <w:t xml:space="preserve"> </w:t>
      </w:r>
      <w:r w:rsidRPr="00FE1496">
        <w:rPr>
          <w:rFonts w:ascii="Arial" w:hAnsi="Arial" w:cs="Arial"/>
          <w:sz w:val="20"/>
          <w:szCs w:val="20"/>
        </w:rPr>
        <w:t xml:space="preserve">the </w:t>
      </w:r>
      <w:r w:rsidR="00A33FA6" w:rsidRPr="00FE1496">
        <w:rPr>
          <w:rFonts w:ascii="Arial" w:hAnsi="Arial" w:cs="Arial"/>
          <w:sz w:val="20"/>
          <w:szCs w:val="20"/>
        </w:rPr>
        <w:t xml:space="preserve">speed of processing and consisted of a simple reaction time task (SRT), </w:t>
      </w:r>
      <w:r w:rsidRPr="00FE1496">
        <w:rPr>
          <w:rFonts w:ascii="Arial" w:hAnsi="Arial" w:cs="Arial"/>
          <w:sz w:val="20"/>
          <w:szCs w:val="20"/>
        </w:rPr>
        <w:t xml:space="preserve">a </w:t>
      </w:r>
      <w:r w:rsidR="00A33FA6" w:rsidRPr="00FE1496">
        <w:rPr>
          <w:rFonts w:ascii="Arial" w:hAnsi="Arial" w:cs="Arial"/>
          <w:sz w:val="20"/>
          <w:szCs w:val="20"/>
        </w:rPr>
        <w:t>choice reaction time task (CRT)</w:t>
      </w:r>
      <w:r w:rsidR="009A1C95">
        <w:rPr>
          <w:rFonts w:ascii="Arial" w:hAnsi="Arial" w:cs="Arial"/>
          <w:sz w:val="20"/>
          <w:szCs w:val="20"/>
        </w:rPr>
        <w:t xml:space="preserve">, </w:t>
      </w:r>
      <w:r w:rsidR="00A33FA6" w:rsidRPr="00FE1496">
        <w:rPr>
          <w:rFonts w:ascii="Arial" w:hAnsi="Arial" w:cs="Arial"/>
          <w:sz w:val="20"/>
          <w:szCs w:val="20"/>
        </w:rPr>
        <w:t>and a digit symbol substitution task.</w:t>
      </w:r>
      <w:r w:rsidR="003A0678" w:rsidRPr="00FE1496">
        <w:rPr>
          <w:rFonts w:ascii="Arial" w:hAnsi="Arial" w:cs="Arial"/>
          <w:sz w:val="20"/>
          <w:szCs w:val="20"/>
        </w:rPr>
        <w:t xml:space="preserve"> </w:t>
      </w:r>
      <w:r w:rsidR="005007A0" w:rsidRPr="00FE1496">
        <w:rPr>
          <w:rFonts w:ascii="Arial" w:hAnsi="Arial" w:cs="Arial"/>
          <w:sz w:val="20"/>
          <w:szCs w:val="20"/>
        </w:rPr>
        <w:t>This study’s</w:t>
      </w:r>
      <w:r w:rsidR="003A0678" w:rsidRPr="00FE1496">
        <w:rPr>
          <w:rFonts w:ascii="Arial" w:hAnsi="Arial" w:cs="Arial"/>
          <w:sz w:val="20"/>
          <w:szCs w:val="20"/>
        </w:rPr>
        <w:t xml:space="preserve"> primary objective was to examine the relationship between executive functioning and processing speed</w:t>
      </w:r>
      <w:r w:rsidR="009A1C95">
        <w:rPr>
          <w:rFonts w:ascii="Arial" w:hAnsi="Arial" w:cs="Arial"/>
          <w:sz w:val="20"/>
          <w:szCs w:val="20"/>
        </w:rPr>
        <w:t xml:space="preserve"> h</w:t>
      </w:r>
      <w:r w:rsidR="00A33FA6" w:rsidRPr="00FE1496">
        <w:rPr>
          <w:rFonts w:ascii="Arial" w:hAnsi="Arial" w:cs="Arial"/>
          <w:sz w:val="20"/>
          <w:szCs w:val="20"/>
        </w:rPr>
        <w:t>owever, Albinet et al</w:t>
      </w:r>
      <w:r w:rsidR="00C778E3" w:rsidRPr="00FE1496">
        <w:rPr>
          <w:rFonts w:ascii="Arial" w:hAnsi="Arial" w:cs="Arial"/>
          <w:sz w:val="20"/>
          <w:szCs w:val="20"/>
        </w:rPr>
        <w:t>.</w:t>
      </w:r>
      <w:r w:rsidR="00A33FA6" w:rsidRPr="00FE1496">
        <w:rPr>
          <w:rFonts w:ascii="Arial" w:hAnsi="Arial" w:cs="Arial"/>
          <w:sz w:val="20"/>
          <w:szCs w:val="20"/>
        </w:rPr>
        <w:t xml:space="preserve"> (2012) concluded that not only does processing speed play a limited role in the relationship between executive functioning and age, but also that older adults' performance on tasks depends on functions other than processing speed. According to their findings, although processing speed can </w:t>
      </w:r>
      <w:r w:rsidR="005007A0" w:rsidRPr="00FE1496">
        <w:rPr>
          <w:rFonts w:ascii="Arial" w:hAnsi="Arial" w:cs="Arial"/>
          <w:sz w:val="20"/>
          <w:szCs w:val="20"/>
        </w:rPr>
        <w:t>undoubtedly</w:t>
      </w:r>
      <w:r w:rsidR="00A33FA6" w:rsidRPr="00FE1496">
        <w:rPr>
          <w:rFonts w:ascii="Arial" w:hAnsi="Arial" w:cs="Arial"/>
          <w:sz w:val="20"/>
          <w:szCs w:val="20"/>
        </w:rPr>
        <w:t xml:space="preserve"> contribute to age related deficits in cognition, processing speed alone cannot explain age-related cognitive decline.</w:t>
      </w:r>
    </w:p>
    <w:p w14:paraId="54C85F1D" w14:textId="7CBAEA30" w:rsidR="00A33FA6" w:rsidRPr="00FE1496" w:rsidRDefault="00A33FA6" w:rsidP="00FE1496">
      <w:pPr>
        <w:spacing w:line="276" w:lineRule="auto"/>
        <w:rPr>
          <w:rFonts w:ascii="Arial" w:hAnsi="Arial" w:cs="Arial"/>
          <w:sz w:val="20"/>
          <w:szCs w:val="20"/>
        </w:rPr>
      </w:pPr>
      <w:r w:rsidRPr="00FE1496">
        <w:rPr>
          <w:rFonts w:ascii="Arial" w:hAnsi="Arial" w:cs="Arial"/>
          <w:sz w:val="20"/>
          <w:szCs w:val="20"/>
        </w:rPr>
        <w:t xml:space="preserve">As </w:t>
      </w:r>
      <w:r w:rsidR="009A1C95">
        <w:rPr>
          <w:rFonts w:ascii="Arial" w:hAnsi="Arial" w:cs="Arial"/>
          <w:sz w:val="20"/>
          <w:szCs w:val="20"/>
        </w:rPr>
        <w:t>discussed</w:t>
      </w:r>
      <w:r w:rsidRPr="00FE1496">
        <w:rPr>
          <w:rFonts w:ascii="Arial" w:hAnsi="Arial" w:cs="Arial"/>
          <w:sz w:val="20"/>
          <w:szCs w:val="20"/>
        </w:rPr>
        <w:t xml:space="preserve"> above, </w:t>
      </w:r>
      <w:r w:rsidR="005007A0" w:rsidRPr="00FE1496">
        <w:rPr>
          <w:rFonts w:ascii="Arial" w:hAnsi="Arial" w:cs="Arial"/>
          <w:sz w:val="20"/>
          <w:szCs w:val="20"/>
        </w:rPr>
        <w:t xml:space="preserve">the </w:t>
      </w:r>
      <w:r w:rsidRPr="00FE1496">
        <w:rPr>
          <w:rFonts w:ascii="Arial" w:hAnsi="Arial" w:cs="Arial"/>
          <w:sz w:val="20"/>
          <w:szCs w:val="20"/>
        </w:rPr>
        <w:t xml:space="preserve">prefrontal executive theory is a competing theory to the speed of processing theory. Based on the work of Dempster (1992), West (1996) formalised executive functioning and </w:t>
      </w:r>
      <w:r w:rsidR="005007A0" w:rsidRPr="00FE1496">
        <w:rPr>
          <w:rFonts w:ascii="Arial" w:hAnsi="Arial" w:cs="Arial"/>
          <w:sz w:val="20"/>
          <w:szCs w:val="20"/>
        </w:rPr>
        <w:t>hypothesised</w:t>
      </w:r>
      <w:r w:rsidRPr="00FE1496">
        <w:rPr>
          <w:rFonts w:ascii="Arial" w:hAnsi="Arial" w:cs="Arial"/>
          <w:sz w:val="20"/>
          <w:szCs w:val="20"/>
        </w:rPr>
        <w:t xml:space="preserve"> that higher order cognitive functions, including control and coordination of basic cognitive operations, are </w:t>
      </w:r>
      <w:r w:rsidR="005007A0" w:rsidRPr="00FE1496">
        <w:rPr>
          <w:rFonts w:ascii="Arial" w:hAnsi="Arial" w:cs="Arial"/>
          <w:sz w:val="20"/>
          <w:szCs w:val="20"/>
        </w:rPr>
        <w:t>susceptible</w:t>
      </w:r>
      <w:r w:rsidRPr="00FE1496">
        <w:rPr>
          <w:rFonts w:ascii="Arial" w:hAnsi="Arial" w:cs="Arial"/>
          <w:sz w:val="20"/>
          <w:szCs w:val="20"/>
        </w:rPr>
        <w:t xml:space="preserve"> to natural </w:t>
      </w:r>
      <w:r w:rsidR="005007A0" w:rsidRPr="00FE1496">
        <w:rPr>
          <w:rFonts w:ascii="Arial" w:hAnsi="Arial" w:cs="Arial"/>
          <w:sz w:val="20"/>
          <w:szCs w:val="20"/>
        </w:rPr>
        <w:t>ageing</w:t>
      </w:r>
      <w:r w:rsidRPr="00FE1496">
        <w:rPr>
          <w:rFonts w:ascii="Arial" w:hAnsi="Arial" w:cs="Arial"/>
          <w:sz w:val="20"/>
          <w:szCs w:val="20"/>
        </w:rPr>
        <w:t xml:space="preserve"> effects (Phillips &amp; Henry, 2008). Clarys et al</w:t>
      </w:r>
      <w:r w:rsidR="00C778E3" w:rsidRPr="00FE1496">
        <w:rPr>
          <w:rFonts w:ascii="Arial" w:hAnsi="Arial" w:cs="Arial"/>
          <w:sz w:val="20"/>
          <w:szCs w:val="20"/>
        </w:rPr>
        <w:t>.</w:t>
      </w:r>
      <w:r w:rsidRPr="00FE1496">
        <w:rPr>
          <w:rFonts w:ascii="Arial" w:hAnsi="Arial" w:cs="Arial"/>
          <w:sz w:val="20"/>
          <w:szCs w:val="20"/>
        </w:rPr>
        <w:t xml:space="preserve"> (2009) examined the relationship between executive functions and memory decline with age. Their study sampled 88 participants, 44 young adults (18-33 years) and 44 older adults (61-85 years)</w:t>
      </w:r>
      <w:r w:rsidR="005007A0" w:rsidRPr="00FE1496">
        <w:rPr>
          <w:rFonts w:ascii="Arial" w:hAnsi="Arial" w:cs="Arial"/>
          <w:sz w:val="20"/>
          <w:szCs w:val="20"/>
        </w:rPr>
        <w:t>,</w:t>
      </w:r>
      <w:r w:rsidRPr="00FE1496">
        <w:rPr>
          <w:rFonts w:ascii="Arial" w:hAnsi="Arial" w:cs="Arial"/>
          <w:sz w:val="20"/>
          <w:szCs w:val="20"/>
        </w:rPr>
        <w:t xml:space="preserve"> who were screened for dementia </w:t>
      </w:r>
      <w:r w:rsidR="005007A0" w:rsidRPr="00FE1496">
        <w:rPr>
          <w:rFonts w:ascii="Arial" w:hAnsi="Arial" w:cs="Arial"/>
          <w:sz w:val="20"/>
          <w:szCs w:val="20"/>
        </w:rPr>
        <w:t>before the study commenced</w:t>
      </w:r>
      <w:r w:rsidR="00CC5552" w:rsidRPr="00FE1496">
        <w:rPr>
          <w:rFonts w:ascii="Arial" w:hAnsi="Arial" w:cs="Arial"/>
          <w:sz w:val="20"/>
          <w:szCs w:val="20"/>
        </w:rPr>
        <w:t xml:space="preserve"> to ensure that no participant had dementia</w:t>
      </w:r>
      <w:r w:rsidRPr="00FE1496">
        <w:rPr>
          <w:rFonts w:ascii="Arial" w:hAnsi="Arial" w:cs="Arial"/>
          <w:sz w:val="20"/>
          <w:szCs w:val="20"/>
        </w:rPr>
        <w:t xml:space="preserve">. A recognition memory test was conducted using the Remember/Know/Guess method, as well as tests of executive function (Wisconsin Card Sorting Test, Number-letter Task, 2-back Test, and Stroop Colour-Word Test). </w:t>
      </w:r>
      <w:r w:rsidR="005007A0" w:rsidRPr="00FE1496">
        <w:rPr>
          <w:rFonts w:ascii="Arial" w:hAnsi="Arial" w:cs="Arial"/>
          <w:sz w:val="20"/>
          <w:szCs w:val="20"/>
        </w:rPr>
        <w:t>Following</w:t>
      </w:r>
      <w:r w:rsidRPr="00FE1496">
        <w:rPr>
          <w:rFonts w:ascii="Arial" w:hAnsi="Arial" w:cs="Arial"/>
          <w:sz w:val="20"/>
          <w:szCs w:val="20"/>
        </w:rPr>
        <w:t xml:space="preserve"> West's (1996) executive decline hypothesis, participants older than 50 </w:t>
      </w:r>
      <w:r w:rsidR="000E575A" w:rsidRPr="00FE1496">
        <w:rPr>
          <w:rFonts w:ascii="Arial" w:hAnsi="Arial" w:cs="Arial"/>
          <w:sz w:val="20"/>
          <w:szCs w:val="20"/>
        </w:rPr>
        <w:t>significantly declined</w:t>
      </w:r>
      <w:r w:rsidRPr="00FE1496">
        <w:rPr>
          <w:rFonts w:ascii="Arial" w:hAnsi="Arial" w:cs="Arial"/>
          <w:sz w:val="20"/>
          <w:szCs w:val="20"/>
        </w:rPr>
        <w:t xml:space="preserve"> in both complex and specific executive function tasks</w:t>
      </w:r>
      <w:r w:rsidR="009A1C95">
        <w:rPr>
          <w:rFonts w:ascii="Arial" w:hAnsi="Arial" w:cs="Arial"/>
          <w:sz w:val="20"/>
          <w:szCs w:val="20"/>
        </w:rPr>
        <w:t xml:space="preserve">, supporting the </w:t>
      </w:r>
      <w:r w:rsidR="00491E88" w:rsidRPr="00FE1496">
        <w:rPr>
          <w:rFonts w:ascii="Arial" w:hAnsi="Arial" w:cs="Arial"/>
          <w:sz w:val="20"/>
          <w:szCs w:val="20"/>
        </w:rPr>
        <w:t>hypothesis that specific executive deficits can cause a decline in memory efficiency with age</w:t>
      </w:r>
      <w:r w:rsidR="009A1C95">
        <w:rPr>
          <w:rFonts w:ascii="Arial" w:hAnsi="Arial" w:cs="Arial"/>
          <w:sz w:val="20"/>
          <w:szCs w:val="20"/>
        </w:rPr>
        <w:t xml:space="preserve">. </w:t>
      </w:r>
    </w:p>
    <w:p w14:paraId="6528C64F" w14:textId="2EFC7561"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Based on the evidence above</w:t>
      </w:r>
      <w:r w:rsidR="005007A0" w:rsidRPr="00FE1496">
        <w:rPr>
          <w:rFonts w:ascii="Arial" w:hAnsi="Arial" w:cs="Arial"/>
          <w:sz w:val="20"/>
          <w:szCs w:val="20"/>
        </w:rPr>
        <w:t>,</w:t>
      </w:r>
      <w:r w:rsidRPr="00FE1496">
        <w:rPr>
          <w:rFonts w:ascii="Arial" w:hAnsi="Arial" w:cs="Arial"/>
          <w:sz w:val="20"/>
          <w:szCs w:val="20"/>
        </w:rPr>
        <w:t xml:space="preserve"> it appears that the evidence is </w:t>
      </w:r>
      <w:r w:rsidR="005007A0" w:rsidRPr="00FE1496">
        <w:rPr>
          <w:rFonts w:ascii="Arial" w:hAnsi="Arial" w:cs="Arial"/>
          <w:sz w:val="20"/>
          <w:szCs w:val="20"/>
        </w:rPr>
        <w:t>more substantial</w:t>
      </w:r>
      <w:r w:rsidRPr="00FE1496">
        <w:rPr>
          <w:rFonts w:ascii="Arial" w:hAnsi="Arial" w:cs="Arial"/>
          <w:sz w:val="20"/>
          <w:szCs w:val="20"/>
        </w:rPr>
        <w:t xml:space="preserve"> for </w:t>
      </w:r>
      <w:r w:rsidR="005007A0" w:rsidRPr="00FE1496">
        <w:rPr>
          <w:rFonts w:ascii="Arial" w:hAnsi="Arial" w:cs="Arial"/>
          <w:sz w:val="20"/>
          <w:szCs w:val="20"/>
        </w:rPr>
        <w:t xml:space="preserve">the </w:t>
      </w:r>
      <w:r w:rsidRPr="00FE1496">
        <w:rPr>
          <w:rFonts w:ascii="Arial" w:hAnsi="Arial" w:cs="Arial"/>
          <w:sz w:val="20"/>
          <w:szCs w:val="20"/>
        </w:rPr>
        <w:t>speed of processing theory</w:t>
      </w:r>
      <w:r w:rsidR="005007A0" w:rsidRPr="00FE1496">
        <w:rPr>
          <w:rFonts w:ascii="Arial" w:hAnsi="Arial" w:cs="Arial"/>
          <w:sz w:val="20"/>
          <w:szCs w:val="20"/>
        </w:rPr>
        <w:t>; however,</w:t>
      </w:r>
      <w:r w:rsidRPr="00FE1496">
        <w:rPr>
          <w:rFonts w:ascii="Arial" w:hAnsi="Arial" w:cs="Arial"/>
          <w:sz w:val="20"/>
          <w:szCs w:val="20"/>
        </w:rPr>
        <w:t xml:space="preserve"> there is insufficient evidence to </w:t>
      </w:r>
      <w:r w:rsidR="00E861A4">
        <w:rPr>
          <w:rFonts w:ascii="Arial" w:hAnsi="Arial" w:cs="Arial"/>
          <w:sz w:val="20"/>
          <w:szCs w:val="20"/>
        </w:rPr>
        <w:t xml:space="preserve">definitively </w:t>
      </w:r>
      <w:r w:rsidR="000E575A" w:rsidRPr="00FE1496">
        <w:rPr>
          <w:rFonts w:ascii="Arial" w:hAnsi="Arial" w:cs="Arial"/>
          <w:sz w:val="20"/>
          <w:szCs w:val="20"/>
        </w:rPr>
        <w:t>conclude</w:t>
      </w:r>
      <w:r w:rsidRPr="00FE1496">
        <w:rPr>
          <w:rFonts w:ascii="Arial" w:hAnsi="Arial" w:cs="Arial"/>
          <w:sz w:val="20"/>
          <w:szCs w:val="20"/>
        </w:rPr>
        <w:t xml:space="preserve"> why memory declines with age. More research is needed to explore this incredibly important topic using a </w:t>
      </w:r>
      <w:r w:rsidRPr="00FE1496">
        <w:rPr>
          <w:rFonts w:ascii="Arial" w:hAnsi="Arial" w:cs="Arial"/>
          <w:sz w:val="20"/>
          <w:szCs w:val="20"/>
        </w:rPr>
        <w:lastRenderedPageBreak/>
        <w:t>multivariate approach to understand the complex relationships between cognitive decline and brain ageing.</w:t>
      </w:r>
    </w:p>
    <w:p w14:paraId="7098E451" w14:textId="52A5192A" w:rsidR="00201404" w:rsidRPr="00FE1496" w:rsidRDefault="00201404" w:rsidP="00FE1496">
      <w:pPr>
        <w:spacing w:line="276" w:lineRule="auto"/>
        <w:rPr>
          <w:rFonts w:ascii="Arial" w:hAnsi="Arial" w:cs="Arial"/>
          <w:b/>
          <w:bCs/>
          <w:sz w:val="20"/>
          <w:szCs w:val="20"/>
          <w:u w:val="single"/>
        </w:rPr>
      </w:pPr>
      <w:r w:rsidRPr="00FE1496">
        <w:rPr>
          <w:rFonts w:ascii="Arial" w:hAnsi="Arial" w:cs="Arial"/>
          <w:b/>
          <w:bCs/>
          <w:sz w:val="20"/>
          <w:szCs w:val="20"/>
          <w:u w:val="single"/>
        </w:rPr>
        <w:t>Part 2: Using empirical evidence</w:t>
      </w:r>
      <w:r w:rsidR="005007A0" w:rsidRPr="00FE1496">
        <w:rPr>
          <w:rFonts w:ascii="Arial" w:hAnsi="Arial" w:cs="Arial"/>
          <w:b/>
          <w:bCs/>
          <w:sz w:val="20"/>
          <w:szCs w:val="20"/>
          <w:u w:val="single"/>
        </w:rPr>
        <w:t>,</w:t>
      </w:r>
      <w:r w:rsidRPr="00FE1496">
        <w:rPr>
          <w:rFonts w:ascii="Arial" w:hAnsi="Arial" w:cs="Arial"/>
          <w:b/>
          <w:bCs/>
          <w:sz w:val="20"/>
          <w:szCs w:val="20"/>
          <w:u w:val="single"/>
        </w:rPr>
        <w:t xml:space="preserve"> critically discuss how an individual could slow down cognitive decline.</w:t>
      </w:r>
    </w:p>
    <w:p w14:paraId="452E553E" w14:textId="7BCF21F7"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 xml:space="preserve">Due to the increasing ageing population and the frequency of cognitive decline in older people, </w:t>
      </w:r>
      <w:r w:rsidR="00491E88" w:rsidRPr="00FE1496">
        <w:rPr>
          <w:rFonts w:ascii="Arial" w:hAnsi="Arial" w:cs="Arial"/>
          <w:sz w:val="20"/>
          <w:szCs w:val="20"/>
        </w:rPr>
        <w:t>there has been increasing interest in assessing how certain lifestyles may prevent or slow down cognitive decline (Erickson &amp; Kramer, 2009).</w:t>
      </w:r>
      <w:r w:rsidR="007560A2">
        <w:rPr>
          <w:rFonts w:ascii="Arial" w:hAnsi="Arial" w:cs="Arial"/>
          <w:sz w:val="20"/>
          <w:szCs w:val="20"/>
        </w:rPr>
        <w:t xml:space="preserve"> </w:t>
      </w:r>
      <w:r w:rsidRPr="00FE1496">
        <w:rPr>
          <w:rFonts w:ascii="Arial" w:hAnsi="Arial" w:cs="Arial"/>
          <w:sz w:val="20"/>
          <w:szCs w:val="20"/>
        </w:rPr>
        <w:t xml:space="preserve">According to Nissim et al. (2020), there is evidence to suggest that physical activity is beneficial for decreasing the cognitive </w:t>
      </w:r>
      <w:r w:rsidR="005007A0" w:rsidRPr="00FE1496">
        <w:rPr>
          <w:rFonts w:ascii="Arial" w:hAnsi="Arial" w:cs="Arial"/>
          <w:sz w:val="20"/>
          <w:szCs w:val="20"/>
        </w:rPr>
        <w:t>effects</w:t>
      </w:r>
      <w:r w:rsidRPr="00FE1496">
        <w:rPr>
          <w:rFonts w:ascii="Arial" w:hAnsi="Arial" w:cs="Arial"/>
          <w:sz w:val="20"/>
          <w:szCs w:val="20"/>
        </w:rPr>
        <w:t xml:space="preserve"> of ageing</w:t>
      </w:r>
      <w:r w:rsidR="009A1C95">
        <w:rPr>
          <w:rFonts w:ascii="Arial" w:hAnsi="Arial" w:cs="Arial"/>
          <w:sz w:val="20"/>
          <w:szCs w:val="20"/>
        </w:rPr>
        <w:t>, with</w:t>
      </w:r>
      <w:r w:rsidR="00491E88" w:rsidRPr="00FE1496">
        <w:rPr>
          <w:rFonts w:ascii="Arial" w:hAnsi="Arial" w:cs="Arial"/>
          <w:sz w:val="20"/>
          <w:szCs w:val="20"/>
        </w:rPr>
        <w:t xml:space="preserve"> research </w:t>
      </w:r>
      <w:r w:rsidR="009A1C95">
        <w:rPr>
          <w:rFonts w:ascii="Arial" w:hAnsi="Arial" w:cs="Arial"/>
          <w:sz w:val="20"/>
          <w:szCs w:val="20"/>
        </w:rPr>
        <w:t xml:space="preserve">indicating that </w:t>
      </w:r>
      <w:r w:rsidR="00491E88" w:rsidRPr="00FE1496">
        <w:rPr>
          <w:rFonts w:ascii="Arial" w:hAnsi="Arial" w:cs="Arial"/>
          <w:sz w:val="20"/>
          <w:szCs w:val="20"/>
        </w:rPr>
        <w:t xml:space="preserve">strength training, also known as resistance training, </w:t>
      </w:r>
      <w:r w:rsidR="009A1C95">
        <w:rPr>
          <w:rFonts w:ascii="Arial" w:hAnsi="Arial" w:cs="Arial"/>
          <w:sz w:val="20"/>
          <w:szCs w:val="20"/>
        </w:rPr>
        <w:t xml:space="preserve">can be </w:t>
      </w:r>
      <w:r w:rsidR="00491E88" w:rsidRPr="00FE1496">
        <w:rPr>
          <w:rFonts w:ascii="Arial" w:hAnsi="Arial" w:cs="Arial"/>
          <w:sz w:val="20"/>
          <w:szCs w:val="20"/>
        </w:rPr>
        <w:t xml:space="preserve">particularly </w:t>
      </w:r>
      <w:r w:rsidR="007F1FE3">
        <w:rPr>
          <w:rFonts w:ascii="Arial" w:hAnsi="Arial" w:cs="Arial"/>
          <w:sz w:val="20"/>
          <w:szCs w:val="20"/>
        </w:rPr>
        <w:t>helpful</w:t>
      </w:r>
      <w:r w:rsidR="00491E88" w:rsidRPr="00FE1496">
        <w:rPr>
          <w:rFonts w:ascii="Arial" w:hAnsi="Arial" w:cs="Arial"/>
          <w:sz w:val="20"/>
          <w:szCs w:val="20"/>
        </w:rPr>
        <w:t xml:space="preserve"> for the elderly </w:t>
      </w:r>
      <w:r w:rsidRPr="00FE1496">
        <w:rPr>
          <w:rFonts w:ascii="Arial" w:hAnsi="Arial" w:cs="Arial"/>
          <w:sz w:val="20"/>
          <w:szCs w:val="20"/>
        </w:rPr>
        <w:t xml:space="preserve">(Pate et al., 1995). Busse et al. (2008) looked at the effects of resistance training and its </w:t>
      </w:r>
      <w:r w:rsidR="000E575A" w:rsidRPr="00FE1496">
        <w:rPr>
          <w:rFonts w:ascii="Arial" w:hAnsi="Arial" w:cs="Arial"/>
          <w:sz w:val="20"/>
          <w:szCs w:val="20"/>
        </w:rPr>
        <w:t>impact</w:t>
      </w:r>
      <w:r w:rsidRPr="00FE1496">
        <w:rPr>
          <w:rFonts w:ascii="Arial" w:hAnsi="Arial" w:cs="Arial"/>
          <w:sz w:val="20"/>
          <w:szCs w:val="20"/>
        </w:rPr>
        <w:t xml:space="preserve"> on cognitive performance by using a battery of tests to measure the </w:t>
      </w:r>
      <w:r w:rsidR="000E575A" w:rsidRPr="00FE1496">
        <w:rPr>
          <w:rFonts w:ascii="Arial" w:hAnsi="Arial" w:cs="Arial"/>
          <w:sz w:val="20"/>
          <w:szCs w:val="20"/>
        </w:rPr>
        <w:t>results</w:t>
      </w:r>
      <w:r w:rsidRPr="00FE1496">
        <w:rPr>
          <w:rFonts w:ascii="Arial" w:hAnsi="Arial" w:cs="Arial"/>
          <w:sz w:val="20"/>
          <w:szCs w:val="20"/>
        </w:rPr>
        <w:t xml:space="preserve"> of a training programme on thirty one sedentary elderly participants varying from 62 to 86 years. To assess cognition, four tests were used, The Cambridge Cognitive Test (CAMCOG), The Rivermead Behavioural Memory Test (RBMT), The Memory Complaints Scale (MCS) and The Wechsler Adult Intelligence Scale (WAIS). Participants were split into two groups</w:t>
      </w:r>
      <w:r w:rsidR="005007A0" w:rsidRPr="00FE1496">
        <w:rPr>
          <w:rFonts w:ascii="Arial" w:hAnsi="Arial" w:cs="Arial"/>
          <w:sz w:val="20"/>
          <w:szCs w:val="20"/>
        </w:rPr>
        <w:t>,</w:t>
      </w:r>
      <w:r w:rsidRPr="00FE1496">
        <w:rPr>
          <w:rFonts w:ascii="Arial" w:hAnsi="Arial" w:cs="Arial"/>
          <w:sz w:val="20"/>
          <w:szCs w:val="20"/>
        </w:rPr>
        <w:t xml:space="preserve"> with the study lasting nine months</w:t>
      </w:r>
      <w:r w:rsidR="005007A0" w:rsidRPr="00FE1496">
        <w:rPr>
          <w:rFonts w:ascii="Arial" w:hAnsi="Arial" w:cs="Arial"/>
          <w:sz w:val="20"/>
          <w:szCs w:val="20"/>
        </w:rPr>
        <w:t>. During this time,</w:t>
      </w:r>
      <w:r w:rsidRPr="00FE1496">
        <w:rPr>
          <w:rFonts w:ascii="Arial" w:hAnsi="Arial" w:cs="Arial"/>
          <w:sz w:val="20"/>
          <w:szCs w:val="20"/>
        </w:rPr>
        <w:t xml:space="preserve"> the physical activity group (PA) and the control group were assessed for their cognition skills at intervals. Overall, the results showed a significant improvement in cognitive function in the group who participated in resistance exercise</w:t>
      </w:r>
      <w:r w:rsidR="005007A0" w:rsidRPr="00FE1496">
        <w:rPr>
          <w:rFonts w:ascii="Arial" w:hAnsi="Arial" w:cs="Arial"/>
          <w:sz w:val="20"/>
          <w:szCs w:val="20"/>
        </w:rPr>
        <w:t>. The PA showed an increase of statistical significance,</w:t>
      </w:r>
      <w:r w:rsidRPr="00FE1496">
        <w:rPr>
          <w:rFonts w:ascii="Arial" w:hAnsi="Arial" w:cs="Arial"/>
          <w:sz w:val="20"/>
          <w:szCs w:val="20"/>
        </w:rPr>
        <w:t xml:space="preserve"> which supports the hypothesis that resistance exercise has a positive role in cognitive functioning. </w:t>
      </w:r>
      <w:r w:rsidR="005007A0" w:rsidRPr="00FE1496">
        <w:rPr>
          <w:rFonts w:ascii="Arial" w:hAnsi="Arial" w:cs="Arial"/>
          <w:sz w:val="20"/>
          <w:szCs w:val="20"/>
        </w:rPr>
        <w:t xml:space="preserve">However, this study has several limitations, such as </w:t>
      </w:r>
      <w:r w:rsidR="000E575A" w:rsidRPr="00FE1496">
        <w:rPr>
          <w:rFonts w:ascii="Arial" w:hAnsi="Arial" w:cs="Arial"/>
          <w:sz w:val="20"/>
          <w:szCs w:val="20"/>
        </w:rPr>
        <w:t xml:space="preserve">a </w:t>
      </w:r>
      <w:r w:rsidR="005007A0" w:rsidRPr="00FE1496">
        <w:rPr>
          <w:rFonts w:ascii="Arial" w:hAnsi="Arial" w:cs="Arial"/>
          <w:sz w:val="20"/>
          <w:szCs w:val="20"/>
        </w:rPr>
        <w:t>small sample size and the research being conducted over a relatively short period</w:t>
      </w:r>
      <w:r w:rsidRPr="00FE1496">
        <w:rPr>
          <w:rFonts w:ascii="Arial" w:hAnsi="Arial" w:cs="Arial"/>
          <w:sz w:val="20"/>
          <w:szCs w:val="20"/>
        </w:rPr>
        <w:t xml:space="preserve">. The main disadvantage </w:t>
      </w:r>
      <w:r w:rsidR="005007A0" w:rsidRPr="00FE1496">
        <w:rPr>
          <w:rFonts w:ascii="Arial" w:hAnsi="Arial" w:cs="Arial"/>
          <w:sz w:val="20"/>
          <w:szCs w:val="20"/>
        </w:rPr>
        <w:t xml:space="preserve">was that whilst there was an overall improvement in cognition in the PA, which were </w:t>
      </w:r>
      <w:r w:rsidR="000E575A" w:rsidRPr="00FE1496">
        <w:rPr>
          <w:rFonts w:ascii="Arial" w:hAnsi="Arial" w:cs="Arial"/>
          <w:sz w:val="20"/>
          <w:szCs w:val="20"/>
        </w:rPr>
        <w:t>mainly reflected</w:t>
      </w:r>
      <w:r w:rsidR="005007A0" w:rsidRPr="00FE1496">
        <w:rPr>
          <w:rFonts w:ascii="Arial" w:hAnsi="Arial" w:cs="Arial"/>
          <w:sz w:val="20"/>
          <w:szCs w:val="20"/>
        </w:rPr>
        <w:t xml:space="preserve"> in the results of the RBMT, some tests </w:t>
      </w:r>
      <w:r w:rsidRPr="00FE1496">
        <w:rPr>
          <w:rFonts w:ascii="Arial" w:hAnsi="Arial" w:cs="Arial"/>
          <w:sz w:val="20"/>
          <w:szCs w:val="20"/>
        </w:rPr>
        <w:t>did not report an improvement in cognition. The results of the CAMCOG showed a significant increase in cognition in both the PA and the control group</w:t>
      </w:r>
      <w:r w:rsidR="005007A0" w:rsidRPr="00FE1496">
        <w:rPr>
          <w:rFonts w:ascii="Arial" w:hAnsi="Arial" w:cs="Arial"/>
          <w:sz w:val="20"/>
          <w:szCs w:val="20"/>
        </w:rPr>
        <w:t>; however</w:t>
      </w:r>
      <w:r w:rsidR="000E575A" w:rsidRPr="00FE1496">
        <w:rPr>
          <w:rFonts w:ascii="Arial" w:hAnsi="Arial" w:cs="Arial"/>
          <w:sz w:val="20"/>
          <w:szCs w:val="20"/>
        </w:rPr>
        <w:t>,</w:t>
      </w:r>
      <w:r w:rsidRPr="00FE1496">
        <w:rPr>
          <w:rFonts w:ascii="Arial" w:hAnsi="Arial" w:cs="Arial"/>
          <w:sz w:val="20"/>
          <w:szCs w:val="20"/>
        </w:rPr>
        <w:t xml:space="preserve"> there was no statistical difference between the groups. Therefore, part of the results supports the hypothesis, but part </w:t>
      </w:r>
      <w:r w:rsidR="005007A0" w:rsidRPr="00FE1496">
        <w:rPr>
          <w:rFonts w:ascii="Arial" w:hAnsi="Arial" w:cs="Arial"/>
          <w:sz w:val="20"/>
          <w:szCs w:val="20"/>
        </w:rPr>
        <w:t>does</w:t>
      </w:r>
      <w:r w:rsidRPr="00FE1496">
        <w:rPr>
          <w:rFonts w:ascii="Arial" w:hAnsi="Arial" w:cs="Arial"/>
          <w:sz w:val="20"/>
          <w:szCs w:val="20"/>
        </w:rPr>
        <w:t xml:space="preserve"> not, depending on which cognitive test is used.</w:t>
      </w:r>
    </w:p>
    <w:p w14:paraId="1D88FC00" w14:textId="5AF8D3B4"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 xml:space="preserve">A further limitation </w:t>
      </w:r>
      <w:r w:rsidR="000E575A" w:rsidRPr="00FE1496">
        <w:rPr>
          <w:rFonts w:ascii="Arial" w:hAnsi="Arial" w:cs="Arial"/>
          <w:sz w:val="20"/>
          <w:szCs w:val="20"/>
        </w:rPr>
        <w:t>of</w:t>
      </w:r>
      <w:r w:rsidRPr="00FE1496">
        <w:rPr>
          <w:rFonts w:ascii="Arial" w:hAnsi="Arial" w:cs="Arial"/>
          <w:sz w:val="20"/>
          <w:szCs w:val="20"/>
        </w:rPr>
        <w:t xml:space="preserve"> </w:t>
      </w:r>
      <w:r w:rsidR="005007A0" w:rsidRPr="00FE1496">
        <w:rPr>
          <w:rFonts w:ascii="Arial" w:hAnsi="Arial" w:cs="Arial"/>
          <w:sz w:val="20"/>
          <w:szCs w:val="20"/>
        </w:rPr>
        <w:t xml:space="preserve">this research methodology is that there is no indication </w:t>
      </w:r>
      <w:r w:rsidR="000E575A" w:rsidRPr="00FE1496">
        <w:rPr>
          <w:rFonts w:ascii="Arial" w:hAnsi="Arial" w:cs="Arial"/>
          <w:sz w:val="20"/>
          <w:szCs w:val="20"/>
        </w:rPr>
        <w:t>of</w:t>
      </w:r>
      <w:r w:rsidR="005007A0" w:rsidRPr="00FE1496">
        <w:rPr>
          <w:rFonts w:ascii="Arial" w:hAnsi="Arial" w:cs="Arial"/>
          <w:sz w:val="20"/>
          <w:szCs w:val="20"/>
        </w:rPr>
        <w:t xml:space="preserve"> whether the sampled participants are single/widowed people living alone or </w:t>
      </w:r>
      <w:r w:rsidRPr="00FE1496">
        <w:rPr>
          <w:rFonts w:ascii="Arial" w:hAnsi="Arial" w:cs="Arial"/>
          <w:sz w:val="20"/>
          <w:szCs w:val="20"/>
        </w:rPr>
        <w:t xml:space="preserve">with a partner/spouse. This confounding factor could </w:t>
      </w:r>
      <w:r w:rsidR="005007A0" w:rsidRPr="00FE1496">
        <w:rPr>
          <w:rFonts w:ascii="Arial" w:hAnsi="Arial" w:cs="Arial"/>
          <w:sz w:val="20"/>
          <w:szCs w:val="20"/>
        </w:rPr>
        <w:t>significantly affect</w:t>
      </w:r>
      <w:r w:rsidRPr="00FE1496">
        <w:rPr>
          <w:rFonts w:ascii="Arial" w:hAnsi="Arial" w:cs="Arial"/>
          <w:sz w:val="20"/>
          <w:szCs w:val="20"/>
        </w:rPr>
        <w:t xml:space="preserve"> the results, as research suggests that living with others could be a protective factor for cognitive functioning (Hakansson et al., 2009; Mousavi-Nasab et al</w:t>
      </w:r>
      <w:r w:rsidR="00C778E3" w:rsidRPr="00FE1496">
        <w:rPr>
          <w:rFonts w:ascii="Arial" w:hAnsi="Arial" w:cs="Arial"/>
          <w:sz w:val="20"/>
          <w:szCs w:val="20"/>
        </w:rPr>
        <w:t>.</w:t>
      </w:r>
      <w:r w:rsidRPr="00FE1496">
        <w:rPr>
          <w:rFonts w:ascii="Arial" w:hAnsi="Arial" w:cs="Arial"/>
          <w:sz w:val="20"/>
          <w:szCs w:val="20"/>
        </w:rPr>
        <w:t>, 2012). On the other hand, research by Evans et al</w:t>
      </w:r>
      <w:r w:rsidR="00C778E3" w:rsidRPr="00FE1496">
        <w:rPr>
          <w:rFonts w:ascii="Arial" w:hAnsi="Arial" w:cs="Arial"/>
          <w:sz w:val="20"/>
          <w:szCs w:val="20"/>
        </w:rPr>
        <w:t>.</w:t>
      </w:r>
      <w:r w:rsidRPr="00FE1496">
        <w:rPr>
          <w:rFonts w:ascii="Arial" w:hAnsi="Arial" w:cs="Arial"/>
          <w:sz w:val="20"/>
          <w:szCs w:val="20"/>
        </w:rPr>
        <w:t xml:space="preserve"> (2019) concluded that living alone is not associated with a decline in cognitive function. </w:t>
      </w:r>
    </w:p>
    <w:p w14:paraId="2B3842A0" w14:textId="5EE17FB2"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Arguably</w:t>
      </w:r>
      <w:r w:rsidR="00491E88" w:rsidRPr="00FE1496">
        <w:rPr>
          <w:rFonts w:ascii="Arial" w:hAnsi="Arial" w:cs="Arial"/>
          <w:sz w:val="20"/>
          <w:szCs w:val="20"/>
        </w:rPr>
        <w:t>,</w:t>
      </w:r>
      <w:r w:rsidRPr="00FE1496">
        <w:rPr>
          <w:rFonts w:ascii="Arial" w:hAnsi="Arial" w:cs="Arial"/>
          <w:sz w:val="20"/>
          <w:szCs w:val="20"/>
        </w:rPr>
        <w:t xml:space="preserve"> </w:t>
      </w:r>
      <w:r w:rsidR="00273910" w:rsidRPr="00FE1496">
        <w:rPr>
          <w:rFonts w:ascii="Arial" w:hAnsi="Arial" w:cs="Arial"/>
          <w:sz w:val="20"/>
          <w:szCs w:val="20"/>
        </w:rPr>
        <w:t>resistance training provides a greater opportunity for social interaction</w:t>
      </w:r>
      <w:r w:rsidR="007F1FE3">
        <w:rPr>
          <w:rFonts w:ascii="Arial" w:hAnsi="Arial" w:cs="Arial"/>
          <w:sz w:val="20"/>
          <w:szCs w:val="20"/>
        </w:rPr>
        <w:t>,</w:t>
      </w:r>
      <w:r w:rsidR="00273910" w:rsidRPr="00FE1496">
        <w:rPr>
          <w:rFonts w:ascii="Arial" w:hAnsi="Arial" w:cs="Arial"/>
          <w:sz w:val="20"/>
          <w:szCs w:val="20"/>
        </w:rPr>
        <w:t xml:space="preserve"> which </w:t>
      </w:r>
      <w:r w:rsidRPr="00FE1496">
        <w:rPr>
          <w:rFonts w:ascii="Arial" w:hAnsi="Arial" w:cs="Arial"/>
          <w:sz w:val="20"/>
          <w:szCs w:val="20"/>
        </w:rPr>
        <w:t xml:space="preserve">could have contributed towards improved cognition in the PA as opposed to the </w:t>
      </w:r>
      <w:r w:rsidR="000E575A" w:rsidRPr="00FE1496">
        <w:rPr>
          <w:rFonts w:ascii="Arial" w:hAnsi="Arial" w:cs="Arial"/>
          <w:sz w:val="20"/>
          <w:szCs w:val="20"/>
        </w:rPr>
        <w:t>activity</w:t>
      </w:r>
      <w:r w:rsidRPr="00FE1496">
        <w:rPr>
          <w:rFonts w:ascii="Arial" w:hAnsi="Arial" w:cs="Arial"/>
          <w:sz w:val="20"/>
          <w:szCs w:val="20"/>
        </w:rPr>
        <w:t xml:space="preserve"> itself</w:t>
      </w:r>
      <w:r w:rsidR="005007A0" w:rsidRPr="00FE1496">
        <w:rPr>
          <w:rFonts w:ascii="Arial" w:hAnsi="Arial" w:cs="Arial"/>
          <w:sz w:val="20"/>
          <w:szCs w:val="20"/>
        </w:rPr>
        <w:t>,</w:t>
      </w:r>
      <w:r w:rsidRPr="00FE1496">
        <w:rPr>
          <w:rFonts w:ascii="Arial" w:hAnsi="Arial" w:cs="Arial"/>
          <w:sz w:val="20"/>
          <w:szCs w:val="20"/>
        </w:rPr>
        <w:t xml:space="preserve"> as elderly people who are more socially active experience a lower rate of cognitive decline (James et al., 2020). However, to contradict this theory, experimental research by Dause and Kirby (2019) concluded that the direct role of social interaction in preventing cognitive decline is not known, and that </w:t>
      </w:r>
      <w:r w:rsidR="000E575A" w:rsidRPr="00FE1496">
        <w:rPr>
          <w:rFonts w:ascii="Arial" w:hAnsi="Arial" w:cs="Arial"/>
          <w:sz w:val="20"/>
          <w:szCs w:val="20"/>
        </w:rPr>
        <w:t xml:space="preserve">the biological effects of the exercise </w:t>
      </w:r>
      <w:r w:rsidRPr="00FE1496">
        <w:rPr>
          <w:rFonts w:ascii="Arial" w:hAnsi="Arial" w:cs="Arial"/>
          <w:sz w:val="20"/>
          <w:szCs w:val="20"/>
        </w:rPr>
        <w:t>cause an increase in hippocampal volume resulting in cognitive enrichment. Similarly, Liu-Ambrose et al</w:t>
      </w:r>
      <w:r w:rsidR="00C778E3" w:rsidRPr="00FE1496">
        <w:rPr>
          <w:rFonts w:ascii="Arial" w:hAnsi="Arial" w:cs="Arial"/>
          <w:sz w:val="20"/>
          <w:szCs w:val="20"/>
        </w:rPr>
        <w:t>.</w:t>
      </w:r>
      <w:r w:rsidRPr="00FE1496">
        <w:rPr>
          <w:rFonts w:ascii="Arial" w:hAnsi="Arial" w:cs="Arial"/>
          <w:sz w:val="20"/>
          <w:szCs w:val="20"/>
        </w:rPr>
        <w:t xml:space="preserve"> (2010) </w:t>
      </w:r>
      <w:r w:rsidR="005007A0" w:rsidRPr="00FE1496">
        <w:rPr>
          <w:rFonts w:ascii="Arial" w:hAnsi="Arial" w:cs="Arial"/>
          <w:sz w:val="20"/>
          <w:szCs w:val="20"/>
        </w:rPr>
        <w:t>conducted</w:t>
      </w:r>
      <w:r w:rsidRPr="00FE1496">
        <w:rPr>
          <w:rFonts w:ascii="Arial" w:hAnsi="Arial" w:cs="Arial"/>
          <w:sz w:val="20"/>
          <w:szCs w:val="20"/>
        </w:rPr>
        <w:t xml:space="preserve"> a study of home based exercise in elderly participants, concluding that exercise does not have to occur within the context of social engagement to be effective. On the other hand, Fabre et al</w:t>
      </w:r>
      <w:r w:rsidR="00C778E3" w:rsidRPr="00FE1496">
        <w:rPr>
          <w:rFonts w:ascii="Arial" w:hAnsi="Arial" w:cs="Arial"/>
          <w:sz w:val="20"/>
          <w:szCs w:val="20"/>
        </w:rPr>
        <w:t>.</w:t>
      </w:r>
      <w:r w:rsidRPr="00FE1496">
        <w:rPr>
          <w:rFonts w:ascii="Arial" w:hAnsi="Arial" w:cs="Arial"/>
          <w:sz w:val="20"/>
          <w:szCs w:val="20"/>
        </w:rPr>
        <w:t xml:space="preserve"> (2002) propose that </w:t>
      </w:r>
      <w:r w:rsidR="005007A0" w:rsidRPr="00FE1496">
        <w:rPr>
          <w:rFonts w:ascii="Arial" w:hAnsi="Arial" w:cs="Arial"/>
          <w:sz w:val="20"/>
          <w:szCs w:val="20"/>
        </w:rPr>
        <w:t>combining</w:t>
      </w:r>
      <w:r w:rsidRPr="00FE1496">
        <w:rPr>
          <w:rFonts w:ascii="Arial" w:hAnsi="Arial" w:cs="Arial"/>
          <w:sz w:val="20"/>
          <w:szCs w:val="20"/>
        </w:rPr>
        <w:t xml:space="preserve"> physical exercise plus mental stimulation through social interaction leads to a </w:t>
      </w:r>
      <w:r w:rsidR="005007A0" w:rsidRPr="00FE1496">
        <w:rPr>
          <w:rFonts w:ascii="Arial" w:hAnsi="Arial" w:cs="Arial"/>
          <w:sz w:val="20"/>
          <w:szCs w:val="20"/>
        </w:rPr>
        <w:t>more significant</w:t>
      </w:r>
      <w:r w:rsidRPr="00FE1496">
        <w:rPr>
          <w:rFonts w:ascii="Arial" w:hAnsi="Arial" w:cs="Arial"/>
          <w:sz w:val="20"/>
          <w:szCs w:val="20"/>
        </w:rPr>
        <w:t xml:space="preserve"> improvement in cognition than either factor alone. In addition</w:t>
      </w:r>
      <w:r w:rsidR="005007A0" w:rsidRPr="00FE1496">
        <w:rPr>
          <w:rFonts w:ascii="Arial" w:hAnsi="Arial" w:cs="Arial"/>
          <w:sz w:val="20"/>
          <w:szCs w:val="20"/>
        </w:rPr>
        <w:t>, it has been argued that the intensity of the exercise improves cognitive performance, suggesting that increased sociability alone is insufficient</w:t>
      </w:r>
      <w:r w:rsidRPr="00FE1496">
        <w:rPr>
          <w:rFonts w:ascii="Arial" w:hAnsi="Arial" w:cs="Arial"/>
          <w:sz w:val="20"/>
          <w:szCs w:val="20"/>
        </w:rPr>
        <w:t xml:space="preserve"> (Brisswalter et al</w:t>
      </w:r>
      <w:r w:rsidR="00C778E3" w:rsidRPr="00FE1496">
        <w:rPr>
          <w:rFonts w:ascii="Arial" w:hAnsi="Arial" w:cs="Arial"/>
          <w:sz w:val="20"/>
          <w:szCs w:val="20"/>
        </w:rPr>
        <w:t>.</w:t>
      </w:r>
      <w:r w:rsidRPr="00FE1496">
        <w:rPr>
          <w:rFonts w:ascii="Arial" w:hAnsi="Arial" w:cs="Arial"/>
          <w:sz w:val="20"/>
          <w:szCs w:val="20"/>
        </w:rPr>
        <w:t>, 2002).</w:t>
      </w:r>
    </w:p>
    <w:p w14:paraId="216ED513" w14:textId="3337FC8E"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 xml:space="preserve">As discussed above, evidence suggests that social interaction </w:t>
      </w:r>
      <w:r w:rsidR="005007A0" w:rsidRPr="00FE1496">
        <w:rPr>
          <w:rFonts w:ascii="Arial" w:hAnsi="Arial" w:cs="Arial"/>
          <w:sz w:val="20"/>
          <w:szCs w:val="20"/>
        </w:rPr>
        <w:t>affects</w:t>
      </w:r>
      <w:r w:rsidRPr="00FE1496">
        <w:rPr>
          <w:rFonts w:ascii="Arial" w:hAnsi="Arial" w:cs="Arial"/>
          <w:sz w:val="20"/>
          <w:szCs w:val="20"/>
        </w:rPr>
        <w:t xml:space="preserve"> cognitive decline, with observational studies agreeing (Glei </w:t>
      </w:r>
      <w:r w:rsidR="005007A0" w:rsidRPr="00FE1496">
        <w:rPr>
          <w:rFonts w:ascii="Arial" w:hAnsi="Arial" w:cs="Arial"/>
          <w:sz w:val="20"/>
          <w:szCs w:val="20"/>
        </w:rPr>
        <w:t>et</w:t>
      </w:r>
      <w:r w:rsidRPr="00FE1496">
        <w:rPr>
          <w:rFonts w:ascii="Arial" w:hAnsi="Arial" w:cs="Arial"/>
          <w:sz w:val="20"/>
          <w:szCs w:val="20"/>
        </w:rPr>
        <w:t xml:space="preserve"> al</w:t>
      </w:r>
      <w:r w:rsidR="00C778E3" w:rsidRPr="00FE1496">
        <w:rPr>
          <w:rFonts w:ascii="Arial" w:hAnsi="Arial" w:cs="Arial"/>
          <w:sz w:val="20"/>
          <w:szCs w:val="20"/>
        </w:rPr>
        <w:t>.</w:t>
      </w:r>
      <w:r w:rsidRPr="00FE1496">
        <w:rPr>
          <w:rFonts w:ascii="Arial" w:hAnsi="Arial" w:cs="Arial"/>
          <w:sz w:val="20"/>
          <w:szCs w:val="20"/>
        </w:rPr>
        <w:t>, 2005). A study by Hikichi et al</w:t>
      </w:r>
      <w:r w:rsidR="00C778E3" w:rsidRPr="00FE1496">
        <w:rPr>
          <w:rFonts w:ascii="Arial" w:hAnsi="Arial" w:cs="Arial"/>
          <w:sz w:val="20"/>
          <w:szCs w:val="20"/>
        </w:rPr>
        <w:t>.</w:t>
      </w:r>
      <w:r w:rsidRPr="00FE1496">
        <w:rPr>
          <w:rFonts w:ascii="Arial" w:hAnsi="Arial" w:cs="Arial"/>
          <w:sz w:val="20"/>
          <w:szCs w:val="20"/>
        </w:rPr>
        <w:t xml:space="preserve"> (2017) looked at the </w:t>
      </w:r>
      <w:r w:rsidR="005007A0" w:rsidRPr="00FE1496">
        <w:rPr>
          <w:rFonts w:ascii="Arial" w:hAnsi="Arial" w:cs="Arial"/>
          <w:sz w:val="20"/>
          <w:szCs w:val="20"/>
        </w:rPr>
        <w:t>effects</w:t>
      </w:r>
      <w:r w:rsidRPr="00FE1496">
        <w:rPr>
          <w:rFonts w:ascii="Arial" w:hAnsi="Arial" w:cs="Arial"/>
          <w:sz w:val="20"/>
          <w:szCs w:val="20"/>
        </w:rPr>
        <w:t xml:space="preserve"> of community based social interaction on cognitive decline by conducting a longitudinal study of 2,793 participants aged 65 or older in Takeyato, Japan. This seven year intervention programme was carried out by assessing each participant who attended a community based centre to congregate and </w:t>
      </w:r>
      <w:r w:rsidRPr="00FE1496">
        <w:rPr>
          <w:rFonts w:ascii="Arial" w:hAnsi="Arial" w:cs="Arial"/>
          <w:sz w:val="20"/>
          <w:szCs w:val="20"/>
        </w:rPr>
        <w:lastRenderedPageBreak/>
        <w:t>participate in social activities such as arts and crafts, games, social activities, and visits from children. Participants were assessed using a standardised questionnaire, and results were gathered using questions derived from The Kihon Checklist (KCL) and measured using a Marginal Structural Module (MSM).</w:t>
      </w:r>
      <w:r w:rsidR="00B17940" w:rsidRPr="00FE1496">
        <w:rPr>
          <w:rFonts w:ascii="Arial" w:hAnsi="Arial" w:cs="Arial"/>
          <w:sz w:val="20"/>
          <w:szCs w:val="20"/>
        </w:rPr>
        <w:t xml:space="preserve"> </w:t>
      </w:r>
      <w:r w:rsidRPr="00FE1496">
        <w:rPr>
          <w:rFonts w:ascii="Arial" w:hAnsi="Arial" w:cs="Arial"/>
          <w:sz w:val="20"/>
          <w:szCs w:val="20"/>
        </w:rPr>
        <w:t>Results supported the hypothesis statement and showed an overall improvement in cognitive function</w:t>
      </w:r>
      <w:r w:rsidR="005007A0" w:rsidRPr="00FE1496">
        <w:rPr>
          <w:rFonts w:ascii="Arial" w:hAnsi="Arial" w:cs="Arial"/>
          <w:sz w:val="20"/>
          <w:szCs w:val="20"/>
        </w:rPr>
        <w:t>,</w:t>
      </w:r>
      <w:r w:rsidRPr="00FE1496">
        <w:rPr>
          <w:rFonts w:ascii="Arial" w:hAnsi="Arial" w:cs="Arial"/>
          <w:sz w:val="20"/>
          <w:szCs w:val="20"/>
        </w:rPr>
        <w:t xml:space="preserve"> with a notable association made between the frequency of attendance at the community centre and the prevention of cognitive decline. Unlike the study by Busse et al</w:t>
      </w:r>
      <w:r w:rsidR="00C778E3" w:rsidRPr="00FE1496">
        <w:rPr>
          <w:rFonts w:ascii="Arial" w:hAnsi="Arial" w:cs="Arial"/>
          <w:sz w:val="20"/>
          <w:szCs w:val="20"/>
        </w:rPr>
        <w:t>.</w:t>
      </w:r>
      <w:r w:rsidRPr="00FE1496">
        <w:rPr>
          <w:rFonts w:ascii="Arial" w:hAnsi="Arial" w:cs="Arial"/>
          <w:sz w:val="20"/>
          <w:szCs w:val="20"/>
        </w:rPr>
        <w:t xml:space="preserve"> (2008), due to the size of the sample, the effects of social interaction were more likely to be measured with greater precision, since the sample is more representative of the population (Mesa-Martinez et al</w:t>
      </w:r>
      <w:r w:rsidR="00C778E3" w:rsidRPr="00FE1496">
        <w:rPr>
          <w:rFonts w:ascii="Arial" w:hAnsi="Arial" w:cs="Arial"/>
          <w:sz w:val="20"/>
          <w:szCs w:val="20"/>
        </w:rPr>
        <w:t>.</w:t>
      </w:r>
      <w:r w:rsidRPr="00FE1496">
        <w:rPr>
          <w:rFonts w:ascii="Arial" w:hAnsi="Arial" w:cs="Arial"/>
          <w:sz w:val="20"/>
          <w:szCs w:val="20"/>
        </w:rPr>
        <w:t>, 2014; Brown, 2015). In addition</w:t>
      </w:r>
      <w:r w:rsidR="000E575A" w:rsidRPr="00FE1496">
        <w:rPr>
          <w:rFonts w:ascii="Arial" w:hAnsi="Arial" w:cs="Arial"/>
          <w:sz w:val="20"/>
          <w:szCs w:val="20"/>
        </w:rPr>
        <w:t xml:space="preserve">, this longitudinal study was carried out over a much </w:t>
      </w:r>
      <w:r w:rsidR="005007A0" w:rsidRPr="00FE1496">
        <w:rPr>
          <w:rFonts w:ascii="Arial" w:hAnsi="Arial" w:cs="Arial"/>
          <w:sz w:val="20"/>
          <w:szCs w:val="20"/>
        </w:rPr>
        <w:t>extended</w:t>
      </w:r>
      <w:r w:rsidRPr="00FE1496">
        <w:rPr>
          <w:rFonts w:ascii="Arial" w:hAnsi="Arial" w:cs="Arial"/>
          <w:sz w:val="20"/>
          <w:szCs w:val="20"/>
        </w:rPr>
        <w:t xml:space="preserve"> period</w:t>
      </w:r>
      <w:r w:rsidR="000E575A" w:rsidRPr="00FE1496">
        <w:rPr>
          <w:rFonts w:ascii="Arial" w:hAnsi="Arial" w:cs="Arial"/>
          <w:sz w:val="20"/>
          <w:szCs w:val="20"/>
        </w:rPr>
        <w:t>,</w:t>
      </w:r>
      <w:r w:rsidRPr="00FE1496">
        <w:rPr>
          <w:rFonts w:ascii="Arial" w:hAnsi="Arial" w:cs="Arial"/>
          <w:sz w:val="20"/>
          <w:szCs w:val="20"/>
        </w:rPr>
        <w:t xml:space="preserve"> so it clearly identifies and relates the correlation between community social interaction and cognitive decline, further defining this correlation </w:t>
      </w:r>
      <w:r w:rsidR="000E575A" w:rsidRPr="00FE1496">
        <w:rPr>
          <w:rFonts w:ascii="Arial" w:hAnsi="Arial" w:cs="Arial"/>
          <w:sz w:val="20"/>
          <w:szCs w:val="20"/>
        </w:rPr>
        <w:t>concerning</w:t>
      </w:r>
      <w:r w:rsidRPr="00FE1496">
        <w:rPr>
          <w:rFonts w:ascii="Arial" w:hAnsi="Arial" w:cs="Arial"/>
          <w:sz w:val="20"/>
          <w:szCs w:val="20"/>
        </w:rPr>
        <w:t xml:space="preserve"> presence and chronicity. In addition, this study considers the confounding variables with far more precision</w:t>
      </w:r>
      <w:r w:rsidR="005007A0" w:rsidRPr="00FE1496">
        <w:rPr>
          <w:rFonts w:ascii="Arial" w:hAnsi="Arial" w:cs="Arial"/>
          <w:sz w:val="20"/>
          <w:szCs w:val="20"/>
        </w:rPr>
        <w:t>. It recognises</w:t>
      </w:r>
      <w:r w:rsidRPr="00FE1496">
        <w:rPr>
          <w:rFonts w:ascii="Arial" w:hAnsi="Arial" w:cs="Arial"/>
          <w:sz w:val="20"/>
          <w:szCs w:val="20"/>
        </w:rPr>
        <w:t xml:space="preserve"> the need to treat household income, drinking and smoking, walking time, depressive symptoms, and comorbidities such as stroke, heart disease and hypertension as potential confounding difficulties. Despite this, the research did not </w:t>
      </w:r>
      <w:r w:rsidR="005007A0" w:rsidRPr="00FE1496">
        <w:rPr>
          <w:rFonts w:ascii="Arial" w:hAnsi="Arial" w:cs="Arial"/>
          <w:sz w:val="20"/>
          <w:szCs w:val="20"/>
        </w:rPr>
        <w:t>consider</w:t>
      </w:r>
      <w:r w:rsidRPr="00FE1496">
        <w:rPr>
          <w:rFonts w:ascii="Arial" w:hAnsi="Arial" w:cs="Arial"/>
          <w:sz w:val="20"/>
          <w:szCs w:val="20"/>
        </w:rPr>
        <w:t xml:space="preserve"> whether participants live alone</w:t>
      </w:r>
      <w:r w:rsidR="005007A0" w:rsidRPr="00FE1496">
        <w:rPr>
          <w:rFonts w:ascii="Arial" w:hAnsi="Arial" w:cs="Arial"/>
          <w:sz w:val="20"/>
          <w:szCs w:val="20"/>
        </w:rPr>
        <w:t>; the</w:t>
      </w:r>
      <w:r w:rsidRPr="00FE1496">
        <w:rPr>
          <w:rFonts w:ascii="Arial" w:hAnsi="Arial" w:cs="Arial"/>
          <w:sz w:val="20"/>
          <w:szCs w:val="20"/>
        </w:rPr>
        <w:t xml:space="preserve"> importance of this has been discussed above.</w:t>
      </w:r>
    </w:p>
    <w:p w14:paraId="33F0F180" w14:textId="4F53555E"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 xml:space="preserve">A limitation </w:t>
      </w:r>
      <w:r w:rsidR="005007A0" w:rsidRPr="00FE1496">
        <w:rPr>
          <w:rFonts w:ascii="Arial" w:hAnsi="Arial" w:cs="Arial"/>
          <w:sz w:val="20"/>
          <w:szCs w:val="20"/>
        </w:rPr>
        <w:t xml:space="preserve">of this research methodology is that cognition was assessed very simply by asking three questions taken from the KCL, a questionnaire comprising </w:t>
      </w:r>
      <w:r w:rsidRPr="00FE1496">
        <w:rPr>
          <w:rFonts w:ascii="Arial" w:hAnsi="Arial" w:cs="Arial"/>
          <w:sz w:val="20"/>
          <w:szCs w:val="20"/>
        </w:rPr>
        <w:t>25 questions with an option of yes/no as a response. Studies by Fyock (2015) and Abner et al</w:t>
      </w:r>
      <w:r w:rsidR="00C778E3" w:rsidRPr="00FE1496">
        <w:rPr>
          <w:rFonts w:ascii="Arial" w:hAnsi="Arial" w:cs="Arial"/>
          <w:sz w:val="20"/>
          <w:szCs w:val="20"/>
        </w:rPr>
        <w:t>.</w:t>
      </w:r>
      <w:r w:rsidRPr="00FE1496">
        <w:rPr>
          <w:rFonts w:ascii="Arial" w:hAnsi="Arial" w:cs="Arial"/>
          <w:sz w:val="20"/>
          <w:szCs w:val="20"/>
        </w:rPr>
        <w:t xml:space="preserve"> (2015) evidence the value of evaluating cognitive complaints using a yes/no </w:t>
      </w:r>
      <w:r w:rsidR="005007A0" w:rsidRPr="00FE1496">
        <w:rPr>
          <w:rFonts w:ascii="Arial" w:hAnsi="Arial" w:cs="Arial"/>
          <w:sz w:val="20"/>
          <w:szCs w:val="20"/>
        </w:rPr>
        <w:t>answer</w:t>
      </w:r>
      <w:r w:rsidRPr="00FE1496">
        <w:rPr>
          <w:rFonts w:ascii="Arial" w:hAnsi="Arial" w:cs="Arial"/>
          <w:sz w:val="20"/>
          <w:szCs w:val="20"/>
        </w:rPr>
        <w:t>, however comparatively</w:t>
      </w:r>
      <w:r w:rsidR="005007A0" w:rsidRPr="00FE1496">
        <w:rPr>
          <w:rFonts w:ascii="Arial" w:hAnsi="Arial" w:cs="Arial"/>
          <w:sz w:val="20"/>
          <w:szCs w:val="20"/>
        </w:rPr>
        <w:t>,</w:t>
      </w:r>
      <w:r w:rsidRPr="00FE1496">
        <w:rPr>
          <w:rFonts w:ascii="Arial" w:hAnsi="Arial" w:cs="Arial"/>
          <w:sz w:val="20"/>
          <w:szCs w:val="20"/>
        </w:rPr>
        <w:t xml:space="preserve"> the KCL has been compared against Comprehensive Geriatric Screening (CGA) and </w:t>
      </w:r>
      <w:r w:rsidR="005007A0" w:rsidRPr="00FE1496">
        <w:rPr>
          <w:rFonts w:ascii="Arial" w:hAnsi="Arial" w:cs="Arial"/>
          <w:sz w:val="20"/>
          <w:szCs w:val="20"/>
        </w:rPr>
        <w:t>is</w:t>
      </w:r>
      <w:r w:rsidRPr="00FE1496">
        <w:rPr>
          <w:rFonts w:ascii="Arial" w:hAnsi="Arial" w:cs="Arial"/>
          <w:sz w:val="20"/>
          <w:szCs w:val="20"/>
        </w:rPr>
        <w:t xml:space="preserve"> better at detecting frailty as opposed to cognitive functioning. Debatably, three questions are not enough as although structured questionnaires should be short and quick to complete, a more stringent and scrupulous questionnaire will yield more </w:t>
      </w:r>
      <w:r w:rsidR="005007A0" w:rsidRPr="00FE1496">
        <w:rPr>
          <w:rFonts w:ascii="Arial" w:hAnsi="Arial" w:cs="Arial"/>
          <w:sz w:val="20"/>
          <w:szCs w:val="20"/>
        </w:rPr>
        <w:t>valuable</w:t>
      </w:r>
      <w:r w:rsidRPr="00FE1496">
        <w:rPr>
          <w:rFonts w:ascii="Arial" w:hAnsi="Arial" w:cs="Arial"/>
          <w:sz w:val="20"/>
          <w:szCs w:val="20"/>
        </w:rPr>
        <w:t xml:space="preserve"> data, with a lack of rigour potentially </w:t>
      </w:r>
      <w:r w:rsidR="000E575A" w:rsidRPr="00FE1496">
        <w:rPr>
          <w:rFonts w:ascii="Arial" w:hAnsi="Arial" w:cs="Arial"/>
          <w:sz w:val="20"/>
          <w:szCs w:val="20"/>
        </w:rPr>
        <w:t>leading</w:t>
      </w:r>
      <w:r w:rsidRPr="00FE1496">
        <w:rPr>
          <w:rFonts w:ascii="Arial" w:hAnsi="Arial" w:cs="Arial"/>
          <w:sz w:val="20"/>
          <w:szCs w:val="20"/>
        </w:rPr>
        <w:t xml:space="preserve"> to poor quality data (Simon, 2006; Murray,1999; Boynton &amp; Greenhalgh, 2004).</w:t>
      </w:r>
    </w:p>
    <w:p w14:paraId="3D6D8CCC" w14:textId="565BE111" w:rsidR="00441E3B" w:rsidRPr="00FE1496" w:rsidRDefault="00441E3B" w:rsidP="00FE1496">
      <w:pPr>
        <w:spacing w:line="276" w:lineRule="auto"/>
        <w:rPr>
          <w:rFonts w:ascii="Arial" w:hAnsi="Arial" w:cs="Arial"/>
          <w:sz w:val="20"/>
          <w:szCs w:val="20"/>
        </w:rPr>
      </w:pPr>
      <w:r w:rsidRPr="00FE1496">
        <w:rPr>
          <w:rFonts w:ascii="Arial" w:hAnsi="Arial" w:cs="Arial"/>
          <w:sz w:val="20"/>
          <w:szCs w:val="20"/>
        </w:rPr>
        <w:t xml:space="preserve">Undoubtedly the proposition of community based social interaction for the elderly appears to be a good option for slowing down cognitive decline, </w:t>
      </w:r>
      <w:r w:rsidR="000E5FBD">
        <w:rPr>
          <w:rFonts w:ascii="Arial" w:hAnsi="Arial" w:cs="Arial"/>
          <w:sz w:val="20"/>
          <w:szCs w:val="20"/>
        </w:rPr>
        <w:t xml:space="preserve">however </w:t>
      </w:r>
      <w:r w:rsidRPr="00FE1496">
        <w:rPr>
          <w:rFonts w:ascii="Arial" w:hAnsi="Arial" w:cs="Arial"/>
          <w:sz w:val="20"/>
          <w:szCs w:val="20"/>
        </w:rPr>
        <w:t>attendance at such interventions could be problematic for older people due to barriers such as lack of access to private transport, low morale, and declining physical health (Victor et al</w:t>
      </w:r>
      <w:r w:rsidR="00C778E3" w:rsidRPr="00FE1496">
        <w:rPr>
          <w:rFonts w:ascii="Arial" w:hAnsi="Arial" w:cs="Arial"/>
          <w:sz w:val="20"/>
          <w:szCs w:val="20"/>
        </w:rPr>
        <w:t>.</w:t>
      </w:r>
      <w:r w:rsidRPr="00FE1496">
        <w:rPr>
          <w:rFonts w:ascii="Arial" w:hAnsi="Arial" w:cs="Arial"/>
          <w:sz w:val="20"/>
          <w:szCs w:val="20"/>
        </w:rPr>
        <w:t>, 2009; Iliffe et al</w:t>
      </w:r>
      <w:r w:rsidR="00C778E3" w:rsidRPr="00FE1496">
        <w:rPr>
          <w:rFonts w:ascii="Arial" w:hAnsi="Arial" w:cs="Arial"/>
          <w:sz w:val="20"/>
          <w:szCs w:val="20"/>
        </w:rPr>
        <w:t>.</w:t>
      </w:r>
      <w:r w:rsidRPr="00FE1496">
        <w:rPr>
          <w:rFonts w:ascii="Arial" w:hAnsi="Arial" w:cs="Arial"/>
          <w:sz w:val="20"/>
          <w:szCs w:val="20"/>
        </w:rPr>
        <w:t>, 2007; Barnes et al</w:t>
      </w:r>
      <w:r w:rsidR="00C778E3" w:rsidRPr="00FE1496">
        <w:rPr>
          <w:rFonts w:ascii="Arial" w:hAnsi="Arial" w:cs="Arial"/>
          <w:sz w:val="20"/>
          <w:szCs w:val="20"/>
        </w:rPr>
        <w:t>.</w:t>
      </w:r>
      <w:r w:rsidRPr="00FE1496">
        <w:rPr>
          <w:rFonts w:ascii="Arial" w:hAnsi="Arial" w:cs="Arial"/>
          <w:sz w:val="20"/>
          <w:szCs w:val="20"/>
        </w:rPr>
        <w:t>, 2006).</w:t>
      </w:r>
    </w:p>
    <w:p w14:paraId="2EBF4B06" w14:textId="2820B23E" w:rsidR="00441E3B" w:rsidRDefault="00441E3B" w:rsidP="00FE1496">
      <w:pPr>
        <w:spacing w:line="276" w:lineRule="auto"/>
        <w:rPr>
          <w:rFonts w:ascii="Arial" w:hAnsi="Arial" w:cs="Arial"/>
          <w:sz w:val="20"/>
          <w:szCs w:val="20"/>
        </w:rPr>
      </w:pPr>
      <w:r w:rsidRPr="00FE1496">
        <w:rPr>
          <w:rFonts w:ascii="Arial" w:hAnsi="Arial" w:cs="Arial"/>
          <w:sz w:val="20"/>
          <w:szCs w:val="20"/>
        </w:rPr>
        <w:t>Conclusively,</w:t>
      </w:r>
      <w:r w:rsidR="000E5FBD">
        <w:rPr>
          <w:rFonts w:ascii="Arial" w:hAnsi="Arial" w:cs="Arial"/>
          <w:sz w:val="20"/>
          <w:szCs w:val="20"/>
        </w:rPr>
        <w:t xml:space="preserve"> </w:t>
      </w:r>
      <w:r w:rsidR="00715C56">
        <w:rPr>
          <w:rFonts w:ascii="Arial" w:hAnsi="Arial" w:cs="Arial"/>
          <w:sz w:val="20"/>
          <w:szCs w:val="20"/>
        </w:rPr>
        <w:t xml:space="preserve">accurately </w:t>
      </w:r>
      <w:r w:rsidR="000E5FBD">
        <w:rPr>
          <w:rFonts w:ascii="Arial" w:hAnsi="Arial" w:cs="Arial"/>
          <w:sz w:val="20"/>
          <w:szCs w:val="20"/>
        </w:rPr>
        <w:t>measuring how cognitive decline can be decelerated</w:t>
      </w:r>
      <w:r w:rsidRPr="00FE1496">
        <w:rPr>
          <w:rFonts w:ascii="Arial" w:hAnsi="Arial" w:cs="Arial"/>
          <w:sz w:val="20"/>
          <w:szCs w:val="20"/>
        </w:rPr>
        <w:t xml:space="preserve"> depends on what type of cognitive task is used to measure results. There is </w:t>
      </w:r>
      <w:r w:rsidR="000E575A" w:rsidRPr="00FE1496">
        <w:rPr>
          <w:rFonts w:ascii="Arial" w:hAnsi="Arial" w:cs="Arial"/>
          <w:sz w:val="20"/>
          <w:szCs w:val="20"/>
        </w:rPr>
        <w:t>a need for more studies of higher methodological quality, possibly using a smaller battery of cognitive tasks with more attention being paid to the participants' living situations</w:t>
      </w:r>
      <w:r w:rsidRPr="00FE1496">
        <w:rPr>
          <w:rFonts w:ascii="Arial" w:hAnsi="Arial" w:cs="Arial"/>
          <w:sz w:val="20"/>
          <w:szCs w:val="20"/>
        </w:rPr>
        <w:t>. It appears that social interaction is the strongest contender</w:t>
      </w:r>
      <w:r w:rsidR="000E575A" w:rsidRPr="00FE1496">
        <w:rPr>
          <w:rFonts w:ascii="Arial" w:hAnsi="Arial" w:cs="Arial"/>
          <w:sz w:val="20"/>
          <w:szCs w:val="20"/>
        </w:rPr>
        <w:t>; however</w:t>
      </w:r>
      <w:r w:rsidRPr="00FE1496">
        <w:rPr>
          <w:rFonts w:ascii="Arial" w:hAnsi="Arial" w:cs="Arial"/>
          <w:sz w:val="20"/>
          <w:szCs w:val="20"/>
        </w:rPr>
        <w:t xml:space="preserve">, it would not be ethical to remove social interaction from </w:t>
      </w:r>
      <w:r w:rsidR="000E575A" w:rsidRPr="00FE1496">
        <w:rPr>
          <w:rFonts w:ascii="Arial" w:hAnsi="Arial" w:cs="Arial"/>
          <w:sz w:val="20"/>
          <w:szCs w:val="20"/>
        </w:rPr>
        <w:t>older people</w:t>
      </w:r>
      <w:r w:rsidRPr="00FE1496">
        <w:rPr>
          <w:rFonts w:ascii="Arial" w:hAnsi="Arial" w:cs="Arial"/>
          <w:sz w:val="20"/>
          <w:szCs w:val="20"/>
        </w:rPr>
        <w:t xml:space="preserve"> to investigate this further. Although exercise and social interaction both appear beneficial in slowing down cognitive decline, access is not always easy for the elderly. There are other ways to slow down cognitive decline</w:t>
      </w:r>
      <w:r w:rsidR="000E575A" w:rsidRPr="00FE1496">
        <w:rPr>
          <w:rFonts w:ascii="Arial" w:hAnsi="Arial" w:cs="Arial"/>
          <w:sz w:val="20"/>
          <w:szCs w:val="20"/>
        </w:rPr>
        <w:t>,</w:t>
      </w:r>
      <w:r w:rsidRPr="00FE1496">
        <w:rPr>
          <w:rFonts w:ascii="Arial" w:hAnsi="Arial" w:cs="Arial"/>
          <w:sz w:val="20"/>
          <w:szCs w:val="20"/>
        </w:rPr>
        <w:t xml:space="preserve"> such as diet and cognitive tasks</w:t>
      </w:r>
      <w:r w:rsidR="000E575A" w:rsidRPr="00FE1496">
        <w:rPr>
          <w:rFonts w:ascii="Arial" w:hAnsi="Arial" w:cs="Arial"/>
          <w:sz w:val="20"/>
          <w:szCs w:val="20"/>
        </w:rPr>
        <w:t>,</w:t>
      </w:r>
      <w:r w:rsidRPr="00FE1496">
        <w:rPr>
          <w:rFonts w:ascii="Arial" w:hAnsi="Arial" w:cs="Arial"/>
          <w:sz w:val="20"/>
          <w:szCs w:val="20"/>
        </w:rPr>
        <w:t xml:space="preserve"> that have not been explored in this essay.</w:t>
      </w:r>
    </w:p>
    <w:p w14:paraId="76E744A4" w14:textId="214137E6" w:rsidR="00B81AF1" w:rsidRDefault="00B81AF1" w:rsidP="00FE1496">
      <w:pPr>
        <w:spacing w:line="276" w:lineRule="auto"/>
        <w:rPr>
          <w:rFonts w:ascii="Arial" w:hAnsi="Arial" w:cs="Arial"/>
          <w:sz w:val="20"/>
          <w:szCs w:val="20"/>
        </w:rPr>
      </w:pPr>
    </w:p>
    <w:p w14:paraId="5E0A30D2" w14:textId="47FFBFF4" w:rsidR="00B81AF1" w:rsidRDefault="00B81AF1" w:rsidP="00FE1496">
      <w:pPr>
        <w:spacing w:line="276" w:lineRule="auto"/>
        <w:rPr>
          <w:rFonts w:ascii="Arial" w:hAnsi="Arial" w:cs="Arial"/>
          <w:sz w:val="20"/>
          <w:szCs w:val="20"/>
        </w:rPr>
      </w:pPr>
    </w:p>
    <w:p w14:paraId="3973E169" w14:textId="2D9B56F5" w:rsidR="00B81AF1" w:rsidRDefault="00B81AF1" w:rsidP="00FE1496">
      <w:pPr>
        <w:spacing w:line="276" w:lineRule="auto"/>
        <w:rPr>
          <w:rFonts w:ascii="Arial" w:hAnsi="Arial" w:cs="Arial"/>
          <w:sz w:val="20"/>
          <w:szCs w:val="20"/>
        </w:rPr>
      </w:pPr>
    </w:p>
    <w:p w14:paraId="3B63B85D" w14:textId="7BA4ACEF" w:rsidR="00B81AF1" w:rsidRDefault="00B81AF1" w:rsidP="00FE1496">
      <w:pPr>
        <w:spacing w:line="276" w:lineRule="auto"/>
        <w:rPr>
          <w:rFonts w:ascii="Arial" w:hAnsi="Arial" w:cs="Arial"/>
          <w:sz w:val="20"/>
          <w:szCs w:val="20"/>
        </w:rPr>
      </w:pPr>
    </w:p>
    <w:p w14:paraId="778B5544" w14:textId="37530911" w:rsidR="00B81AF1" w:rsidRDefault="00B81AF1" w:rsidP="00FE1496">
      <w:pPr>
        <w:spacing w:line="276" w:lineRule="auto"/>
        <w:rPr>
          <w:rFonts w:ascii="Arial" w:hAnsi="Arial" w:cs="Arial"/>
          <w:sz w:val="20"/>
          <w:szCs w:val="20"/>
        </w:rPr>
      </w:pPr>
    </w:p>
    <w:p w14:paraId="078F924B" w14:textId="29EBF4CE" w:rsidR="00B81AF1" w:rsidRDefault="00B81AF1" w:rsidP="00FE1496">
      <w:pPr>
        <w:spacing w:line="276" w:lineRule="auto"/>
        <w:rPr>
          <w:rFonts w:ascii="Arial" w:hAnsi="Arial" w:cs="Arial"/>
          <w:sz w:val="20"/>
          <w:szCs w:val="20"/>
        </w:rPr>
      </w:pPr>
    </w:p>
    <w:p w14:paraId="5C1B4718" w14:textId="1D834FC5" w:rsidR="00B81AF1" w:rsidRDefault="00B81AF1" w:rsidP="00FE1496">
      <w:pPr>
        <w:spacing w:line="276" w:lineRule="auto"/>
        <w:rPr>
          <w:rFonts w:ascii="Arial" w:hAnsi="Arial" w:cs="Arial"/>
          <w:sz w:val="20"/>
          <w:szCs w:val="20"/>
        </w:rPr>
      </w:pPr>
    </w:p>
    <w:p w14:paraId="5197E932" w14:textId="4BD9F895" w:rsidR="00B81AF1" w:rsidRDefault="00B81AF1" w:rsidP="00FE1496">
      <w:pPr>
        <w:spacing w:line="276" w:lineRule="auto"/>
        <w:rPr>
          <w:rFonts w:ascii="Arial" w:hAnsi="Arial" w:cs="Arial"/>
          <w:sz w:val="20"/>
          <w:szCs w:val="20"/>
        </w:rPr>
      </w:pPr>
    </w:p>
    <w:p w14:paraId="042248AB" w14:textId="324A881C" w:rsidR="00B81AF1" w:rsidRDefault="00B81AF1" w:rsidP="00FE1496">
      <w:pPr>
        <w:spacing w:line="276" w:lineRule="auto"/>
        <w:rPr>
          <w:rFonts w:ascii="Arial" w:hAnsi="Arial" w:cs="Arial"/>
          <w:sz w:val="20"/>
          <w:szCs w:val="20"/>
        </w:rPr>
      </w:pPr>
    </w:p>
    <w:p w14:paraId="705478A7" w14:textId="73A5A0BE" w:rsidR="00B81AF1" w:rsidRDefault="00B81AF1" w:rsidP="00FE1496">
      <w:pPr>
        <w:spacing w:line="276" w:lineRule="auto"/>
        <w:rPr>
          <w:rFonts w:ascii="Arial" w:hAnsi="Arial" w:cs="Arial"/>
          <w:sz w:val="20"/>
          <w:szCs w:val="20"/>
        </w:rPr>
      </w:pPr>
    </w:p>
    <w:p w14:paraId="6E49226E" w14:textId="77777777" w:rsidR="00B81AF1" w:rsidRPr="00B81AF1" w:rsidRDefault="00B81AF1" w:rsidP="00B81AF1">
      <w:pPr>
        <w:spacing w:line="276" w:lineRule="auto"/>
        <w:rPr>
          <w:rFonts w:ascii="Arial" w:hAnsi="Arial" w:cs="Arial"/>
          <w:sz w:val="20"/>
          <w:szCs w:val="20"/>
          <w:u w:val="single"/>
        </w:rPr>
      </w:pPr>
      <w:r w:rsidRPr="00B81AF1">
        <w:rPr>
          <w:rFonts w:ascii="Arial" w:hAnsi="Arial" w:cs="Arial"/>
          <w:sz w:val="20"/>
          <w:szCs w:val="20"/>
          <w:u w:val="single"/>
        </w:rPr>
        <w:t>Reference List</w:t>
      </w:r>
    </w:p>
    <w:p w14:paraId="06BAC5C2" w14:textId="3FE00B8B"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Albinet, C. T., Boucard, G., Bouquet, C. A., &amp; Audiffren, M. (2012). Processing speed and executive functions in cognitive aging: How to disentangle their mutual relationship</w:t>
      </w:r>
      <w:r w:rsidR="00283A3C">
        <w:rPr>
          <w:rFonts w:ascii="Arial" w:hAnsi="Arial" w:cs="Arial"/>
          <w:sz w:val="20"/>
          <w:szCs w:val="20"/>
        </w:rPr>
        <w:t>?</w:t>
      </w:r>
      <w:r w:rsidRPr="00B81AF1">
        <w:rPr>
          <w:rFonts w:ascii="Arial" w:hAnsi="Arial" w:cs="Arial"/>
          <w:sz w:val="20"/>
          <w:szCs w:val="20"/>
        </w:rPr>
        <w:t> </w:t>
      </w:r>
      <w:r w:rsidRPr="00B81AF1">
        <w:rPr>
          <w:rFonts w:ascii="Arial" w:hAnsi="Arial" w:cs="Arial"/>
          <w:i/>
          <w:iCs/>
          <w:sz w:val="20"/>
          <w:szCs w:val="20"/>
        </w:rPr>
        <w:t>Brain and cognition</w:t>
      </w:r>
      <w:r w:rsidRPr="00B81AF1">
        <w:rPr>
          <w:rFonts w:ascii="Arial" w:hAnsi="Arial" w:cs="Arial"/>
          <w:sz w:val="20"/>
          <w:szCs w:val="20"/>
        </w:rPr>
        <w:t>, </w:t>
      </w:r>
      <w:r w:rsidRPr="00B81AF1">
        <w:rPr>
          <w:rFonts w:ascii="Arial" w:hAnsi="Arial" w:cs="Arial"/>
          <w:i/>
          <w:iCs/>
          <w:sz w:val="20"/>
          <w:szCs w:val="20"/>
        </w:rPr>
        <w:t>79</w:t>
      </w:r>
      <w:r w:rsidRPr="00B81AF1">
        <w:rPr>
          <w:rFonts w:ascii="Arial" w:hAnsi="Arial" w:cs="Arial"/>
          <w:sz w:val="20"/>
          <w:szCs w:val="20"/>
        </w:rPr>
        <w:t xml:space="preserve">(1), 1-11. </w:t>
      </w:r>
      <w:hyperlink r:id="rId4" w:history="1">
        <w:r w:rsidRPr="00B81AF1">
          <w:rPr>
            <w:rStyle w:val="Hyperlink"/>
            <w:rFonts w:ascii="Arial" w:hAnsi="Arial" w:cs="Arial"/>
            <w:sz w:val="20"/>
            <w:szCs w:val="20"/>
          </w:rPr>
          <w:t>https://doi.org/10.1016/j.bandc.2012.02.001</w:t>
        </w:r>
      </w:hyperlink>
      <w:r w:rsidRPr="00B81AF1">
        <w:rPr>
          <w:rFonts w:ascii="Arial" w:hAnsi="Arial" w:cs="Arial"/>
          <w:sz w:val="20"/>
          <w:szCs w:val="20"/>
        </w:rPr>
        <w:t xml:space="preserve"> </w:t>
      </w:r>
    </w:p>
    <w:p w14:paraId="4641574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Ancelin, M. L., Ripoche, E., Dupuy, A. M., Samieri, C., Rouaud, O., Berr, C., ... &amp; Ritchie, K. (2014). Gender-specific associations between lipids and cognitive decline in the elderly. </w:t>
      </w:r>
      <w:r w:rsidRPr="00B81AF1">
        <w:rPr>
          <w:rFonts w:ascii="Arial" w:hAnsi="Arial" w:cs="Arial"/>
          <w:i/>
          <w:iCs/>
          <w:sz w:val="20"/>
          <w:szCs w:val="20"/>
        </w:rPr>
        <w:t>European Neuropsychopharmacology</w:t>
      </w:r>
      <w:r w:rsidRPr="00B81AF1">
        <w:rPr>
          <w:rFonts w:ascii="Arial" w:hAnsi="Arial" w:cs="Arial"/>
          <w:sz w:val="20"/>
          <w:szCs w:val="20"/>
        </w:rPr>
        <w:t>, </w:t>
      </w:r>
      <w:r w:rsidRPr="00B81AF1">
        <w:rPr>
          <w:rFonts w:ascii="Arial" w:hAnsi="Arial" w:cs="Arial"/>
          <w:i/>
          <w:iCs/>
          <w:sz w:val="20"/>
          <w:szCs w:val="20"/>
        </w:rPr>
        <w:t>24</w:t>
      </w:r>
      <w:r w:rsidRPr="00B81AF1">
        <w:rPr>
          <w:rFonts w:ascii="Arial" w:hAnsi="Arial" w:cs="Arial"/>
          <w:sz w:val="20"/>
          <w:szCs w:val="20"/>
        </w:rPr>
        <w:t xml:space="preserve">(7), 1056-1066. </w:t>
      </w:r>
      <w:hyperlink r:id="rId5" w:history="1">
        <w:r w:rsidRPr="00B81AF1">
          <w:rPr>
            <w:rStyle w:val="Hyperlink"/>
            <w:rFonts w:ascii="Arial" w:hAnsi="Arial" w:cs="Arial"/>
            <w:sz w:val="20"/>
            <w:szCs w:val="20"/>
          </w:rPr>
          <w:t>https://doi.org/10.1016/j.euroneuro.2014.02.003</w:t>
        </w:r>
      </w:hyperlink>
      <w:r w:rsidRPr="00B81AF1">
        <w:rPr>
          <w:rFonts w:ascii="Arial" w:hAnsi="Arial" w:cs="Arial"/>
          <w:sz w:val="20"/>
          <w:szCs w:val="20"/>
        </w:rPr>
        <w:t xml:space="preserve"> </w:t>
      </w:r>
    </w:p>
    <w:p w14:paraId="53BD1FCB"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Barnes, M., Blom, A. G., Cox, K., Lessof, C., &amp; Walker, A. (2006). The social exclusion of older people: Evidence from the first wave of the English Longitudinal Study of Ageing (ELSA), Final report. </w:t>
      </w:r>
      <w:hyperlink r:id="rId6" w:history="1">
        <w:r w:rsidRPr="00B81AF1">
          <w:rPr>
            <w:rStyle w:val="Hyperlink"/>
            <w:rFonts w:ascii="Arial" w:hAnsi="Arial" w:cs="Arial"/>
            <w:sz w:val="20"/>
            <w:szCs w:val="20"/>
          </w:rPr>
          <w:t>file:///C:/Users/Laura%20Jones/Downloads/2006ODPMBarnesBlomCoxLessofTheSocialExclusionofOlderPeople-EvidencefromthefirstwaveoftheEnglishLongitudinalStudyofAgeingELSA.pdf</w:t>
        </w:r>
      </w:hyperlink>
      <w:r w:rsidRPr="00B81AF1">
        <w:rPr>
          <w:rFonts w:ascii="Arial" w:hAnsi="Arial" w:cs="Arial"/>
          <w:sz w:val="20"/>
          <w:szCs w:val="20"/>
        </w:rPr>
        <w:t xml:space="preserve"> </w:t>
      </w:r>
    </w:p>
    <w:p w14:paraId="19799E04"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Bettio, L. E., Rajendran, L., &amp; Gil-Mohapel, J. (2017). The effects of aging in the hippocampus and cognitive decline. </w:t>
      </w:r>
      <w:r w:rsidRPr="00B81AF1">
        <w:rPr>
          <w:rFonts w:ascii="Arial" w:hAnsi="Arial" w:cs="Arial"/>
          <w:i/>
          <w:iCs/>
          <w:sz w:val="20"/>
          <w:szCs w:val="20"/>
        </w:rPr>
        <w:t>Neuroscience &amp; Biobehavioral Reviews</w:t>
      </w:r>
      <w:r w:rsidRPr="00B81AF1">
        <w:rPr>
          <w:rFonts w:ascii="Arial" w:hAnsi="Arial" w:cs="Arial"/>
          <w:sz w:val="20"/>
          <w:szCs w:val="20"/>
        </w:rPr>
        <w:t>, </w:t>
      </w:r>
      <w:r w:rsidRPr="00B81AF1">
        <w:rPr>
          <w:rFonts w:ascii="Arial" w:hAnsi="Arial" w:cs="Arial"/>
          <w:i/>
          <w:iCs/>
          <w:sz w:val="20"/>
          <w:szCs w:val="20"/>
        </w:rPr>
        <w:t>79</w:t>
      </w:r>
      <w:r w:rsidRPr="00B81AF1">
        <w:rPr>
          <w:rFonts w:ascii="Arial" w:hAnsi="Arial" w:cs="Arial"/>
          <w:sz w:val="20"/>
          <w:szCs w:val="20"/>
        </w:rPr>
        <w:t xml:space="preserve">, 66-86. </w:t>
      </w:r>
      <w:hyperlink r:id="rId7" w:history="1">
        <w:r w:rsidRPr="00B81AF1">
          <w:rPr>
            <w:rStyle w:val="Hyperlink"/>
            <w:rFonts w:ascii="Arial" w:hAnsi="Arial" w:cs="Arial"/>
            <w:sz w:val="20"/>
            <w:szCs w:val="20"/>
          </w:rPr>
          <w:t>https://doi.org/10.1016/j.neubiorev.2017.04.030</w:t>
        </w:r>
      </w:hyperlink>
      <w:r w:rsidRPr="00B81AF1">
        <w:rPr>
          <w:rFonts w:ascii="Arial" w:hAnsi="Arial" w:cs="Arial"/>
          <w:sz w:val="20"/>
          <w:szCs w:val="20"/>
        </w:rPr>
        <w:t xml:space="preserve"> </w:t>
      </w:r>
    </w:p>
    <w:p w14:paraId="69AFCF2D"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Bherer, L., Erickson, K. I., &amp; Liu-Ambrose, T. (2013). A review of the effects of physical activity and exercise on cognitive and brain functions in older adults. </w:t>
      </w:r>
      <w:r w:rsidRPr="00B81AF1">
        <w:rPr>
          <w:rFonts w:ascii="Arial" w:hAnsi="Arial" w:cs="Arial"/>
          <w:i/>
          <w:iCs/>
          <w:sz w:val="20"/>
          <w:szCs w:val="20"/>
        </w:rPr>
        <w:t>Journal of aging research</w:t>
      </w:r>
      <w:r w:rsidRPr="00B81AF1">
        <w:rPr>
          <w:rFonts w:ascii="Arial" w:hAnsi="Arial" w:cs="Arial"/>
          <w:sz w:val="20"/>
          <w:szCs w:val="20"/>
        </w:rPr>
        <w:t>, </w:t>
      </w:r>
      <w:r w:rsidRPr="00B81AF1">
        <w:rPr>
          <w:rFonts w:ascii="Arial" w:hAnsi="Arial" w:cs="Arial"/>
          <w:i/>
          <w:iCs/>
          <w:sz w:val="20"/>
          <w:szCs w:val="20"/>
        </w:rPr>
        <w:t>2013</w:t>
      </w:r>
      <w:r w:rsidRPr="00B81AF1">
        <w:rPr>
          <w:rFonts w:ascii="Arial" w:hAnsi="Arial" w:cs="Arial"/>
          <w:sz w:val="20"/>
          <w:szCs w:val="20"/>
        </w:rPr>
        <w:t xml:space="preserve">. </w:t>
      </w:r>
      <w:hyperlink r:id="rId8" w:history="1">
        <w:r w:rsidRPr="00B81AF1">
          <w:rPr>
            <w:rStyle w:val="Hyperlink"/>
            <w:rFonts w:ascii="Arial" w:hAnsi="Arial" w:cs="Arial"/>
            <w:sz w:val="20"/>
            <w:szCs w:val="20"/>
          </w:rPr>
          <w:t>https://doi.org/10.1155/2013/657508</w:t>
        </w:r>
      </w:hyperlink>
      <w:r w:rsidRPr="00B81AF1">
        <w:rPr>
          <w:rFonts w:ascii="Arial" w:hAnsi="Arial" w:cs="Arial"/>
          <w:sz w:val="20"/>
          <w:szCs w:val="20"/>
        </w:rPr>
        <w:t xml:space="preserve"> </w:t>
      </w:r>
    </w:p>
    <w:p w14:paraId="18ABD56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Birren, J. E. (1964). </w:t>
      </w:r>
      <w:r w:rsidRPr="00B81AF1">
        <w:rPr>
          <w:rFonts w:ascii="Arial" w:hAnsi="Arial" w:cs="Arial"/>
          <w:i/>
          <w:iCs/>
          <w:sz w:val="20"/>
          <w:szCs w:val="20"/>
        </w:rPr>
        <w:t>The psychology of aging.</w:t>
      </w:r>
      <w:r w:rsidRPr="00B81AF1">
        <w:rPr>
          <w:rFonts w:ascii="Arial" w:hAnsi="Arial" w:cs="Arial"/>
          <w:sz w:val="20"/>
          <w:szCs w:val="20"/>
        </w:rPr>
        <w:t xml:space="preserve"> Prentice Hall.</w:t>
      </w:r>
    </w:p>
    <w:p w14:paraId="1325B086"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Boynton, P. M., &amp; Greenhalgh, T. (2004). Selecting, designing, and developing your questionnaire. </w:t>
      </w:r>
      <w:r w:rsidRPr="00B81AF1">
        <w:rPr>
          <w:rFonts w:ascii="Arial" w:hAnsi="Arial" w:cs="Arial"/>
          <w:i/>
          <w:iCs/>
          <w:sz w:val="20"/>
          <w:szCs w:val="20"/>
        </w:rPr>
        <w:t>Bmj</w:t>
      </w:r>
      <w:r w:rsidRPr="00B81AF1">
        <w:rPr>
          <w:rFonts w:ascii="Arial" w:hAnsi="Arial" w:cs="Arial"/>
          <w:sz w:val="20"/>
          <w:szCs w:val="20"/>
        </w:rPr>
        <w:t>, </w:t>
      </w:r>
      <w:r w:rsidRPr="00B81AF1">
        <w:rPr>
          <w:rFonts w:ascii="Arial" w:hAnsi="Arial" w:cs="Arial"/>
          <w:i/>
          <w:iCs/>
          <w:sz w:val="20"/>
          <w:szCs w:val="20"/>
        </w:rPr>
        <w:t>328</w:t>
      </w:r>
      <w:r w:rsidRPr="00B81AF1">
        <w:rPr>
          <w:rFonts w:ascii="Arial" w:hAnsi="Arial" w:cs="Arial"/>
          <w:sz w:val="20"/>
          <w:szCs w:val="20"/>
        </w:rPr>
        <w:t xml:space="preserve">(7451), 1312-1315. doi: </w:t>
      </w:r>
      <w:hyperlink r:id="rId9" w:history="1">
        <w:r w:rsidRPr="00B81AF1">
          <w:rPr>
            <w:rStyle w:val="Hyperlink"/>
            <w:rFonts w:ascii="Arial" w:hAnsi="Arial" w:cs="Arial"/>
            <w:sz w:val="20"/>
            <w:szCs w:val="20"/>
          </w:rPr>
          <w:t>https://doi.org/10.1136/bmj.328.7451.1312</w:t>
        </w:r>
      </w:hyperlink>
      <w:r w:rsidRPr="00B81AF1">
        <w:rPr>
          <w:rFonts w:ascii="Arial" w:hAnsi="Arial" w:cs="Arial"/>
          <w:sz w:val="20"/>
          <w:szCs w:val="20"/>
        </w:rPr>
        <w:t xml:space="preserve"> </w:t>
      </w:r>
    </w:p>
    <w:p w14:paraId="27F1C6B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Brisswalter, J., Collardeau, M., &amp; René, A. (2002). Effects of acute physical exercise characteristics on cognitive performance. </w:t>
      </w:r>
      <w:r w:rsidRPr="00B81AF1">
        <w:rPr>
          <w:rFonts w:ascii="Arial" w:hAnsi="Arial" w:cs="Arial"/>
          <w:i/>
          <w:iCs/>
          <w:sz w:val="20"/>
          <w:szCs w:val="20"/>
        </w:rPr>
        <w:t>Sports medicine</w:t>
      </w:r>
      <w:r w:rsidRPr="00B81AF1">
        <w:rPr>
          <w:rFonts w:ascii="Arial" w:hAnsi="Arial" w:cs="Arial"/>
          <w:sz w:val="20"/>
          <w:szCs w:val="20"/>
        </w:rPr>
        <w:t>, </w:t>
      </w:r>
      <w:r w:rsidRPr="00B81AF1">
        <w:rPr>
          <w:rFonts w:ascii="Arial" w:hAnsi="Arial" w:cs="Arial"/>
          <w:i/>
          <w:iCs/>
          <w:sz w:val="20"/>
          <w:szCs w:val="20"/>
        </w:rPr>
        <w:t>32</w:t>
      </w:r>
      <w:r w:rsidRPr="00B81AF1">
        <w:rPr>
          <w:rFonts w:ascii="Arial" w:hAnsi="Arial" w:cs="Arial"/>
          <w:sz w:val="20"/>
          <w:szCs w:val="20"/>
        </w:rPr>
        <w:t xml:space="preserve">(9), 555-566. </w:t>
      </w:r>
      <w:hyperlink r:id="rId10" w:history="1">
        <w:r w:rsidRPr="00B81AF1">
          <w:rPr>
            <w:rStyle w:val="Hyperlink"/>
            <w:rFonts w:ascii="Arial" w:hAnsi="Arial" w:cs="Arial"/>
            <w:sz w:val="20"/>
            <w:szCs w:val="20"/>
          </w:rPr>
          <w:t>https://doi.org/10.2165/00007256-200232090-00002</w:t>
        </w:r>
      </w:hyperlink>
      <w:r w:rsidRPr="00B81AF1">
        <w:rPr>
          <w:rFonts w:ascii="Arial" w:hAnsi="Arial" w:cs="Arial"/>
          <w:sz w:val="20"/>
          <w:szCs w:val="20"/>
        </w:rPr>
        <w:t xml:space="preserve"> </w:t>
      </w:r>
    </w:p>
    <w:p w14:paraId="01604F1E"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Brown, J. D. (2015). Characteristics of sound quantitative research. </w:t>
      </w:r>
      <w:r w:rsidRPr="00B81AF1">
        <w:rPr>
          <w:rFonts w:ascii="Arial" w:hAnsi="Arial" w:cs="Arial"/>
          <w:i/>
          <w:iCs/>
          <w:sz w:val="20"/>
          <w:szCs w:val="20"/>
        </w:rPr>
        <w:t>Shiken Journal</w:t>
      </w:r>
      <w:r w:rsidRPr="00B81AF1">
        <w:rPr>
          <w:rFonts w:ascii="Arial" w:hAnsi="Arial" w:cs="Arial"/>
          <w:sz w:val="20"/>
          <w:szCs w:val="20"/>
        </w:rPr>
        <w:t>, </w:t>
      </w:r>
      <w:r w:rsidRPr="00B81AF1">
        <w:rPr>
          <w:rFonts w:ascii="Arial" w:hAnsi="Arial" w:cs="Arial"/>
          <w:i/>
          <w:iCs/>
          <w:sz w:val="20"/>
          <w:szCs w:val="20"/>
        </w:rPr>
        <w:t>19</w:t>
      </w:r>
      <w:r w:rsidRPr="00B81AF1">
        <w:rPr>
          <w:rFonts w:ascii="Arial" w:hAnsi="Arial" w:cs="Arial"/>
          <w:sz w:val="20"/>
          <w:szCs w:val="20"/>
        </w:rPr>
        <w:t>(2), 24-28.</w:t>
      </w:r>
    </w:p>
    <w:p w14:paraId="66C7EB1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Buchman, A. S., Boyle, P. A., Leurgans, S. E., Barnes, L. L., &amp; Bennett, D. A. (2011). Cognitive function is associated with the development of mobility impairments in community-dwelling elders. </w:t>
      </w:r>
      <w:r w:rsidRPr="00B81AF1">
        <w:rPr>
          <w:rFonts w:ascii="Arial" w:hAnsi="Arial" w:cs="Arial"/>
          <w:i/>
          <w:iCs/>
          <w:sz w:val="20"/>
          <w:szCs w:val="20"/>
        </w:rPr>
        <w:t>The American Journal of Geriatric Psychiatry</w:t>
      </w:r>
      <w:r w:rsidRPr="00B81AF1">
        <w:rPr>
          <w:rFonts w:ascii="Arial" w:hAnsi="Arial" w:cs="Arial"/>
          <w:sz w:val="20"/>
          <w:szCs w:val="20"/>
        </w:rPr>
        <w:t>, </w:t>
      </w:r>
      <w:r w:rsidRPr="00B81AF1">
        <w:rPr>
          <w:rFonts w:ascii="Arial" w:hAnsi="Arial" w:cs="Arial"/>
          <w:i/>
          <w:iCs/>
          <w:sz w:val="20"/>
          <w:szCs w:val="20"/>
        </w:rPr>
        <w:t>19</w:t>
      </w:r>
      <w:r w:rsidRPr="00B81AF1">
        <w:rPr>
          <w:rFonts w:ascii="Arial" w:hAnsi="Arial" w:cs="Arial"/>
          <w:sz w:val="20"/>
          <w:szCs w:val="20"/>
        </w:rPr>
        <w:t xml:space="preserve">(6), 571-580. </w:t>
      </w:r>
      <w:hyperlink r:id="rId11" w:history="1">
        <w:r w:rsidRPr="00B81AF1">
          <w:rPr>
            <w:rStyle w:val="Hyperlink"/>
            <w:rFonts w:ascii="Arial" w:hAnsi="Arial" w:cs="Arial"/>
            <w:sz w:val="20"/>
            <w:szCs w:val="20"/>
          </w:rPr>
          <w:t>https://doi.org/10.1097/JGP.0b013e3181ef7a2e</w:t>
        </w:r>
      </w:hyperlink>
      <w:r w:rsidRPr="00B81AF1">
        <w:rPr>
          <w:rFonts w:ascii="Arial" w:hAnsi="Arial" w:cs="Arial"/>
          <w:sz w:val="20"/>
          <w:szCs w:val="20"/>
        </w:rPr>
        <w:t xml:space="preserve"> </w:t>
      </w:r>
    </w:p>
    <w:p w14:paraId="1E91DBB9"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Busse, A. L., Jacob Filho, W., Magaldi, R. M., Coelho, V. A., Melo, A. C., &amp; Betoni, R. A. (2008). Effects of resistance training exercise on cognitive performance in elderly individuals with memory impairment: results of a controlled trial. </w:t>
      </w:r>
      <w:r w:rsidRPr="00B81AF1">
        <w:rPr>
          <w:rFonts w:ascii="Arial" w:hAnsi="Arial" w:cs="Arial"/>
          <w:i/>
          <w:iCs/>
          <w:sz w:val="20"/>
          <w:szCs w:val="20"/>
        </w:rPr>
        <w:t>Einstein</w:t>
      </w:r>
      <w:r w:rsidRPr="00B81AF1">
        <w:rPr>
          <w:rFonts w:ascii="Arial" w:hAnsi="Arial" w:cs="Arial"/>
          <w:sz w:val="20"/>
          <w:szCs w:val="20"/>
        </w:rPr>
        <w:t>, </w:t>
      </w:r>
      <w:r w:rsidRPr="00B81AF1">
        <w:rPr>
          <w:rFonts w:ascii="Arial" w:hAnsi="Arial" w:cs="Arial"/>
          <w:i/>
          <w:iCs/>
          <w:sz w:val="20"/>
          <w:szCs w:val="20"/>
        </w:rPr>
        <w:t>6</w:t>
      </w:r>
      <w:r w:rsidRPr="00B81AF1">
        <w:rPr>
          <w:rFonts w:ascii="Arial" w:hAnsi="Arial" w:cs="Arial"/>
          <w:sz w:val="20"/>
          <w:szCs w:val="20"/>
        </w:rPr>
        <w:t xml:space="preserve">(4), 402-7. </w:t>
      </w:r>
    </w:p>
    <w:p w14:paraId="5CA70067"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Caruana EJ, Roman M, Hernández-Sánchez J, Solli P (2015) Longitudinal studies. </w:t>
      </w:r>
      <w:r w:rsidRPr="00B81AF1">
        <w:rPr>
          <w:rFonts w:ascii="Arial" w:hAnsi="Arial" w:cs="Arial"/>
          <w:i/>
          <w:iCs/>
          <w:sz w:val="20"/>
          <w:szCs w:val="20"/>
        </w:rPr>
        <w:t xml:space="preserve">Journal of Thoracic disease. </w:t>
      </w:r>
    </w:p>
    <w:p w14:paraId="0DC7521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Clarys, D., Bugaiska, A., Tapia, G., &amp; Alexia Baudouin, A. (2009). Ageing, remembering, and executive function. </w:t>
      </w:r>
      <w:r w:rsidRPr="00B81AF1">
        <w:rPr>
          <w:rFonts w:ascii="Arial" w:hAnsi="Arial" w:cs="Arial"/>
          <w:i/>
          <w:iCs/>
          <w:sz w:val="20"/>
          <w:szCs w:val="20"/>
        </w:rPr>
        <w:t>Memory</w:t>
      </w:r>
      <w:r w:rsidRPr="00B81AF1">
        <w:rPr>
          <w:rFonts w:ascii="Arial" w:hAnsi="Arial" w:cs="Arial"/>
          <w:sz w:val="20"/>
          <w:szCs w:val="20"/>
        </w:rPr>
        <w:t>, </w:t>
      </w:r>
      <w:r w:rsidRPr="00B81AF1">
        <w:rPr>
          <w:rFonts w:ascii="Arial" w:hAnsi="Arial" w:cs="Arial"/>
          <w:i/>
          <w:iCs/>
          <w:sz w:val="20"/>
          <w:szCs w:val="20"/>
        </w:rPr>
        <w:t>17</w:t>
      </w:r>
      <w:r w:rsidRPr="00B81AF1">
        <w:rPr>
          <w:rFonts w:ascii="Arial" w:hAnsi="Arial" w:cs="Arial"/>
          <w:sz w:val="20"/>
          <w:szCs w:val="20"/>
        </w:rPr>
        <w:t xml:space="preserve">(2), 158-168. </w:t>
      </w:r>
      <w:hyperlink r:id="rId12" w:history="1">
        <w:r w:rsidRPr="00B81AF1">
          <w:rPr>
            <w:rStyle w:val="Hyperlink"/>
            <w:rFonts w:ascii="Arial" w:hAnsi="Arial" w:cs="Arial"/>
            <w:sz w:val="20"/>
            <w:szCs w:val="20"/>
          </w:rPr>
          <w:t>https://doi.org/10.1080/09658210802188301</w:t>
        </w:r>
      </w:hyperlink>
      <w:r w:rsidRPr="00B81AF1">
        <w:rPr>
          <w:rFonts w:ascii="Arial" w:hAnsi="Arial" w:cs="Arial"/>
          <w:sz w:val="20"/>
          <w:szCs w:val="20"/>
        </w:rPr>
        <w:t xml:space="preserve"> </w:t>
      </w:r>
    </w:p>
    <w:p w14:paraId="32A56B64"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Connor, L. T. (2001). </w:t>
      </w:r>
      <w:r w:rsidRPr="00B81AF1">
        <w:rPr>
          <w:rFonts w:ascii="Arial" w:hAnsi="Arial" w:cs="Arial"/>
          <w:i/>
          <w:iCs/>
          <w:sz w:val="20"/>
          <w:szCs w:val="20"/>
        </w:rPr>
        <w:t>Memory in old age: Patterns of decline and preservation</w:t>
      </w:r>
      <w:r w:rsidRPr="00B81AF1">
        <w:rPr>
          <w:rFonts w:ascii="Arial" w:hAnsi="Arial" w:cs="Arial"/>
          <w:sz w:val="20"/>
          <w:szCs w:val="20"/>
        </w:rPr>
        <w:t>. In Seminars in Speech and Language (Vol. 22, No. 02, pp. 119-128). Thieme Medical Publishers. New York.</w:t>
      </w:r>
    </w:p>
    <w:p w14:paraId="0F159ACC"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Dause, T. J., &amp; Kirby, E. D. (2019). Aging gracefully: social engagement joins exercise and enrichment as a key lifestyle factor in resistance to age-related cognitive decline. </w:t>
      </w:r>
      <w:r w:rsidRPr="00B81AF1">
        <w:rPr>
          <w:rFonts w:ascii="Arial" w:hAnsi="Arial" w:cs="Arial"/>
          <w:i/>
          <w:iCs/>
          <w:sz w:val="20"/>
          <w:szCs w:val="20"/>
        </w:rPr>
        <w:t>Neural regeneration research</w:t>
      </w:r>
      <w:r w:rsidRPr="00B81AF1">
        <w:rPr>
          <w:rFonts w:ascii="Arial" w:hAnsi="Arial" w:cs="Arial"/>
          <w:sz w:val="20"/>
          <w:szCs w:val="20"/>
        </w:rPr>
        <w:t>, </w:t>
      </w:r>
      <w:r w:rsidRPr="00B81AF1">
        <w:rPr>
          <w:rFonts w:ascii="Arial" w:hAnsi="Arial" w:cs="Arial"/>
          <w:i/>
          <w:iCs/>
          <w:sz w:val="20"/>
          <w:szCs w:val="20"/>
        </w:rPr>
        <w:t>14</w:t>
      </w:r>
      <w:r w:rsidRPr="00B81AF1">
        <w:rPr>
          <w:rFonts w:ascii="Arial" w:hAnsi="Arial" w:cs="Arial"/>
          <w:sz w:val="20"/>
          <w:szCs w:val="20"/>
        </w:rPr>
        <w:t xml:space="preserve">(1), 39. </w:t>
      </w:r>
    </w:p>
    <w:p w14:paraId="4AE031D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lastRenderedPageBreak/>
        <w:t>Deary, I. J., Wright, A. F., Harris, S. E., Whalley, L. J., &amp; Starr, J. M. (2004). Searching for genetic influences on normal cognitive ageing. </w:t>
      </w:r>
      <w:r w:rsidRPr="00B81AF1">
        <w:rPr>
          <w:rFonts w:ascii="Arial" w:hAnsi="Arial" w:cs="Arial"/>
          <w:i/>
          <w:iCs/>
          <w:sz w:val="20"/>
          <w:szCs w:val="20"/>
        </w:rPr>
        <w:t>Trends in cognitive sciences</w:t>
      </w:r>
      <w:r w:rsidRPr="00B81AF1">
        <w:rPr>
          <w:rFonts w:ascii="Arial" w:hAnsi="Arial" w:cs="Arial"/>
          <w:sz w:val="20"/>
          <w:szCs w:val="20"/>
        </w:rPr>
        <w:t>, </w:t>
      </w:r>
      <w:r w:rsidRPr="00B81AF1">
        <w:rPr>
          <w:rFonts w:ascii="Arial" w:hAnsi="Arial" w:cs="Arial"/>
          <w:i/>
          <w:iCs/>
          <w:sz w:val="20"/>
          <w:szCs w:val="20"/>
        </w:rPr>
        <w:t>8</w:t>
      </w:r>
      <w:r w:rsidRPr="00B81AF1">
        <w:rPr>
          <w:rFonts w:ascii="Arial" w:hAnsi="Arial" w:cs="Arial"/>
          <w:sz w:val="20"/>
          <w:szCs w:val="20"/>
        </w:rPr>
        <w:t xml:space="preserve">(4), 178-184. </w:t>
      </w:r>
      <w:hyperlink r:id="rId13" w:history="1">
        <w:r w:rsidRPr="00B81AF1">
          <w:rPr>
            <w:rStyle w:val="Hyperlink"/>
            <w:rFonts w:ascii="Arial" w:hAnsi="Arial" w:cs="Arial"/>
            <w:sz w:val="20"/>
            <w:szCs w:val="20"/>
          </w:rPr>
          <w:t>https://doi.org/10.1016/j.tics.2004.02.008</w:t>
        </w:r>
      </w:hyperlink>
      <w:r w:rsidRPr="00B81AF1">
        <w:rPr>
          <w:rFonts w:ascii="Arial" w:hAnsi="Arial" w:cs="Arial"/>
          <w:sz w:val="20"/>
          <w:szCs w:val="20"/>
        </w:rPr>
        <w:t xml:space="preserve"> </w:t>
      </w:r>
    </w:p>
    <w:p w14:paraId="15E3F120"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Deary, I. J., Corley, J., Gow, A. J., Harris, S. E., Houlihan, L. M., Marioni, R. E., ... &amp; Starr, J. M. (2009). Age-associated cognitive decline. </w:t>
      </w:r>
      <w:r w:rsidRPr="00B81AF1">
        <w:rPr>
          <w:rFonts w:ascii="Arial" w:hAnsi="Arial" w:cs="Arial"/>
          <w:i/>
          <w:iCs/>
          <w:sz w:val="20"/>
          <w:szCs w:val="20"/>
        </w:rPr>
        <w:t>British medical bulletin</w:t>
      </w:r>
      <w:r w:rsidRPr="00B81AF1">
        <w:rPr>
          <w:rFonts w:ascii="Arial" w:hAnsi="Arial" w:cs="Arial"/>
          <w:sz w:val="20"/>
          <w:szCs w:val="20"/>
        </w:rPr>
        <w:t>, </w:t>
      </w:r>
      <w:r w:rsidRPr="00B81AF1">
        <w:rPr>
          <w:rFonts w:ascii="Arial" w:hAnsi="Arial" w:cs="Arial"/>
          <w:i/>
          <w:iCs/>
          <w:sz w:val="20"/>
          <w:szCs w:val="20"/>
        </w:rPr>
        <w:t>92</w:t>
      </w:r>
      <w:r w:rsidRPr="00B81AF1">
        <w:rPr>
          <w:rFonts w:ascii="Arial" w:hAnsi="Arial" w:cs="Arial"/>
          <w:sz w:val="20"/>
          <w:szCs w:val="20"/>
        </w:rPr>
        <w:t xml:space="preserve">(1), 135-152. </w:t>
      </w:r>
      <w:hyperlink r:id="rId14" w:history="1">
        <w:r w:rsidRPr="00B81AF1">
          <w:rPr>
            <w:rStyle w:val="Hyperlink"/>
            <w:rFonts w:ascii="Arial" w:hAnsi="Arial" w:cs="Arial"/>
            <w:sz w:val="20"/>
            <w:szCs w:val="20"/>
          </w:rPr>
          <w:t>https://doi.org/10.1093/bmb/ldp041</w:t>
        </w:r>
      </w:hyperlink>
      <w:r w:rsidRPr="00B81AF1">
        <w:rPr>
          <w:rFonts w:ascii="Arial" w:hAnsi="Arial" w:cs="Arial"/>
          <w:sz w:val="20"/>
          <w:szCs w:val="20"/>
        </w:rPr>
        <w:t xml:space="preserve"> </w:t>
      </w:r>
    </w:p>
    <w:p w14:paraId="64A61610"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Deary, I. J., Johnson, W., &amp; Houlihan, L. M. (2009). Genetic foundations of human intelligence. </w:t>
      </w:r>
      <w:r w:rsidRPr="00B81AF1">
        <w:rPr>
          <w:rFonts w:ascii="Arial" w:hAnsi="Arial" w:cs="Arial"/>
          <w:i/>
          <w:iCs/>
          <w:sz w:val="20"/>
          <w:szCs w:val="20"/>
        </w:rPr>
        <w:t>Human genetics</w:t>
      </w:r>
      <w:r w:rsidRPr="00B81AF1">
        <w:rPr>
          <w:rFonts w:ascii="Arial" w:hAnsi="Arial" w:cs="Arial"/>
          <w:sz w:val="20"/>
          <w:szCs w:val="20"/>
        </w:rPr>
        <w:t>, </w:t>
      </w:r>
      <w:r w:rsidRPr="00B81AF1">
        <w:rPr>
          <w:rFonts w:ascii="Arial" w:hAnsi="Arial" w:cs="Arial"/>
          <w:i/>
          <w:iCs/>
          <w:sz w:val="20"/>
          <w:szCs w:val="20"/>
        </w:rPr>
        <w:t>126</w:t>
      </w:r>
      <w:r w:rsidRPr="00B81AF1">
        <w:rPr>
          <w:rFonts w:ascii="Arial" w:hAnsi="Arial" w:cs="Arial"/>
          <w:sz w:val="20"/>
          <w:szCs w:val="20"/>
        </w:rPr>
        <w:t xml:space="preserve">(1), 215-232. </w:t>
      </w:r>
      <w:hyperlink r:id="rId15" w:history="1">
        <w:r w:rsidRPr="00B81AF1">
          <w:rPr>
            <w:rStyle w:val="Hyperlink"/>
            <w:rFonts w:ascii="Arial" w:hAnsi="Arial" w:cs="Arial"/>
            <w:sz w:val="20"/>
            <w:szCs w:val="20"/>
          </w:rPr>
          <w:t>https://doi.org/10.1007/s00439-009-0655-4</w:t>
        </w:r>
      </w:hyperlink>
      <w:r w:rsidRPr="00B81AF1">
        <w:rPr>
          <w:rFonts w:ascii="Arial" w:hAnsi="Arial" w:cs="Arial"/>
          <w:sz w:val="20"/>
          <w:szCs w:val="20"/>
        </w:rPr>
        <w:t xml:space="preserve"> </w:t>
      </w:r>
    </w:p>
    <w:p w14:paraId="52A961E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Dempster, F. N. (1992). The rise and fall of the inhibitory mechanism: Toward a unified theory of cognitive development and aging. </w:t>
      </w:r>
      <w:r w:rsidRPr="00B81AF1">
        <w:rPr>
          <w:rFonts w:ascii="Arial" w:hAnsi="Arial" w:cs="Arial"/>
          <w:i/>
          <w:iCs/>
          <w:sz w:val="20"/>
          <w:szCs w:val="20"/>
        </w:rPr>
        <w:t>Developmental review</w:t>
      </w:r>
      <w:r w:rsidRPr="00B81AF1">
        <w:rPr>
          <w:rFonts w:ascii="Arial" w:hAnsi="Arial" w:cs="Arial"/>
          <w:sz w:val="20"/>
          <w:szCs w:val="20"/>
        </w:rPr>
        <w:t>, </w:t>
      </w:r>
      <w:r w:rsidRPr="00B81AF1">
        <w:rPr>
          <w:rFonts w:ascii="Arial" w:hAnsi="Arial" w:cs="Arial"/>
          <w:i/>
          <w:iCs/>
          <w:sz w:val="20"/>
          <w:szCs w:val="20"/>
        </w:rPr>
        <w:t>12</w:t>
      </w:r>
      <w:r w:rsidRPr="00B81AF1">
        <w:rPr>
          <w:rFonts w:ascii="Arial" w:hAnsi="Arial" w:cs="Arial"/>
          <w:sz w:val="20"/>
          <w:szCs w:val="20"/>
        </w:rPr>
        <w:t xml:space="preserve">(1), 45-75. </w:t>
      </w:r>
      <w:hyperlink r:id="rId16" w:history="1">
        <w:r w:rsidRPr="00B81AF1">
          <w:rPr>
            <w:rStyle w:val="Hyperlink"/>
            <w:rFonts w:ascii="Arial" w:hAnsi="Arial" w:cs="Arial"/>
            <w:sz w:val="20"/>
            <w:szCs w:val="20"/>
          </w:rPr>
          <w:t>https://doi.org/10.1016/0273-2297(92)90003-K</w:t>
        </w:r>
      </w:hyperlink>
      <w:r w:rsidRPr="00B81AF1">
        <w:rPr>
          <w:rFonts w:ascii="Arial" w:hAnsi="Arial" w:cs="Arial"/>
          <w:sz w:val="20"/>
          <w:szCs w:val="20"/>
        </w:rPr>
        <w:t xml:space="preserve"> </w:t>
      </w:r>
    </w:p>
    <w:p w14:paraId="471E42BF"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Erickson, K. I., &amp; Kramer, A. F. (2009). Aerobic exercise effects on cognitive and neural plasticity in older adults. </w:t>
      </w:r>
      <w:r w:rsidRPr="00B81AF1">
        <w:rPr>
          <w:rFonts w:ascii="Arial" w:hAnsi="Arial" w:cs="Arial"/>
          <w:i/>
          <w:iCs/>
          <w:sz w:val="20"/>
          <w:szCs w:val="20"/>
        </w:rPr>
        <w:t>British journal of sports medicine</w:t>
      </w:r>
      <w:r w:rsidRPr="00B81AF1">
        <w:rPr>
          <w:rFonts w:ascii="Arial" w:hAnsi="Arial" w:cs="Arial"/>
          <w:sz w:val="20"/>
          <w:szCs w:val="20"/>
        </w:rPr>
        <w:t>, </w:t>
      </w:r>
      <w:r w:rsidRPr="00B81AF1">
        <w:rPr>
          <w:rFonts w:ascii="Arial" w:hAnsi="Arial" w:cs="Arial"/>
          <w:i/>
          <w:iCs/>
          <w:sz w:val="20"/>
          <w:szCs w:val="20"/>
        </w:rPr>
        <w:t>43</w:t>
      </w:r>
      <w:r w:rsidRPr="00B81AF1">
        <w:rPr>
          <w:rFonts w:ascii="Arial" w:hAnsi="Arial" w:cs="Arial"/>
          <w:sz w:val="20"/>
          <w:szCs w:val="20"/>
        </w:rPr>
        <w:t xml:space="preserve">(1), 22-24. </w:t>
      </w:r>
      <w:hyperlink r:id="rId17" w:history="1">
        <w:r w:rsidRPr="00B81AF1">
          <w:rPr>
            <w:rStyle w:val="Hyperlink"/>
            <w:rFonts w:ascii="Arial" w:hAnsi="Arial" w:cs="Arial"/>
            <w:sz w:val="20"/>
            <w:szCs w:val="20"/>
          </w:rPr>
          <w:t>http://dx.doi.org/10.1136/bjsm.2008.052498</w:t>
        </w:r>
      </w:hyperlink>
      <w:r w:rsidRPr="00B81AF1">
        <w:rPr>
          <w:rFonts w:ascii="Arial" w:hAnsi="Arial" w:cs="Arial"/>
          <w:sz w:val="20"/>
          <w:szCs w:val="20"/>
        </w:rPr>
        <w:t xml:space="preserve"> </w:t>
      </w:r>
    </w:p>
    <w:p w14:paraId="6EF37313"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Evans, I. E., Llewellyn, D. J., Matthews, F. E., Woods, R. T., Brayne, C., Clare, L., &amp; CFAS-Wales Research Team. (2019). Living alone and cognitive function in later life. </w:t>
      </w:r>
      <w:r w:rsidRPr="00B81AF1">
        <w:rPr>
          <w:rFonts w:ascii="Arial" w:hAnsi="Arial" w:cs="Arial"/>
          <w:i/>
          <w:iCs/>
          <w:sz w:val="20"/>
          <w:szCs w:val="20"/>
        </w:rPr>
        <w:t>Archives of gerontology and geriatrics</w:t>
      </w:r>
      <w:r w:rsidRPr="00B81AF1">
        <w:rPr>
          <w:rFonts w:ascii="Arial" w:hAnsi="Arial" w:cs="Arial"/>
          <w:sz w:val="20"/>
          <w:szCs w:val="20"/>
        </w:rPr>
        <w:t>, </w:t>
      </w:r>
      <w:r w:rsidRPr="00B81AF1">
        <w:rPr>
          <w:rFonts w:ascii="Arial" w:hAnsi="Arial" w:cs="Arial"/>
          <w:i/>
          <w:iCs/>
          <w:sz w:val="20"/>
          <w:szCs w:val="20"/>
        </w:rPr>
        <w:t>81</w:t>
      </w:r>
      <w:r w:rsidRPr="00B81AF1">
        <w:rPr>
          <w:rFonts w:ascii="Arial" w:hAnsi="Arial" w:cs="Arial"/>
          <w:sz w:val="20"/>
          <w:szCs w:val="20"/>
        </w:rPr>
        <w:t xml:space="preserve">, 222-233. </w:t>
      </w:r>
      <w:hyperlink r:id="rId18" w:history="1">
        <w:r w:rsidRPr="00B81AF1">
          <w:rPr>
            <w:rStyle w:val="Hyperlink"/>
            <w:rFonts w:ascii="Arial" w:hAnsi="Arial" w:cs="Arial"/>
            <w:sz w:val="20"/>
            <w:szCs w:val="20"/>
          </w:rPr>
          <w:t>https://doi.org/10.1016/j.archger.2018.12.014</w:t>
        </w:r>
      </w:hyperlink>
      <w:r w:rsidRPr="00B81AF1">
        <w:rPr>
          <w:rFonts w:ascii="Arial" w:hAnsi="Arial" w:cs="Arial"/>
          <w:sz w:val="20"/>
          <w:szCs w:val="20"/>
        </w:rPr>
        <w:t xml:space="preserve"> </w:t>
      </w:r>
    </w:p>
    <w:p w14:paraId="0C928A0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Fabre, C., Chamari, K., Mucci, P., Masse-Biron, J., &amp; Préfaut, C. (2002). Improvement of cognitive function by mental and/or individualized aerobic training in healthy elderly subjects. </w:t>
      </w:r>
      <w:r w:rsidRPr="00B81AF1">
        <w:rPr>
          <w:rFonts w:ascii="Arial" w:hAnsi="Arial" w:cs="Arial"/>
          <w:i/>
          <w:iCs/>
          <w:sz w:val="20"/>
          <w:szCs w:val="20"/>
        </w:rPr>
        <w:t>International journal of sports medicine</w:t>
      </w:r>
      <w:r w:rsidRPr="00B81AF1">
        <w:rPr>
          <w:rFonts w:ascii="Arial" w:hAnsi="Arial" w:cs="Arial"/>
          <w:sz w:val="20"/>
          <w:szCs w:val="20"/>
        </w:rPr>
        <w:t>, </w:t>
      </w:r>
      <w:r w:rsidRPr="00B81AF1">
        <w:rPr>
          <w:rFonts w:ascii="Arial" w:hAnsi="Arial" w:cs="Arial"/>
          <w:i/>
          <w:iCs/>
          <w:sz w:val="20"/>
          <w:szCs w:val="20"/>
        </w:rPr>
        <w:t>23</w:t>
      </w:r>
      <w:r w:rsidRPr="00B81AF1">
        <w:rPr>
          <w:rFonts w:ascii="Arial" w:hAnsi="Arial" w:cs="Arial"/>
          <w:sz w:val="20"/>
          <w:szCs w:val="20"/>
        </w:rPr>
        <w:t>(06), 415-421.</w:t>
      </w:r>
    </w:p>
    <w:p w14:paraId="6CC503A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Finkel, D., &amp; Pedersen, N. L. (2004). Processing speed and longitudinal trajectories of change for cognitive abilities: The Swedish Adoption/Twin Study of Aging. </w:t>
      </w:r>
      <w:r w:rsidRPr="00B81AF1">
        <w:rPr>
          <w:rFonts w:ascii="Arial" w:hAnsi="Arial" w:cs="Arial"/>
          <w:i/>
          <w:iCs/>
          <w:sz w:val="20"/>
          <w:szCs w:val="20"/>
        </w:rPr>
        <w:t>Aging Neuropsychology and Cognition</w:t>
      </w:r>
      <w:r w:rsidRPr="00B81AF1">
        <w:rPr>
          <w:rFonts w:ascii="Arial" w:hAnsi="Arial" w:cs="Arial"/>
          <w:sz w:val="20"/>
          <w:szCs w:val="20"/>
        </w:rPr>
        <w:t>, </w:t>
      </w:r>
      <w:r w:rsidRPr="00B81AF1">
        <w:rPr>
          <w:rFonts w:ascii="Arial" w:hAnsi="Arial" w:cs="Arial"/>
          <w:i/>
          <w:iCs/>
          <w:sz w:val="20"/>
          <w:szCs w:val="20"/>
        </w:rPr>
        <w:t>11</w:t>
      </w:r>
      <w:r w:rsidRPr="00B81AF1">
        <w:rPr>
          <w:rFonts w:ascii="Arial" w:hAnsi="Arial" w:cs="Arial"/>
          <w:sz w:val="20"/>
          <w:szCs w:val="20"/>
        </w:rPr>
        <w:t xml:space="preserve">(2-3), 325-345. </w:t>
      </w:r>
      <w:hyperlink r:id="rId19" w:history="1">
        <w:r w:rsidRPr="00B81AF1">
          <w:rPr>
            <w:rStyle w:val="Hyperlink"/>
            <w:rFonts w:ascii="Arial" w:hAnsi="Arial" w:cs="Arial"/>
            <w:sz w:val="20"/>
            <w:szCs w:val="20"/>
          </w:rPr>
          <w:t>https://doi.org/10.1080/13825580490511152</w:t>
        </w:r>
      </w:hyperlink>
      <w:r w:rsidRPr="00B81AF1">
        <w:rPr>
          <w:rFonts w:ascii="Arial" w:hAnsi="Arial" w:cs="Arial"/>
          <w:sz w:val="20"/>
          <w:szCs w:val="20"/>
        </w:rPr>
        <w:t xml:space="preserve"> </w:t>
      </w:r>
    </w:p>
    <w:p w14:paraId="5D292B53"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Finkel, D., Reynolds, C. A., McArdle, J. J., &amp; Pedersen, N. L. (2007). Age changes in processing speed as a leading indicator of cognitive aging. </w:t>
      </w:r>
      <w:r w:rsidRPr="00B81AF1">
        <w:rPr>
          <w:rFonts w:ascii="Arial" w:hAnsi="Arial" w:cs="Arial"/>
          <w:i/>
          <w:iCs/>
          <w:sz w:val="20"/>
          <w:szCs w:val="20"/>
        </w:rPr>
        <w:t>Psychology and aging</w:t>
      </w:r>
      <w:r w:rsidRPr="00B81AF1">
        <w:rPr>
          <w:rFonts w:ascii="Arial" w:hAnsi="Arial" w:cs="Arial"/>
          <w:sz w:val="20"/>
          <w:szCs w:val="20"/>
        </w:rPr>
        <w:t>, </w:t>
      </w:r>
      <w:r w:rsidRPr="00B81AF1">
        <w:rPr>
          <w:rFonts w:ascii="Arial" w:hAnsi="Arial" w:cs="Arial"/>
          <w:i/>
          <w:iCs/>
          <w:sz w:val="20"/>
          <w:szCs w:val="20"/>
        </w:rPr>
        <w:t>22</w:t>
      </w:r>
      <w:r w:rsidRPr="00B81AF1">
        <w:rPr>
          <w:rFonts w:ascii="Arial" w:hAnsi="Arial" w:cs="Arial"/>
          <w:sz w:val="20"/>
          <w:szCs w:val="20"/>
        </w:rPr>
        <w:t xml:space="preserve">(3), 558. </w:t>
      </w:r>
      <w:hyperlink r:id="rId20" w:history="1">
        <w:r w:rsidRPr="00B81AF1">
          <w:rPr>
            <w:rStyle w:val="Hyperlink"/>
            <w:rFonts w:ascii="Arial" w:hAnsi="Arial" w:cs="Arial"/>
            <w:sz w:val="20"/>
            <w:szCs w:val="20"/>
          </w:rPr>
          <w:t>https://doi.org/10.1037/0882-7974.22.3.558</w:t>
        </w:r>
      </w:hyperlink>
      <w:r w:rsidRPr="00B81AF1">
        <w:rPr>
          <w:rFonts w:ascii="Arial" w:hAnsi="Arial" w:cs="Arial"/>
          <w:sz w:val="20"/>
          <w:szCs w:val="20"/>
        </w:rPr>
        <w:t xml:space="preserve"> </w:t>
      </w:r>
    </w:p>
    <w:p w14:paraId="0F700877" w14:textId="0D032EE1"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Fukutomi, E., Okumiya, K., Wada, T., Sakamoto, R., Ishimoto, Y., Kimura, Y., ... &amp; Matsubayashi, K. (2013). Importance of cognitive assessment as part of the “Kihon Checklist” developed by the </w:t>
      </w:r>
      <w:r w:rsidR="001F5105" w:rsidRPr="00B81AF1">
        <w:rPr>
          <w:rFonts w:ascii="Arial" w:hAnsi="Arial" w:cs="Arial"/>
          <w:sz w:val="20"/>
          <w:szCs w:val="20"/>
        </w:rPr>
        <w:t>Japanese</w:t>
      </w:r>
      <w:r w:rsidRPr="00B81AF1">
        <w:rPr>
          <w:rFonts w:ascii="Arial" w:hAnsi="Arial" w:cs="Arial"/>
          <w:sz w:val="20"/>
          <w:szCs w:val="20"/>
        </w:rPr>
        <w:t xml:space="preserve"> Ministry of </w:t>
      </w:r>
      <w:r w:rsidR="001F5105">
        <w:rPr>
          <w:rFonts w:ascii="Arial" w:hAnsi="Arial" w:cs="Arial"/>
          <w:sz w:val="20"/>
          <w:szCs w:val="20"/>
        </w:rPr>
        <w:t>Health</w:t>
      </w:r>
      <w:r w:rsidRPr="00B81AF1">
        <w:rPr>
          <w:rFonts w:ascii="Arial" w:hAnsi="Arial" w:cs="Arial"/>
          <w:sz w:val="20"/>
          <w:szCs w:val="20"/>
        </w:rPr>
        <w:t>, Labor and Welfare for prediction of frailty at a 2</w:t>
      </w:r>
      <w:r w:rsidRPr="00B81AF1">
        <w:rPr>
          <w:rFonts w:ascii="Cambria Math" w:hAnsi="Cambria Math" w:cs="Cambria Math"/>
          <w:sz w:val="20"/>
          <w:szCs w:val="20"/>
        </w:rPr>
        <w:t>‐</w:t>
      </w:r>
      <w:r w:rsidRPr="00B81AF1">
        <w:rPr>
          <w:rFonts w:ascii="Arial" w:hAnsi="Arial" w:cs="Arial"/>
          <w:sz w:val="20"/>
          <w:szCs w:val="20"/>
        </w:rPr>
        <w:t>year follow up. </w:t>
      </w:r>
      <w:r w:rsidRPr="00B81AF1">
        <w:rPr>
          <w:rFonts w:ascii="Arial" w:hAnsi="Arial" w:cs="Arial"/>
          <w:i/>
          <w:iCs/>
          <w:sz w:val="20"/>
          <w:szCs w:val="20"/>
        </w:rPr>
        <w:t>Geriatrics &amp; gerontology international</w:t>
      </w:r>
      <w:r w:rsidRPr="00B81AF1">
        <w:rPr>
          <w:rFonts w:ascii="Arial" w:hAnsi="Arial" w:cs="Arial"/>
          <w:sz w:val="20"/>
          <w:szCs w:val="20"/>
        </w:rPr>
        <w:t>, </w:t>
      </w:r>
      <w:r w:rsidRPr="00B81AF1">
        <w:rPr>
          <w:rFonts w:ascii="Arial" w:hAnsi="Arial" w:cs="Arial"/>
          <w:i/>
          <w:iCs/>
          <w:sz w:val="20"/>
          <w:szCs w:val="20"/>
        </w:rPr>
        <w:t>13</w:t>
      </w:r>
      <w:r w:rsidRPr="00B81AF1">
        <w:rPr>
          <w:rFonts w:ascii="Arial" w:hAnsi="Arial" w:cs="Arial"/>
          <w:sz w:val="20"/>
          <w:szCs w:val="20"/>
        </w:rPr>
        <w:t xml:space="preserve">(3), 654-662. </w:t>
      </w:r>
      <w:hyperlink r:id="rId21" w:history="1">
        <w:r w:rsidRPr="00B81AF1">
          <w:rPr>
            <w:rStyle w:val="Hyperlink"/>
            <w:rFonts w:ascii="Arial" w:hAnsi="Arial" w:cs="Arial"/>
            <w:sz w:val="20"/>
            <w:szCs w:val="20"/>
          </w:rPr>
          <w:t>https://doi.org/10.1111/j.1447-0594.2012.00959.x</w:t>
        </w:r>
      </w:hyperlink>
      <w:r w:rsidRPr="00B81AF1">
        <w:rPr>
          <w:rFonts w:ascii="Arial" w:hAnsi="Arial" w:cs="Arial"/>
          <w:sz w:val="20"/>
          <w:szCs w:val="20"/>
        </w:rPr>
        <w:t xml:space="preserve"> </w:t>
      </w:r>
    </w:p>
    <w:p w14:paraId="580173A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Glei, D. A., Landau, D. A., Goldman, N., Chuang, Y. L., Rodríguez, G., &amp; Weinstein, M. (2005). Participating in social activities helps preserve cognitive function: an analysis of a longitudinal, population-based study of the elderly. </w:t>
      </w:r>
      <w:r w:rsidRPr="00B81AF1">
        <w:rPr>
          <w:rFonts w:ascii="Arial" w:hAnsi="Arial" w:cs="Arial"/>
          <w:i/>
          <w:iCs/>
          <w:sz w:val="20"/>
          <w:szCs w:val="20"/>
        </w:rPr>
        <w:t>International journal of epidemiology</w:t>
      </w:r>
      <w:r w:rsidRPr="00B81AF1">
        <w:rPr>
          <w:rFonts w:ascii="Arial" w:hAnsi="Arial" w:cs="Arial"/>
          <w:sz w:val="20"/>
          <w:szCs w:val="20"/>
        </w:rPr>
        <w:t>, </w:t>
      </w:r>
      <w:r w:rsidRPr="00B81AF1">
        <w:rPr>
          <w:rFonts w:ascii="Arial" w:hAnsi="Arial" w:cs="Arial"/>
          <w:i/>
          <w:iCs/>
          <w:sz w:val="20"/>
          <w:szCs w:val="20"/>
        </w:rPr>
        <w:t>34</w:t>
      </w:r>
      <w:r w:rsidRPr="00B81AF1">
        <w:rPr>
          <w:rFonts w:ascii="Arial" w:hAnsi="Arial" w:cs="Arial"/>
          <w:sz w:val="20"/>
          <w:szCs w:val="20"/>
        </w:rPr>
        <w:t xml:space="preserve">(4), 864-871. </w:t>
      </w:r>
      <w:hyperlink r:id="rId22" w:history="1">
        <w:r w:rsidRPr="00B81AF1">
          <w:rPr>
            <w:rStyle w:val="Hyperlink"/>
            <w:rFonts w:ascii="Arial" w:hAnsi="Arial" w:cs="Arial"/>
            <w:sz w:val="20"/>
            <w:szCs w:val="20"/>
          </w:rPr>
          <w:t>https://doi.org/10.1093/ije/dyi049</w:t>
        </w:r>
      </w:hyperlink>
      <w:r w:rsidRPr="00B81AF1">
        <w:rPr>
          <w:rFonts w:ascii="Arial" w:hAnsi="Arial" w:cs="Arial"/>
          <w:sz w:val="20"/>
          <w:szCs w:val="20"/>
        </w:rPr>
        <w:t xml:space="preserve"> </w:t>
      </w:r>
    </w:p>
    <w:p w14:paraId="4ABDBC62"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Håkansson, K., Rovio, S., Helkala, E. L., Vilska, A. R., Winblad, B., Soininen, H., ... &amp; Kivipelto, M. (2009). Association between mid-life marital status and cognitive function in later life: population based cohort study. </w:t>
      </w:r>
      <w:r w:rsidRPr="00B81AF1">
        <w:rPr>
          <w:rFonts w:ascii="Arial" w:hAnsi="Arial" w:cs="Arial"/>
          <w:i/>
          <w:iCs/>
          <w:sz w:val="20"/>
          <w:szCs w:val="20"/>
        </w:rPr>
        <w:t>Bmj</w:t>
      </w:r>
      <w:r w:rsidRPr="00B81AF1">
        <w:rPr>
          <w:rFonts w:ascii="Arial" w:hAnsi="Arial" w:cs="Arial"/>
          <w:sz w:val="20"/>
          <w:szCs w:val="20"/>
        </w:rPr>
        <w:t>, </w:t>
      </w:r>
      <w:r w:rsidRPr="00B81AF1">
        <w:rPr>
          <w:rFonts w:ascii="Arial" w:hAnsi="Arial" w:cs="Arial"/>
          <w:i/>
          <w:iCs/>
          <w:sz w:val="20"/>
          <w:szCs w:val="20"/>
        </w:rPr>
        <w:t>339</w:t>
      </w:r>
      <w:r w:rsidRPr="00B81AF1">
        <w:rPr>
          <w:rFonts w:ascii="Arial" w:hAnsi="Arial" w:cs="Arial"/>
          <w:sz w:val="20"/>
          <w:szCs w:val="20"/>
        </w:rPr>
        <w:t xml:space="preserve">. doi: </w:t>
      </w:r>
      <w:hyperlink r:id="rId23" w:history="1">
        <w:r w:rsidRPr="00B81AF1">
          <w:rPr>
            <w:rStyle w:val="Hyperlink"/>
            <w:rFonts w:ascii="Arial" w:hAnsi="Arial" w:cs="Arial"/>
            <w:sz w:val="20"/>
            <w:szCs w:val="20"/>
          </w:rPr>
          <w:t>https://doi.org/10.1136/bmj.b2462</w:t>
        </w:r>
      </w:hyperlink>
      <w:r w:rsidRPr="00B81AF1">
        <w:rPr>
          <w:rFonts w:ascii="Arial" w:hAnsi="Arial" w:cs="Arial"/>
          <w:sz w:val="20"/>
          <w:szCs w:val="20"/>
        </w:rPr>
        <w:t xml:space="preserve"> </w:t>
      </w:r>
    </w:p>
    <w:p w14:paraId="6BF0CDB8" w14:textId="77777777" w:rsidR="00B81AF1" w:rsidRPr="00B81AF1" w:rsidRDefault="00B81AF1" w:rsidP="00B81AF1">
      <w:pPr>
        <w:spacing w:line="276" w:lineRule="auto"/>
        <w:ind w:hanging="720"/>
        <w:rPr>
          <w:rFonts w:ascii="Arial" w:hAnsi="Arial" w:cs="Arial"/>
          <w:i/>
          <w:iCs/>
          <w:sz w:val="20"/>
          <w:szCs w:val="20"/>
        </w:rPr>
      </w:pPr>
      <w:r w:rsidRPr="00B81AF1">
        <w:rPr>
          <w:rFonts w:ascii="Arial" w:hAnsi="Arial" w:cs="Arial"/>
          <w:sz w:val="20"/>
          <w:szCs w:val="20"/>
        </w:rPr>
        <w:t>Hertzog, C., &amp; Dixon, R. A. (1994). Metacognitive development in adulthood and old age. </w:t>
      </w:r>
      <w:r w:rsidRPr="00B81AF1">
        <w:rPr>
          <w:rFonts w:ascii="Arial" w:hAnsi="Arial" w:cs="Arial"/>
          <w:i/>
          <w:iCs/>
          <w:sz w:val="20"/>
          <w:szCs w:val="20"/>
        </w:rPr>
        <w:t>Metacognition: Knowing about knowing</w:t>
      </w:r>
      <w:r w:rsidRPr="00B81AF1">
        <w:rPr>
          <w:rFonts w:ascii="Arial" w:hAnsi="Arial" w:cs="Arial"/>
          <w:sz w:val="20"/>
          <w:szCs w:val="20"/>
        </w:rPr>
        <w:t>, 227-251.</w:t>
      </w:r>
    </w:p>
    <w:p w14:paraId="10110F0C"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Hikichi, H., Kondo, K., Takeda, T., &amp; Kawachi, I. (2017). Social interaction and cognitive decline: Results of a 7-year community intervention. </w:t>
      </w:r>
      <w:r w:rsidRPr="00B81AF1">
        <w:rPr>
          <w:rFonts w:ascii="Arial" w:hAnsi="Arial" w:cs="Arial"/>
          <w:i/>
          <w:iCs/>
          <w:sz w:val="20"/>
          <w:szCs w:val="20"/>
        </w:rPr>
        <w:t>Alzheimer's &amp; Dementia: Translational Research &amp; Clinical Interventions</w:t>
      </w:r>
      <w:r w:rsidRPr="00B81AF1">
        <w:rPr>
          <w:rFonts w:ascii="Arial" w:hAnsi="Arial" w:cs="Arial"/>
          <w:sz w:val="20"/>
          <w:szCs w:val="20"/>
        </w:rPr>
        <w:t>, </w:t>
      </w:r>
      <w:r w:rsidRPr="00B81AF1">
        <w:rPr>
          <w:rFonts w:ascii="Arial" w:hAnsi="Arial" w:cs="Arial"/>
          <w:i/>
          <w:iCs/>
          <w:sz w:val="20"/>
          <w:szCs w:val="20"/>
        </w:rPr>
        <w:t>3</w:t>
      </w:r>
      <w:r w:rsidRPr="00B81AF1">
        <w:rPr>
          <w:rFonts w:ascii="Arial" w:hAnsi="Arial" w:cs="Arial"/>
          <w:sz w:val="20"/>
          <w:szCs w:val="20"/>
        </w:rPr>
        <w:t xml:space="preserve">(1), 23-32. </w:t>
      </w:r>
      <w:hyperlink r:id="rId24" w:history="1">
        <w:r w:rsidRPr="00B81AF1">
          <w:rPr>
            <w:rStyle w:val="Hyperlink"/>
            <w:rFonts w:ascii="Arial" w:hAnsi="Arial" w:cs="Arial"/>
            <w:sz w:val="20"/>
            <w:szCs w:val="20"/>
          </w:rPr>
          <w:t>https://doi.org/10.1016/j.trci.2016.11.003</w:t>
        </w:r>
      </w:hyperlink>
      <w:r w:rsidRPr="00B81AF1">
        <w:rPr>
          <w:rFonts w:ascii="Arial" w:hAnsi="Arial" w:cs="Arial"/>
          <w:sz w:val="20"/>
          <w:szCs w:val="20"/>
        </w:rPr>
        <w:t xml:space="preserve"> </w:t>
      </w:r>
    </w:p>
    <w:p w14:paraId="797AF4EE"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Iliffe, S., Kharicha, K., Harari, D., Swift, C., Gillmann, G., &amp; Stuck, A. E. (2007). Health risk appraisal in older people 2: the implications for clinicians and commissioners of social isolation risk in older </w:t>
      </w:r>
      <w:r w:rsidRPr="00B81AF1">
        <w:rPr>
          <w:rFonts w:ascii="Arial" w:hAnsi="Arial" w:cs="Arial"/>
          <w:sz w:val="20"/>
          <w:szCs w:val="20"/>
        </w:rPr>
        <w:lastRenderedPageBreak/>
        <w:t>people. </w:t>
      </w:r>
      <w:r w:rsidRPr="00B81AF1">
        <w:rPr>
          <w:rFonts w:ascii="Arial" w:hAnsi="Arial" w:cs="Arial"/>
          <w:i/>
          <w:iCs/>
          <w:sz w:val="20"/>
          <w:szCs w:val="20"/>
        </w:rPr>
        <w:t>British Journal of General Practice</w:t>
      </w:r>
      <w:r w:rsidRPr="00B81AF1">
        <w:rPr>
          <w:rFonts w:ascii="Arial" w:hAnsi="Arial" w:cs="Arial"/>
          <w:sz w:val="20"/>
          <w:szCs w:val="20"/>
        </w:rPr>
        <w:t>, </w:t>
      </w:r>
      <w:r w:rsidRPr="00B81AF1">
        <w:rPr>
          <w:rFonts w:ascii="Arial" w:hAnsi="Arial" w:cs="Arial"/>
          <w:i/>
          <w:iCs/>
          <w:sz w:val="20"/>
          <w:szCs w:val="20"/>
        </w:rPr>
        <w:t>57</w:t>
      </w:r>
      <w:r w:rsidRPr="00B81AF1">
        <w:rPr>
          <w:rFonts w:ascii="Arial" w:hAnsi="Arial" w:cs="Arial"/>
          <w:sz w:val="20"/>
          <w:szCs w:val="20"/>
        </w:rPr>
        <w:t xml:space="preserve">(537), 277-282. </w:t>
      </w:r>
      <w:hyperlink r:id="rId25" w:history="1">
        <w:r w:rsidRPr="00B81AF1">
          <w:rPr>
            <w:rStyle w:val="Hyperlink"/>
            <w:rFonts w:ascii="Arial" w:hAnsi="Arial" w:cs="Arial"/>
            <w:sz w:val="20"/>
            <w:szCs w:val="20"/>
          </w:rPr>
          <w:t>https://bjgp.org/content/57/537/277/tab-article-info</w:t>
        </w:r>
      </w:hyperlink>
      <w:r w:rsidRPr="00B81AF1">
        <w:rPr>
          <w:rFonts w:ascii="Arial" w:hAnsi="Arial" w:cs="Arial"/>
          <w:sz w:val="20"/>
          <w:szCs w:val="20"/>
        </w:rPr>
        <w:t xml:space="preserve"> </w:t>
      </w:r>
    </w:p>
    <w:p w14:paraId="7D1349C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James, B. D., Wilson, R. S., Barnes, L. L., &amp; Bennett, D. A. (2011). Late-life social activity and cognitive decline in old age. </w:t>
      </w:r>
      <w:r w:rsidRPr="00B81AF1">
        <w:rPr>
          <w:rFonts w:ascii="Arial" w:hAnsi="Arial" w:cs="Arial"/>
          <w:i/>
          <w:iCs/>
          <w:sz w:val="20"/>
          <w:szCs w:val="20"/>
        </w:rPr>
        <w:t>Journal of the International Neuropsychological Society</w:t>
      </w:r>
      <w:r w:rsidRPr="00B81AF1">
        <w:rPr>
          <w:rFonts w:ascii="Arial" w:hAnsi="Arial" w:cs="Arial"/>
          <w:sz w:val="20"/>
          <w:szCs w:val="20"/>
        </w:rPr>
        <w:t>, </w:t>
      </w:r>
      <w:r w:rsidRPr="00B81AF1">
        <w:rPr>
          <w:rFonts w:ascii="Arial" w:hAnsi="Arial" w:cs="Arial"/>
          <w:i/>
          <w:iCs/>
          <w:sz w:val="20"/>
          <w:szCs w:val="20"/>
        </w:rPr>
        <w:t>17</w:t>
      </w:r>
      <w:r w:rsidRPr="00B81AF1">
        <w:rPr>
          <w:rFonts w:ascii="Arial" w:hAnsi="Arial" w:cs="Arial"/>
          <w:sz w:val="20"/>
          <w:szCs w:val="20"/>
        </w:rPr>
        <w:t xml:space="preserve">(6), 998-1005. </w:t>
      </w:r>
      <w:hyperlink r:id="rId26" w:history="1">
        <w:r w:rsidRPr="00B81AF1">
          <w:rPr>
            <w:rStyle w:val="Hyperlink"/>
            <w:rFonts w:ascii="Arial" w:hAnsi="Arial" w:cs="Arial"/>
            <w:sz w:val="20"/>
            <w:szCs w:val="20"/>
          </w:rPr>
          <w:t>https://doi.org/10.1017/S1355617711000531</w:t>
        </w:r>
      </w:hyperlink>
      <w:r w:rsidRPr="00B81AF1">
        <w:rPr>
          <w:rFonts w:ascii="Arial" w:hAnsi="Arial" w:cs="Arial"/>
          <w:sz w:val="20"/>
          <w:szCs w:val="20"/>
        </w:rPr>
        <w:t xml:space="preserve"> </w:t>
      </w:r>
    </w:p>
    <w:p w14:paraId="6802C9FC"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Lee, R., Wong, J., Shoon, W. L., Gandhi, M., Lei, F., Kua, E. H., ... &amp; Mahendran, R. (2019). Art therapy for the prevention of cognitive decline. </w:t>
      </w:r>
      <w:r w:rsidRPr="00B81AF1">
        <w:rPr>
          <w:rFonts w:ascii="Arial" w:hAnsi="Arial" w:cs="Arial"/>
          <w:i/>
          <w:iCs/>
          <w:sz w:val="20"/>
          <w:szCs w:val="20"/>
        </w:rPr>
        <w:t>The Arts in Psychotherapy</w:t>
      </w:r>
      <w:r w:rsidRPr="00B81AF1">
        <w:rPr>
          <w:rFonts w:ascii="Arial" w:hAnsi="Arial" w:cs="Arial"/>
          <w:sz w:val="20"/>
          <w:szCs w:val="20"/>
        </w:rPr>
        <w:t>, </w:t>
      </w:r>
      <w:r w:rsidRPr="00B81AF1">
        <w:rPr>
          <w:rFonts w:ascii="Arial" w:hAnsi="Arial" w:cs="Arial"/>
          <w:i/>
          <w:iCs/>
          <w:sz w:val="20"/>
          <w:szCs w:val="20"/>
        </w:rPr>
        <w:t>64</w:t>
      </w:r>
      <w:r w:rsidRPr="00B81AF1">
        <w:rPr>
          <w:rFonts w:ascii="Arial" w:hAnsi="Arial" w:cs="Arial"/>
          <w:sz w:val="20"/>
          <w:szCs w:val="20"/>
        </w:rPr>
        <w:t xml:space="preserve">, 20-25. </w:t>
      </w:r>
      <w:hyperlink r:id="rId27" w:history="1">
        <w:r w:rsidRPr="00B81AF1">
          <w:rPr>
            <w:rStyle w:val="Hyperlink"/>
            <w:rFonts w:ascii="Arial" w:hAnsi="Arial" w:cs="Arial"/>
            <w:sz w:val="20"/>
            <w:szCs w:val="20"/>
          </w:rPr>
          <w:t>https://doi.org/10.1016/j.aip.2018.12.003</w:t>
        </w:r>
      </w:hyperlink>
      <w:r w:rsidRPr="00B81AF1">
        <w:rPr>
          <w:rFonts w:ascii="Arial" w:hAnsi="Arial" w:cs="Arial"/>
          <w:sz w:val="20"/>
          <w:szCs w:val="20"/>
        </w:rPr>
        <w:t xml:space="preserve"> </w:t>
      </w:r>
    </w:p>
    <w:p w14:paraId="4E0BAF46"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Liu</w:t>
      </w:r>
      <w:r w:rsidRPr="00B81AF1">
        <w:rPr>
          <w:rFonts w:ascii="Cambria Math" w:hAnsi="Cambria Math" w:cs="Cambria Math"/>
          <w:sz w:val="20"/>
          <w:szCs w:val="20"/>
        </w:rPr>
        <w:t>‐</w:t>
      </w:r>
      <w:r w:rsidRPr="00B81AF1">
        <w:rPr>
          <w:rFonts w:ascii="Arial" w:hAnsi="Arial" w:cs="Arial"/>
          <w:sz w:val="20"/>
          <w:szCs w:val="20"/>
        </w:rPr>
        <w:t>Ambrose, T., Donaldson, M. G., Ahamed, Y., Graf, P., Cook, W. L., Close, J., ... &amp; Khan, K. M. (2008). Otago home</w:t>
      </w:r>
      <w:r w:rsidRPr="00B81AF1">
        <w:rPr>
          <w:rFonts w:ascii="Cambria Math" w:hAnsi="Cambria Math" w:cs="Cambria Math"/>
          <w:sz w:val="20"/>
          <w:szCs w:val="20"/>
        </w:rPr>
        <w:t>‐</w:t>
      </w:r>
      <w:r w:rsidRPr="00B81AF1">
        <w:rPr>
          <w:rFonts w:ascii="Arial" w:hAnsi="Arial" w:cs="Arial"/>
          <w:sz w:val="20"/>
          <w:szCs w:val="20"/>
        </w:rPr>
        <w:t>based strength and balance retraining improves executive functioning in older fallers: a randomized controlled trial. </w:t>
      </w:r>
      <w:r w:rsidRPr="00B81AF1">
        <w:rPr>
          <w:rFonts w:ascii="Arial" w:hAnsi="Arial" w:cs="Arial"/>
          <w:i/>
          <w:iCs/>
          <w:sz w:val="20"/>
          <w:szCs w:val="20"/>
        </w:rPr>
        <w:t>Journal of the american geriatrics society</w:t>
      </w:r>
      <w:r w:rsidRPr="00B81AF1">
        <w:rPr>
          <w:rFonts w:ascii="Arial" w:hAnsi="Arial" w:cs="Arial"/>
          <w:sz w:val="20"/>
          <w:szCs w:val="20"/>
        </w:rPr>
        <w:t>, </w:t>
      </w:r>
      <w:r w:rsidRPr="00B81AF1">
        <w:rPr>
          <w:rFonts w:ascii="Arial" w:hAnsi="Arial" w:cs="Arial"/>
          <w:i/>
          <w:iCs/>
          <w:sz w:val="20"/>
          <w:szCs w:val="20"/>
        </w:rPr>
        <w:t>56</w:t>
      </w:r>
      <w:r w:rsidRPr="00B81AF1">
        <w:rPr>
          <w:rFonts w:ascii="Arial" w:hAnsi="Arial" w:cs="Arial"/>
          <w:sz w:val="20"/>
          <w:szCs w:val="20"/>
        </w:rPr>
        <w:t xml:space="preserve">(10), 1821-1830. </w:t>
      </w:r>
      <w:hyperlink r:id="rId28" w:history="1">
        <w:r w:rsidRPr="00B81AF1">
          <w:rPr>
            <w:rStyle w:val="Hyperlink"/>
            <w:rFonts w:ascii="Arial" w:hAnsi="Arial" w:cs="Arial"/>
            <w:sz w:val="20"/>
            <w:szCs w:val="20"/>
          </w:rPr>
          <w:t>https://doi.org/10.1111/j.1532-5415.2008.01931.x</w:t>
        </w:r>
      </w:hyperlink>
      <w:r w:rsidRPr="00B81AF1">
        <w:rPr>
          <w:rFonts w:ascii="Arial" w:hAnsi="Arial" w:cs="Arial"/>
          <w:sz w:val="20"/>
          <w:szCs w:val="20"/>
        </w:rPr>
        <w:t xml:space="preserve"> </w:t>
      </w:r>
    </w:p>
    <w:p w14:paraId="314FEB65" w14:textId="41DE85ED"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Martínez-Mesa, J., González-Chica, D. A., Bastos, J. L., Bonamigo, R. R., &amp; Duquia, R. P. (2014). Sample size: how many participants do I need in my </w:t>
      </w:r>
      <w:r w:rsidR="001F5105" w:rsidRPr="00B81AF1">
        <w:rPr>
          <w:rFonts w:ascii="Arial" w:hAnsi="Arial" w:cs="Arial"/>
          <w:sz w:val="20"/>
          <w:szCs w:val="20"/>
        </w:rPr>
        <w:t>research?</w:t>
      </w:r>
      <w:r w:rsidRPr="00B81AF1">
        <w:rPr>
          <w:rFonts w:ascii="Arial" w:hAnsi="Arial" w:cs="Arial"/>
          <w:sz w:val="20"/>
          <w:szCs w:val="20"/>
        </w:rPr>
        <w:t> </w:t>
      </w:r>
      <w:r w:rsidRPr="00B81AF1">
        <w:rPr>
          <w:rFonts w:ascii="Arial" w:hAnsi="Arial" w:cs="Arial"/>
          <w:i/>
          <w:iCs/>
          <w:sz w:val="20"/>
          <w:szCs w:val="20"/>
        </w:rPr>
        <w:t>Anais brasileiros de dermatologia</w:t>
      </w:r>
      <w:r w:rsidRPr="00B81AF1">
        <w:rPr>
          <w:rFonts w:ascii="Arial" w:hAnsi="Arial" w:cs="Arial"/>
          <w:sz w:val="20"/>
          <w:szCs w:val="20"/>
        </w:rPr>
        <w:t>, </w:t>
      </w:r>
      <w:r w:rsidRPr="00B81AF1">
        <w:rPr>
          <w:rFonts w:ascii="Arial" w:hAnsi="Arial" w:cs="Arial"/>
          <w:i/>
          <w:iCs/>
          <w:sz w:val="20"/>
          <w:szCs w:val="20"/>
        </w:rPr>
        <w:t>89</w:t>
      </w:r>
      <w:r w:rsidRPr="00B81AF1">
        <w:rPr>
          <w:rFonts w:ascii="Arial" w:hAnsi="Arial" w:cs="Arial"/>
          <w:sz w:val="20"/>
          <w:szCs w:val="20"/>
        </w:rPr>
        <w:t xml:space="preserve">, 609-615. </w:t>
      </w:r>
      <w:hyperlink r:id="rId29" w:history="1">
        <w:r w:rsidRPr="00B81AF1">
          <w:rPr>
            <w:rStyle w:val="Hyperlink"/>
            <w:rFonts w:ascii="Arial" w:hAnsi="Arial" w:cs="Arial"/>
            <w:sz w:val="20"/>
            <w:szCs w:val="20"/>
          </w:rPr>
          <w:t>https://doi.org/10.1590/abd1806-4841.20143705</w:t>
        </w:r>
      </w:hyperlink>
      <w:r w:rsidRPr="00B81AF1">
        <w:rPr>
          <w:rFonts w:ascii="Arial" w:hAnsi="Arial" w:cs="Arial"/>
          <w:sz w:val="20"/>
          <w:szCs w:val="20"/>
        </w:rPr>
        <w:t xml:space="preserve"> </w:t>
      </w:r>
    </w:p>
    <w:p w14:paraId="620648CC"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Mortensen, E. L., &amp; Høgh, P. (2001). A gender difference in the association between APOE genotype and age-related cognitive decline. </w:t>
      </w:r>
      <w:r w:rsidRPr="00B81AF1">
        <w:rPr>
          <w:rFonts w:ascii="Arial" w:hAnsi="Arial" w:cs="Arial"/>
          <w:i/>
          <w:iCs/>
          <w:sz w:val="20"/>
          <w:szCs w:val="20"/>
        </w:rPr>
        <w:t>Neurology</w:t>
      </w:r>
      <w:r w:rsidRPr="00B81AF1">
        <w:rPr>
          <w:rFonts w:ascii="Arial" w:hAnsi="Arial" w:cs="Arial"/>
          <w:sz w:val="20"/>
          <w:szCs w:val="20"/>
        </w:rPr>
        <w:t>, </w:t>
      </w:r>
      <w:r w:rsidRPr="00B81AF1">
        <w:rPr>
          <w:rFonts w:ascii="Arial" w:hAnsi="Arial" w:cs="Arial"/>
          <w:i/>
          <w:iCs/>
          <w:sz w:val="20"/>
          <w:szCs w:val="20"/>
        </w:rPr>
        <w:t>57</w:t>
      </w:r>
      <w:r w:rsidRPr="00B81AF1">
        <w:rPr>
          <w:rFonts w:ascii="Arial" w:hAnsi="Arial" w:cs="Arial"/>
          <w:sz w:val="20"/>
          <w:szCs w:val="20"/>
        </w:rPr>
        <w:t xml:space="preserve">(1), 89-95. </w:t>
      </w:r>
      <w:hyperlink r:id="rId30" w:history="1">
        <w:r w:rsidRPr="00B81AF1">
          <w:rPr>
            <w:rStyle w:val="Hyperlink"/>
            <w:rFonts w:ascii="Arial" w:hAnsi="Arial" w:cs="Arial"/>
            <w:sz w:val="20"/>
            <w:szCs w:val="20"/>
          </w:rPr>
          <w:t>https://doi.org/10.1212/WNL.57.1.89</w:t>
        </w:r>
      </w:hyperlink>
      <w:r w:rsidRPr="00B81AF1">
        <w:rPr>
          <w:rFonts w:ascii="Arial" w:hAnsi="Arial" w:cs="Arial"/>
          <w:sz w:val="20"/>
          <w:szCs w:val="20"/>
        </w:rPr>
        <w:t xml:space="preserve"> </w:t>
      </w:r>
    </w:p>
    <w:p w14:paraId="2623A269"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Mousavi</w:t>
      </w:r>
      <w:r w:rsidRPr="00B81AF1">
        <w:rPr>
          <w:rFonts w:ascii="Cambria Math" w:hAnsi="Cambria Math" w:cs="Cambria Math"/>
          <w:sz w:val="20"/>
          <w:szCs w:val="20"/>
        </w:rPr>
        <w:t>‐</w:t>
      </w:r>
      <w:r w:rsidRPr="00B81AF1">
        <w:rPr>
          <w:rFonts w:ascii="Arial" w:hAnsi="Arial" w:cs="Arial"/>
          <w:sz w:val="20"/>
          <w:szCs w:val="20"/>
        </w:rPr>
        <w:t>Nasab, S., Kormi</w:t>
      </w:r>
      <w:r w:rsidRPr="00B81AF1">
        <w:rPr>
          <w:rFonts w:ascii="Cambria Math" w:hAnsi="Cambria Math" w:cs="Cambria Math"/>
          <w:sz w:val="20"/>
          <w:szCs w:val="20"/>
        </w:rPr>
        <w:t>‐</w:t>
      </w:r>
      <w:r w:rsidRPr="00B81AF1">
        <w:rPr>
          <w:rFonts w:ascii="Arial" w:hAnsi="Arial" w:cs="Arial"/>
          <w:sz w:val="20"/>
          <w:szCs w:val="20"/>
        </w:rPr>
        <w:t>Nouri, R., Sundström, A., &amp; Nilsson, L. G. (2012). The effects of marital status on episodic and semantic memory in healthy middle</w:t>
      </w:r>
      <w:r w:rsidRPr="00B81AF1">
        <w:rPr>
          <w:rFonts w:ascii="Cambria Math" w:hAnsi="Cambria Math" w:cs="Cambria Math"/>
          <w:sz w:val="20"/>
          <w:szCs w:val="20"/>
        </w:rPr>
        <w:t>‐</w:t>
      </w:r>
      <w:r w:rsidRPr="00B81AF1">
        <w:rPr>
          <w:rFonts w:ascii="Arial" w:hAnsi="Arial" w:cs="Arial"/>
          <w:sz w:val="20"/>
          <w:szCs w:val="20"/>
        </w:rPr>
        <w:t>aged and old individuals. </w:t>
      </w:r>
      <w:r w:rsidRPr="00B81AF1">
        <w:rPr>
          <w:rFonts w:ascii="Arial" w:hAnsi="Arial" w:cs="Arial"/>
          <w:i/>
          <w:iCs/>
          <w:sz w:val="20"/>
          <w:szCs w:val="20"/>
        </w:rPr>
        <w:t>Scandinavian journal of psychology</w:t>
      </w:r>
      <w:r w:rsidRPr="00B81AF1">
        <w:rPr>
          <w:rFonts w:ascii="Arial" w:hAnsi="Arial" w:cs="Arial"/>
          <w:sz w:val="20"/>
          <w:szCs w:val="20"/>
        </w:rPr>
        <w:t>, </w:t>
      </w:r>
      <w:r w:rsidRPr="00B81AF1">
        <w:rPr>
          <w:rFonts w:ascii="Arial" w:hAnsi="Arial" w:cs="Arial"/>
          <w:i/>
          <w:iCs/>
          <w:sz w:val="20"/>
          <w:szCs w:val="20"/>
        </w:rPr>
        <w:t>53</w:t>
      </w:r>
      <w:r w:rsidRPr="00B81AF1">
        <w:rPr>
          <w:rFonts w:ascii="Arial" w:hAnsi="Arial" w:cs="Arial"/>
          <w:sz w:val="20"/>
          <w:szCs w:val="20"/>
        </w:rPr>
        <w:t xml:space="preserve">(1), 1-8. </w:t>
      </w:r>
      <w:hyperlink r:id="rId31" w:history="1">
        <w:r w:rsidRPr="00B81AF1">
          <w:rPr>
            <w:rStyle w:val="Hyperlink"/>
            <w:rFonts w:ascii="Arial" w:hAnsi="Arial" w:cs="Arial"/>
            <w:sz w:val="20"/>
            <w:szCs w:val="20"/>
          </w:rPr>
          <w:t>https://doi.org/10.1111/j.1467-9450.2011.00926.x</w:t>
        </w:r>
      </w:hyperlink>
      <w:r w:rsidRPr="00B81AF1">
        <w:rPr>
          <w:rFonts w:ascii="Arial" w:hAnsi="Arial" w:cs="Arial"/>
          <w:sz w:val="20"/>
          <w:szCs w:val="20"/>
        </w:rPr>
        <w:t xml:space="preserve"> </w:t>
      </w:r>
    </w:p>
    <w:p w14:paraId="401A69FD"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Murray, P. (1999). Fundamental issues in questionnaire design. </w:t>
      </w:r>
      <w:r w:rsidRPr="00B81AF1">
        <w:rPr>
          <w:rFonts w:ascii="Arial" w:hAnsi="Arial" w:cs="Arial"/>
          <w:i/>
          <w:iCs/>
          <w:sz w:val="20"/>
          <w:szCs w:val="20"/>
        </w:rPr>
        <w:t>Accident and emergency nursing</w:t>
      </w:r>
      <w:r w:rsidRPr="00B81AF1">
        <w:rPr>
          <w:rFonts w:ascii="Arial" w:hAnsi="Arial" w:cs="Arial"/>
          <w:sz w:val="20"/>
          <w:szCs w:val="20"/>
        </w:rPr>
        <w:t>, </w:t>
      </w:r>
      <w:r w:rsidRPr="00B81AF1">
        <w:rPr>
          <w:rFonts w:ascii="Arial" w:hAnsi="Arial" w:cs="Arial"/>
          <w:i/>
          <w:iCs/>
          <w:sz w:val="20"/>
          <w:szCs w:val="20"/>
        </w:rPr>
        <w:t>7</w:t>
      </w:r>
      <w:r w:rsidRPr="00B81AF1">
        <w:rPr>
          <w:rFonts w:ascii="Arial" w:hAnsi="Arial" w:cs="Arial"/>
          <w:sz w:val="20"/>
          <w:szCs w:val="20"/>
        </w:rPr>
        <w:t xml:space="preserve">(3), 148-153. </w:t>
      </w:r>
      <w:hyperlink r:id="rId32" w:history="1">
        <w:r w:rsidRPr="00B81AF1">
          <w:rPr>
            <w:rStyle w:val="Hyperlink"/>
            <w:rFonts w:ascii="Arial" w:hAnsi="Arial" w:cs="Arial"/>
            <w:sz w:val="20"/>
            <w:szCs w:val="20"/>
          </w:rPr>
          <w:t>https://doi.org/10.1016/S0965-2302(99)80074-5</w:t>
        </w:r>
      </w:hyperlink>
      <w:r w:rsidRPr="00B81AF1">
        <w:rPr>
          <w:rFonts w:ascii="Arial" w:hAnsi="Arial" w:cs="Arial"/>
          <w:sz w:val="20"/>
          <w:szCs w:val="20"/>
        </w:rPr>
        <w:t xml:space="preserve"> </w:t>
      </w:r>
    </w:p>
    <w:p w14:paraId="5060F290"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Nissim, M., Livny, A., Barmatz, C., Tsarfaty, G., Berner, Y., Sacher, Y., ... &amp; Ratzon, N. Z. (2020). Effects of aquatic physical intervention on fall risk, working memory and hazard-perception as pedestrians in older people: a pilot trial. </w:t>
      </w:r>
      <w:r w:rsidRPr="00B81AF1">
        <w:rPr>
          <w:rFonts w:ascii="Arial" w:hAnsi="Arial" w:cs="Arial"/>
          <w:i/>
          <w:iCs/>
          <w:sz w:val="20"/>
          <w:szCs w:val="20"/>
        </w:rPr>
        <w:t>BMC geriatrics</w:t>
      </w:r>
      <w:r w:rsidRPr="00B81AF1">
        <w:rPr>
          <w:rFonts w:ascii="Arial" w:hAnsi="Arial" w:cs="Arial"/>
          <w:sz w:val="20"/>
          <w:szCs w:val="20"/>
        </w:rPr>
        <w:t>, </w:t>
      </w:r>
      <w:r w:rsidRPr="00B81AF1">
        <w:rPr>
          <w:rFonts w:ascii="Arial" w:hAnsi="Arial" w:cs="Arial"/>
          <w:i/>
          <w:iCs/>
          <w:sz w:val="20"/>
          <w:szCs w:val="20"/>
        </w:rPr>
        <w:t>20</w:t>
      </w:r>
      <w:r w:rsidRPr="00B81AF1">
        <w:rPr>
          <w:rFonts w:ascii="Arial" w:hAnsi="Arial" w:cs="Arial"/>
          <w:sz w:val="20"/>
          <w:szCs w:val="20"/>
        </w:rPr>
        <w:t xml:space="preserve">(1), 1-12. </w:t>
      </w:r>
      <w:hyperlink r:id="rId33" w:history="1">
        <w:r w:rsidRPr="00B81AF1">
          <w:rPr>
            <w:rStyle w:val="Hyperlink"/>
            <w:rFonts w:ascii="Arial" w:hAnsi="Arial" w:cs="Arial"/>
            <w:sz w:val="20"/>
            <w:szCs w:val="20"/>
          </w:rPr>
          <w:t>https://doi.org/10.1186/s12877-020-1477-4</w:t>
        </w:r>
      </w:hyperlink>
      <w:r w:rsidRPr="00B81AF1">
        <w:rPr>
          <w:rFonts w:ascii="Arial" w:hAnsi="Arial" w:cs="Arial"/>
          <w:sz w:val="20"/>
          <w:szCs w:val="20"/>
        </w:rPr>
        <w:t xml:space="preserve"> </w:t>
      </w:r>
    </w:p>
    <w:p w14:paraId="32466E7B"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Office for National Statistics (2020) </w:t>
      </w:r>
      <w:r w:rsidRPr="00B81AF1">
        <w:rPr>
          <w:rFonts w:ascii="Arial" w:hAnsi="Arial" w:cs="Arial"/>
          <w:i/>
          <w:iCs/>
          <w:sz w:val="20"/>
          <w:szCs w:val="20"/>
        </w:rPr>
        <w:t xml:space="preserve">Overview of the UK Population:2020 </w:t>
      </w:r>
      <w:hyperlink r:id="rId34" w:history="1">
        <w:r w:rsidRPr="00B81AF1">
          <w:rPr>
            <w:rStyle w:val="Hyperlink"/>
            <w:rFonts w:ascii="Arial" w:hAnsi="Arial" w:cs="Arial"/>
            <w:sz w:val="20"/>
            <w:szCs w:val="20"/>
          </w:rPr>
          <w:t>Overview of the UK population - Office for National Statistics (ons.gov.uk)</w:t>
        </w:r>
      </w:hyperlink>
      <w:r w:rsidRPr="00B81AF1">
        <w:rPr>
          <w:rFonts w:ascii="Arial" w:hAnsi="Arial" w:cs="Arial"/>
          <w:sz w:val="20"/>
          <w:szCs w:val="20"/>
        </w:rPr>
        <w:t xml:space="preserve"> </w:t>
      </w:r>
    </w:p>
    <w:p w14:paraId="53093B4D" w14:textId="77777777" w:rsidR="00B81AF1" w:rsidRPr="00B81AF1" w:rsidRDefault="00B81AF1" w:rsidP="00B81AF1">
      <w:pPr>
        <w:spacing w:line="276" w:lineRule="auto"/>
        <w:ind w:hanging="720"/>
        <w:rPr>
          <w:rFonts w:ascii="Arial" w:hAnsi="Arial" w:cs="Arial"/>
          <w:sz w:val="20"/>
          <w:szCs w:val="20"/>
          <w:u w:val="single"/>
        </w:rPr>
      </w:pPr>
      <w:r w:rsidRPr="00B81AF1">
        <w:rPr>
          <w:rFonts w:ascii="Arial" w:hAnsi="Arial" w:cs="Arial"/>
          <w:sz w:val="20"/>
          <w:szCs w:val="20"/>
        </w:rPr>
        <w:t xml:space="preserve">Office for National Statistics (2022) </w:t>
      </w:r>
      <w:r w:rsidRPr="00B81AF1">
        <w:rPr>
          <w:rFonts w:ascii="Arial" w:hAnsi="Arial" w:cs="Arial"/>
          <w:i/>
          <w:iCs/>
          <w:sz w:val="20"/>
          <w:szCs w:val="20"/>
        </w:rPr>
        <w:t xml:space="preserve">Past and projected period and cohort life tables: 2020-based, UK, 1981 to 2070 </w:t>
      </w:r>
      <w:hyperlink r:id="rId35" w:anchor=":~:text=Cohort%20life%20expectancy%20at%20birth%20in%20the%20UK,to%2092.6%20years%20for%20girls%20born%20in%202045." w:history="1">
        <w:r w:rsidRPr="00B81AF1">
          <w:rPr>
            <w:rStyle w:val="Hyperlink"/>
            <w:rFonts w:ascii="Arial" w:hAnsi="Arial" w:cs="Arial"/>
            <w:sz w:val="20"/>
            <w:szCs w:val="20"/>
          </w:rPr>
          <w:t>Past and projected period and cohort life tables - Office for National Statistics (ons.gov.uk)</w:t>
        </w:r>
      </w:hyperlink>
    </w:p>
    <w:p w14:paraId="2434D1E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Palve, S. S., &amp; Palve, S. B. (2018). Impact of aging on nerve conduction velocities and late responses in healthy individuals. </w:t>
      </w:r>
      <w:r w:rsidRPr="00B81AF1">
        <w:rPr>
          <w:rFonts w:ascii="Arial" w:hAnsi="Arial" w:cs="Arial"/>
          <w:i/>
          <w:iCs/>
          <w:sz w:val="20"/>
          <w:szCs w:val="20"/>
        </w:rPr>
        <w:t>Journal of neurosciences in rural practice</w:t>
      </w:r>
      <w:r w:rsidRPr="00B81AF1">
        <w:rPr>
          <w:rFonts w:ascii="Arial" w:hAnsi="Arial" w:cs="Arial"/>
          <w:sz w:val="20"/>
          <w:szCs w:val="20"/>
        </w:rPr>
        <w:t>, </w:t>
      </w:r>
      <w:r w:rsidRPr="00B81AF1">
        <w:rPr>
          <w:rFonts w:ascii="Arial" w:hAnsi="Arial" w:cs="Arial"/>
          <w:i/>
          <w:iCs/>
          <w:sz w:val="20"/>
          <w:szCs w:val="20"/>
        </w:rPr>
        <w:t>9</w:t>
      </w:r>
      <w:r w:rsidRPr="00B81AF1">
        <w:rPr>
          <w:rFonts w:ascii="Arial" w:hAnsi="Arial" w:cs="Arial"/>
          <w:sz w:val="20"/>
          <w:szCs w:val="20"/>
        </w:rPr>
        <w:t xml:space="preserve">(01), 112-116. </w:t>
      </w:r>
    </w:p>
    <w:p w14:paraId="1965C8C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Pate, R. R., Pratt, M., Blair, S. N., Haskell, W. L., Macera, C. A., Bouchard, C., ... &amp; Wilmore, J. H. (1995). Physical activity and public health: a recommendation from the Centers for Disease Control and Prevention and the American College of Sports Medicine. </w:t>
      </w:r>
      <w:r w:rsidRPr="00B81AF1">
        <w:rPr>
          <w:rFonts w:ascii="Arial" w:hAnsi="Arial" w:cs="Arial"/>
          <w:i/>
          <w:iCs/>
          <w:sz w:val="20"/>
          <w:szCs w:val="20"/>
        </w:rPr>
        <w:t>Jama</w:t>
      </w:r>
      <w:r w:rsidRPr="00B81AF1">
        <w:rPr>
          <w:rFonts w:ascii="Arial" w:hAnsi="Arial" w:cs="Arial"/>
          <w:sz w:val="20"/>
          <w:szCs w:val="20"/>
        </w:rPr>
        <w:t>, </w:t>
      </w:r>
      <w:r w:rsidRPr="00B81AF1">
        <w:rPr>
          <w:rFonts w:ascii="Arial" w:hAnsi="Arial" w:cs="Arial"/>
          <w:i/>
          <w:iCs/>
          <w:sz w:val="20"/>
          <w:szCs w:val="20"/>
        </w:rPr>
        <w:t>273</w:t>
      </w:r>
      <w:r w:rsidRPr="00B81AF1">
        <w:rPr>
          <w:rFonts w:ascii="Arial" w:hAnsi="Arial" w:cs="Arial"/>
          <w:sz w:val="20"/>
          <w:szCs w:val="20"/>
        </w:rPr>
        <w:t xml:space="preserve">(5), 402-407. </w:t>
      </w:r>
    </w:p>
    <w:p w14:paraId="70D4AB7F"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Petrella, J. K., Miller, L. S., &amp; Cress, M. E. (2004). Leg extensor power, cognition, and functional performance in independent and marginally dependent older adults. </w:t>
      </w:r>
      <w:r w:rsidRPr="00B81AF1">
        <w:rPr>
          <w:rFonts w:ascii="Arial" w:hAnsi="Arial" w:cs="Arial"/>
          <w:i/>
          <w:iCs/>
          <w:sz w:val="20"/>
          <w:szCs w:val="20"/>
        </w:rPr>
        <w:t>Age and ageing</w:t>
      </w:r>
      <w:r w:rsidRPr="00B81AF1">
        <w:rPr>
          <w:rFonts w:ascii="Arial" w:hAnsi="Arial" w:cs="Arial"/>
          <w:sz w:val="20"/>
          <w:szCs w:val="20"/>
        </w:rPr>
        <w:t>, </w:t>
      </w:r>
      <w:r w:rsidRPr="00B81AF1">
        <w:rPr>
          <w:rFonts w:ascii="Arial" w:hAnsi="Arial" w:cs="Arial"/>
          <w:i/>
          <w:iCs/>
          <w:sz w:val="20"/>
          <w:szCs w:val="20"/>
        </w:rPr>
        <w:t>33</w:t>
      </w:r>
      <w:r w:rsidRPr="00B81AF1">
        <w:rPr>
          <w:rFonts w:ascii="Arial" w:hAnsi="Arial" w:cs="Arial"/>
          <w:sz w:val="20"/>
          <w:szCs w:val="20"/>
        </w:rPr>
        <w:t xml:space="preserve">(4), 342-348. </w:t>
      </w:r>
      <w:hyperlink r:id="rId36" w:history="1">
        <w:r w:rsidRPr="00B81AF1">
          <w:rPr>
            <w:rStyle w:val="Hyperlink"/>
            <w:rFonts w:ascii="Arial" w:hAnsi="Arial" w:cs="Arial"/>
            <w:sz w:val="20"/>
            <w:szCs w:val="20"/>
          </w:rPr>
          <w:t>https://doi.org/10.1093/ageing/afh055</w:t>
        </w:r>
      </w:hyperlink>
      <w:r w:rsidRPr="00B81AF1">
        <w:rPr>
          <w:rFonts w:ascii="Arial" w:hAnsi="Arial" w:cs="Arial"/>
          <w:sz w:val="20"/>
          <w:szCs w:val="20"/>
        </w:rPr>
        <w:t xml:space="preserve"> </w:t>
      </w:r>
    </w:p>
    <w:p w14:paraId="29C4173B"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Phillips, L. H., &amp; Henry, J. D. (2010). Adult aging and executive functioning. In </w:t>
      </w:r>
      <w:r w:rsidRPr="00B81AF1">
        <w:rPr>
          <w:rFonts w:ascii="Arial" w:hAnsi="Arial" w:cs="Arial"/>
          <w:i/>
          <w:iCs/>
          <w:sz w:val="20"/>
          <w:szCs w:val="20"/>
        </w:rPr>
        <w:t>Executive functions and the frontal lobes</w:t>
      </w:r>
      <w:r w:rsidRPr="00B81AF1">
        <w:rPr>
          <w:rFonts w:ascii="Arial" w:hAnsi="Arial" w:cs="Arial"/>
          <w:sz w:val="20"/>
          <w:szCs w:val="20"/>
        </w:rPr>
        <w:t> (pp. 91-114). Psychology Press.</w:t>
      </w:r>
    </w:p>
    <w:p w14:paraId="62BC0215"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Reuter-Lorenz, P. A., &amp; Park, D. C. (2010). Human neuroscience and the aging mind: a new look at old problems. </w:t>
      </w:r>
      <w:r w:rsidRPr="00B81AF1">
        <w:rPr>
          <w:rFonts w:ascii="Arial" w:hAnsi="Arial" w:cs="Arial"/>
          <w:i/>
          <w:iCs/>
          <w:sz w:val="20"/>
          <w:szCs w:val="20"/>
        </w:rPr>
        <w:t>The Journals of Gerontology: Series B</w:t>
      </w:r>
      <w:r w:rsidRPr="00B81AF1">
        <w:rPr>
          <w:rFonts w:ascii="Arial" w:hAnsi="Arial" w:cs="Arial"/>
          <w:sz w:val="20"/>
          <w:szCs w:val="20"/>
        </w:rPr>
        <w:t>, </w:t>
      </w:r>
      <w:r w:rsidRPr="00B81AF1">
        <w:rPr>
          <w:rFonts w:ascii="Arial" w:hAnsi="Arial" w:cs="Arial"/>
          <w:i/>
          <w:iCs/>
          <w:sz w:val="20"/>
          <w:szCs w:val="20"/>
        </w:rPr>
        <w:t>65</w:t>
      </w:r>
      <w:r w:rsidRPr="00B81AF1">
        <w:rPr>
          <w:rFonts w:ascii="Arial" w:hAnsi="Arial" w:cs="Arial"/>
          <w:sz w:val="20"/>
          <w:szCs w:val="20"/>
        </w:rPr>
        <w:t xml:space="preserve">(4), 405-415. </w:t>
      </w:r>
      <w:hyperlink r:id="rId37" w:history="1">
        <w:r w:rsidRPr="00B81AF1">
          <w:rPr>
            <w:rStyle w:val="Hyperlink"/>
            <w:rFonts w:ascii="Arial" w:hAnsi="Arial" w:cs="Arial"/>
            <w:sz w:val="20"/>
            <w:szCs w:val="20"/>
          </w:rPr>
          <w:t>https://doi.org/10.1093/geronb/gbq035</w:t>
        </w:r>
      </w:hyperlink>
      <w:r w:rsidRPr="00B81AF1">
        <w:rPr>
          <w:rFonts w:ascii="Arial" w:hAnsi="Arial" w:cs="Arial"/>
          <w:sz w:val="20"/>
          <w:szCs w:val="20"/>
        </w:rPr>
        <w:t xml:space="preserve"> </w:t>
      </w:r>
    </w:p>
    <w:p w14:paraId="61A8BCB0"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lastRenderedPageBreak/>
        <w:t>Salthouse, T. A. (1985). Speed of behavior and its implications for cognition. In J. E. Birren &amp; K. W. Schaie (Eds.), </w:t>
      </w:r>
      <w:r w:rsidRPr="00B81AF1">
        <w:rPr>
          <w:rFonts w:ascii="Arial" w:hAnsi="Arial" w:cs="Arial"/>
          <w:i/>
          <w:iCs/>
          <w:sz w:val="20"/>
          <w:szCs w:val="20"/>
        </w:rPr>
        <w:t>Handbook of the psychology of aging</w:t>
      </w:r>
      <w:r w:rsidRPr="00B81AF1">
        <w:rPr>
          <w:rFonts w:ascii="Arial" w:hAnsi="Arial" w:cs="Arial"/>
          <w:sz w:val="20"/>
          <w:szCs w:val="20"/>
        </w:rPr>
        <w:t> (pp. 400–426). Van Nostrand Reinhold Co</w:t>
      </w:r>
    </w:p>
    <w:p w14:paraId="215B9CB5"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Salthouse, T. A. (1991). Mediation of adult age differences in cognition by reductions in working memory and speed of processing. </w:t>
      </w:r>
      <w:r w:rsidRPr="00B81AF1">
        <w:rPr>
          <w:rFonts w:ascii="Arial" w:hAnsi="Arial" w:cs="Arial"/>
          <w:i/>
          <w:iCs/>
          <w:sz w:val="20"/>
          <w:szCs w:val="20"/>
        </w:rPr>
        <w:t>Psychological Science</w:t>
      </w:r>
      <w:r w:rsidRPr="00B81AF1">
        <w:rPr>
          <w:rFonts w:ascii="Arial" w:hAnsi="Arial" w:cs="Arial"/>
          <w:sz w:val="20"/>
          <w:szCs w:val="20"/>
        </w:rPr>
        <w:t>, </w:t>
      </w:r>
      <w:r w:rsidRPr="00B81AF1">
        <w:rPr>
          <w:rFonts w:ascii="Arial" w:hAnsi="Arial" w:cs="Arial"/>
          <w:i/>
          <w:iCs/>
          <w:sz w:val="20"/>
          <w:szCs w:val="20"/>
        </w:rPr>
        <w:t>2</w:t>
      </w:r>
      <w:r w:rsidRPr="00B81AF1">
        <w:rPr>
          <w:rFonts w:ascii="Arial" w:hAnsi="Arial" w:cs="Arial"/>
          <w:sz w:val="20"/>
          <w:szCs w:val="20"/>
        </w:rPr>
        <w:t xml:space="preserve">(3), 179-183. </w:t>
      </w:r>
      <w:hyperlink r:id="rId38" w:history="1">
        <w:r w:rsidRPr="00B81AF1">
          <w:rPr>
            <w:rStyle w:val="Hyperlink"/>
            <w:rFonts w:ascii="Arial" w:hAnsi="Arial" w:cs="Arial"/>
            <w:sz w:val="20"/>
            <w:szCs w:val="20"/>
          </w:rPr>
          <w:t>https://doi.org/10.1111/j.1467-9280.1991.tb00127.x</w:t>
        </w:r>
      </w:hyperlink>
      <w:r w:rsidRPr="00B81AF1">
        <w:rPr>
          <w:rFonts w:ascii="Arial" w:hAnsi="Arial" w:cs="Arial"/>
          <w:sz w:val="20"/>
          <w:szCs w:val="20"/>
        </w:rPr>
        <w:t xml:space="preserve"> </w:t>
      </w:r>
    </w:p>
    <w:p w14:paraId="52978D64"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Salthouse, T. A. (1995). Influence of processing speed on adult age differences in learning. </w:t>
      </w:r>
      <w:r w:rsidRPr="00B81AF1">
        <w:rPr>
          <w:rFonts w:ascii="Arial" w:hAnsi="Arial" w:cs="Arial"/>
          <w:i/>
          <w:iCs/>
          <w:sz w:val="20"/>
          <w:szCs w:val="20"/>
        </w:rPr>
        <w:t>Age</w:t>
      </w:r>
      <w:r w:rsidRPr="00B81AF1">
        <w:rPr>
          <w:rFonts w:ascii="Arial" w:hAnsi="Arial" w:cs="Arial"/>
          <w:sz w:val="20"/>
          <w:szCs w:val="20"/>
        </w:rPr>
        <w:t>, </w:t>
      </w:r>
      <w:r w:rsidRPr="00B81AF1">
        <w:rPr>
          <w:rFonts w:ascii="Arial" w:hAnsi="Arial" w:cs="Arial"/>
          <w:i/>
          <w:iCs/>
          <w:sz w:val="20"/>
          <w:szCs w:val="20"/>
        </w:rPr>
        <w:t>10</w:t>
      </w:r>
      <w:r w:rsidRPr="00B81AF1">
        <w:rPr>
          <w:rFonts w:ascii="Arial" w:hAnsi="Arial" w:cs="Arial"/>
          <w:sz w:val="20"/>
          <w:szCs w:val="20"/>
        </w:rPr>
        <w:t xml:space="preserve">(59), 55. </w:t>
      </w:r>
      <w:hyperlink r:id="rId39" w:history="1">
        <w:r w:rsidRPr="00B81AF1">
          <w:rPr>
            <w:rStyle w:val="Hyperlink"/>
            <w:rFonts w:ascii="Arial" w:hAnsi="Arial" w:cs="Arial"/>
            <w:sz w:val="20"/>
            <w:szCs w:val="20"/>
          </w:rPr>
          <w:t>https://uva.theopenscholar.com/files/vcap/files/influence_of_processing_8.pdf</w:t>
        </w:r>
      </w:hyperlink>
      <w:r w:rsidRPr="00B81AF1">
        <w:rPr>
          <w:rFonts w:ascii="Arial" w:hAnsi="Arial" w:cs="Arial"/>
          <w:sz w:val="20"/>
          <w:szCs w:val="20"/>
        </w:rPr>
        <w:t xml:space="preserve"> </w:t>
      </w:r>
    </w:p>
    <w:p w14:paraId="1B1813A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Schikowski, T., &amp; Altuğ, H. (2020). The role of air pollution in cognitive impairment and decline. </w:t>
      </w:r>
      <w:r w:rsidRPr="00B81AF1">
        <w:rPr>
          <w:rFonts w:ascii="Arial" w:hAnsi="Arial" w:cs="Arial"/>
          <w:i/>
          <w:iCs/>
          <w:sz w:val="20"/>
          <w:szCs w:val="20"/>
        </w:rPr>
        <w:t>Neurochemistry international</w:t>
      </w:r>
      <w:r w:rsidRPr="00B81AF1">
        <w:rPr>
          <w:rFonts w:ascii="Arial" w:hAnsi="Arial" w:cs="Arial"/>
          <w:sz w:val="20"/>
          <w:szCs w:val="20"/>
        </w:rPr>
        <w:t>, </w:t>
      </w:r>
      <w:r w:rsidRPr="00B81AF1">
        <w:rPr>
          <w:rFonts w:ascii="Arial" w:hAnsi="Arial" w:cs="Arial"/>
          <w:i/>
          <w:iCs/>
          <w:sz w:val="20"/>
          <w:szCs w:val="20"/>
        </w:rPr>
        <w:t>136</w:t>
      </w:r>
      <w:r w:rsidRPr="00B81AF1">
        <w:rPr>
          <w:rFonts w:ascii="Arial" w:hAnsi="Arial" w:cs="Arial"/>
          <w:sz w:val="20"/>
          <w:szCs w:val="20"/>
        </w:rPr>
        <w:t xml:space="preserve">, 104708. </w:t>
      </w:r>
      <w:hyperlink r:id="rId40" w:history="1">
        <w:r w:rsidRPr="00B81AF1">
          <w:rPr>
            <w:rStyle w:val="Hyperlink"/>
            <w:rFonts w:ascii="Arial" w:hAnsi="Arial" w:cs="Arial"/>
            <w:sz w:val="20"/>
            <w:szCs w:val="20"/>
          </w:rPr>
          <w:t>https://doi.org/10.1016/j.neuint.2020.104708</w:t>
        </w:r>
      </w:hyperlink>
      <w:r w:rsidRPr="00B81AF1">
        <w:rPr>
          <w:rFonts w:ascii="Arial" w:hAnsi="Arial" w:cs="Arial"/>
          <w:sz w:val="20"/>
          <w:szCs w:val="20"/>
        </w:rPr>
        <w:t xml:space="preserve"> </w:t>
      </w:r>
    </w:p>
    <w:p w14:paraId="05B72E8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Shimamura, A. P. (1994). Neuropsychological perspectives on memory and cognitive decline in normal human aging. In </w:t>
      </w:r>
      <w:r w:rsidRPr="00B81AF1">
        <w:rPr>
          <w:rFonts w:ascii="Arial" w:hAnsi="Arial" w:cs="Arial"/>
          <w:i/>
          <w:iCs/>
          <w:sz w:val="20"/>
          <w:szCs w:val="20"/>
        </w:rPr>
        <w:t>Seminars in Neuroscience</w:t>
      </w:r>
      <w:r w:rsidRPr="00B81AF1">
        <w:rPr>
          <w:rFonts w:ascii="Arial" w:hAnsi="Arial" w:cs="Arial"/>
          <w:sz w:val="20"/>
          <w:szCs w:val="20"/>
        </w:rPr>
        <w:t xml:space="preserve"> (Vol. 6, No. 6, pp. 387-394). Academic Press. </w:t>
      </w:r>
      <w:hyperlink r:id="rId41" w:history="1">
        <w:r w:rsidRPr="00B81AF1">
          <w:rPr>
            <w:rStyle w:val="Hyperlink"/>
            <w:rFonts w:ascii="Arial" w:hAnsi="Arial" w:cs="Arial"/>
            <w:sz w:val="20"/>
            <w:szCs w:val="20"/>
          </w:rPr>
          <w:t>https://doi.org/10.1006/smns.1994.1050</w:t>
        </w:r>
      </w:hyperlink>
      <w:r w:rsidRPr="00B81AF1">
        <w:rPr>
          <w:rFonts w:ascii="Arial" w:hAnsi="Arial" w:cs="Arial"/>
          <w:sz w:val="20"/>
          <w:szCs w:val="20"/>
        </w:rPr>
        <w:t xml:space="preserve"> </w:t>
      </w:r>
    </w:p>
    <w:p w14:paraId="5F810613"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Simon, D. (2006). Your questions answered? Conducting questionnaire surveys. </w:t>
      </w:r>
      <w:r w:rsidRPr="00B81AF1">
        <w:rPr>
          <w:rFonts w:ascii="Arial" w:hAnsi="Arial" w:cs="Arial"/>
          <w:i/>
          <w:iCs/>
          <w:sz w:val="20"/>
          <w:szCs w:val="20"/>
        </w:rPr>
        <w:t>Doing development research</w:t>
      </w:r>
      <w:r w:rsidRPr="00B81AF1">
        <w:rPr>
          <w:rFonts w:ascii="Arial" w:hAnsi="Arial" w:cs="Arial"/>
          <w:sz w:val="20"/>
          <w:szCs w:val="20"/>
        </w:rPr>
        <w:t>, 163-171.</w:t>
      </w:r>
    </w:p>
    <w:p w14:paraId="73D2EB9A"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United Nations (2022) </w:t>
      </w:r>
      <w:r w:rsidRPr="00B81AF1">
        <w:rPr>
          <w:rFonts w:ascii="Arial" w:hAnsi="Arial" w:cs="Arial"/>
          <w:i/>
          <w:iCs/>
          <w:sz w:val="20"/>
          <w:szCs w:val="20"/>
        </w:rPr>
        <w:t xml:space="preserve">World Population Prospects 2022 </w:t>
      </w:r>
      <w:hyperlink r:id="rId42" w:history="1">
        <w:r w:rsidRPr="00B81AF1">
          <w:rPr>
            <w:rStyle w:val="Hyperlink"/>
            <w:rFonts w:ascii="Arial" w:hAnsi="Arial" w:cs="Arial"/>
            <w:sz w:val="20"/>
            <w:szCs w:val="20"/>
          </w:rPr>
          <w:t>https://population.un.org/wpp/</w:t>
        </w:r>
      </w:hyperlink>
      <w:r w:rsidRPr="00B81AF1">
        <w:rPr>
          <w:rFonts w:ascii="Arial" w:hAnsi="Arial" w:cs="Arial"/>
          <w:sz w:val="20"/>
          <w:szCs w:val="20"/>
        </w:rPr>
        <w:t xml:space="preserve"> </w:t>
      </w:r>
    </w:p>
    <w:p w14:paraId="7DA577F1"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Vazzana, R., Bandinelli, S., Lauretani, F., Volpato, S., Lauretani, F., Di Iorio, A., ... &amp; Ferrucci, L. (2010). Trail Making Test predicts physical impairment and mortality in older persons. </w:t>
      </w:r>
      <w:r w:rsidRPr="00B81AF1">
        <w:rPr>
          <w:rFonts w:ascii="Arial" w:hAnsi="Arial" w:cs="Arial"/>
          <w:i/>
          <w:iCs/>
          <w:sz w:val="20"/>
          <w:szCs w:val="20"/>
        </w:rPr>
        <w:t>Journal of the American Geriatrics Society</w:t>
      </w:r>
      <w:r w:rsidRPr="00B81AF1">
        <w:rPr>
          <w:rFonts w:ascii="Arial" w:hAnsi="Arial" w:cs="Arial"/>
          <w:sz w:val="20"/>
          <w:szCs w:val="20"/>
        </w:rPr>
        <w:t>, </w:t>
      </w:r>
      <w:r w:rsidRPr="00B81AF1">
        <w:rPr>
          <w:rFonts w:ascii="Arial" w:hAnsi="Arial" w:cs="Arial"/>
          <w:i/>
          <w:iCs/>
          <w:sz w:val="20"/>
          <w:szCs w:val="20"/>
        </w:rPr>
        <w:t>58</w:t>
      </w:r>
      <w:r w:rsidRPr="00B81AF1">
        <w:rPr>
          <w:rFonts w:ascii="Arial" w:hAnsi="Arial" w:cs="Arial"/>
          <w:sz w:val="20"/>
          <w:szCs w:val="20"/>
        </w:rPr>
        <w:t xml:space="preserve">(4), 719-723. </w:t>
      </w:r>
      <w:hyperlink r:id="rId43" w:history="1">
        <w:r w:rsidRPr="00B81AF1">
          <w:rPr>
            <w:rStyle w:val="Hyperlink"/>
            <w:rFonts w:ascii="Arial" w:hAnsi="Arial" w:cs="Arial"/>
            <w:sz w:val="20"/>
            <w:szCs w:val="20"/>
          </w:rPr>
          <w:t>https://doi.org/10.1111/j.1532-5415.2010.02780.x</w:t>
        </w:r>
      </w:hyperlink>
      <w:r w:rsidRPr="00B81AF1">
        <w:rPr>
          <w:rFonts w:ascii="Arial" w:hAnsi="Arial" w:cs="Arial"/>
          <w:sz w:val="20"/>
          <w:szCs w:val="20"/>
        </w:rPr>
        <w:t xml:space="preserve"> </w:t>
      </w:r>
    </w:p>
    <w:p w14:paraId="4FF74246"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Verhaeghen, P., &amp; Salthouse, T. A. (1997). Meta-analyses of age–cognition relations in adulthood: Estimates of linear and nonlinear age effects and structural models. </w:t>
      </w:r>
      <w:r w:rsidRPr="00B81AF1">
        <w:rPr>
          <w:rFonts w:ascii="Arial" w:hAnsi="Arial" w:cs="Arial"/>
          <w:i/>
          <w:iCs/>
          <w:sz w:val="20"/>
          <w:szCs w:val="20"/>
        </w:rPr>
        <w:t>Psychological bulletin</w:t>
      </w:r>
      <w:r w:rsidRPr="00B81AF1">
        <w:rPr>
          <w:rFonts w:ascii="Arial" w:hAnsi="Arial" w:cs="Arial"/>
          <w:sz w:val="20"/>
          <w:szCs w:val="20"/>
        </w:rPr>
        <w:t>, </w:t>
      </w:r>
      <w:r w:rsidRPr="00B81AF1">
        <w:rPr>
          <w:rFonts w:ascii="Arial" w:hAnsi="Arial" w:cs="Arial"/>
          <w:i/>
          <w:iCs/>
          <w:sz w:val="20"/>
          <w:szCs w:val="20"/>
        </w:rPr>
        <w:t>122</w:t>
      </w:r>
      <w:r w:rsidRPr="00B81AF1">
        <w:rPr>
          <w:rFonts w:ascii="Arial" w:hAnsi="Arial" w:cs="Arial"/>
          <w:sz w:val="20"/>
          <w:szCs w:val="20"/>
        </w:rPr>
        <w:t xml:space="preserve">(3), 231. </w:t>
      </w:r>
      <w:hyperlink r:id="rId44" w:history="1">
        <w:r w:rsidRPr="00B81AF1">
          <w:rPr>
            <w:rStyle w:val="Hyperlink"/>
            <w:rFonts w:ascii="Arial" w:hAnsi="Arial" w:cs="Arial"/>
            <w:sz w:val="20"/>
            <w:szCs w:val="20"/>
          </w:rPr>
          <w:t>https://doi.org/10.1037/0033-2909.122.3.231</w:t>
        </w:r>
      </w:hyperlink>
      <w:r w:rsidRPr="00B81AF1">
        <w:rPr>
          <w:rFonts w:ascii="Arial" w:hAnsi="Arial" w:cs="Arial"/>
          <w:sz w:val="20"/>
          <w:szCs w:val="20"/>
        </w:rPr>
        <w:t xml:space="preserve"> </w:t>
      </w:r>
    </w:p>
    <w:p w14:paraId="5BB65CA8"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 xml:space="preserve">Victor, C., Scambler, S., &amp; Bond, J. (2009). </w:t>
      </w:r>
      <w:r w:rsidRPr="00B81AF1">
        <w:rPr>
          <w:rFonts w:ascii="Arial" w:hAnsi="Arial" w:cs="Arial"/>
          <w:i/>
          <w:iCs/>
          <w:sz w:val="20"/>
          <w:szCs w:val="20"/>
        </w:rPr>
        <w:t>Social exclusion and social isolation.</w:t>
      </w:r>
      <w:r w:rsidRPr="00B81AF1">
        <w:rPr>
          <w:rFonts w:ascii="Arial" w:hAnsi="Arial" w:cs="Arial"/>
          <w:sz w:val="20"/>
          <w:szCs w:val="20"/>
        </w:rPr>
        <w:t> </w:t>
      </w:r>
      <w:r w:rsidRPr="00B81AF1">
        <w:rPr>
          <w:rFonts w:ascii="Arial" w:hAnsi="Arial" w:cs="Arial"/>
          <w:i/>
          <w:iCs/>
          <w:sz w:val="20"/>
          <w:szCs w:val="20"/>
        </w:rPr>
        <w:t>The Social World of Older People: understanding loneliness and social isolation in later life</w:t>
      </w:r>
      <w:r w:rsidRPr="00B81AF1">
        <w:rPr>
          <w:rFonts w:ascii="Arial" w:hAnsi="Arial" w:cs="Arial"/>
          <w:sz w:val="20"/>
          <w:szCs w:val="20"/>
        </w:rPr>
        <w:t xml:space="preserve">, 168-200. </w:t>
      </w:r>
    </w:p>
    <w:p w14:paraId="7E0D8214" w14:textId="77777777" w:rsidR="00B81AF1" w:rsidRPr="00B81AF1" w:rsidRDefault="00B81AF1" w:rsidP="00B81AF1">
      <w:pPr>
        <w:spacing w:line="276" w:lineRule="auto"/>
        <w:ind w:hanging="720"/>
        <w:rPr>
          <w:rFonts w:ascii="Arial" w:hAnsi="Arial" w:cs="Arial"/>
          <w:sz w:val="20"/>
          <w:szCs w:val="20"/>
        </w:rPr>
      </w:pPr>
      <w:r w:rsidRPr="00B81AF1">
        <w:rPr>
          <w:rFonts w:ascii="Arial" w:hAnsi="Arial" w:cs="Arial"/>
          <w:sz w:val="20"/>
          <w:szCs w:val="20"/>
        </w:rPr>
        <w:t>West, R. L. (1996). An application of prefrontal cortex function theory to cognitive aging. </w:t>
      </w:r>
      <w:r w:rsidRPr="00B81AF1">
        <w:rPr>
          <w:rFonts w:ascii="Arial" w:hAnsi="Arial" w:cs="Arial"/>
          <w:i/>
          <w:iCs/>
          <w:sz w:val="20"/>
          <w:szCs w:val="20"/>
        </w:rPr>
        <w:t>Psychological bulletin</w:t>
      </w:r>
      <w:r w:rsidRPr="00B81AF1">
        <w:rPr>
          <w:rFonts w:ascii="Arial" w:hAnsi="Arial" w:cs="Arial"/>
          <w:sz w:val="20"/>
          <w:szCs w:val="20"/>
        </w:rPr>
        <w:t>, </w:t>
      </w:r>
      <w:r w:rsidRPr="00B81AF1">
        <w:rPr>
          <w:rFonts w:ascii="Arial" w:hAnsi="Arial" w:cs="Arial"/>
          <w:i/>
          <w:iCs/>
          <w:sz w:val="20"/>
          <w:szCs w:val="20"/>
        </w:rPr>
        <w:t>120</w:t>
      </w:r>
      <w:r w:rsidRPr="00B81AF1">
        <w:rPr>
          <w:rFonts w:ascii="Arial" w:hAnsi="Arial" w:cs="Arial"/>
          <w:sz w:val="20"/>
          <w:szCs w:val="20"/>
        </w:rPr>
        <w:t>(2), 272.</w:t>
      </w:r>
    </w:p>
    <w:p w14:paraId="34147F74" w14:textId="77777777" w:rsidR="00B81AF1" w:rsidRPr="00FE1496" w:rsidRDefault="00B81AF1" w:rsidP="00B81AF1">
      <w:pPr>
        <w:spacing w:line="276" w:lineRule="auto"/>
        <w:ind w:hanging="720"/>
        <w:rPr>
          <w:rFonts w:ascii="Arial" w:hAnsi="Arial" w:cs="Arial"/>
          <w:sz w:val="20"/>
          <w:szCs w:val="20"/>
        </w:rPr>
      </w:pPr>
    </w:p>
    <w:p w14:paraId="0C0E612F" w14:textId="77777777" w:rsidR="00441E3B" w:rsidRPr="00FE1496" w:rsidRDefault="00441E3B" w:rsidP="00B81AF1">
      <w:pPr>
        <w:spacing w:line="276" w:lineRule="auto"/>
        <w:ind w:hanging="720"/>
        <w:rPr>
          <w:rFonts w:ascii="Arial" w:hAnsi="Arial" w:cs="Arial"/>
          <w:sz w:val="20"/>
          <w:szCs w:val="20"/>
        </w:rPr>
      </w:pPr>
    </w:p>
    <w:sectPr w:rsidR="00441E3B" w:rsidRPr="00FE14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3B"/>
    <w:rsid w:val="000E575A"/>
    <w:rsid w:val="000E5FBD"/>
    <w:rsid w:val="001F5105"/>
    <w:rsid w:val="00201404"/>
    <w:rsid w:val="00273910"/>
    <w:rsid w:val="00283A3C"/>
    <w:rsid w:val="00380759"/>
    <w:rsid w:val="003A0678"/>
    <w:rsid w:val="00441E3B"/>
    <w:rsid w:val="00491E88"/>
    <w:rsid w:val="005007A0"/>
    <w:rsid w:val="0066381E"/>
    <w:rsid w:val="00676090"/>
    <w:rsid w:val="00715C56"/>
    <w:rsid w:val="007560A2"/>
    <w:rsid w:val="007F1FE3"/>
    <w:rsid w:val="009A1C95"/>
    <w:rsid w:val="00A33FA6"/>
    <w:rsid w:val="00AC4EAC"/>
    <w:rsid w:val="00AF35E2"/>
    <w:rsid w:val="00B17940"/>
    <w:rsid w:val="00B81AF1"/>
    <w:rsid w:val="00C61B39"/>
    <w:rsid w:val="00C778E3"/>
    <w:rsid w:val="00C8235A"/>
    <w:rsid w:val="00CC5552"/>
    <w:rsid w:val="00DC51C3"/>
    <w:rsid w:val="00E861A4"/>
    <w:rsid w:val="00F65EAD"/>
    <w:rsid w:val="00FE1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BCB6"/>
  <w15:chartTrackingRefBased/>
  <w15:docId w15:val="{15AE0091-272F-4D20-8B04-817BFD7B6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1AF1"/>
    <w:rPr>
      <w:color w:val="0563C1" w:themeColor="hyperlink"/>
      <w:u w:val="single"/>
    </w:rPr>
  </w:style>
  <w:style w:type="character" w:styleId="UnresolvedMention">
    <w:name w:val="Unresolved Mention"/>
    <w:basedOn w:val="DefaultParagraphFont"/>
    <w:uiPriority w:val="99"/>
    <w:semiHidden/>
    <w:unhideWhenUsed/>
    <w:rsid w:val="00B81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ics.2004.02.008" TargetMode="External"/><Relationship Id="rId18" Type="http://schemas.openxmlformats.org/officeDocument/2006/relationships/hyperlink" Target="https://doi.org/10.1016/j.archger.2018.12.014" TargetMode="External"/><Relationship Id="rId26" Type="http://schemas.openxmlformats.org/officeDocument/2006/relationships/hyperlink" Target="https://doi.org/10.1017/S1355617711000531" TargetMode="External"/><Relationship Id="rId39" Type="http://schemas.openxmlformats.org/officeDocument/2006/relationships/hyperlink" Target="https://uva.theopenscholar.com/files/vcap/files/influence_of_processing_8.pdf" TargetMode="External"/><Relationship Id="rId21" Type="http://schemas.openxmlformats.org/officeDocument/2006/relationships/hyperlink" Target="https://doi.org/10.1111/j.1447-0594.2012.00959.x" TargetMode="External"/><Relationship Id="rId34" Type="http://schemas.openxmlformats.org/officeDocument/2006/relationships/hyperlink" Target="https://www.ons.gov.uk/peoplepopulationandcommunity/populationandmigration/populationestimates/articles/overviewoftheukpopulation/2020" TargetMode="External"/><Relationship Id="rId42" Type="http://schemas.openxmlformats.org/officeDocument/2006/relationships/hyperlink" Target="https://population.un.org/wpp/" TargetMode="External"/><Relationship Id="rId7" Type="http://schemas.openxmlformats.org/officeDocument/2006/relationships/hyperlink" Target="https://doi.org/10.1016/j.neubiorev.2017.04.030" TargetMode="External"/><Relationship Id="rId2" Type="http://schemas.openxmlformats.org/officeDocument/2006/relationships/settings" Target="settings.xml"/><Relationship Id="rId16" Type="http://schemas.openxmlformats.org/officeDocument/2006/relationships/hyperlink" Target="https://doi.org/10.1016/0273-2297(92)90003-K" TargetMode="External"/><Relationship Id="rId29" Type="http://schemas.openxmlformats.org/officeDocument/2006/relationships/hyperlink" Target="https://doi.org/10.1590/abd1806-4841.20143705" TargetMode="External"/><Relationship Id="rId1" Type="http://schemas.openxmlformats.org/officeDocument/2006/relationships/styles" Target="styles.xml"/><Relationship Id="rId6" Type="http://schemas.openxmlformats.org/officeDocument/2006/relationships/hyperlink" Target="file:///C:/Users/Laura%20Jones/Downloads/2006ODPMBarnesBlomCoxLessofTheSocialExclusionofOlderPeople-EvidencefromthefirstwaveoftheEnglishLongitudinalStudyofAgeingELSA.pdf" TargetMode="External"/><Relationship Id="rId11" Type="http://schemas.openxmlformats.org/officeDocument/2006/relationships/hyperlink" Target="https://doi.org/10.1097/JGP.0b013e3181ef7a2e" TargetMode="External"/><Relationship Id="rId24" Type="http://schemas.openxmlformats.org/officeDocument/2006/relationships/hyperlink" Target="https://doi.org/10.1016/j.trci.2016.11.003" TargetMode="External"/><Relationship Id="rId32" Type="http://schemas.openxmlformats.org/officeDocument/2006/relationships/hyperlink" Target="https://doi.org/10.1016/S0965-2302(99)80074-5" TargetMode="External"/><Relationship Id="rId37" Type="http://schemas.openxmlformats.org/officeDocument/2006/relationships/hyperlink" Target="https://doi.org/10.1093/geronb/gbq035" TargetMode="External"/><Relationship Id="rId40" Type="http://schemas.openxmlformats.org/officeDocument/2006/relationships/hyperlink" Target="https://doi.org/10.1016/j.neuint.2020.104708" TargetMode="External"/><Relationship Id="rId45" Type="http://schemas.openxmlformats.org/officeDocument/2006/relationships/fontTable" Target="fontTable.xml"/><Relationship Id="rId5" Type="http://schemas.openxmlformats.org/officeDocument/2006/relationships/hyperlink" Target="https://doi.org/10.1016/j.euroneuro.2014.02.003" TargetMode="External"/><Relationship Id="rId15" Type="http://schemas.openxmlformats.org/officeDocument/2006/relationships/hyperlink" Target="https://doi.org/10.1007/s00439-009-0655-4" TargetMode="External"/><Relationship Id="rId23" Type="http://schemas.openxmlformats.org/officeDocument/2006/relationships/hyperlink" Target="https://doi.org/10.1136/bmj.b2462" TargetMode="External"/><Relationship Id="rId28" Type="http://schemas.openxmlformats.org/officeDocument/2006/relationships/hyperlink" Target="https://doi.org/10.1111/j.1532-5415.2008.01931.x" TargetMode="External"/><Relationship Id="rId36" Type="http://schemas.openxmlformats.org/officeDocument/2006/relationships/hyperlink" Target="https://doi.org/10.1093/ageing/afh055" TargetMode="External"/><Relationship Id="rId10" Type="http://schemas.openxmlformats.org/officeDocument/2006/relationships/hyperlink" Target="https://doi.org/10.2165/00007256-200232090-00002" TargetMode="External"/><Relationship Id="rId19" Type="http://schemas.openxmlformats.org/officeDocument/2006/relationships/hyperlink" Target="https://doi.org/10.1080/13825580490511152" TargetMode="External"/><Relationship Id="rId31" Type="http://schemas.openxmlformats.org/officeDocument/2006/relationships/hyperlink" Target="https://doi.org/10.1111/j.1467-9450.2011.00926.x" TargetMode="External"/><Relationship Id="rId44" Type="http://schemas.openxmlformats.org/officeDocument/2006/relationships/hyperlink" Target="https://doi.org/10.1037/0033-2909.122.3.231" TargetMode="External"/><Relationship Id="rId4" Type="http://schemas.openxmlformats.org/officeDocument/2006/relationships/hyperlink" Target="https://doi.org/10.1016/j.bandc.2012.02.001" TargetMode="External"/><Relationship Id="rId9" Type="http://schemas.openxmlformats.org/officeDocument/2006/relationships/hyperlink" Target="https://doi.org/10.1136/bmj.328.7451.1312" TargetMode="External"/><Relationship Id="rId14" Type="http://schemas.openxmlformats.org/officeDocument/2006/relationships/hyperlink" Target="https://doi.org/10.1093/bmb/ldp041" TargetMode="External"/><Relationship Id="rId22" Type="http://schemas.openxmlformats.org/officeDocument/2006/relationships/hyperlink" Target="https://doi.org/10.1093/ije/dyi049" TargetMode="External"/><Relationship Id="rId27" Type="http://schemas.openxmlformats.org/officeDocument/2006/relationships/hyperlink" Target="https://doi.org/10.1016/j.aip.2018.12.003" TargetMode="External"/><Relationship Id="rId30" Type="http://schemas.openxmlformats.org/officeDocument/2006/relationships/hyperlink" Target="https://doi.org/10.1212/WNL.57.1.89" TargetMode="External"/><Relationship Id="rId35" Type="http://schemas.openxmlformats.org/officeDocument/2006/relationships/hyperlink" Target="https://cy.ons.gov.uk/peoplepopulationandcommunity/birthsdeathsandmarriages/lifeexpectancies/bulletins/pastandprojecteddatafromtheperiodandcohortlifetables/2020baseduk1981to2070" TargetMode="External"/><Relationship Id="rId43" Type="http://schemas.openxmlformats.org/officeDocument/2006/relationships/hyperlink" Target="https://doi.org/10.1111/j.1532-5415.2010.02780.x" TargetMode="External"/><Relationship Id="rId8" Type="http://schemas.openxmlformats.org/officeDocument/2006/relationships/hyperlink" Target="https://doi.org/10.1155/2013/657508" TargetMode="External"/><Relationship Id="rId3" Type="http://schemas.openxmlformats.org/officeDocument/2006/relationships/webSettings" Target="webSettings.xml"/><Relationship Id="rId12" Type="http://schemas.openxmlformats.org/officeDocument/2006/relationships/hyperlink" Target="https://doi.org/10.1080/09658210802188301" TargetMode="External"/><Relationship Id="rId17" Type="http://schemas.openxmlformats.org/officeDocument/2006/relationships/hyperlink" Target="http://dx.doi.org/10.1136/bjsm.2008.052498" TargetMode="External"/><Relationship Id="rId25" Type="http://schemas.openxmlformats.org/officeDocument/2006/relationships/hyperlink" Target="https://bjgp.org/content/57/537/277/tab-article-info" TargetMode="External"/><Relationship Id="rId33" Type="http://schemas.openxmlformats.org/officeDocument/2006/relationships/hyperlink" Target="https://doi.org/10.1186/s12877-020-1477-4" TargetMode="External"/><Relationship Id="rId38" Type="http://schemas.openxmlformats.org/officeDocument/2006/relationships/hyperlink" Target="https://doi.org/10.1111/j.1467-9280.1991.tb00127.x" TargetMode="External"/><Relationship Id="rId46" Type="http://schemas.openxmlformats.org/officeDocument/2006/relationships/theme" Target="theme/theme1.xml"/><Relationship Id="rId20" Type="http://schemas.openxmlformats.org/officeDocument/2006/relationships/hyperlink" Target="https://doi.org/10.1037/0882-7974.22.3.558" TargetMode="External"/><Relationship Id="rId41" Type="http://schemas.openxmlformats.org/officeDocument/2006/relationships/hyperlink" Target="https://doi.org/10.1006/smns.1994.10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4887</Words>
  <Characters>27861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9</cp:revision>
  <dcterms:created xsi:type="dcterms:W3CDTF">2022-11-10T12:45:00Z</dcterms:created>
  <dcterms:modified xsi:type="dcterms:W3CDTF">2022-11-12T18:36:00Z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7df6ec35-6115-44b7-a54f-136d449248a5</vt:lpwstr>
  </property>
</Properties>
</file>