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7459F" w14:textId="2769452A" w:rsidR="00BE164B" w:rsidRPr="00BE164B" w:rsidRDefault="00C823E1" w:rsidP="00BE164B">
      <w:pPr>
        <w:suppressAutoHyphens w:val="0"/>
        <w:spacing w:line="360" w:lineRule="auto"/>
        <w:jc w:val="center"/>
        <w:rPr>
          <w:rFonts w:ascii="Arial" w:hAnsi="Arial" w:cs="Arial"/>
          <w:b/>
          <w:sz w:val="28"/>
          <w:szCs w:val="28"/>
          <w:u w:val="single"/>
        </w:rPr>
      </w:pPr>
      <w:r w:rsidRPr="00BE164B">
        <w:rPr>
          <w:rFonts w:ascii="Arial" w:hAnsi="Arial" w:cs="Arial"/>
          <w:b/>
          <w:sz w:val="28"/>
          <w:szCs w:val="28"/>
          <w:u w:val="single"/>
        </w:rPr>
        <w:t>How to engage employees throughout the employee lifecycle</w:t>
      </w:r>
    </w:p>
    <w:p w14:paraId="788A13F7" w14:textId="642CD80D" w:rsidR="00BE164B" w:rsidRPr="00BE164B" w:rsidRDefault="00C823E1" w:rsidP="00BE164B">
      <w:pPr>
        <w:suppressAutoHyphens w:val="0"/>
        <w:spacing w:before="100" w:beforeAutospacing="1" w:after="100" w:afterAutospacing="1" w:line="360" w:lineRule="auto"/>
        <w:jc w:val="center"/>
        <w:rPr>
          <w:rFonts w:ascii="Arial" w:eastAsia="Times New Roman" w:hAnsi="Arial" w:cs="Arial"/>
          <w:sz w:val="28"/>
          <w:szCs w:val="28"/>
          <w:lang w:eastAsia="en-GB"/>
        </w:rPr>
      </w:pPr>
      <w:r w:rsidRPr="00BE164B">
        <w:rPr>
          <w:rFonts w:ascii="Arial" w:eastAsia="Times New Roman" w:hAnsi="Arial" w:cs="Arial"/>
          <w:sz w:val="28"/>
          <w:szCs w:val="28"/>
          <w:lang w:eastAsia="en-GB"/>
        </w:rPr>
        <w:t>Malik Arosh Miah</w:t>
      </w:r>
    </w:p>
    <w:p w14:paraId="7EE9C5CF" w14:textId="0872EC58" w:rsidR="00C823E1" w:rsidRPr="00BE164B" w:rsidRDefault="00C823E1" w:rsidP="00C823E1">
      <w:pPr>
        <w:ind w:right="121"/>
        <w:jc w:val="center"/>
        <w:rPr>
          <w:rFonts w:ascii="Arial" w:eastAsia="Times New Roman" w:hAnsi="Arial" w:cs="Arial"/>
          <w:bCs/>
          <w:sz w:val="28"/>
          <w:szCs w:val="28"/>
          <w:lang w:eastAsia="en-GB"/>
        </w:rPr>
      </w:pPr>
      <w:r w:rsidRPr="00BE164B">
        <w:rPr>
          <w:rFonts w:ascii="Arial" w:hAnsi="Arial" w:cs="Arial"/>
          <w:bCs/>
          <w:sz w:val="28"/>
          <w:szCs w:val="28"/>
        </w:rPr>
        <w:t>Personnel Resourcing and Development</w:t>
      </w:r>
      <w:r w:rsidRPr="00BE164B">
        <w:rPr>
          <w:rFonts w:ascii="Arial" w:hAnsi="Arial" w:cs="Arial"/>
          <w:bCs/>
          <w:sz w:val="28"/>
          <w:szCs w:val="28"/>
        </w:rPr>
        <w:t xml:space="preserve"> (</w:t>
      </w:r>
      <w:r w:rsidRPr="00BE164B">
        <w:rPr>
          <w:rFonts w:ascii="Arial" w:eastAsia="Times New Roman" w:hAnsi="Arial" w:cs="Arial"/>
          <w:bCs/>
          <w:sz w:val="28"/>
          <w:szCs w:val="28"/>
          <w:lang w:eastAsia="en-GB"/>
        </w:rPr>
        <w:t>BMIH5005</w:t>
      </w:r>
      <w:r w:rsidRPr="00BE164B">
        <w:rPr>
          <w:rFonts w:ascii="Arial" w:eastAsia="Times New Roman" w:hAnsi="Arial" w:cs="Arial"/>
          <w:bCs/>
          <w:sz w:val="28"/>
          <w:szCs w:val="28"/>
          <w:lang w:eastAsia="en-GB"/>
        </w:rPr>
        <w:t>)</w:t>
      </w:r>
    </w:p>
    <w:p w14:paraId="3BE1A4C4" w14:textId="77777777" w:rsidR="00BE164B" w:rsidRPr="00BE164B" w:rsidRDefault="00BE164B" w:rsidP="00C823E1">
      <w:pPr>
        <w:ind w:right="121"/>
        <w:jc w:val="center"/>
        <w:rPr>
          <w:rFonts w:ascii="Arial" w:eastAsia="Times New Roman" w:hAnsi="Arial" w:cs="Arial"/>
          <w:bCs/>
          <w:sz w:val="28"/>
          <w:szCs w:val="28"/>
          <w:lang w:eastAsia="en-GB"/>
        </w:rPr>
      </w:pPr>
    </w:p>
    <w:p w14:paraId="6027DDCF" w14:textId="77777777" w:rsidR="00C823E1" w:rsidRPr="00BE164B" w:rsidRDefault="00C823E1" w:rsidP="00C823E1">
      <w:pPr>
        <w:spacing w:after="0" w:line="240" w:lineRule="auto"/>
        <w:jc w:val="center"/>
        <w:rPr>
          <w:rFonts w:ascii="Arial" w:hAnsi="Arial" w:cs="Arial"/>
          <w:bCs/>
          <w:sz w:val="28"/>
          <w:szCs w:val="28"/>
        </w:rPr>
      </w:pPr>
      <w:r w:rsidRPr="00BE164B">
        <w:rPr>
          <w:rFonts w:ascii="Arial" w:hAnsi="Arial" w:cs="Arial"/>
          <w:bCs/>
          <w:sz w:val="28"/>
          <w:szCs w:val="28"/>
        </w:rPr>
        <w:t>Kathryn Roberts</w:t>
      </w:r>
    </w:p>
    <w:p w14:paraId="41EC91DC" w14:textId="77777777" w:rsidR="00C823E1" w:rsidRPr="00BE164B" w:rsidRDefault="00C823E1" w:rsidP="00C823E1">
      <w:pPr>
        <w:ind w:right="121"/>
        <w:jc w:val="center"/>
        <w:rPr>
          <w:rFonts w:ascii="Arial" w:hAnsi="Arial" w:cs="Arial"/>
          <w:bCs/>
          <w:sz w:val="28"/>
          <w:szCs w:val="28"/>
        </w:rPr>
      </w:pPr>
    </w:p>
    <w:p w14:paraId="4A6AEA29" w14:textId="77777777" w:rsidR="00C823E1" w:rsidRDefault="00C823E1" w:rsidP="00C823E1">
      <w:pPr>
        <w:suppressAutoHyphens w:val="0"/>
        <w:spacing w:before="100" w:beforeAutospacing="1" w:after="100" w:afterAutospacing="1" w:line="360" w:lineRule="auto"/>
        <w:ind w:left="567"/>
        <w:jc w:val="both"/>
        <w:rPr>
          <w:rFonts w:asciiTheme="minorBidi" w:eastAsia="Times New Roman" w:hAnsiTheme="minorBidi" w:cstheme="minorBidi"/>
          <w:sz w:val="24"/>
          <w:szCs w:val="24"/>
          <w:lang w:eastAsia="en-GB"/>
        </w:rPr>
      </w:pPr>
    </w:p>
    <w:p w14:paraId="6410C88E" w14:textId="77777777" w:rsidR="00C823E1" w:rsidRDefault="00C823E1" w:rsidP="00C5208F">
      <w:pPr>
        <w:pStyle w:val="NormalWeb"/>
        <w:spacing w:after="0" w:line="360" w:lineRule="auto"/>
        <w:jc w:val="center"/>
        <w:rPr>
          <w:rFonts w:ascii="Arial" w:hAnsi="Arial" w:cs="Arial"/>
          <w:b/>
          <w:bCs/>
        </w:rPr>
      </w:pPr>
    </w:p>
    <w:p w14:paraId="36E48DC0" w14:textId="77777777" w:rsidR="00C823E1" w:rsidRDefault="00C823E1" w:rsidP="00C5208F">
      <w:pPr>
        <w:pStyle w:val="NormalWeb"/>
        <w:spacing w:after="0" w:line="360" w:lineRule="auto"/>
        <w:jc w:val="center"/>
        <w:rPr>
          <w:rFonts w:ascii="Arial" w:hAnsi="Arial" w:cs="Arial"/>
          <w:b/>
          <w:bCs/>
        </w:rPr>
      </w:pPr>
    </w:p>
    <w:p w14:paraId="2D570253" w14:textId="77777777" w:rsidR="00C823E1" w:rsidRDefault="00C823E1" w:rsidP="00C5208F">
      <w:pPr>
        <w:pStyle w:val="NormalWeb"/>
        <w:spacing w:after="0" w:line="360" w:lineRule="auto"/>
        <w:jc w:val="center"/>
        <w:rPr>
          <w:rFonts w:ascii="Arial" w:hAnsi="Arial" w:cs="Arial"/>
          <w:b/>
          <w:bCs/>
        </w:rPr>
      </w:pPr>
    </w:p>
    <w:p w14:paraId="069E88FC" w14:textId="79AA1D26" w:rsidR="00C823E1" w:rsidRDefault="00C823E1" w:rsidP="00C5208F">
      <w:pPr>
        <w:pStyle w:val="NormalWeb"/>
        <w:spacing w:after="0" w:line="360" w:lineRule="auto"/>
        <w:jc w:val="center"/>
        <w:rPr>
          <w:rFonts w:ascii="Arial" w:hAnsi="Arial" w:cs="Arial"/>
          <w:b/>
          <w:bCs/>
        </w:rPr>
      </w:pPr>
    </w:p>
    <w:p w14:paraId="0E2D383D" w14:textId="77D33255" w:rsidR="00BE164B" w:rsidRDefault="00BE164B" w:rsidP="00C5208F">
      <w:pPr>
        <w:pStyle w:val="NormalWeb"/>
        <w:spacing w:after="0" w:line="360" w:lineRule="auto"/>
        <w:jc w:val="center"/>
        <w:rPr>
          <w:rFonts w:ascii="Arial" w:hAnsi="Arial" w:cs="Arial"/>
          <w:b/>
          <w:bCs/>
        </w:rPr>
      </w:pPr>
    </w:p>
    <w:p w14:paraId="7C3ECD3A" w14:textId="10542F12" w:rsidR="00BE164B" w:rsidRDefault="00BE164B" w:rsidP="00C5208F">
      <w:pPr>
        <w:pStyle w:val="NormalWeb"/>
        <w:spacing w:after="0" w:line="360" w:lineRule="auto"/>
        <w:jc w:val="center"/>
        <w:rPr>
          <w:rFonts w:ascii="Arial" w:hAnsi="Arial" w:cs="Arial"/>
          <w:b/>
          <w:bCs/>
        </w:rPr>
      </w:pPr>
    </w:p>
    <w:p w14:paraId="089E88E7" w14:textId="44F6C4B5" w:rsidR="00BE164B" w:rsidRDefault="00BE164B" w:rsidP="00C5208F">
      <w:pPr>
        <w:pStyle w:val="NormalWeb"/>
        <w:spacing w:after="0" w:line="360" w:lineRule="auto"/>
        <w:jc w:val="center"/>
        <w:rPr>
          <w:rFonts w:ascii="Arial" w:hAnsi="Arial" w:cs="Arial"/>
          <w:b/>
          <w:bCs/>
        </w:rPr>
      </w:pPr>
    </w:p>
    <w:p w14:paraId="49E535D6" w14:textId="794F23A9" w:rsidR="00BE164B" w:rsidRDefault="00BE164B" w:rsidP="00C5208F">
      <w:pPr>
        <w:pStyle w:val="NormalWeb"/>
        <w:spacing w:after="0" w:line="360" w:lineRule="auto"/>
        <w:jc w:val="center"/>
        <w:rPr>
          <w:rFonts w:ascii="Arial" w:hAnsi="Arial" w:cs="Arial"/>
          <w:b/>
          <w:bCs/>
        </w:rPr>
      </w:pPr>
    </w:p>
    <w:p w14:paraId="6C181130" w14:textId="725855F2" w:rsidR="00BE164B" w:rsidRDefault="00BE164B" w:rsidP="00C5208F">
      <w:pPr>
        <w:pStyle w:val="NormalWeb"/>
        <w:spacing w:after="0" w:line="360" w:lineRule="auto"/>
        <w:jc w:val="center"/>
        <w:rPr>
          <w:rFonts w:ascii="Arial" w:hAnsi="Arial" w:cs="Arial"/>
          <w:b/>
          <w:bCs/>
        </w:rPr>
      </w:pPr>
    </w:p>
    <w:p w14:paraId="41E61A54" w14:textId="338CD445" w:rsidR="00BE164B" w:rsidRDefault="00BE164B" w:rsidP="00C5208F">
      <w:pPr>
        <w:pStyle w:val="NormalWeb"/>
        <w:spacing w:after="0" w:line="360" w:lineRule="auto"/>
        <w:jc w:val="center"/>
        <w:rPr>
          <w:rFonts w:ascii="Arial" w:hAnsi="Arial" w:cs="Arial"/>
          <w:b/>
          <w:bCs/>
        </w:rPr>
      </w:pPr>
    </w:p>
    <w:p w14:paraId="3CB8270B" w14:textId="7FBEB1E0" w:rsidR="00BE164B" w:rsidRDefault="00BE164B" w:rsidP="00C5208F">
      <w:pPr>
        <w:pStyle w:val="NormalWeb"/>
        <w:spacing w:after="0" w:line="360" w:lineRule="auto"/>
        <w:jc w:val="center"/>
        <w:rPr>
          <w:rFonts w:ascii="Arial" w:hAnsi="Arial" w:cs="Arial"/>
          <w:b/>
          <w:bCs/>
        </w:rPr>
      </w:pPr>
    </w:p>
    <w:p w14:paraId="51BAD942" w14:textId="082D8EA0" w:rsidR="00BE164B" w:rsidRDefault="00BE164B" w:rsidP="00C5208F">
      <w:pPr>
        <w:pStyle w:val="NormalWeb"/>
        <w:spacing w:after="0" w:line="360" w:lineRule="auto"/>
        <w:jc w:val="center"/>
        <w:rPr>
          <w:rFonts w:ascii="Arial" w:hAnsi="Arial" w:cs="Arial"/>
          <w:b/>
          <w:bCs/>
        </w:rPr>
      </w:pPr>
    </w:p>
    <w:p w14:paraId="30B9A629" w14:textId="6688F618" w:rsidR="00C823E1" w:rsidRDefault="00C823E1" w:rsidP="00C5208F">
      <w:pPr>
        <w:pStyle w:val="NormalWeb"/>
        <w:spacing w:after="0" w:line="360" w:lineRule="auto"/>
        <w:jc w:val="center"/>
        <w:rPr>
          <w:rFonts w:ascii="Arial" w:hAnsi="Arial" w:cs="Arial"/>
          <w:b/>
          <w:bCs/>
        </w:rPr>
      </w:pPr>
    </w:p>
    <w:p w14:paraId="2F55D654" w14:textId="77777777" w:rsidR="00BE164B" w:rsidRDefault="00BE164B" w:rsidP="00C5208F">
      <w:pPr>
        <w:pStyle w:val="NormalWeb"/>
        <w:spacing w:after="0" w:line="360" w:lineRule="auto"/>
        <w:jc w:val="center"/>
        <w:rPr>
          <w:rFonts w:ascii="Arial" w:hAnsi="Arial" w:cs="Arial"/>
          <w:b/>
          <w:bCs/>
        </w:rPr>
      </w:pPr>
    </w:p>
    <w:p w14:paraId="26B741F6" w14:textId="0AF9EB04" w:rsidR="00256072" w:rsidRPr="00256072" w:rsidRDefault="00256072" w:rsidP="00C5208F">
      <w:pPr>
        <w:pStyle w:val="NormalWeb"/>
        <w:spacing w:after="0" w:line="360" w:lineRule="auto"/>
        <w:jc w:val="center"/>
        <w:rPr>
          <w:rFonts w:ascii="Arial" w:hAnsi="Arial" w:cs="Arial"/>
        </w:rPr>
      </w:pPr>
      <w:r w:rsidRPr="00256072">
        <w:rPr>
          <w:rFonts w:ascii="Arial" w:hAnsi="Arial" w:cs="Arial"/>
          <w:b/>
          <w:bCs/>
        </w:rPr>
        <w:lastRenderedPageBreak/>
        <w:t>How to engage employees throughout the employee lifecycle</w:t>
      </w:r>
    </w:p>
    <w:p w14:paraId="0A554143" w14:textId="77777777" w:rsidR="00256072" w:rsidRPr="00256072" w:rsidRDefault="00256072" w:rsidP="00256072">
      <w:pPr>
        <w:pStyle w:val="NormalWeb"/>
        <w:spacing w:after="0" w:line="360" w:lineRule="auto"/>
        <w:jc w:val="both"/>
        <w:rPr>
          <w:rFonts w:ascii="Arial" w:hAnsi="Arial" w:cs="Arial"/>
        </w:rPr>
      </w:pPr>
    </w:p>
    <w:p w14:paraId="18016F35" w14:textId="77777777" w:rsidR="00256072" w:rsidRDefault="00256072" w:rsidP="00256072">
      <w:pPr>
        <w:pStyle w:val="NormalWeb"/>
        <w:spacing w:after="0" w:line="360" w:lineRule="auto"/>
        <w:jc w:val="both"/>
        <w:rPr>
          <w:rFonts w:ascii="Arial" w:hAnsi="Arial" w:cs="Arial"/>
        </w:rPr>
      </w:pPr>
      <w:r w:rsidRPr="00256072">
        <w:rPr>
          <w:rFonts w:ascii="Arial" w:hAnsi="Arial" w:cs="Arial"/>
        </w:rPr>
        <w:t>We shall be looking at ways large hotels engages with their employees from the recruitment process till retirement or leaving the company. We shall look at how companies use the recruitment process in finding the right person who they think will fit into the working ethics of the company and become a valuable member of the team. We shall also examine in details the different methods used by organisations and how it helps them to keep their employees engaged in their current role and giving them opportunities to enhance their future by paths to promotion and additional benefits. Organisations use different models such as Gallop through-out the employee lifecycle in order to give them the best support during there employment. We shall delve further into the different models used by organisation and find out how they are implemented.</w:t>
      </w:r>
    </w:p>
    <w:p w14:paraId="3B2A9192" w14:textId="77777777" w:rsidR="00256072" w:rsidRDefault="00256072" w:rsidP="00256072">
      <w:pPr>
        <w:pStyle w:val="NormalWeb"/>
        <w:spacing w:after="0" w:line="360" w:lineRule="auto"/>
        <w:jc w:val="both"/>
        <w:rPr>
          <w:rFonts w:ascii="Arial" w:hAnsi="Arial" w:cs="Arial"/>
        </w:rPr>
      </w:pPr>
    </w:p>
    <w:p w14:paraId="72EFB87A" w14:textId="0A13F855" w:rsidR="00256072" w:rsidRPr="00256072" w:rsidRDefault="00256072" w:rsidP="00256072">
      <w:pPr>
        <w:pStyle w:val="NormalWeb"/>
        <w:spacing w:after="0" w:line="360" w:lineRule="auto"/>
        <w:jc w:val="both"/>
        <w:rPr>
          <w:rFonts w:ascii="Arial" w:hAnsi="Arial" w:cs="Arial"/>
        </w:rPr>
      </w:pPr>
      <w:r w:rsidRPr="00256072">
        <w:rPr>
          <w:rFonts w:ascii="Arial" w:hAnsi="Arial" w:cs="Arial"/>
        </w:rPr>
        <w:t>The meaning of employee engagement has over 50 definitions but academic research has made one thing very clear, employees' psychological states are thought to play a role in their level of engagement (CIPD, 2021). Employees in the hotel industry are the life source of the company. From cleaning and setting the rooms to be lived to the interaction with guests. After all if a hotel room is not cleaned, there is no reason for a guest to stay in that hotel which results in loss of business. Also the first interaction from a customer with the hotel can be from the vale and if they are not trained well enough to interact and communicate with the customer then the customer will have a bad experience. According to Jack (2011), a smile and politeness are the hallmarks of hospitality. An organisation needs to engage with their employees, be it through one to one or a group decision. The employees need to feel that they belong in the company and not just a number. Robert Purdy, director of IT customer management and delivery for EE said ‘’engagement is about accepting people as individuals’’ (Hrmagazine, 2016).</w:t>
      </w:r>
    </w:p>
    <w:p w14:paraId="2F9EABE0" w14:textId="77777777" w:rsidR="00256072" w:rsidRDefault="00256072" w:rsidP="00256072">
      <w:pPr>
        <w:pStyle w:val="NormalWeb"/>
        <w:spacing w:after="0" w:line="360" w:lineRule="auto"/>
        <w:jc w:val="both"/>
        <w:rPr>
          <w:rFonts w:ascii="Arial" w:hAnsi="Arial" w:cs="Arial"/>
        </w:rPr>
      </w:pPr>
    </w:p>
    <w:p w14:paraId="1B3206F2" w14:textId="6B1F6CD2" w:rsidR="00256072" w:rsidRPr="00256072" w:rsidRDefault="00256072" w:rsidP="00256072">
      <w:pPr>
        <w:pStyle w:val="NormalWeb"/>
        <w:spacing w:after="0" w:line="360" w:lineRule="auto"/>
        <w:jc w:val="both"/>
        <w:rPr>
          <w:rFonts w:ascii="Arial" w:hAnsi="Arial" w:cs="Arial"/>
        </w:rPr>
      </w:pPr>
      <w:r w:rsidRPr="00256072">
        <w:rPr>
          <w:rFonts w:ascii="Arial" w:hAnsi="Arial" w:cs="Arial"/>
        </w:rPr>
        <w:lastRenderedPageBreak/>
        <w:t xml:space="preserve">Most organisations establish a Human Resource Management (HRM). A planned and comprehensive method for overseeing a company's most valuable resource. The workers who both individually and collectively enable the company to achieve its goals is known as human resource management. (Armstrong, 2014). The function's primary goal is to give the guidance and services that help businesses and their management to accomplish goals. Over the years HRM techniques, programmes, and training have been developed and utilised in the areas of recruiting and selection, training, benefits administration, and improving employee perception or satisfaction (Baumann, 2003). Depending on the size of the company, the HRM department may consist of one person or an entire department (0’Reordan, 2017). This is the team that will engage the employee from attracting them to the industry, till the moment they leave. </w:t>
      </w:r>
    </w:p>
    <w:p w14:paraId="7B11B860" w14:textId="77777777" w:rsidR="00256072" w:rsidRDefault="00256072" w:rsidP="00256072">
      <w:pPr>
        <w:pStyle w:val="NormalWeb"/>
        <w:spacing w:after="0" w:line="360" w:lineRule="auto"/>
        <w:jc w:val="both"/>
        <w:rPr>
          <w:rFonts w:ascii="Arial" w:hAnsi="Arial" w:cs="Arial"/>
        </w:rPr>
      </w:pPr>
    </w:p>
    <w:p w14:paraId="06B9972C" w14:textId="75348651" w:rsidR="00256072" w:rsidRPr="00256072" w:rsidRDefault="00256072" w:rsidP="00256072">
      <w:pPr>
        <w:pStyle w:val="NormalWeb"/>
        <w:spacing w:after="0" w:line="360" w:lineRule="auto"/>
        <w:jc w:val="both"/>
        <w:rPr>
          <w:rFonts w:ascii="Arial" w:hAnsi="Arial" w:cs="Arial"/>
        </w:rPr>
      </w:pPr>
      <w:r w:rsidRPr="00256072">
        <w:rPr>
          <w:rFonts w:ascii="Arial" w:hAnsi="Arial" w:cs="Arial"/>
        </w:rPr>
        <w:t>The first step in engaging an employee is to attract the right person to the right job (Stokker and Gillian, 2009). Recruitment advertising, which is the dissemination of company requirements to potential candidates, is supported by job descriptions and person specifications (Torrington et al., 2020). The human resources department can do this by advertising the nature of work and showing the pay and benefits offered by the company. The attraction can also be the duration of the employment as people seek to find secure jobs while others are looking for part time jobs to fit around their lifestyle.</w:t>
      </w:r>
    </w:p>
    <w:p w14:paraId="18E922B7" w14:textId="77777777" w:rsidR="00256072" w:rsidRPr="00256072" w:rsidRDefault="00256072" w:rsidP="00256072">
      <w:pPr>
        <w:pStyle w:val="NormalWeb"/>
        <w:spacing w:after="0" w:line="360" w:lineRule="auto"/>
        <w:jc w:val="both"/>
        <w:rPr>
          <w:rFonts w:ascii="Arial" w:hAnsi="Arial" w:cs="Arial"/>
        </w:rPr>
      </w:pPr>
    </w:p>
    <w:p w14:paraId="42E59501" w14:textId="77777777" w:rsidR="00256072" w:rsidRPr="00256072" w:rsidRDefault="00256072" w:rsidP="00256072">
      <w:pPr>
        <w:pStyle w:val="NormalWeb"/>
        <w:spacing w:after="0" w:line="360" w:lineRule="auto"/>
        <w:jc w:val="both"/>
        <w:rPr>
          <w:rFonts w:ascii="Arial" w:hAnsi="Arial" w:cs="Arial"/>
        </w:rPr>
      </w:pPr>
      <w:r w:rsidRPr="00256072">
        <w:rPr>
          <w:rFonts w:ascii="Arial" w:hAnsi="Arial" w:cs="Arial"/>
        </w:rPr>
        <w:t xml:space="preserve">Organisations can advertise for the job on their own website and also use external job agencies and recruitment websites. Hotels such as the Marriott have a dedicated vacancy page (Marriott, 2022), where potential recruits can view and apply for different types of jobs available in any region in the UK and world wide. Organisations have also started to using social media to advertise jobs and also have face to face through video interview (Kurter, 2019). To recruit the right person for the job, the company will have to match the experience and education of the potential employees with there own entry level requirement in order to find the most suitable person for the job listed. </w:t>
      </w:r>
    </w:p>
    <w:p w14:paraId="7C922EFC" w14:textId="77777777" w:rsidR="00256072" w:rsidRPr="00256072" w:rsidRDefault="00256072" w:rsidP="00256072">
      <w:pPr>
        <w:pStyle w:val="NormalWeb"/>
        <w:spacing w:after="0" w:line="360" w:lineRule="auto"/>
        <w:jc w:val="both"/>
        <w:rPr>
          <w:rFonts w:ascii="Arial" w:hAnsi="Arial" w:cs="Arial"/>
        </w:rPr>
      </w:pPr>
    </w:p>
    <w:p w14:paraId="0F2181C5" w14:textId="77777777" w:rsidR="00256072" w:rsidRPr="00256072" w:rsidRDefault="00256072" w:rsidP="00256072">
      <w:pPr>
        <w:pStyle w:val="NormalWeb"/>
        <w:spacing w:after="0" w:line="360" w:lineRule="auto"/>
        <w:jc w:val="both"/>
        <w:rPr>
          <w:rFonts w:ascii="Arial" w:hAnsi="Arial" w:cs="Arial"/>
        </w:rPr>
      </w:pPr>
      <w:r w:rsidRPr="00256072">
        <w:rPr>
          <w:rFonts w:ascii="Arial" w:hAnsi="Arial" w:cs="Arial"/>
        </w:rPr>
        <w:lastRenderedPageBreak/>
        <w:t>Once the recruitment process has ended and the new employee starts their new job, the company needs to make sure that the new worker understands the companies values and goals. Employee sluggishness has a number of fundamental causes, one of which is a lack of understanding of what is expected (Padilla-Meléndez and Garrido-Moreno, 2014). Onboarding system is a process that helps new employees transition into their roles at the company. It includes orientations, trainings, and other activities that help new hires learn about the company culture and the expectations of their role. Employee engagement is a topic that cannot be successfully addressed by HR on its own. HR undoubtedly has the expertise and resources to help, but line managers must understand how to motivate and engage their workforce (Johnson, 2004). The system also provides a way for managers to assess new employees' skills and knowledge, and to identify any areas where additional training may be needed.</w:t>
      </w:r>
    </w:p>
    <w:p w14:paraId="137C1EBD" w14:textId="77777777" w:rsidR="00256072" w:rsidRPr="00256072" w:rsidRDefault="00256072" w:rsidP="00256072">
      <w:pPr>
        <w:pStyle w:val="NormalWeb"/>
        <w:spacing w:after="0" w:line="360" w:lineRule="auto"/>
        <w:jc w:val="both"/>
        <w:rPr>
          <w:rFonts w:ascii="Arial" w:hAnsi="Arial" w:cs="Arial"/>
        </w:rPr>
      </w:pPr>
    </w:p>
    <w:p w14:paraId="1BB3E6AB" w14:textId="77777777" w:rsidR="00256072" w:rsidRPr="00256072" w:rsidRDefault="00256072" w:rsidP="00256072">
      <w:pPr>
        <w:pStyle w:val="NormalWeb"/>
        <w:spacing w:after="0" w:line="360" w:lineRule="auto"/>
        <w:jc w:val="both"/>
        <w:rPr>
          <w:rFonts w:ascii="Arial" w:hAnsi="Arial" w:cs="Arial"/>
        </w:rPr>
      </w:pPr>
      <w:r w:rsidRPr="00256072">
        <w:rPr>
          <w:rFonts w:ascii="Arial" w:hAnsi="Arial" w:cs="Arial"/>
        </w:rPr>
        <w:t>During their employment a worker might need help with new skills or brush up on their current roles. Development programs can be tailored to the needs of individual employees, groups of employees, or the entire hotel workforce. For example, a hotel might offer a development program for entry-level employees that focuses on basic job skills, while a program for more experienced employees might focus on management and leadership skills. These programs are offered to the employees to keep them engaged with their current employer and to retain them for the long run. It is in the interest of the organisations to offer these options to employees. After all, employee performance is impacted by engagement (Kahn,1990). According to research by Oxford University (Ox,ac.uk, 2019), employee happiness increases productivity by 13%. Simply put, contented employees are more productive throughout their time at work rather than putting in longer hours.</w:t>
      </w:r>
    </w:p>
    <w:p w14:paraId="5FA4F5D3" w14:textId="77777777" w:rsidR="00256072" w:rsidRPr="00256072" w:rsidRDefault="00256072" w:rsidP="00256072">
      <w:pPr>
        <w:pStyle w:val="NormalWeb"/>
        <w:spacing w:after="0" w:line="360" w:lineRule="auto"/>
        <w:jc w:val="both"/>
        <w:rPr>
          <w:rFonts w:ascii="Arial" w:hAnsi="Arial" w:cs="Arial"/>
        </w:rPr>
      </w:pPr>
    </w:p>
    <w:p w14:paraId="56779956" w14:textId="77777777" w:rsidR="00256072" w:rsidRPr="00256072" w:rsidRDefault="00256072" w:rsidP="00256072">
      <w:pPr>
        <w:pStyle w:val="NormalWeb"/>
        <w:spacing w:after="0" w:line="360" w:lineRule="auto"/>
        <w:jc w:val="both"/>
        <w:rPr>
          <w:rFonts w:ascii="Arial" w:hAnsi="Arial" w:cs="Arial"/>
        </w:rPr>
      </w:pPr>
      <w:r w:rsidRPr="00256072">
        <w:rPr>
          <w:rFonts w:ascii="Arial" w:hAnsi="Arial" w:cs="Arial"/>
        </w:rPr>
        <w:t xml:space="preserve">Retaining good employees is in the interest of the hotel (Li, 2020), as it leads to a productive work environment which fills the needs of the company. And in order to retain workers the company has to keep them engaged and interested in the work. This can be by training them to learn new skill, giving them opportunity for promotion. Also bonuses and perks can be given to employees. Many organisations have a </w:t>
      </w:r>
      <w:r w:rsidRPr="00256072">
        <w:rPr>
          <w:rFonts w:ascii="Arial" w:hAnsi="Arial" w:cs="Arial"/>
        </w:rPr>
        <w:lastRenderedPageBreak/>
        <w:t>programme that is based on the idea that progressing years of service lead to increased compensation due to loyalty or more experience (Beardwell and Thompson, 2017).</w:t>
      </w:r>
    </w:p>
    <w:p w14:paraId="4542517B" w14:textId="77777777" w:rsidR="00256072" w:rsidRPr="00256072" w:rsidRDefault="00256072" w:rsidP="00256072">
      <w:pPr>
        <w:pStyle w:val="NormalWeb"/>
        <w:spacing w:after="0" w:line="360" w:lineRule="auto"/>
        <w:jc w:val="both"/>
        <w:rPr>
          <w:rFonts w:ascii="Arial" w:hAnsi="Arial" w:cs="Arial"/>
        </w:rPr>
      </w:pPr>
    </w:p>
    <w:p w14:paraId="1C3CC256" w14:textId="77777777" w:rsidR="00256072" w:rsidRPr="00256072" w:rsidRDefault="00256072" w:rsidP="00256072">
      <w:pPr>
        <w:pStyle w:val="NormalWeb"/>
        <w:spacing w:after="0" w:line="360" w:lineRule="auto"/>
        <w:jc w:val="both"/>
        <w:rPr>
          <w:rFonts w:ascii="Arial" w:hAnsi="Arial" w:cs="Arial"/>
        </w:rPr>
      </w:pPr>
      <w:r w:rsidRPr="00256072">
        <w:rPr>
          <w:rFonts w:ascii="Arial" w:hAnsi="Arial" w:cs="Arial"/>
        </w:rPr>
        <w:t>If retention fails then the only outcome is separation. The human resource department will have a one to one with the employee that wants to leave and may ask them the reason. They might try to offer a better deal if an employee wants to leave for monitory reasons depending on the difference of amount offered by the competition. Another reason for separation might be retirement by the employee, where their loyalty to the company can be rewarded with extra money or perks. And finally the company might decide to lay off staff, such as when Covid hit the industry hard and many jobs were lost. The main aim at this point would be to make it less disruptive to other employees. Hotel like Hilton helped the layed off employees find other jobs during the Covid crisis, and that in turn reflected well on the company with former employees praising the company (Hastwell, 2021). Any feedback from leaving staff could provide valuable insight to the organisation and a chance to rectify any issues that are found for the future.</w:t>
      </w:r>
    </w:p>
    <w:p w14:paraId="61F8313C" w14:textId="77777777" w:rsidR="00256072" w:rsidRPr="00256072" w:rsidRDefault="00256072" w:rsidP="00256072">
      <w:pPr>
        <w:pStyle w:val="NormalWeb"/>
        <w:spacing w:after="0" w:line="360" w:lineRule="auto"/>
        <w:jc w:val="both"/>
        <w:rPr>
          <w:rFonts w:ascii="Arial" w:hAnsi="Arial" w:cs="Arial"/>
        </w:rPr>
      </w:pPr>
    </w:p>
    <w:p w14:paraId="02193B25" w14:textId="77777777" w:rsidR="00256072" w:rsidRDefault="00256072" w:rsidP="00256072">
      <w:pPr>
        <w:pStyle w:val="NormalWeb"/>
        <w:spacing w:after="0" w:line="360" w:lineRule="auto"/>
        <w:jc w:val="both"/>
        <w:rPr>
          <w:rFonts w:ascii="Arial" w:hAnsi="Arial" w:cs="Arial"/>
        </w:rPr>
      </w:pPr>
      <w:r w:rsidRPr="00256072">
        <w:rPr>
          <w:rFonts w:ascii="Arial" w:hAnsi="Arial" w:cs="Arial"/>
        </w:rPr>
        <w:t xml:space="preserve">Those are the six steps that human resources uses to engage with new recruits. It is referred to as the employee life cycle as it deals with the first advertisement of a vacancy to the separation of the staff from the company. There are several reasons, the employee life cycle model is crucial. It allows you to assess as well as enhance the employee experience at each stage of the process, which is its main advantage. And the more satisfied an employee is with your business, the more probable it is that they will stay on as an employee. This increases retention rates and significantly reduces turnover and related expenditures (Factorialhr.co.uk, 2022). According to Maslow's hierarchy of requirements, workers whose most basic wants have not been satisfied would make decisions based on issues with pay, safety, or stability. Therefore, it is crucial that HR specialists make sure that these demands are met before those higher up the pyramid (Maslow, 1943). </w:t>
      </w:r>
    </w:p>
    <w:p w14:paraId="6F71A612" w14:textId="77777777" w:rsidR="00256072" w:rsidRDefault="00256072" w:rsidP="00256072">
      <w:pPr>
        <w:pStyle w:val="NormalWeb"/>
        <w:spacing w:after="0" w:line="360" w:lineRule="auto"/>
        <w:jc w:val="both"/>
        <w:rPr>
          <w:rFonts w:ascii="Arial" w:hAnsi="Arial" w:cs="Arial"/>
        </w:rPr>
      </w:pPr>
    </w:p>
    <w:p w14:paraId="0C1D4733" w14:textId="1CFEA0F5" w:rsidR="00256072" w:rsidRPr="00256072" w:rsidRDefault="00256072" w:rsidP="00256072">
      <w:pPr>
        <w:pStyle w:val="NormalWeb"/>
        <w:spacing w:after="0" w:line="360" w:lineRule="auto"/>
        <w:jc w:val="both"/>
        <w:rPr>
          <w:rFonts w:ascii="Arial" w:hAnsi="Arial" w:cs="Arial"/>
        </w:rPr>
      </w:pPr>
      <w:r w:rsidRPr="00256072">
        <w:rPr>
          <w:rFonts w:ascii="Arial" w:hAnsi="Arial" w:cs="Arial"/>
        </w:rPr>
        <w:t>Employee commitment to their business or workplace is measured by employee engagement. There are several different models that can be used to engage employees. The Gallop model, is a framework that places a strong emphasis on productivity and involvement, it uses a survey instrument which can obtain the employees engagement level. And with that information it can conclude, engaged workers experience a 64% decrease in safety occurrences, whereas disengaged workers are 60% more susceptible to making mistakes (Gallop, 2017). Work engagement is crucial for the hospitality sector since it affects client satisfaction and service quality (Salanova, Agut, and Peiró, 2005). Additionally, employees that are engaged are 87 percent less likely to leave the organisation in search of new employment. According to estimates, disengaged workers lose businesses 34 percent of each employee's individual wage in lost productivity, more absenteeism, and reduced profitability (Gallop, 2017). Another popular model is called The Job Demands-Resources theory or The JD-R for short. This can be used to anticipate or notify businesses of employee burnout symptoms and to promote engagement (Baker and Leeiter, 2010). It is seen to be the superior model compared to others before, since it can be used to asses any types of job (Braine and Roodt, 2011). According to Pienaar and Willemse's (2008) study, the hotel sector's demanding clients and lengthy, unsocial working hours put employees at risk of burnout.</w:t>
      </w:r>
    </w:p>
    <w:p w14:paraId="5A411B0F" w14:textId="77777777" w:rsidR="00256072" w:rsidRPr="00256072" w:rsidRDefault="00256072" w:rsidP="00256072">
      <w:pPr>
        <w:pStyle w:val="NormalWeb"/>
        <w:spacing w:after="0" w:line="360" w:lineRule="auto"/>
        <w:jc w:val="both"/>
        <w:rPr>
          <w:rFonts w:ascii="Arial" w:hAnsi="Arial" w:cs="Arial"/>
        </w:rPr>
      </w:pPr>
    </w:p>
    <w:p w14:paraId="0EB7FCBF" w14:textId="77777777" w:rsidR="00256072" w:rsidRPr="00256072" w:rsidRDefault="00256072" w:rsidP="00256072">
      <w:pPr>
        <w:pStyle w:val="NormalWeb"/>
        <w:spacing w:after="0" w:line="360" w:lineRule="auto"/>
        <w:jc w:val="both"/>
        <w:rPr>
          <w:rFonts w:ascii="Arial" w:hAnsi="Arial" w:cs="Arial"/>
        </w:rPr>
      </w:pPr>
      <w:r w:rsidRPr="00256072">
        <w:rPr>
          <w:rFonts w:ascii="Arial" w:hAnsi="Arial" w:cs="Arial"/>
        </w:rPr>
        <w:t xml:space="preserve">To boost participation and prevent burnout. One hotel, for instance, had a significant distance between the restaurant and the front desk (reception), which had a detrimental effect on customer service. In order to promote understanding, it was determined that occasionally, the restaurant would hire receptionists, and vice versa. Additionally, a lack of staff was caused by a combination of a very high workload and severe competition on the hospitality labour market, notably for hotels in Amsterdam. As a result, Amsterdam hotels made the decision to concentrate their HR policy more on employee retention (Schaufeli, 2017). The Taj Mumbai is renowned in the hospitality sector for its employees and customer services. Instead of following procedures exactly, they train people to improvise. They demand that staff members prioritise customer needs before company goals. They provide employees the </w:t>
      </w:r>
      <w:r w:rsidRPr="00256072">
        <w:rPr>
          <w:rFonts w:ascii="Arial" w:hAnsi="Arial" w:cs="Arial"/>
        </w:rPr>
        <w:lastRenderedPageBreak/>
        <w:t>authority to make decisions without consulting managers. Instead of consultants who teach their personnel, they have in-house management. There is prompt praise and reward, and it must come from the direct manager rather than senior management. The organisation's staff are motivated by a focus on the customer and great hospitality. Investigating the human resource management strategies behind this accomplishment is crucial. The majority of HR professionals in use are aware that employees promote operational excellence, which advances customer pleasure and loyalty (Saji, 2014).</w:t>
      </w:r>
    </w:p>
    <w:p w14:paraId="4367ED40" w14:textId="77777777" w:rsidR="00256072" w:rsidRPr="00256072" w:rsidRDefault="00256072" w:rsidP="00256072">
      <w:pPr>
        <w:pStyle w:val="NormalWeb"/>
        <w:spacing w:after="0" w:line="360" w:lineRule="auto"/>
        <w:jc w:val="both"/>
        <w:rPr>
          <w:rFonts w:ascii="Arial" w:hAnsi="Arial" w:cs="Arial"/>
        </w:rPr>
      </w:pPr>
    </w:p>
    <w:p w14:paraId="05057D21" w14:textId="77777777" w:rsidR="00256072" w:rsidRPr="00256072" w:rsidRDefault="00256072" w:rsidP="00256072">
      <w:pPr>
        <w:pStyle w:val="NormalWeb"/>
        <w:spacing w:after="0" w:line="360" w:lineRule="auto"/>
        <w:jc w:val="both"/>
        <w:rPr>
          <w:rFonts w:ascii="Arial" w:hAnsi="Arial" w:cs="Arial"/>
        </w:rPr>
      </w:pPr>
      <w:r w:rsidRPr="00256072">
        <w:rPr>
          <w:rFonts w:ascii="Arial" w:hAnsi="Arial" w:cs="Arial"/>
        </w:rPr>
        <w:t>In conclusion the HRM department in any organisation needs to be proactive with their interactions with employees. They are the ones that will need to keep an eye out for the needs of the staff, to improve morale, work output and integration. The line managers will also have to do their part in engaging with workers to make them feel a belonging in the company and the direction they are heading together. After all employee engagement is both beneficial to the organisation and to the employees in keeping them working for the long run. The employee life cycle is useful for interacting with employees at key stages of their recruitment to the progression of their working lives at the organisation. All the while the employee engagement models can be used in tandem to gain insight into the minds of the employee and their emotional and physical well-being. Keeping staff happy and active will in turn be profitable to the organisation and it will reduce cost in finding and training new workers.</w:t>
      </w:r>
    </w:p>
    <w:p w14:paraId="3E9E1C67" w14:textId="77777777" w:rsidR="00256072" w:rsidRPr="00256072" w:rsidRDefault="00256072" w:rsidP="00256072">
      <w:pPr>
        <w:pStyle w:val="NormalWeb"/>
        <w:spacing w:after="0" w:line="360" w:lineRule="auto"/>
        <w:jc w:val="both"/>
        <w:rPr>
          <w:rFonts w:ascii="Arial" w:hAnsi="Arial" w:cs="Arial"/>
        </w:rPr>
      </w:pPr>
    </w:p>
    <w:p w14:paraId="52B464D9" w14:textId="77777777" w:rsidR="00256072" w:rsidRPr="00256072" w:rsidRDefault="00256072" w:rsidP="00256072">
      <w:pPr>
        <w:pStyle w:val="NormalWeb"/>
        <w:spacing w:after="0" w:line="360" w:lineRule="auto"/>
        <w:jc w:val="both"/>
        <w:rPr>
          <w:rFonts w:ascii="Arial" w:hAnsi="Arial" w:cs="Arial"/>
        </w:rPr>
      </w:pPr>
    </w:p>
    <w:p w14:paraId="6D8DB2F8" w14:textId="77777777" w:rsidR="00256072" w:rsidRPr="00256072" w:rsidRDefault="00256072" w:rsidP="00256072">
      <w:pPr>
        <w:pStyle w:val="NormalWeb"/>
        <w:spacing w:after="0" w:line="360" w:lineRule="auto"/>
        <w:jc w:val="both"/>
        <w:rPr>
          <w:rFonts w:ascii="Arial" w:hAnsi="Arial" w:cs="Arial"/>
        </w:rPr>
      </w:pPr>
    </w:p>
    <w:p w14:paraId="7017C1A3" w14:textId="77777777" w:rsidR="00256072" w:rsidRPr="00256072" w:rsidRDefault="00256072" w:rsidP="00256072">
      <w:pPr>
        <w:pStyle w:val="NormalWeb"/>
        <w:spacing w:after="0" w:line="360" w:lineRule="auto"/>
        <w:jc w:val="both"/>
        <w:rPr>
          <w:rFonts w:ascii="Arial" w:hAnsi="Arial" w:cs="Arial"/>
        </w:rPr>
      </w:pPr>
    </w:p>
    <w:p w14:paraId="5A6C79A2" w14:textId="77777777" w:rsidR="00256072" w:rsidRPr="00256072" w:rsidRDefault="00256072" w:rsidP="00256072">
      <w:pPr>
        <w:pStyle w:val="NormalWeb"/>
        <w:spacing w:after="0" w:line="360" w:lineRule="auto"/>
        <w:jc w:val="both"/>
        <w:rPr>
          <w:rFonts w:ascii="Arial" w:hAnsi="Arial" w:cs="Arial"/>
        </w:rPr>
      </w:pPr>
    </w:p>
    <w:p w14:paraId="0E831997" w14:textId="77777777" w:rsidR="00256072" w:rsidRPr="00256072" w:rsidRDefault="00256072" w:rsidP="00256072">
      <w:pPr>
        <w:pStyle w:val="NormalWeb"/>
        <w:spacing w:after="0" w:line="360" w:lineRule="auto"/>
        <w:jc w:val="both"/>
        <w:rPr>
          <w:rFonts w:ascii="Arial" w:hAnsi="Arial" w:cs="Arial"/>
        </w:rPr>
      </w:pPr>
    </w:p>
    <w:p w14:paraId="01915D09" w14:textId="77777777" w:rsidR="00543541" w:rsidRDefault="00543541" w:rsidP="00543541">
      <w:pPr>
        <w:pStyle w:val="NormalWeb"/>
        <w:spacing w:after="0" w:line="360" w:lineRule="auto"/>
        <w:rPr>
          <w:rFonts w:ascii="Arial" w:hAnsi="Arial" w:cs="Arial"/>
        </w:rPr>
      </w:pPr>
    </w:p>
    <w:p w14:paraId="3152DED1" w14:textId="2ABBCC17" w:rsidR="00256072" w:rsidRPr="00256072" w:rsidRDefault="00256072" w:rsidP="00543541">
      <w:pPr>
        <w:pStyle w:val="NormalWeb"/>
        <w:spacing w:after="0" w:line="360" w:lineRule="auto"/>
        <w:jc w:val="center"/>
        <w:rPr>
          <w:rFonts w:ascii="Arial" w:hAnsi="Arial" w:cs="Arial"/>
        </w:rPr>
      </w:pPr>
      <w:r w:rsidRPr="00256072">
        <w:rPr>
          <w:rFonts w:ascii="Arial" w:hAnsi="Arial" w:cs="Arial"/>
          <w:b/>
          <w:bCs/>
        </w:rPr>
        <w:lastRenderedPageBreak/>
        <w:t>References</w:t>
      </w:r>
    </w:p>
    <w:p w14:paraId="533AB4FE" w14:textId="77777777" w:rsidR="00256072" w:rsidRPr="00256072" w:rsidRDefault="00256072" w:rsidP="00256072">
      <w:pPr>
        <w:pStyle w:val="NormalWeb"/>
        <w:spacing w:after="0" w:line="360" w:lineRule="auto"/>
        <w:jc w:val="both"/>
        <w:rPr>
          <w:rFonts w:ascii="Arial" w:hAnsi="Arial" w:cs="Arial"/>
        </w:rPr>
      </w:pPr>
    </w:p>
    <w:p w14:paraId="0E3E4F8A" w14:textId="490D72F3" w:rsidR="00256072" w:rsidRPr="00543541" w:rsidRDefault="00256072" w:rsidP="00256072">
      <w:pPr>
        <w:pStyle w:val="NormalWeb"/>
        <w:spacing w:after="0" w:line="360" w:lineRule="auto"/>
        <w:jc w:val="both"/>
        <w:rPr>
          <w:rFonts w:ascii="Arial" w:hAnsi="Arial" w:cs="Arial"/>
        </w:rPr>
      </w:pPr>
      <w:r w:rsidRPr="00543541">
        <w:rPr>
          <w:rFonts w:ascii="Arial" w:hAnsi="Arial" w:cs="Arial"/>
        </w:rPr>
        <w:t>Padilla-Meléndez</w:t>
      </w:r>
      <w:r w:rsidR="007311E0" w:rsidRPr="00543541">
        <w:rPr>
          <w:rFonts w:ascii="Arial" w:hAnsi="Arial" w:cs="Arial"/>
        </w:rPr>
        <w:t xml:space="preserve">, </w:t>
      </w:r>
      <w:r w:rsidR="007311E0" w:rsidRPr="00543541">
        <w:rPr>
          <w:rFonts w:ascii="Arial" w:hAnsi="Arial" w:cs="Arial"/>
        </w:rPr>
        <w:t>Antonio</w:t>
      </w:r>
      <w:r w:rsidRPr="00543541">
        <w:rPr>
          <w:rFonts w:ascii="Arial" w:hAnsi="Arial" w:cs="Arial"/>
        </w:rPr>
        <w:t xml:space="preserve"> &amp; Garrido-Moreno</w:t>
      </w:r>
      <w:r w:rsidR="007311E0" w:rsidRPr="00543541">
        <w:rPr>
          <w:rFonts w:ascii="Arial" w:hAnsi="Arial" w:cs="Arial"/>
        </w:rPr>
        <w:t xml:space="preserve">, </w:t>
      </w:r>
      <w:r w:rsidR="007311E0" w:rsidRPr="00543541">
        <w:rPr>
          <w:rFonts w:ascii="Arial" w:hAnsi="Arial" w:cs="Arial"/>
        </w:rPr>
        <w:t>Aurora</w:t>
      </w:r>
      <w:r w:rsidR="007311E0" w:rsidRPr="00543541">
        <w:rPr>
          <w:rFonts w:ascii="Arial" w:hAnsi="Arial" w:cs="Arial"/>
        </w:rPr>
        <w:t>.</w:t>
      </w:r>
      <w:r w:rsidRPr="00543541">
        <w:rPr>
          <w:rFonts w:ascii="Arial" w:hAnsi="Arial" w:cs="Arial"/>
        </w:rPr>
        <w:t xml:space="preserve"> (2014) </w:t>
      </w:r>
      <w:r w:rsidR="007311E0" w:rsidRPr="00543541">
        <w:rPr>
          <w:rFonts w:ascii="Arial" w:hAnsi="Arial" w:cs="Arial"/>
        </w:rPr>
        <w:t>‘</w:t>
      </w:r>
      <w:r w:rsidRPr="00543541">
        <w:rPr>
          <w:rFonts w:ascii="Arial" w:hAnsi="Arial" w:cs="Arial"/>
        </w:rPr>
        <w:t>Customer relationship management in hotels</w:t>
      </w:r>
      <w:r w:rsidR="007311E0" w:rsidRPr="00543541">
        <w:rPr>
          <w:rFonts w:ascii="Arial" w:hAnsi="Arial" w:cs="Arial"/>
        </w:rPr>
        <w:t>’,</w:t>
      </w:r>
      <w:r w:rsidRPr="00543541">
        <w:rPr>
          <w:rFonts w:ascii="Arial" w:hAnsi="Arial" w:cs="Arial"/>
        </w:rPr>
        <w:t xml:space="preserve"> </w:t>
      </w:r>
      <w:r w:rsidRPr="00543541">
        <w:rPr>
          <w:rFonts w:ascii="Arial" w:hAnsi="Arial" w:cs="Arial"/>
          <w:i/>
          <w:iCs/>
        </w:rPr>
        <w:t>Examining critical success factors. Current Issues in Tourism</w:t>
      </w:r>
      <w:r w:rsidRPr="00543541">
        <w:rPr>
          <w:rFonts w:ascii="Arial" w:hAnsi="Arial" w:cs="Arial"/>
        </w:rPr>
        <w:t>, 17(5),</w:t>
      </w:r>
      <w:r w:rsidR="007311E0" w:rsidRPr="00543541">
        <w:rPr>
          <w:rFonts w:ascii="Arial" w:hAnsi="Arial" w:cs="Arial"/>
        </w:rPr>
        <w:t xml:space="preserve"> pp.</w:t>
      </w:r>
      <w:r w:rsidRPr="00543541">
        <w:rPr>
          <w:rFonts w:ascii="Arial" w:hAnsi="Arial" w:cs="Arial"/>
        </w:rPr>
        <w:t xml:space="preserve"> 387-396</w:t>
      </w:r>
      <w:r w:rsidR="007311E0" w:rsidRPr="00543541">
        <w:rPr>
          <w:rFonts w:ascii="Arial" w:hAnsi="Arial" w:cs="Arial"/>
        </w:rPr>
        <w:t>.</w:t>
      </w:r>
    </w:p>
    <w:p w14:paraId="0C482692" w14:textId="3C4F0024" w:rsidR="00256072" w:rsidRPr="00543541" w:rsidRDefault="00256072" w:rsidP="00256072">
      <w:pPr>
        <w:pStyle w:val="NormalWeb"/>
        <w:spacing w:after="0" w:line="360" w:lineRule="auto"/>
        <w:jc w:val="both"/>
        <w:rPr>
          <w:rFonts w:ascii="Arial" w:hAnsi="Arial" w:cs="Arial"/>
        </w:rPr>
      </w:pPr>
      <w:r w:rsidRPr="00543541">
        <w:rPr>
          <w:rFonts w:ascii="Arial" w:hAnsi="Arial" w:cs="Arial"/>
        </w:rPr>
        <w:t>Armstrong,</w:t>
      </w:r>
      <w:r w:rsidR="007311E0" w:rsidRPr="00543541">
        <w:rPr>
          <w:rFonts w:ascii="Arial" w:hAnsi="Arial" w:cs="Arial"/>
        </w:rPr>
        <w:t xml:space="preserve"> M. </w:t>
      </w:r>
      <w:r w:rsidRPr="00543541">
        <w:rPr>
          <w:rFonts w:ascii="Arial" w:hAnsi="Arial" w:cs="Arial"/>
        </w:rPr>
        <w:t xml:space="preserve">(2014), </w:t>
      </w:r>
      <w:r w:rsidRPr="00543541">
        <w:rPr>
          <w:rFonts w:ascii="Arial" w:hAnsi="Arial" w:cs="Arial"/>
          <w:i/>
          <w:iCs/>
        </w:rPr>
        <w:t>Armstrong’s Handbook of Human Resource Management Practice</w:t>
      </w:r>
      <w:r w:rsidRPr="00543541">
        <w:rPr>
          <w:rFonts w:ascii="Arial" w:hAnsi="Arial" w:cs="Arial"/>
        </w:rPr>
        <w:t>, 13</w:t>
      </w:r>
      <w:r w:rsidRPr="00543541">
        <w:rPr>
          <w:rFonts w:ascii="Arial" w:hAnsi="Arial" w:cs="Arial"/>
          <w:vertAlign w:val="superscript"/>
        </w:rPr>
        <w:t>th</w:t>
      </w:r>
      <w:r w:rsidR="007311E0" w:rsidRPr="00543541">
        <w:rPr>
          <w:rFonts w:ascii="Arial" w:hAnsi="Arial" w:cs="Arial"/>
        </w:rPr>
        <w:t xml:space="preserve"> edn.</w:t>
      </w:r>
      <w:r w:rsidRPr="00543541">
        <w:rPr>
          <w:rFonts w:ascii="Arial" w:hAnsi="Arial" w:cs="Arial"/>
        </w:rPr>
        <w:t xml:space="preserve"> London: Kogan Page</w:t>
      </w:r>
      <w:r w:rsidR="007311E0" w:rsidRPr="00543541">
        <w:rPr>
          <w:rFonts w:ascii="Arial" w:hAnsi="Arial" w:cs="Arial"/>
        </w:rPr>
        <w:t>.</w:t>
      </w:r>
    </w:p>
    <w:p w14:paraId="5AAFBB62" w14:textId="215ABF14" w:rsidR="00256072" w:rsidRPr="00543541" w:rsidRDefault="00256072" w:rsidP="00256072">
      <w:pPr>
        <w:pStyle w:val="NormalWeb"/>
        <w:spacing w:after="0" w:line="360" w:lineRule="auto"/>
        <w:jc w:val="both"/>
        <w:rPr>
          <w:rFonts w:ascii="Arial" w:hAnsi="Arial" w:cs="Arial"/>
        </w:rPr>
      </w:pPr>
      <w:r w:rsidRPr="00543541">
        <w:rPr>
          <w:rFonts w:ascii="Arial" w:hAnsi="Arial" w:cs="Arial"/>
        </w:rPr>
        <w:t>B</w:t>
      </w:r>
      <w:r w:rsidR="00621E7F" w:rsidRPr="00543541">
        <w:rPr>
          <w:rFonts w:ascii="Arial" w:hAnsi="Arial" w:cs="Arial"/>
        </w:rPr>
        <w:t>akker</w:t>
      </w:r>
      <w:r w:rsidR="007311E0" w:rsidRPr="00543541">
        <w:rPr>
          <w:rFonts w:ascii="Arial" w:hAnsi="Arial" w:cs="Arial"/>
        </w:rPr>
        <w:t xml:space="preserve">, B. </w:t>
      </w:r>
      <w:r w:rsidR="007311E0" w:rsidRPr="00543541">
        <w:rPr>
          <w:rFonts w:ascii="Arial" w:hAnsi="Arial" w:cs="Arial"/>
        </w:rPr>
        <w:t>Arnold</w:t>
      </w:r>
      <w:r w:rsidR="007311E0" w:rsidRPr="00543541">
        <w:rPr>
          <w:rFonts w:ascii="Arial" w:hAnsi="Arial" w:cs="Arial"/>
        </w:rPr>
        <w:t xml:space="preserve"> and</w:t>
      </w:r>
      <w:r w:rsidRPr="00543541">
        <w:rPr>
          <w:rFonts w:ascii="Arial" w:hAnsi="Arial" w:cs="Arial"/>
        </w:rPr>
        <w:t xml:space="preserve"> L</w:t>
      </w:r>
      <w:r w:rsidR="00621E7F" w:rsidRPr="00543541">
        <w:rPr>
          <w:rFonts w:ascii="Arial" w:hAnsi="Arial" w:cs="Arial"/>
        </w:rPr>
        <w:t>eiter</w:t>
      </w:r>
      <w:r w:rsidR="007311E0" w:rsidRPr="00543541">
        <w:rPr>
          <w:rFonts w:ascii="Arial" w:hAnsi="Arial" w:cs="Arial"/>
        </w:rPr>
        <w:t xml:space="preserve">, P. </w:t>
      </w:r>
      <w:r w:rsidR="007311E0" w:rsidRPr="00543541">
        <w:rPr>
          <w:rFonts w:ascii="Arial" w:hAnsi="Arial" w:cs="Arial"/>
        </w:rPr>
        <w:t xml:space="preserve">Michael. </w:t>
      </w:r>
      <w:r w:rsidRPr="00543541">
        <w:rPr>
          <w:rFonts w:ascii="Arial" w:hAnsi="Arial" w:cs="Arial"/>
        </w:rPr>
        <w:t xml:space="preserve"> (2010). </w:t>
      </w:r>
      <w:r w:rsidR="007311E0" w:rsidRPr="00543541">
        <w:rPr>
          <w:rFonts w:ascii="Arial" w:hAnsi="Arial" w:cs="Arial"/>
        </w:rPr>
        <w:t>‘</w:t>
      </w:r>
      <w:r w:rsidRPr="00543541">
        <w:rPr>
          <w:rFonts w:ascii="Arial" w:hAnsi="Arial" w:cs="Arial"/>
        </w:rPr>
        <w:t>Work Engagement</w:t>
      </w:r>
      <w:r w:rsidR="007311E0" w:rsidRPr="00543541">
        <w:rPr>
          <w:rFonts w:ascii="Arial" w:hAnsi="Arial" w:cs="Arial"/>
        </w:rPr>
        <w:t>’</w:t>
      </w:r>
      <w:r w:rsidRPr="00543541">
        <w:rPr>
          <w:rFonts w:ascii="Arial" w:hAnsi="Arial" w:cs="Arial"/>
        </w:rPr>
        <w:t> </w:t>
      </w:r>
      <w:r w:rsidR="007311E0" w:rsidRPr="00543541">
        <w:rPr>
          <w:rFonts w:ascii="Arial" w:hAnsi="Arial" w:cs="Arial"/>
        </w:rPr>
        <w:t>,</w:t>
      </w:r>
      <w:r w:rsidRPr="00543541">
        <w:rPr>
          <w:rFonts w:ascii="Arial" w:hAnsi="Arial" w:cs="Arial"/>
        </w:rPr>
        <w:t xml:space="preserve"> </w:t>
      </w:r>
      <w:r w:rsidRPr="00543541">
        <w:rPr>
          <w:rFonts w:ascii="Arial" w:hAnsi="Arial" w:cs="Arial"/>
          <w:i/>
          <w:iCs/>
        </w:rPr>
        <w:t>A Handbook of Essential Theory and Research</w:t>
      </w:r>
      <w:r w:rsidRPr="00543541">
        <w:rPr>
          <w:rFonts w:ascii="Arial" w:hAnsi="Arial" w:cs="Arial"/>
        </w:rPr>
        <w:t>. Hove</w:t>
      </w:r>
      <w:r w:rsidR="00B4647D" w:rsidRPr="00543541">
        <w:rPr>
          <w:rFonts w:ascii="Arial" w:hAnsi="Arial" w:cs="Arial"/>
        </w:rPr>
        <w:t xml:space="preserve">, </w:t>
      </w:r>
      <w:r w:rsidRPr="00543541">
        <w:rPr>
          <w:rFonts w:ascii="Arial" w:hAnsi="Arial" w:cs="Arial"/>
        </w:rPr>
        <w:t xml:space="preserve">England: Psychology Press. </w:t>
      </w:r>
      <w:r w:rsidR="00B4647D" w:rsidRPr="00543541">
        <w:rPr>
          <w:rFonts w:ascii="Arial" w:hAnsi="Arial" w:cs="Arial"/>
        </w:rPr>
        <w:t>p</w:t>
      </w:r>
      <w:r w:rsidR="009F2B5D" w:rsidRPr="00543541">
        <w:rPr>
          <w:rFonts w:ascii="Arial" w:hAnsi="Arial" w:cs="Arial"/>
        </w:rPr>
        <w:t>.</w:t>
      </w:r>
      <w:r w:rsidRPr="00543541">
        <w:rPr>
          <w:rFonts w:ascii="Arial" w:hAnsi="Arial" w:cs="Arial"/>
        </w:rPr>
        <w:t xml:space="preserve"> 98</w:t>
      </w:r>
      <w:r w:rsidR="009F2B5D" w:rsidRPr="00543541">
        <w:rPr>
          <w:rFonts w:ascii="Arial" w:hAnsi="Arial" w:cs="Arial"/>
        </w:rPr>
        <w:t>.</w:t>
      </w:r>
    </w:p>
    <w:p w14:paraId="02FB7C04" w14:textId="6B3687E3" w:rsidR="00256072" w:rsidRPr="00543541" w:rsidRDefault="00256072" w:rsidP="00256072">
      <w:pPr>
        <w:pStyle w:val="NormalWeb"/>
        <w:spacing w:after="0" w:line="360" w:lineRule="auto"/>
        <w:jc w:val="both"/>
        <w:rPr>
          <w:rFonts w:ascii="Arial" w:hAnsi="Arial" w:cs="Arial"/>
        </w:rPr>
      </w:pPr>
      <w:r w:rsidRPr="00543541">
        <w:rPr>
          <w:rFonts w:ascii="Arial" w:hAnsi="Arial" w:cs="Arial"/>
        </w:rPr>
        <w:t xml:space="preserve">Baumann, M.A. </w:t>
      </w:r>
      <w:r w:rsidR="009F2B5D" w:rsidRPr="00543541">
        <w:rPr>
          <w:rFonts w:ascii="Arial" w:hAnsi="Arial" w:cs="Arial"/>
        </w:rPr>
        <w:t>(</w:t>
      </w:r>
      <w:r w:rsidRPr="00543541">
        <w:rPr>
          <w:rFonts w:ascii="Arial" w:hAnsi="Arial" w:cs="Arial"/>
        </w:rPr>
        <w:t>2003</w:t>
      </w:r>
      <w:r w:rsidR="009F2B5D" w:rsidRPr="00543541">
        <w:rPr>
          <w:rFonts w:ascii="Arial" w:hAnsi="Arial" w:cs="Arial"/>
        </w:rPr>
        <w:t>),</w:t>
      </w:r>
      <w:r w:rsidRPr="00543541">
        <w:rPr>
          <w:rFonts w:ascii="Arial" w:hAnsi="Arial" w:cs="Arial"/>
        </w:rPr>
        <w:t xml:space="preserve"> </w:t>
      </w:r>
      <w:r w:rsidR="009F2B5D" w:rsidRPr="00543541">
        <w:rPr>
          <w:rFonts w:ascii="Arial" w:hAnsi="Arial" w:cs="Arial"/>
        </w:rPr>
        <w:t>‘</w:t>
      </w:r>
      <w:r w:rsidRPr="00543541">
        <w:rPr>
          <w:rFonts w:ascii="Arial" w:hAnsi="Arial" w:cs="Arial"/>
        </w:rPr>
        <w:t>Training, rewards help convince workers to stay</w:t>
      </w:r>
      <w:r w:rsidR="009F2B5D" w:rsidRPr="00543541">
        <w:rPr>
          <w:rFonts w:ascii="Arial" w:hAnsi="Arial" w:cs="Arial"/>
        </w:rPr>
        <w:t>’</w:t>
      </w:r>
      <w:r w:rsidR="009F2B5D" w:rsidRPr="00543541">
        <w:rPr>
          <w:rFonts w:ascii="Arial" w:hAnsi="Arial" w:cs="Arial"/>
          <w:i/>
          <w:iCs/>
        </w:rPr>
        <w:t>,</w:t>
      </w:r>
      <w:r w:rsidRPr="00543541">
        <w:rPr>
          <w:rFonts w:ascii="Arial" w:hAnsi="Arial" w:cs="Arial"/>
          <w:i/>
          <w:iCs/>
        </w:rPr>
        <w:t xml:space="preserve"> Hotel and Motel Management</w:t>
      </w:r>
      <w:r w:rsidRPr="00543541">
        <w:rPr>
          <w:rFonts w:ascii="Arial" w:hAnsi="Arial" w:cs="Arial"/>
        </w:rPr>
        <w:t>, 218(21), pp.20-21.</w:t>
      </w:r>
    </w:p>
    <w:p w14:paraId="6F1C6AD2" w14:textId="52EF1246" w:rsidR="00256072" w:rsidRPr="00543541" w:rsidRDefault="00256072" w:rsidP="00256072">
      <w:pPr>
        <w:pStyle w:val="NormalWeb"/>
        <w:spacing w:after="0" w:line="360" w:lineRule="auto"/>
        <w:jc w:val="both"/>
        <w:rPr>
          <w:rFonts w:ascii="Arial" w:hAnsi="Arial" w:cs="Arial"/>
        </w:rPr>
      </w:pPr>
      <w:r w:rsidRPr="00543541">
        <w:rPr>
          <w:rFonts w:ascii="Arial" w:hAnsi="Arial" w:cs="Arial"/>
        </w:rPr>
        <w:t>Beardwell, J</w:t>
      </w:r>
      <w:r w:rsidR="009F2B5D" w:rsidRPr="00543541">
        <w:rPr>
          <w:rFonts w:ascii="Arial" w:hAnsi="Arial" w:cs="Arial"/>
        </w:rPr>
        <w:t xml:space="preserve"> and</w:t>
      </w:r>
      <w:r w:rsidRPr="00543541">
        <w:rPr>
          <w:rFonts w:ascii="Arial" w:hAnsi="Arial" w:cs="Arial"/>
        </w:rPr>
        <w:t xml:space="preserve"> Thompson, A</w:t>
      </w:r>
      <w:r w:rsidR="009F2B5D" w:rsidRPr="00543541">
        <w:rPr>
          <w:rFonts w:ascii="Arial" w:hAnsi="Arial" w:cs="Arial"/>
        </w:rPr>
        <w:t>.</w:t>
      </w:r>
      <w:r w:rsidRPr="00543541">
        <w:rPr>
          <w:rFonts w:ascii="Arial" w:hAnsi="Arial" w:cs="Arial"/>
        </w:rPr>
        <w:t xml:space="preserve"> (2017), </w:t>
      </w:r>
      <w:r w:rsidRPr="00543541">
        <w:rPr>
          <w:rFonts w:ascii="Arial" w:hAnsi="Arial" w:cs="Arial"/>
          <w:i/>
          <w:iCs/>
        </w:rPr>
        <w:t>Human resource management: a contemporary approach</w:t>
      </w:r>
      <w:r w:rsidR="009F2B5D" w:rsidRPr="00543541">
        <w:rPr>
          <w:rFonts w:ascii="Arial" w:hAnsi="Arial" w:cs="Arial"/>
          <w:i/>
          <w:iCs/>
        </w:rPr>
        <w:t>,</w:t>
      </w:r>
      <w:r w:rsidRPr="00543541">
        <w:rPr>
          <w:rFonts w:ascii="Arial" w:hAnsi="Arial" w:cs="Arial"/>
        </w:rPr>
        <w:t xml:space="preserve"> </w:t>
      </w:r>
      <w:r w:rsidR="009F2B5D" w:rsidRPr="00543541">
        <w:rPr>
          <w:rFonts w:ascii="Arial" w:hAnsi="Arial" w:cs="Arial"/>
        </w:rPr>
        <w:t>8</w:t>
      </w:r>
      <w:r w:rsidR="009F2B5D" w:rsidRPr="00543541">
        <w:rPr>
          <w:rFonts w:ascii="Arial" w:hAnsi="Arial" w:cs="Arial"/>
          <w:vertAlign w:val="superscript"/>
        </w:rPr>
        <w:t>th</w:t>
      </w:r>
      <w:r w:rsidR="009F2B5D" w:rsidRPr="00543541">
        <w:rPr>
          <w:rFonts w:ascii="Arial" w:hAnsi="Arial" w:cs="Arial"/>
        </w:rPr>
        <w:t xml:space="preserve"> </w:t>
      </w:r>
      <w:r w:rsidRPr="00543541">
        <w:rPr>
          <w:rFonts w:ascii="Arial" w:hAnsi="Arial" w:cs="Arial"/>
        </w:rPr>
        <w:t>ed</w:t>
      </w:r>
      <w:r w:rsidR="009F2B5D" w:rsidRPr="00543541">
        <w:rPr>
          <w:rFonts w:ascii="Arial" w:hAnsi="Arial" w:cs="Arial"/>
        </w:rPr>
        <w:t>n.</w:t>
      </w:r>
      <w:r w:rsidRPr="00543541">
        <w:rPr>
          <w:rFonts w:ascii="Arial" w:hAnsi="Arial" w:cs="Arial"/>
        </w:rPr>
        <w:t xml:space="preserve"> Pearson Education, p491</w:t>
      </w:r>
    </w:p>
    <w:p w14:paraId="60D09348" w14:textId="62775557" w:rsidR="00256072" w:rsidRPr="00543541" w:rsidRDefault="00256072" w:rsidP="00621E7F">
      <w:pPr>
        <w:pStyle w:val="NormalWeb"/>
        <w:spacing w:after="0" w:line="360" w:lineRule="auto"/>
        <w:rPr>
          <w:rFonts w:ascii="Arial" w:hAnsi="Arial" w:cs="Arial"/>
        </w:rPr>
      </w:pPr>
      <w:r w:rsidRPr="00543541">
        <w:rPr>
          <w:rFonts w:ascii="Arial" w:hAnsi="Arial" w:cs="Arial"/>
        </w:rPr>
        <w:t xml:space="preserve">Braine, Roslyn De, </w:t>
      </w:r>
      <w:r w:rsidR="009F2B5D" w:rsidRPr="00543541">
        <w:rPr>
          <w:rFonts w:ascii="Arial" w:hAnsi="Arial" w:cs="Arial"/>
        </w:rPr>
        <w:t>and</w:t>
      </w:r>
      <w:r w:rsidRPr="00543541">
        <w:rPr>
          <w:rFonts w:ascii="Arial" w:hAnsi="Arial" w:cs="Arial"/>
        </w:rPr>
        <w:t xml:space="preserve"> Roodt, Gert. (2011). </w:t>
      </w:r>
      <w:r w:rsidR="009F2B5D" w:rsidRPr="00543541">
        <w:rPr>
          <w:rFonts w:ascii="Arial" w:hAnsi="Arial" w:cs="Arial"/>
        </w:rPr>
        <w:t>‘</w:t>
      </w:r>
      <w:r w:rsidRPr="00543541">
        <w:rPr>
          <w:rFonts w:ascii="Arial" w:hAnsi="Arial" w:cs="Arial"/>
        </w:rPr>
        <w:t>The Job Demands-Resources model as predictor of work identity and work engagement</w:t>
      </w:r>
      <w:r w:rsidR="009F2B5D" w:rsidRPr="00543541">
        <w:rPr>
          <w:rFonts w:ascii="Arial" w:hAnsi="Arial" w:cs="Arial"/>
        </w:rPr>
        <w:t>’,</w:t>
      </w:r>
      <w:r w:rsidRPr="00543541">
        <w:rPr>
          <w:rFonts w:ascii="Arial" w:hAnsi="Arial" w:cs="Arial"/>
        </w:rPr>
        <w:t xml:space="preserve"> </w:t>
      </w:r>
      <w:r w:rsidR="009F2B5D" w:rsidRPr="00543541">
        <w:rPr>
          <w:rFonts w:ascii="Arial" w:hAnsi="Arial" w:cs="Arial"/>
          <w:i/>
          <w:iCs/>
        </w:rPr>
        <w:t>A</w:t>
      </w:r>
      <w:r w:rsidRPr="00543541">
        <w:rPr>
          <w:rFonts w:ascii="Arial" w:hAnsi="Arial" w:cs="Arial"/>
          <w:i/>
          <w:iCs/>
        </w:rPr>
        <w:t xml:space="preserve"> comparative analysis. SA Journal of</w:t>
      </w:r>
      <w:r w:rsidR="00621E7F" w:rsidRPr="00543541">
        <w:rPr>
          <w:rFonts w:ascii="Arial" w:hAnsi="Arial" w:cs="Arial"/>
          <w:i/>
          <w:iCs/>
        </w:rPr>
        <w:t xml:space="preserve"> </w:t>
      </w:r>
      <w:r w:rsidRPr="00543541">
        <w:rPr>
          <w:rFonts w:ascii="Arial" w:hAnsi="Arial" w:cs="Arial"/>
          <w:i/>
          <w:iCs/>
        </w:rPr>
        <w:t>Industrial Psychology</w:t>
      </w:r>
      <w:r w:rsidR="009F2B5D" w:rsidRPr="00543541">
        <w:rPr>
          <w:rFonts w:ascii="Arial" w:hAnsi="Arial" w:cs="Arial"/>
        </w:rPr>
        <w:t>, 37(2).</w:t>
      </w:r>
    </w:p>
    <w:p w14:paraId="244DF2E7" w14:textId="004225FF" w:rsidR="00256072" w:rsidRPr="00543541" w:rsidRDefault="00256072" w:rsidP="00256072">
      <w:pPr>
        <w:pStyle w:val="NormalWeb"/>
        <w:spacing w:after="0" w:line="360" w:lineRule="auto"/>
        <w:jc w:val="both"/>
        <w:rPr>
          <w:rFonts w:ascii="Arial" w:hAnsi="Arial" w:cs="Arial"/>
        </w:rPr>
      </w:pPr>
      <w:r w:rsidRPr="00543541">
        <w:rPr>
          <w:rFonts w:ascii="Arial" w:hAnsi="Arial" w:cs="Arial"/>
        </w:rPr>
        <w:t>Chao-jun Li, Kuo-Kuang Chang &amp; Shih-Ming Ou | Juan Ignacio Pulido-Fernández (Reviewing editor) (2020)</w:t>
      </w:r>
      <w:r w:rsidR="009F2B5D" w:rsidRPr="00543541">
        <w:rPr>
          <w:rFonts w:ascii="Arial" w:hAnsi="Arial" w:cs="Arial"/>
        </w:rPr>
        <w:t>,</w:t>
      </w:r>
      <w:r w:rsidRPr="00543541">
        <w:rPr>
          <w:rFonts w:ascii="Arial" w:hAnsi="Arial" w:cs="Arial"/>
        </w:rPr>
        <w:t xml:space="preserve"> </w:t>
      </w:r>
      <w:r w:rsidR="009F2B5D" w:rsidRPr="00543541">
        <w:rPr>
          <w:rFonts w:ascii="Arial" w:hAnsi="Arial" w:cs="Arial"/>
        </w:rPr>
        <w:t>‘</w:t>
      </w:r>
      <w:r w:rsidRPr="00543541">
        <w:rPr>
          <w:rFonts w:ascii="Arial" w:hAnsi="Arial" w:cs="Arial"/>
        </w:rPr>
        <w:t>The relationship between hotel staff’s organizational justice perception</w:t>
      </w:r>
      <w:r w:rsidR="009F2B5D" w:rsidRPr="00543541">
        <w:rPr>
          <w:rFonts w:ascii="Arial" w:hAnsi="Arial" w:cs="Arial"/>
        </w:rPr>
        <w:t>’</w:t>
      </w:r>
      <w:r w:rsidRPr="00543541">
        <w:rPr>
          <w:rFonts w:ascii="Arial" w:hAnsi="Arial" w:cs="Arial"/>
        </w:rPr>
        <w:t xml:space="preserve">, </w:t>
      </w:r>
      <w:r w:rsidR="009F2B5D" w:rsidRPr="00543541">
        <w:rPr>
          <w:rFonts w:ascii="Arial" w:hAnsi="Arial" w:cs="Arial"/>
          <w:i/>
          <w:iCs/>
        </w:rPr>
        <w:t>R</w:t>
      </w:r>
      <w:r w:rsidRPr="00543541">
        <w:rPr>
          <w:rFonts w:ascii="Arial" w:hAnsi="Arial" w:cs="Arial"/>
          <w:i/>
          <w:iCs/>
        </w:rPr>
        <w:t>elationship quality and job performance, Cogent Social Sciences</w:t>
      </w:r>
      <w:r w:rsidRPr="00543541">
        <w:rPr>
          <w:rFonts w:ascii="Arial" w:hAnsi="Arial" w:cs="Arial"/>
        </w:rPr>
        <w:t>, 6</w:t>
      </w:r>
      <w:r w:rsidR="00B4647D" w:rsidRPr="00543541">
        <w:rPr>
          <w:rFonts w:ascii="Arial" w:hAnsi="Arial" w:cs="Arial"/>
        </w:rPr>
        <w:t>(1).</w:t>
      </w:r>
    </w:p>
    <w:p w14:paraId="1F515F49" w14:textId="42AE4540" w:rsidR="00256072" w:rsidRPr="00543541" w:rsidRDefault="00256072" w:rsidP="00621E7F">
      <w:pPr>
        <w:pStyle w:val="NormalWeb"/>
        <w:spacing w:after="0" w:line="360" w:lineRule="auto"/>
        <w:rPr>
          <w:rFonts w:ascii="Arial" w:hAnsi="Arial" w:cs="Arial"/>
        </w:rPr>
      </w:pPr>
      <w:r w:rsidRPr="00543541">
        <w:rPr>
          <w:rFonts w:ascii="Arial" w:hAnsi="Arial" w:cs="Arial"/>
        </w:rPr>
        <w:t>CIPD,</w:t>
      </w:r>
      <w:r w:rsidR="00621E7F" w:rsidRPr="00543541">
        <w:rPr>
          <w:rFonts w:ascii="Arial" w:hAnsi="Arial" w:cs="Arial"/>
        </w:rPr>
        <w:t xml:space="preserve"> </w:t>
      </w:r>
      <w:r w:rsidRPr="00543541">
        <w:rPr>
          <w:rFonts w:ascii="Arial" w:hAnsi="Arial" w:cs="Arial"/>
        </w:rPr>
        <w:t>(2021). Employee Engagement and Motivation [online]. Available at: https://www.cipd.co.uk/knowledge/fundamentals/relations/engagement/factsheet (Accessed: 17 October 2022).</w:t>
      </w:r>
    </w:p>
    <w:p w14:paraId="5AC9D66D" w14:textId="6123CF9F" w:rsidR="00256072" w:rsidRPr="00543541" w:rsidRDefault="00256072" w:rsidP="00256072">
      <w:pPr>
        <w:pStyle w:val="NormalWeb"/>
        <w:spacing w:after="0" w:line="360" w:lineRule="auto"/>
        <w:jc w:val="both"/>
        <w:rPr>
          <w:rFonts w:ascii="Arial" w:hAnsi="Arial" w:cs="Arial"/>
        </w:rPr>
      </w:pPr>
      <w:r w:rsidRPr="00543541">
        <w:rPr>
          <w:rFonts w:ascii="Arial" w:hAnsi="Arial" w:cs="Arial"/>
        </w:rPr>
        <w:t>Hastwell</w:t>
      </w:r>
      <w:r w:rsidR="00B4647D" w:rsidRPr="00543541">
        <w:rPr>
          <w:rFonts w:ascii="Arial" w:hAnsi="Arial" w:cs="Arial"/>
        </w:rPr>
        <w:t>, Calire</w:t>
      </w:r>
      <w:r w:rsidRPr="00543541">
        <w:rPr>
          <w:rFonts w:ascii="Arial" w:hAnsi="Arial" w:cs="Arial"/>
        </w:rPr>
        <w:t xml:space="preserve"> (2021), </w:t>
      </w:r>
      <w:r w:rsidRPr="00543541">
        <w:rPr>
          <w:rFonts w:ascii="Arial" w:hAnsi="Arial" w:cs="Arial"/>
          <w:i/>
          <w:iCs/>
        </w:rPr>
        <w:t>How Hilton Maintained Employee Trust After Major Layoffs</w:t>
      </w:r>
      <w:r w:rsidR="00B4647D" w:rsidRPr="00543541">
        <w:rPr>
          <w:rFonts w:ascii="Arial" w:hAnsi="Arial" w:cs="Arial"/>
          <w:i/>
          <w:iCs/>
        </w:rPr>
        <w:t xml:space="preserve">  </w:t>
      </w:r>
      <w:r w:rsidR="00B4647D" w:rsidRPr="00543541">
        <w:rPr>
          <w:rFonts w:ascii="Arial" w:hAnsi="Arial" w:cs="Arial"/>
        </w:rPr>
        <w:t>[online], avaliable at:</w:t>
      </w:r>
      <w:r w:rsidRPr="00543541">
        <w:rPr>
          <w:rFonts w:ascii="Arial" w:hAnsi="Arial" w:cs="Arial"/>
        </w:rPr>
        <w:t xml:space="preserve"> </w:t>
      </w:r>
      <w:hyperlink r:id="rId5" w:history="1">
        <w:r w:rsidR="00B4647D" w:rsidRPr="00543541">
          <w:rPr>
            <w:rStyle w:val="Hyperlink"/>
            <w:rFonts w:ascii="Arial" w:hAnsi="Arial" w:cs="Arial"/>
          </w:rPr>
          <w:t>https://www.greatplacetowork.com/</w:t>
        </w:r>
      </w:hyperlink>
      <w:r w:rsidR="00B4647D" w:rsidRPr="00543541">
        <w:rPr>
          <w:rFonts w:ascii="Arial" w:hAnsi="Arial" w:cs="Arial"/>
        </w:rPr>
        <w:t xml:space="preserve"> (</w:t>
      </w:r>
      <w:r w:rsidRPr="00543541">
        <w:rPr>
          <w:rFonts w:ascii="Arial" w:hAnsi="Arial" w:cs="Arial"/>
        </w:rPr>
        <w:t>Accessed</w:t>
      </w:r>
      <w:r w:rsidR="00543541">
        <w:rPr>
          <w:rFonts w:ascii="Arial" w:hAnsi="Arial" w:cs="Arial"/>
        </w:rPr>
        <w:t>:</w:t>
      </w:r>
      <w:r w:rsidRPr="00543541">
        <w:rPr>
          <w:rFonts w:ascii="Arial" w:hAnsi="Arial" w:cs="Arial"/>
        </w:rPr>
        <w:t xml:space="preserve"> 18</w:t>
      </w:r>
      <w:r w:rsidR="00543541">
        <w:rPr>
          <w:rFonts w:ascii="Arial" w:hAnsi="Arial" w:cs="Arial"/>
        </w:rPr>
        <w:t xml:space="preserve"> October </w:t>
      </w:r>
      <w:r w:rsidRPr="00543541">
        <w:rPr>
          <w:rFonts w:ascii="Arial" w:hAnsi="Arial" w:cs="Arial"/>
        </w:rPr>
        <w:t>2022</w:t>
      </w:r>
      <w:r w:rsidR="00B4647D" w:rsidRPr="00543541">
        <w:rPr>
          <w:rFonts w:ascii="Arial" w:hAnsi="Arial" w:cs="Arial"/>
        </w:rPr>
        <w:t>)</w:t>
      </w:r>
    </w:p>
    <w:p w14:paraId="41460868" w14:textId="5893003C" w:rsidR="00256072" w:rsidRPr="00543541" w:rsidRDefault="00256072" w:rsidP="00256072">
      <w:pPr>
        <w:pStyle w:val="NormalWeb"/>
        <w:spacing w:after="0" w:line="360" w:lineRule="auto"/>
        <w:jc w:val="both"/>
        <w:rPr>
          <w:rFonts w:ascii="Arial" w:hAnsi="Arial" w:cs="Arial"/>
        </w:rPr>
      </w:pPr>
      <w:r w:rsidRPr="00543541">
        <w:rPr>
          <w:rFonts w:ascii="Arial" w:hAnsi="Arial" w:cs="Arial"/>
        </w:rPr>
        <w:lastRenderedPageBreak/>
        <w:t>Torrington,</w:t>
      </w:r>
      <w:r w:rsidR="00B4647D" w:rsidRPr="00543541">
        <w:rPr>
          <w:rFonts w:ascii="Arial" w:hAnsi="Arial" w:cs="Arial"/>
        </w:rPr>
        <w:t xml:space="preserve"> Derek,</w:t>
      </w:r>
      <w:r w:rsidRPr="00543541">
        <w:rPr>
          <w:rFonts w:ascii="Arial" w:hAnsi="Arial" w:cs="Arial"/>
        </w:rPr>
        <w:t xml:space="preserve"> Hall,</w:t>
      </w:r>
      <w:r w:rsidR="00B4647D" w:rsidRPr="00543541">
        <w:rPr>
          <w:rFonts w:ascii="Arial" w:hAnsi="Arial" w:cs="Arial"/>
        </w:rPr>
        <w:t xml:space="preserve"> Laura,</w:t>
      </w:r>
      <w:r w:rsidRPr="00543541">
        <w:rPr>
          <w:rFonts w:ascii="Arial" w:hAnsi="Arial" w:cs="Arial"/>
        </w:rPr>
        <w:t xml:space="preserve"> Taylor</w:t>
      </w:r>
      <w:r w:rsidR="00B4647D" w:rsidRPr="00543541">
        <w:rPr>
          <w:rFonts w:ascii="Arial" w:hAnsi="Arial" w:cs="Arial"/>
        </w:rPr>
        <w:t>, Stephen</w:t>
      </w:r>
      <w:r w:rsidRPr="00543541">
        <w:rPr>
          <w:rFonts w:ascii="Arial" w:hAnsi="Arial" w:cs="Arial"/>
        </w:rPr>
        <w:t xml:space="preserve"> and Atkinson</w:t>
      </w:r>
      <w:r w:rsidR="00B4647D" w:rsidRPr="00543541">
        <w:rPr>
          <w:rFonts w:ascii="Arial" w:hAnsi="Arial" w:cs="Arial"/>
        </w:rPr>
        <w:t>, Carol.</w:t>
      </w:r>
      <w:r w:rsidRPr="00543541">
        <w:rPr>
          <w:rFonts w:ascii="Arial" w:hAnsi="Arial" w:cs="Arial"/>
        </w:rPr>
        <w:t xml:space="preserve"> (2020), </w:t>
      </w:r>
      <w:r w:rsidRPr="00543541">
        <w:rPr>
          <w:rFonts w:ascii="Arial" w:hAnsi="Arial" w:cs="Arial"/>
          <w:i/>
          <w:iCs/>
        </w:rPr>
        <w:t>Human Resourse Management</w:t>
      </w:r>
      <w:r w:rsidRPr="00543541">
        <w:rPr>
          <w:rFonts w:ascii="Arial" w:hAnsi="Arial" w:cs="Arial"/>
        </w:rPr>
        <w:t>, 11</w:t>
      </w:r>
      <w:r w:rsidR="00B4647D" w:rsidRPr="00543541">
        <w:rPr>
          <w:rFonts w:ascii="Arial" w:hAnsi="Arial" w:cs="Arial"/>
          <w:vertAlign w:val="superscript"/>
        </w:rPr>
        <w:t>th</w:t>
      </w:r>
      <w:r w:rsidR="00B4647D" w:rsidRPr="00543541">
        <w:rPr>
          <w:rFonts w:ascii="Arial" w:hAnsi="Arial" w:cs="Arial"/>
        </w:rPr>
        <w:t xml:space="preserve"> edn.</w:t>
      </w:r>
      <w:r w:rsidRPr="00543541">
        <w:rPr>
          <w:rFonts w:ascii="Arial" w:hAnsi="Arial" w:cs="Arial"/>
        </w:rPr>
        <w:t xml:space="preserve"> Harwlow, England</w:t>
      </w:r>
      <w:r w:rsidR="00B4647D" w:rsidRPr="00543541">
        <w:rPr>
          <w:rFonts w:ascii="Arial" w:hAnsi="Arial" w:cs="Arial"/>
        </w:rPr>
        <w:t xml:space="preserve">, </w:t>
      </w:r>
      <w:r w:rsidR="00B4647D" w:rsidRPr="00543541">
        <w:rPr>
          <w:rFonts w:ascii="Arial" w:hAnsi="Arial" w:cs="Arial"/>
        </w:rPr>
        <w:t>Pearson Education</w:t>
      </w:r>
      <w:r w:rsidR="00B4647D" w:rsidRPr="00543541">
        <w:rPr>
          <w:rFonts w:ascii="Arial" w:hAnsi="Arial" w:cs="Arial"/>
        </w:rPr>
        <w:t>.</w:t>
      </w:r>
    </w:p>
    <w:p w14:paraId="1A7CEA4C" w14:textId="3125B69D" w:rsidR="004743E7" w:rsidRPr="00543541" w:rsidRDefault="004743E7" w:rsidP="00256072">
      <w:pPr>
        <w:pStyle w:val="NormalWeb"/>
        <w:spacing w:after="0" w:line="360" w:lineRule="auto"/>
        <w:jc w:val="both"/>
        <w:rPr>
          <w:rFonts w:ascii="Arial" w:hAnsi="Arial" w:cs="Arial"/>
        </w:rPr>
      </w:pPr>
      <w:r w:rsidRPr="00543541">
        <w:rPr>
          <w:rFonts w:ascii="Arial" w:hAnsi="Arial" w:cs="Arial"/>
        </w:rPr>
        <w:t>Factorial HR</w:t>
      </w:r>
      <w:r w:rsidRPr="00543541">
        <w:rPr>
          <w:rFonts w:ascii="Arial" w:hAnsi="Arial" w:cs="Arial"/>
        </w:rPr>
        <w:t>.</w:t>
      </w:r>
      <w:r w:rsidRPr="00543541">
        <w:rPr>
          <w:rFonts w:ascii="Arial" w:hAnsi="Arial" w:cs="Arial"/>
        </w:rPr>
        <w:t xml:space="preserve"> (2022)  </w:t>
      </w:r>
      <w:r w:rsidRPr="00543541">
        <w:rPr>
          <w:rFonts w:ascii="Arial" w:hAnsi="Arial" w:cs="Arial"/>
          <w:i/>
          <w:iCs/>
        </w:rPr>
        <w:t>What is the Employee Life Cycle and Why Does it Matter?</w:t>
      </w:r>
      <w:r w:rsidRPr="00543541">
        <w:rPr>
          <w:rFonts w:ascii="Arial" w:hAnsi="Arial" w:cs="Arial"/>
        </w:rPr>
        <w:t xml:space="preserve"> [online], Factorialblog, avaliable at: https://factorialhr.co.uk/blog/employee-life-cycle/ (Accessed: 17</w:t>
      </w:r>
      <w:r w:rsidR="00543541">
        <w:rPr>
          <w:rFonts w:ascii="Arial" w:hAnsi="Arial" w:cs="Arial"/>
        </w:rPr>
        <w:t xml:space="preserve"> October </w:t>
      </w:r>
      <w:r w:rsidRPr="00543541">
        <w:rPr>
          <w:rFonts w:ascii="Arial" w:hAnsi="Arial" w:cs="Arial"/>
        </w:rPr>
        <w:t>2022)</w:t>
      </w:r>
    </w:p>
    <w:p w14:paraId="331A4C90" w14:textId="2A792CF8" w:rsidR="00256072" w:rsidRPr="00543541" w:rsidRDefault="00256072" w:rsidP="00256072">
      <w:pPr>
        <w:pStyle w:val="NormalWeb"/>
        <w:spacing w:after="0" w:line="360" w:lineRule="auto"/>
        <w:jc w:val="both"/>
        <w:rPr>
          <w:rFonts w:ascii="Arial" w:hAnsi="Arial" w:cs="Arial"/>
        </w:rPr>
      </w:pPr>
      <w:r w:rsidRPr="00543541">
        <w:rPr>
          <w:rFonts w:ascii="Arial" w:hAnsi="Arial" w:cs="Arial"/>
        </w:rPr>
        <w:t>Hrmagazine</w:t>
      </w:r>
      <w:r w:rsidR="004743E7" w:rsidRPr="00543541">
        <w:rPr>
          <w:rFonts w:ascii="Arial" w:hAnsi="Arial" w:cs="Arial"/>
        </w:rPr>
        <w:t>.</w:t>
      </w:r>
      <w:r w:rsidRPr="00543541">
        <w:rPr>
          <w:rFonts w:ascii="Arial" w:hAnsi="Arial" w:cs="Arial"/>
        </w:rPr>
        <w:t xml:space="preserve"> (2016) </w:t>
      </w:r>
      <w:r w:rsidRPr="00543541">
        <w:rPr>
          <w:rFonts w:ascii="Arial" w:hAnsi="Arial" w:cs="Arial"/>
          <w:i/>
          <w:iCs/>
        </w:rPr>
        <w:t>Engagement needs a simple definition</w:t>
      </w:r>
      <w:r w:rsidRPr="00543541">
        <w:rPr>
          <w:rFonts w:ascii="Arial" w:hAnsi="Arial" w:cs="Arial"/>
        </w:rPr>
        <w:t xml:space="preserve"> [online]. Available at: https://www.hrmagazine.co.uk/content/news/engagement-needs-a-simple-definition (Accessed: 17 October 2022)</w:t>
      </w:r>
    </w:p>
    <w:p w14:paraId="51372581" w14:textId="62CEDF9C" w:rsidR="00256072" w:rsidRPr="00543541" w:rsidRDefault="00256072" w:rsidP="00256072">
      <w:pPr>
        <w:pStyle w:val="NormalWeb"/>
        <w:spacing w:after="0" w:line="360" w:lineRule="auto"/>
        <w:jc w:val="both"/>
        <w:rPr>
          <w:rFonts w:ascii="Arial" w:hAnsi="Arial" w:cs="Arial"/>
        </w:rPr>
      </w:pPr>
      <w:r w:rsidRPr="00543541">
        <w:rPr>
          <w:rFonts w:ascii="Arial" w:hAnsi="Arial" w:cs="Arial"/>
        </w:rPr>
        <w:t>Corgel</w:t>
      </w:r>
      <w:r w:rsidR="004743E7" w:rsidRPr="00543541">
        <w:rPr>
          <w:rFonts w:ascii="Arial" w:hAnsi="Arial" w:cs="Arial"/>
        </w:rPr>
        <w:t>, B. Jack</w:t>
      </w:r>
      <w:r w:rsidRPr="00543541">
        <w:rPr>
          <w:rFonts w:ascii="Arial" w:hAnsi="Arial" w:cs="Arial"/>
        </w:rPr>
        <w:t>, , Sturman,</w:t>
      </w:r>
      <w:r w:rsidR="004743E7" w:rsidRPr="00543541">
        <w:rPr>
          <w:rFonts w:ascii="Arial" w:hAnsi="Arial" w:cs="Arial"/>
        </w:rPr>
        <w:t xml:space="preserve"> C. Michael</w:t>
      </w:r>
      <w:r w:rsidRPr="00543541">
        <w:rPr>
          <w:rFonts w:ascii="Arial" w:hAnsi="Arial" w:cs="Arial"/>
        </w:rPr>
        <w:t xml:space="preserve"> and Verma</w:t>
      </w:r>
      <w:r w:rsidR="004743E7" w:rsidRPr="00543541">
        <w:rPr>
          <w:rFonts w:ascii="Arial" w:hAnsi="Arial" w:cs="Arial"/>
        </w:rPr>
        <w:t>, Rohit.</w:t>
      </w:r>
      <w:r w:rsidRPr="00543541">
        <w:rPr>
          <w:rFonts w:ascii="Arial" w:hAnsi="Arial" w:cs="Arial"/>
        </w:rPr>
        <w:t xml:space="preserve"> (2011) </w:t>
      </w:r>
      <w:r w:rsidRPr="00543541">
        <w:rPr>
          <w:rFonts w:ascii="Arial" w:hAnsi="Arial" w:cs="Arial"/>
          <w:i/>
          <w:iCs/>
        </w:rPr>
        <w:t>The Cornell School of Hotel Administration on Hospitality : Cutting Edge Thinking and Practice</w:t>
      </w:r>
      <w:r w:rsidRPr="00543541">
        <w:rPr>
          <w:rFonts w:ascii="Arial" w:hAnsi="Arial" w:cs="Arial"/>
        </w:rPr>
        <w:t>, John Wiley &amp; Sons, Incorporated</w:t>
      </w:r>
      <w:r w:rsidR="00543541">
        <w:rPr>
          <w:rFonts w:ascii="Arial" w:hAnsi="Arial" w:cs="Arial"/>
        </w:rPr>
        <w:t>.</w:t>
      </w:r>
    </w:p>
    <w:p w14:paraId="50B4404C" w14:textId="36185FCF" w:rsidR="00256072" w:rsidRPr="00543541" w:rsidRDefault="00256072" w:rsidP="00256072">
      <w:pPr>
        <w:pStyle w:val="NormalWeb"/>
        <w:spacing w:after="0" w:line="360" w:lineRule="auto"/>
        <w:jc w:val="both"/>
        <w:rPr>
          <w:rFonts w:ascii="Arial" w:hAnsi="Arial" w:cs="Arial"/>
        </w:rPr>
      </w:pPr>
      <w:r w:rsidRPr="00543541">
        <w:rPr>
          <w:rFonts w:ascii="Arial" w:hAnsi="Arial" w:cs="Arial"/>
        </w:rPr>
        <w:t xml:space="preserve">Johnson M (2004), </w:t>
      </w:r>
      <w:r w:rsidRPr="00543541">
        <w:rPr>
          <w:rFonts w:ascii="Arial" w:hAnsi="Arial" w:cs="Arial"/>
          <w:i/>
          <w:iCs/>
        </w:rPr>
        <w:t>The new rules of engagement: life</w:t>
      </w:r>
      <w:r w:rsidRPr="00543541">
        <w:rPr>
          <w:rFonts w:ascii="Cambria Math" w:hAnsi="Cambria Math" w:cs="Cambria Math"/>
          <w:i/>
          <w:iCs/>
        </w:rPr>
        <w:t>‐</w:t>
      </w:r>
      <w:r w:rsidRPr="00543541">
        <w:rPr>
          <w:rFonts w:ascii="Arial" w:hAnsi="Arial" w:cs="Arial"/>
          <w:i/>
          <w:iCs/>
        </w:rPr>
        <w:t>work balance and employee commitment, The Chartered Institute of Personnel and Development</w:t>
      </w:r>
      <w:r w:rsidR="004743E7" w:rsidRPr="00543541">
        <w:rPr>
          <w:rFonts w:ascii="Arial" w:hAnsi="Arial" w:cs="Arial"/>
        </w:rPr>
        <w:t>.</w:t>
      </w:r>
      <w:r w:rsidRPr="00543541">
        <w:rPr>
          <w:rFonts w:ascii="Arial" w:hAnsi="Arial" w:cs="Arial"/>
        </w:rPr>
        <w:t xml:space="preserve"> Europe, Middle east and Africa</w:t>
      </w:r>
      <w:r w:rsidR="004743E7" w:rsidRPr="00543541">
        <w:rPr>
          <w:rFonts w:ascii="Arial" w:hAnsi="Arial" w:cs="Arial"/>
        </w:rPr>
        <w:t xml:space="preserve">: </w:t>
      </w:r>
      <w:r w:rsidR="004743E7" w:rsidRPr="00543541">
        <w:rPr>
          <w:rFonts w:ascii="Arial" w:hAnsi="Arial" w:cs="Arial"/>
        </w:rPr>
        <w:t>McGraw-Hill Education</w:t>
      </w:r>
      <w:r w:rsidR="004743E7" w:rsidRPr="00543541">
        <w:rPr>
          <w:rFonts w:ascii="Arial" w:hAnsi="Arial" w:cs="Arial"/>
        </w:rPr>
        <w:t>.</w:t>
      </w:r>
    </w:p>
    <w:p w14:paraId="23EB24D7" w14:textId="79605C5D" w:rsidR="00256072" w:rsidRPr="00543541" w:rsidRDefault="00256072" w:rsidP="00621E7F">
      <w:pPr>
        <w:pStyle w:val="NormalWeb"/>
        <w:spacing w:after="0" w:line="360" w:lineRule="auto"/>
        <w:rPr>
          <w:rFonts w:ascii="Arial" w:hAnsi="Arial" w:cs="Arial"/>
        </w:rPr>
      </w:pPr>
      <w:r w:rsidRPr="00543541">
        <w:rPr>
          <w:rFonts w:ascii="Arial" w:hAnsi="Arial" w:cs="Arial"/>
        </w:rPr>
        <w:t>Kahn</w:t>
      </w:r>
      <w:r w:rsidR="004743E7" w:rsidRPr="00543541">
        <w:rPr>
          <w:rFonts w:ascii="Arial" w:hAnsi="Arial" w:cs="Arial"/>
        </w:rPr>
        <w:t>,</w:t>
      </w:r>
      <w:r w:rsidRPr="00543541">
        <w:rPr>
          <w:rFonts w:ascii="Arial" w:hAnsi="Arial" w:cs="Arial"/>
        </w:rPr>
        <w:t xml:space="preserve"> W</w:t>
      </w:r>
      <w:r w:rsidR="004743E7" w:rsidRPr="00543541">
        <w:rPr>
          <w:rFonts w:ascii="Arial" w:hAnsi="Arial" w:cs="Arial"/>
        </w:rPr>
        <w:t xml:space="preserve">. </w:t>
      </w:r>
      <w:r w:rsidRPr="00543541">
        <w:rPr>
          <w:rFonts w:ascii="Arial" w:hAnsi="Arial" w:cs="Arial"/>
        </w:rPr>
        <w:t>A</w:t>
      </w:r>
      <w:r w:rsidR="004743E7" w:rsidRPr="00543541">
        <w:rPr>
          <w:rFonts w:ascii="Arial" w:hAnsi="Arial" w:cs="Arial"/>
        </w:rPr>
        <w:t>.</w:t>
      </w:r>
      <w:r w:rsidRPr="00543541">
        <w:rPr>
          <w:rFonts w:ascii="Arial" w:hAnsi="Arial" w:cs="Arial"/>
        </w:rPr>
        <w:t xml:space="preserve"> (1990), ʹPsychological conditions of personal engagement and disengagement at workʹ, </w:t>
      </w:r>
      <w:r w:rsidRPr="00543541">
        <w:rPr>
          <w:rFonts w:ascii="Arial" w:hAnsi="Arial" w:cs="Arial"/>
          <w:i/>
          <w:iCs/>
        </w:rPr>
        <w:t>Academy of Management Journal</w:t>
      </w:r>
      <w:r w:rsidRPr="00543541">
        <w:rPr>
          <w:rFonts w:ascii="Arial" w:hAnsi="Arial" w:cs="Arial"/>
        </w:rPr>
        <w:t>, 33(4),</w:t>
      </w:r>
      <w:r w:rsidR="004743E7" w:rsidRPr="00543541">
        <w:rPr>
          <w:rFonts w:ascii="Arial" w:hAnsi="Arial" w:cs="Arial"/>
        </w:rPr>
        <w:t xml:space="preserve"> pp.</w:t>
      </w:r>
      <w:r w:rsidRPr="00543541">
        <w:rPr>
          <w:rFonts w:ascii="Arial" w:hAnsi="Arial" w:cs="Arial"/>
        </w:rPr>
        <w:t xml:space="preserve"> 692–724</w:t>
      </w:r>
    </w:p>
    <w:p w14:paraId="00C45194" w14:textId="6743FD39" w:rsidR="00860A8A" w:rsidRPr="00543541" w:rsidRDefault="00860A8A" w:rsidP="00621E7F">
      <w:pPr>
        <w:pStyle w:val="NormalWeb"/>
        <w:spacing w:after="0" w:line="360" w:lineRule="auto"/>
        <w:rPr>
          <w:rFonts w:ascii="Arial" w:hAnsi="Arial" w:cs="Arial"/>
        </w:rPr>
      </w:pPr>
      <w:r w:rsidRPr="00543541">
        <w:rPr>
          <w:rFonts w:ascii="Arial" w:hAnsi="Arial" w:cs="Arial"/>
        </w:rPr>
        <w:t>Kurter, L. H. (2020) How Hilton Reduced Their Time To Hire From 43 Days Down To 5 [online], Forbes, avaliable at: https://www.forbes.com/sites/heidilynnekurter/2019/09/19/how-hilton-reduced-their-time-to-hire-from-43-days-down-to-5/?sh=362d02ef6759 (Accessed: 18 October 2022</w:t>
      </w:r>
      <w:r w:rsidRPr="00543541">
        <w:rPr>
          <w:rFonts w:ascii="Arial" w:hAnsi="Arial" w:cs="Arial"/>
        </w:rPr>
        <w:t>)</w:t>
      </w:r>
    </w:p>
    <w:p w14:paraId="6D44ED06" w14:textId="3B506784" w:rsidR="00256072" w:rsidRPr="00543541" w:rsidRDefault="00256072" w:rsidP="00256072">
      <w:pPr>
        <w:pStyle w:val="NormalWeb"/>
        <w:spacing w:after="0" w:line="360" w:lineRule="auto"/>
        <w:jc w:val="both"/>
        <w:rPr>
          <w:rFonts w:ascii="Arial" w:hAnsi="Arial" w:cs="Arial"/>
        </w:rPr>
      </w:pPr>
      <w:r w:rsidRPr="00543541">
        <w:rPr>
          <w:rFonts w:ascii="Arial" w:hAnsi="Arial" w:cs="Arial"/>
        </w:rPr>
        <w:t xml:space="preserve">Marriott </w:t>
      </w:r>
      <w:r w:rsidR="00860A8A" w:rsidRPr="00543541">
        <w:rPr>
          <w:rFonts w:ascii="Arial" w:hAnsi="Arial" w:cs="Arial"/>
        </w:rPr>
        <w:t>J</w:t>
      </w:r>
      <w:r w:rsidRPr="00543541">
        <w:rPr>
          <w:rFonts w:ascii="Arial" w:hAnsi="Arial" w:cs="Arial"/>
        </w:rPr>
        <w:t>obs</w:t>
      </w:r>
      <w:r w:rsidR="00860A8A" w:rsidRPr="00543541">
        <w:rPr>
          <w:rFonts w:ascii="Arial" w:hAnsi="Arial" w:cs="Arial"/>
        </w:rPr>
        <w:t>. (2022), Marriot, avaliable at</w:t>
      </w:r>
      <w:r w:rsidRPr="00543541">
        <w:rPr>
          <w:rFonts w:ascii="Arial" w:hAnsi="Arial" w:cs="Arial"/>
        </w:rPr>
        <w:t xml:space="preserve">: </w:t>
      </w:r>
      <w:hyperlink r:id="rId6" w:history="1">
        <w:r w:rsidR="00860A8A" w:rsidRPr="00543541">
          <w:rPr>
            <w:rStyle w:val="Hyperlink"/>
            <w:rFonts w:ascii="Arial" w:hAnsi="Arial" w:cs="Arial"/>
          </w:rPr>
          <w:t>https://jobs.marriott.com/marriott/jobs</w:t>
        </w:r>
      </w:hyperlink>
      <w:r w:rsidR="00860A8A" w:rsidRPr="00543541">
        <w:rPr>
          <w:rFonts w:ascii="Arial" w:hAnsi="Arial" w:cs="Arial"/>
        </w:rPr>
        <w:t xml:space="preserve"> (Accessed: 17 October 2022)</w:t>
      </w:r>
    </w:p>
    <w:p w14:paraId="7BCB7950" w14:textId="3E988873" w:rsidR="00256072" w:rsidRPr="00543541" w:rsidRDefault="00256072" w:rsidP="00621E7F">
      <w:pPr>
        <w:pStyle w:val="NormalWeb"/>
        <w:spacing w:after="0" w:line="360" w:lineRule="auto"/>
        <w:jc w:val="both"/>
        <w:rPr>
          <w:rFonts w:ascii="Arial" w:hAnsi="Arial" w:cs="Arial"/>
        </w:rPr>
      </w:pPr>
      <w:r w:rsidRPr="00543541">
        <w:rPr>
          <w:rFonts w:ascii="Arial" w:hAnsi="Arial" w:cs="Arial"/>
        </w:rPr>
        <w:t xml:space="preserve">Maslow, A.H. (1943). “A Theory of Human Motivation”. In Psychological Review, </w:t>
      </w:r>
      <w:r w:rsidR="00860A8A" w:rsidRPr="00543541">
        <w:rPr>
          <w:rFonts w:ascii="Arial" w:hAnsi="Arial" w:cs="Arial"/>
          <w:i/>
          <w:iCs/>
        </w:rPr>
        <w:t>Washington, DC: American Psychological Association</w:t>
      </w:r>
      <w:r w:rsidR="00860A8A" w:rsidRPr="00543541">
        <w:rPr>
          <w:rFonts w:ascii="Arial" w:hAnsi="Arial" w:cs="Arial"/>
          <w:i/>
          <w:iCs/>
        </w:rPr>
        <w:t>,</w:t>
      </w:r>
      <w:r w:rsidR="00860A8A" w:rsidRPr="00543541">
        <w:rPr>
          <w:rFonts w:ascii="Arial" w:hAnsi="Arial" w:cs="Arial"/>
        </w:rPr>
        <w:t xml:space="preserve"> </w:t>
      </w:r>
      <w:r w:rsidRPr="00543541">
        <w:rPr>
          <w:rFonts w:ascii="Arial" w:hAnsi="Arial" w:cs="Arial"/>
        </w:rPr>
        <w:t xml:space="preserve">50(4), </w:t>
      </w:r>
      <w:r w:rsidR="00860A8A" w:rsidRPr="00543541">
        <w:rPr>
          <w:rFonts w:ascii="Arial" w:hAnsi="Arial" w:cs="Arial"/>
        </w:rPr>
        <w:t xml:space="preserve">pp. </w:t>
      </w:r>
      <w:r w:rsidRPr="00543541">
        <w:rPr>
          <w:rFonts w:ascii="Arial" w:hAnsi="Arial" w:cs="Arial"/>
        </w:rPr>
        <w:t>430-437.</w:t>
      </w:r>
    </w:p>
    <w:p w14:paraId="5C767983" w14:textId="3B36C23F" w:rsidR="00256072" w:rsidRPr="00543541" w:rsidRDefault="00256072" w:rsidP="00621E7F">
      <w:pPr>
        <w:pStyle w:val="NormalWeb"/>
        <w:spacing w:after="0" w:line="360" w:lineRule="auto"/>
        <w:rPr>
          <w:rFonts w:ascii="Arial" w:hAnsi="Arial" w:cs="Arial"/>
        </w:rPr>
      </w:pPr>
      <w:r w:rsidRPr="00543541">
        <w:rPr>
          <w:rFonts w:ascii="Arial" w:hAnsi="Arial" w:cs="Arial"/>
        </w:rPr>
        <w:t>0’Reordan</w:t>
      </w:r>
      <w:r w:rsidR="00055D19" w:rsidRPr="00543541">
        <w:rPr>
          <w:rFonts w:ascii="Arial" w:hAnsi="Arial" w:cs="Arial"/>
        </w:rPr>
        <w:t xml:space="preserve"> </w:t>
      </w:r>
      <w:r w:rsidRPr="00543541">
        <w:rPr>
          <w:rFonts w:ascii="Arial" w:hAnsi="Arial" w:cs="Arial"/>
        </w:rPr>
        <w:t>(2017)</w:t>
      </w:r>
      <w:r w:rsidR="00621E7F" w:rsidRPr="00543541">
        <w:rPr>
          <w:rFonts w:ascii="Arial" w:hAnsi="Arial" w:cs="Arial"/>
        </w:rPr>
        <w:t xml:space="preserve">  </w:t>
      </w:r>
      <w:r w:rsidR="00621E7F" w:rsidRPr="00543541">
        <w:rPr>
          <w:rFonts w:ascii="Arial" w:hAnsi="Arial" w:cs="Arial"/>
          <w:i/>
          <w:iCs/>
        </w:rPr>
        <w:t>The Practise of human resource mangament</w:t>
      </w:r>
      <w:r w:rsidR="00055D19" w:rsidRPr="00543541">
        <w:rPr>
          <w:rFonts w:ascii="Arial" w:hAnsi="Arial" w:cs="Arial"/>
          <w:i/>
          <w:iCs/>
        </w:rPr>
        <w:t>:</w:t>
      </w:r>
      <w:r w:rsidRPr="00543541">
        <w:rPr>
          <w:rFonts w:ascii="Arial" w:hAnsi="Arial" w:cs="Arial"/>
        </w:rPr>
        <w:t xml:space="preserve"> </w:t>
      </w:r>
      <w:r w:rsidR="00055D19" w:rsidRPr="00543541">
        <w:rPr>
          <w:rFonts w:ascii="Arial" w:hAnsi="Arial" w:cs="Arial"/>
        </w:rPr>
        <w:t xml:space="preserve">IPA [online], avaliable at: </w:t>
      </w:r>
      <w:r w:rsidRPr="00543541">
        <w:rPr>
          <w:rFonts w:ascii="Arial" w:hAnsi="Arial" w:cs="Arial"/>
        </w:rPr>
        <w:lastRenderedPageBreak/>
        <w:t>https://www.ipa.ie/_fileUpload/Documents/THE_PRACTICE_OF_HRM.pdf (Accessed: 17 October 2022)</w:t>
      </w:r>
    </w:p>
    <w:p w14:paraId="3C3CF00A" w14:textId="0A47BC5C" w:rsidR="00256072" w:rsidRDefault="00256072" w:rsidP="00621E7F">
      <w:pPr>
        <w:pStyle w:val="NormalWeb"/>
        <w:spacing w:after="0" w:line="360" w:lineRule="auto"/>
        <w:jc w:val="both"/>
        <w:rPr>
          <w:rFonts w:ascii="Arial" w:hAnsi="Arial" w:cs="Arial"/>
        </w:rPr>
      </w:pPr>
      <w:r w:rsidRPr="00256072">
        <w:rPr>
          <w:rFonts w:ascii="Arial" w:hAnsi="Arial" w:cs="Arial"/>
        </w:rPr>
        <w:t>Oxford</w:t>
      </w:r>
      <w:r w:rsidR="00055D19">
        <w:rPr>
          <w:rFonts w:ascii="Arial" w:hAnsi="Arial" w:cs="Arial"/>
        </w:rPr>
        <w:t xml:space="preserve"> University. </w:t>
      </w:r>
      <w:r w:rsidRPr="00256072">
        <w:rPr>
          <w:rFonts w:ascii="Arial" w:hAnsi="Arial" w:cs="Arial"/>
        </w:rPr>
        <w:t>(2019)</w:t>
      </w:r>
      <w:r w:rsidR="00055D19">
        <w:rPr>
          <w:rFonts w:ascii="Arial" w:hAnsi="Arial" w:cs="Arial"/>
        </w:rPr>
        <w:t xml:space="preserve">, </w:t>
      </w:r>
      <w:r w:rsidR="00055D19" w:rsidRPr="00055D19">
        <w:rPr>
          <w:rFonts w:ascii="Arial" w:hAnsi="Arial" w:cs="Arial"/>
          <w:i/>
          <w:iCs/>
        </w:rPr>
        <w:t>Happy workers are 13% more productive</w:t>
      </w:r>
      <w:r w:rsidRPr="00256072">
        <w:rPr>
          <w:rFonts w:ascii="Arial" w:hAnsi="Arial" w:cs="Arial"/>
        </w:rPr>
        <w:t xml:space="preserve"> </w:t>
      </w:r>
      <w:r w:rsidR="00055D19">
        <w:rPr>
          <w:rFonts w:ascii="Arial" w:hAnsi="Arial" w:cs="Arial"/>
        </w:rPr>
        <w:t xml:space="preserve">[online], Oxford University, avaliable at:  </w:t>
      </w:r>
      <w:r w:rsidRPr="00256072">
        <w:rPr>
          <w:rFonts w:ascii="Arial" w:hAnsi="Arial" w:cs="Arial"/>
        </w:rPr>
        <w:t xml:space="preserve">https://www.ox.ac.uk/news/2019-10-24-happy-workers-are-13-more-productive </w:t>
      </w:r>
      <w:r w:rsidR="00055D19">
        <w:rPr>
          <w:rFonts w:ascii="Arial" w:hAnsi="Arial" w:cs="Arial"/>
        </w:rPr>
        <w:t>(</w:t>
      </w:r>
      <w:r w:rsidRPr="00256072">
        <w:rPr>
          <w:rFonts w:ascii="Arial" w:hAnsi="Arial" w:cs="Arial"/>
        </w:rPr>
        <w:t>Accessed</w:t>
      </w:r>
      <w:r w:rsidR="00055D19">
        <w:rPr>
          <w:rFonts w:ascii="Arial" w:hAnsi="Arial" w:cs="Arial"/>
        </w:rPr>
        <w:t>:</w:t>
      </w:r>
      <w:r w:rsidRPr="00256072">
        <w:rPr>
          <w:rFonts w:ascii="Arial" w:hAnsi="Arial" w:cs="Arial"/>
        </w:rPr>
        <w:t xml:space="preserve"> 20</w:t>
      </w:r>
      <w:r w:rsidR="00055D19">
        <w:rPr>
          <w:rFonts w:ascii="Arial" w:hAnsi="Arial" w:cs="Arial"/>
        </w:rPr>
        <w:t xml:space="preserve"> October </w:t>
      </w:r>
      <w:r w:rsidRPr="00256072">
        <w:rPr>
          <w:rFonts w:ascii="Arial" w:hAnsi="Arial" w:cs="Arial"/>
        </w:rPr>
        <w:t>2022</w:t>
      </w:r>
      <w:r w:rsidR="00055D19">
        <w:rPr>
          <w:rFonts w:ascii="Arial" w:hAnsi="Arial" w:cs="Arial"/>
        </w:rPr>
        <w:t>)</w:t>
      </w:r>
    </w:p>
    <w:p w14:paraId="1BDD47F2" w14:textId="36A5BBE5" w:rsidR="00256072" w:rsidRPr="00256072" w:rsidRDefault="00256072" w:rsidP="00256072">
      <w:pPr>
        <w:pStyle w:val="NormalWeb"/>
        <w:spacing w:after="0" w:line="360" w:lineRule="auto"/>
        <w:jc w:val="both"/>
        <w:rPr>
          <w:rFonts w:ascii="Arial" w:hAnsi="Arial" w:cs="Arial"/>
        </w:rPr>
      </w:pPr>
      <w:r w:rsidRPr="00256072">
        <w:rPr>
          <w:rFonts w:ascii="Arial" w:hAnsi="Arial" w:cs="Arial"/>
        </w:rPr>
        <w:t xml:space="preserve">Salanova, M, Agut, S, </w:t>
      </w:r>
      <w:r w:rsidR="00055D19">
        <w:rPr>
          <w:rFonts w:ascii="Arial" w:hAnsi="Arial" w:cs="Arial"/>
        </w:rPr>
        <w:t>and</w:t>
      </w:r>
      <w:r w:rsidRPr="00256072">
        <w:rPr>
          <w:rFonts w:ascii="Arial" w:hAnsi="Arial" w:cs="Arial"/>
        </w:rPr>
        <w:t xml:space="preserve"> Peiró, J. M. (2005), </w:t>
      </w:r>
      <w:r w:rsidR="00055D19">
        <w:rPr>
          <w:rFonts w:ascii="Arial" w:hAnsi="Arial" w:cs="Arial"/>
        </w:rPr>
        <w:t>‘</w:t>
      </w:r>
      <w:r w:rsidRPr="00256072">
        <w:rPr>
          <w:rFonts w:ascii="Arial" w:hAnsi="Arial" w:cs="Arial"/>
        </w:rPr>
        <w:t>Linking organizational resources and work engagement to employee performance and customer loyalty</w:t>
      </w:r>
      <w:r w:rsidR="00055D19">
        <w:rPr>
          <w:rFonts w:ascii="Arial" w:hAnsi="Arial" w:cs="Arial"/>
        </w:rPr>
        <w:t>’,</w:t>
      </w:r>
      <w:r w:rsidRPr="00256072">
        <w:rPr>
          <w:rFonts w:ascii="Arial" w:hAnsi="Arial" w:cs="Arial"/>
        </w:rPr>
        <w:t xml:space="preserve"> </w:t>
      </w:r>
      <w:r w:rsidR="00055D19" w:rsidRPr="00055D19">
        <w:rPr>
          <w:rFonts w:ascii="Arial" w:hAnsi="Arial" w:cs="Arial"/>
          <w:i/>
          <w:iCs/>
        </w:rPr>
        <w:t>T</w:t>
      </w:r>
      <w:r w:rsidRPr="00055D19">
        <w:rPr>
          <w:rFonts w:ascii="Arial" w:hAnsi="Arial" w:cs="Arial"/>
          <w:i/>
          <w:iCs/>
        </w:rPr>
        <w:t>he mediation of service climate, Journal of Applied Psychology</w:t>
      </w:r>
      <w:r w:rsidRPr="00256072">
        <w:rPr>
          <w:rFonts w:ascii="Arial" w:hAnsi="Arial" w:cs="Arial"/>
        </w:rPr>
        <w:t xml:space="preserve">, </w:t>
      </w:r>
      <w:r w:rsidR="00055D19">
        <w:rPr>
          <w:rFonts w:ascii="Arial" w:hAnsi="Arial" w:cs="Arial"/>
        </w:rPr>
        <w:t>(</w:t>
      </w:r>
      <w:r w:rsidRPr="00256072">
        <w:rPr>
          <w:rFonts w:ascii="Arial" w:hAnsi="Arial" w:cs="Arial"/>
        </w:rPr>
        <w:t>90</w:t>
      </w:r>
      <w:r w:rsidR="00055D19">
        <w:rPr>
          <w:rFonts w:ascii="Arial" w:hAnsi="Arial" w:cs="Arial"/>
        </w:rPr>
        <w:t>)</w:t>
      </w:r>
      <w:r w:rsidRPr="00256072">
        <w:rPr>
          <w:rFonts w:ascii="Arial" w:hAnsi="Arial" w:cs="Arial"/>
        </w:rPr>
        <w:t>,</w:t>
      </w:r>
      <w:r w:rsidR="00055D19">
        <w:rPr>
          <w:rFonts w:ascii="Arial" w:hAnsi="Arial" w:cs="Arial"/>
        </w:rPr>
        <w:t xml:space="preserve"> pp.</w:t>
      </w:r>
      <w:r w:rsidRPr="00256072">
        <w:rPr>
          <w:rFonts w:ascii="Arial" w:hAnsi="Arial" w:cs="Arial"/>
        </w:rPr>
        <w:t xml:space="preserve"> 1217—1227</w:t>
      </w:r>
      <w:r w:rsidR="00055D19">
        <w:rPr>
          <w:rFonts w:ascii="Arial" w:hAnsi="Arial" w:cs="Arial"/>
        </w:rPr>
        <w:t>.</w:t>
      </w:r>
    </w:p>
    <w:p w14:paraId="1FC0CF52" w14:textId="23746C37" w:rsidR="00256072" w:rsidRPr="00256072" w:rsidRDefault="00256072" w:rsidP="00256072">
      <w:pPr>
        <w:pStyle w:val="NormalWeb"/>
        <w:spacing w:after="0" w:line="360" w:lineRule="auto"/>
        <w:jc w:val="both"/>
        <w:rPr>
          <w:rFonts w:ascii="Arial" w:hAnsi="Arial" w:cs="Arial"/>
        </w:rPr>
      </w:pPr>
      <w:r w:rsidRPr="00256072">
        <w:rPr>
          <w:rFonts w:ascii="Arial" w:hAnsi="Arial" w:cs="Arial"/>
        </w:rPr>
        <w:t xml:space="preserve">Wilmar B. Schaufeli (2017), </w:t>
      </w:r>
      <w:r w:rsidR="0071098C">
        <w:rPr>
          <w:rFonts w:ascii="Arial" w:hAnsi="Arial" w:cs="Arial"/>
        </w:rPr>
        <w:t>‘</w:t>
      </w:r>
      <w:r w:rsidRPr="00256072">
        <w:rPr>
          <w:rFonts w:ascii="Arial" w:hAnsi="Arial" w:cs="Arial"/>
        </w:rPr>
        <w:t>Applying the Job Demands-Resources model</w:t>
      </w:r>
      <w:r w:rsidR="0071098C">
        <w:rPr>
          <w:rFonts w:ascii="Arial" w:hAnsi="Arial" w:cs="Arial"/>
        </w:rPr>
        <w:t>’,</w:t>
      </w:r>
      <w:r>
        <w:rPr>
          <w:rFonts w:ascii="Arial" w:hAnsi="Arial" w:cs="Arial"/>
        </w:rPr>
        <w:t xml:space="preserve"> </w:t>
      </w:r>
      <w:r w:rsidRPr="0071098C">
        <w:rPr>
          <w:rFonts w:ascii="Arial" w:hAnsi="Arial" w:cs="Arial"/>
          <w:i/>
          <w:iCs/>
        </w:rPr>
        <w:t>A ‘how to’ guide to measuring and tackling work engagement and burnout</w:t>
      </w:r>
      <w:r w:rsidRPr="00256072">
        <w:rPr>
          <w:rFonts w:ascii="Arial" w:hAnsi="Arial" w:cs="Arial"/>
        </w:rPr>
        <w:t>, p128</w:t>
      </w:r>
      <w:r w:rsidR="0071098C">
        <w:rPr>
          <w:rFonts w:ascii="Arial" w:hAnsi="Arial" w:cs="Arial"/>
        </w:rPr>
        <w:t>.</w:t>
      </w:r>
    </w:p>
    <w:p w14:paraId="63EC1327" w14:textId="3D454D67" w:rsidR="007D34D5" w:rsidRPr="00256072" w:rsidRDefault="007D34D5" w:rsidP="00256072">
      <w:pPr>
        <w:jc w:val="both"/>
        <w:rPr>
          <w:rFonts w:ascii="Arial" w:hAnsi="Arial" w:cs="Arial"/>
          <w:sz w:val="24"/>
          <w:szCs w:val="24"/>
        </w:rPr>
      </w:pPr>
    </w:p>
    <w:sectPr w:rsidR="007D34D5" w:rsidRPr="00256072">
      <w:pgSz w:w="11906" w:h="16838"/>
      <w:pgMar w:top="1440" w:right="1440" w:bottom="1440" w:left="1440" w:header="0" w:footer="0" w:gutter="0"/>
      <w:cols w:space="720"/>
      <w:formProt w:val="0"/>
      <w:docGrid w:linePitch="360" w:charSpace="81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A74AC2"/>
    <w:multiLevelType w:val="hybridMultilevel"/>
    <w:tmpl w:val="5E80DE7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4D5"/>
    <w:rsid w:val="00055D19"/>
    <w:rsid w:val="00256072"/>
    <w:rsid w:val="004743E7"/>
    <w:rsid w:val="00543541"/>
    <w:rsid w:val="00621E7F"/>
    <w:rsid w:val="0071098C"/>
    <w:rsid w:val="007311E0"/>
    <w:rsid w:val="007D34D5"/>
    <w:rsid w:val="00860A8A"/>
    <w:rsid w:val="00917644"/>
    <w:rsid w:val="009F2B5D"/>
    <w:rsid w:val="00B4647D"/>
    <w:rsid w:val="00BE164B"/>
    <w:rsid w:val="00C5208F"/>
    <w:rsid w:val="00C823E1"/>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8C308"/>
  <w15:docId w15:val="{F0E4BE64-C032-444E-A833-14B755320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D51"/>
    <w:pPr>
      <w:spacing w:after="200" w:line="276" w:lineRule="auto"/>
    </w:pPr>
    <w:rPr>
      <w:rFonts w:cs="Calibri"/>
    </w:rPr>
  </w:style>
  <w:style w:type="paragraph" w:styleId="Heading1">
    <w:name w:val="heading 1"/>
    <w:basedOn w:val="Normal"/>
    <w:next w:val="Normal"/>
    <w:link w:val="Heading1Char"/>
    <w:uiPriority w:val="9"/>
    <w:qFormat/>
    <w:rsid w:val="00DE6A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1AF8"/>
    <w:rPr>
      <w:color w:val="0000FF"/>
      <w:u w:val="single"/>
    </w:rPr>
  </w:style>
  <w:style w:type="character" w:customStyle="1" w:styleId="Heading1Char">
    <w:name w:val="Heading 1 Char"/>
    <w:basedOn w:val="DefaultParagraphFont"/>
    <w:link w:val="Heading1"/>
    <w:uiPriority w:val="9"/>
    <w:qFormat/>
    <w:rsid w:val="00DE6A3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qFormat/>
    <w:rsid w:val="00DE6A39"/>
    <w:rPr>
      <w:color w:val="605E5C"/>
      <w:shd w:val="clear" w:color="auto" w:fill="E1DFDD"/>
    </w:rPr>
  </w:style>
  <w:style w:type="character" w:customStyle="1" w:styleId="markedcontent">
    <w:name w:val="markedcontent"/>
    <w:basedOn w:val="DefaultParagraphFont"/>
    <w:qFormat/>
    <w:rsid w:val="00930C06"/>
  </w:style>
  <w:style w:type="paragraph" w:customStyle="1" w:styleId="Heading">
    <w:name w:val="Heading"/>
    <w:basedOn w:val="Normal"/>
    <w:next w:val="BodyText"/>
    <w:qFormat/>
    <w:pPr>
      <w:keepNext/>
      <w:spacing w:before="240" w:after="120"/>
    </w:pPr>
    <w:rPr>
      <w:rFonts w:ascii="Liberation Sans" w:eastAsia="Microsoft YaHei" w:hAnsi="Liberation Sans" w:cs="Mangal"/>
      <w:sz w:val="28"/>
      <w:szCs w:val="28"/>
    </w:rPr>
  </w:style>
  <w:style w:type="paragraph" w:styleId="BodyText">
    <w:name w:val="Body Text"/>
    <w:basedOn w:val="Normal"/>
    <w:pPr>
      <w:spacing w:after="140"/>
    </w:pPr>
  </w:style>
  <w:style w:type="paragraph" w:styleId="List">
    <w:name w:val="List"/>
    <w:basedOn w:val="BodyText"/>
    <w:rPr>
      <w:rFonts w:cs="Mangal"/>
    </w:rPr>
  </w:style>
  <w:style w:type="paragraph" w:styleId="Caption">
    <w:name w:val="caption"/>
    <w:basedOn w:val="Normal"/>
    <w:qFormat/>
    <w:pPr>
      <w:suppressLineNumbers/>
      <w:spacing w:before="120" w:after="120"/>
    </w:pPr>
    <w:rPr>
      <w:rFonts w:cs="Mangal"/>
      <w:i/>
      <w:iCs/>
      <w:sz w:val="24"/>
      <w:szCs w:val="24"/>
    </w:rPr>
  </w:style>
  <w:style w:type="paragraph" w:customStyle="1" w:styleId="Index">
    <w:name w:val="Index"/>
    <w:basedOn w:val="Normal"/>
    <w:qFormat/>
    <w:pPr>
      <w:suppressLineNumbers/>
    </w:pPr>
    <w:rPr>
      <w:rFonts w:cs="Mangal"/>
    </w:rPr>
  </w:style>
  <w:style w:type="paragraph" w:styleId="ListParagraph">
    <w:name w:val="List Paragraph"/>
    <w:basedOn w:val="Normal"/>
    <w:link w:val="ListParagraphChar"/>
    <w:uiPriority w:val="34"/>
    <w:qFormat/>
    <w:rsid w:val="005C1AF8"/>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56072"/>
    <w:pPr>
      <w:suppressAutoHyphens w:val="0"/>
      <w:spacing w:before="100" w:beforeAutospacing="1" w:after="142"/>
    </w:pPr>
    <w:rPr>
      <w:rFonts w:ascii="Times New Roman" w:eastAsia="Times New Roman" w:hAnsi="Times New Roman" w:cs="Times New Roman"/>
      <w:sz w:val="24"/>
      <w:szCs w:val="24"/>
      <w:lang w:eastAsia="en-GB"/>
    </w:rPr>
  </w:style>
  <w:style w:type="character" w:customStyle="1" w:styleId="ListParagraphChar">
    <w:name w:val="List Paragraph Char"/>
    <w:link w:val="ListParagraph"/>
    <w:uiPriority w:val="34"/>
    <w:locked/>
    <w:rsid w:val="00C823E1"/>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759587">
      <w:bodyDiv w:val="1"/>
      <w:marLeft w:val="0"/>
      <w:marRight w:val="0"/>
      <w:marTop w:val="0"/>
      <w:marBottom w:val="0"/>
      <w:divBdr>
        <w:top w:val="none" w:sz="0" w:space="0" w:color="auto"/>
        <w:left w:val="none" w:sz="0" w:space="0" w:color="auto"/>
        <w:bottom w:val="none" w:sz="0" w:space="0" w:color="auto"/>
        <w:right w:val="none" w:sz="0" w:space="0" w:color="auto"/>
      </w:divBdr>
    </w:div>
    <w:div w:id="709377537">
      <w:bodyDiv w:val="1"/>
      <w:marLeft w:val="0"/>
      <w:marRight w:val="0"/>
      <w:marTop w:val="0"/>
      <w:marBottom w:val="0"/>
      <w:divBdr>
        <w:top w:val="none" w:sz="0" w:space="0" w:color="auto"/>
        <w:left w:val="none" w:sz="0" w:space="0" w:color="auto"/>
        <w:bottom w:val="none" w:sz="0" w:space="0" w:color="auto"/>
        <w:right w:val="none" w:sz="0" w:space="0" w:color="auto"/>
      </w:divBdr>
    </w:div>
    <w:div w:id="1171483720">
      <w:bodyDiv w:val="1"/>
      <w:marLeft w:val="0"/>
      <w:marRight w:val="0"/>
      <w:marTop w:val="0"/>
      <w:marBottom w:val="0"/>
      <w:divBdr>
        <w:top w:val="none" w:sz="0" w:space="0" w:color="auto"/>
        <w:left w:val="none" w:sz="0" w:space="0" w:color="auto"/>
        <w:bottom w:val="none" w:sz="0" w:space="0" w:color="auto"/>
        <w:right w:val="none" w:sz="0" w:space="0" w:color="auto"/>
      </w:divBdr>
    </w:div>
    <w:div w:id="1687713674">
      <w:bodyDiv w:val="1"/>
      <w:marLeft w:val="0"/>
      <w:marRight w:val="0"/>
      <w:marTop w:val="0"/>
      <w:marBottom w:val="0"/>
      <w:divBdr>
        <w:top w:val="none" w:sz="0" w:space="0" w:color="auto"/>
        <w:left w:val="none" w:sz="0" w:space="0" w:color="auto"/>
        <w:bottom w:val="none" w:sz="0" w:space="0" w:color="auto"/>
        <w:right w:val="none" w:sz="0" w:space="0" w:color="auto"/>
      </w:divBdr>
    </w:div>
    <w:div w:id="20023446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bs.marriott.com/marriott/jobs" TargetMode="External"/><Relationship Id="rId5" Type="http://schemas.openxmlformats.org/officeDocument/2006/relationships/hyperlink" Target="https://www.greatplacetowork.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TotalTime>
  <Pages>10</Pages>
  <Words>2520</Words>
  <Characters>14365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Miah (2107169)</dc:creator>
  <dc:description/>
  <cp:lastModifiedBy>Malik Miah (2107169)</cp:lastModifiedBy>
  <cp:revision>9</cp:revision>
  <dcterms:created xsi:type="dcterms:W3CDTF">2022-10-26T13:46:00Z</dcterms:created>
  <dcterms:modified xsi:type="dcterms:W3CDTF">2022-10-26T15:25:00Z</dcterms:modified>
  <dc:language>en-GB</dc:language>
</cp:coreProperties>
</file>