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1906A" w14:textId="77777777" w:rsidR="00B433E9" w:rsidRPr="006207D6" w:rsidRDefault="00B433E9" w:rsidP="00B433E9">
      <w:pPr>
        <w:spacing w:before="760" w:after="200"/>
        <w:jc w:val="center"/>
        <w:rPr>
          <w:b/>
          <w:color w:val="auto"/>
          <w:sz w:val="32"/>
          <w:szCs w:val="32"/>
        </w:rPr>
      </w:pPr>
      <w:r w:rsidRPr="006207D6">
        <w:rPr>
          <w:b/>
          <w:color w:val="auto"/>
          <w:sz w:val="32"/>
          <w:szCs w:val="32"/>
        </w:rPr>
        <w:t>STRATEGIC MANAGEMENT AND SUSTAINABILITY</w:t>
      </w:r>
    </w:p>
    <w:p w14:paraId="411E24A0" w14:textId="77777777" w:rsidR="00B433E9" w:rsidRDefault="00B433E9" w:rsidP="00B433E9">
      <w:pPr>
        <w:spacing w:before="760" w:after="200"/>
        <w:jc w:val="center"/>
        <w:rPr>
          <w:b/>
          <w:color w:val="auto"/>
          <w:sz w:val="28"/>
          <w:szCs w:val="28"/>
        </w:rPr>
      </w:pPr>
    </w:p>
    <w:p w14:paraId="3C6FDA1A" w14:textId="77777777" w:rsidR="00B433E9" w:rsidRDefault="00B433E9" w:rsidP="006207D6">
      <w:pPr>
        <w:spacing w:before="760" w:after="200"/>
        <w:rPr>
          <w:b/>
          <w:color w:val="auto"/>
          <w:sz w:val="28"/>
          <w:szCs w:val="28"/>
        </w:rPr>
      </w:pPr>
    </w:p>
    <w:p w14:paraId="2A0EF854" w14:textId="77777777" w:rsidR="00B433E9" w:rsidRPr="00582514" w:rsidRDefault="00B433E9" w:rsidP="00B433E9">
      <w:pPr>
        <w:spacing w:after="60"/>
        <w:jc w:val="left"/>
        <w:rPr>
          <w:sz w:val="24"/>
          <w:szCs w:val="24"/>
        </w:rPr>
      </w:pPr>
      <w:r w:rsidRPr="00582514">
        <w:rPr>
          <w:b/>
          <w:color w:val="172B4D"/>
          <w:sz w:val="24"/>
          <w:szCs w:val="24"/>
        </w:rPr>
        <w:t xml:space="preserve">Module: </w:t>
      </w:r>
      <w:r w:rsidRPr="00582514">
        <w:rPr>
          <w:color w:val="202124"/>
          <w:sz w:val="24"/>
          <w:szCs w:val="24"/>
        </w:rPr>
        <w:t>LCBB6015</w:t>
      </w:r>
    </w:p>
    <w:p w14:paraId="1B59830A" w14:textId="77777777" w:rsidR="00B433E9" w:rsidRPr="00582514" w:rsidRDefault="00B433E9" w:rsidP="00B433E9">
      <w:pPr>
        <w:spacing w:after="60"/>
        <w:jc w:val="left"/>
        <w:rPr>
          <w:sz w:val="24"/>
          <w:szCs w:val="24"/>
        </w:rPr>
      </w:pPr>
      <w:r w:rsidRPr="00582514">
        <w:rPr>
          <w:b/>
          <w:color w:val="172B4D"/>
          <w:sz w:val="24"/>
          <w:szCs w:val="24"/>
        </w:rPr>
        <w:t xml:space="preserve">Student: </w:t>
      </w:r>
      <w:r w:rsidRPr="00582514">
        <w:rPr>
          <w:color w:val="202124"/>
          <w:sz w:val="24"/>
          <w:szCs w:val="24"/>
        </w:rPr>
        <w:t>Valentin Masala</w:t>
      </w:r>
    </w:p>
    <w:p w14:paraId="5404C5E9" w14:textId="77777777" w:rsidR="00B433E9" w:rsidRPr="00582514" w:rsidRDefault="00B433E9" w:rsidP="00B433E9">
      <w:pPr>
        <w:spacing w:after="60"/>
        <w:jc w:val="left"/>
        <w:rPr>
          <w:sz w:val="24"/>
          <w:szCs w:val="24"/>
        </w:rPr>
      </w:pPr>
      <w:r w:rsidRPr="00582514">
        <w:rPr>
          <w:b/>
          <w:color w:val="172B4D"/>
          <w:sz w:val="24"/>
          <w:szCs w:val="24"/>
        </w:rPr>
        <w:t xml:space="preserve">Student ID: </w:t>
      </w:r>
      <w:r w:rsidRPr="00582514">
        <w:rPr>
          <w:color w:val="202124"/>
          <w:sz w:val="24"/>
          <w:szCs w:val="24"/>
        </w:rPr>
        <w:t>2236548</w:t>
      </w:r>
    </w:p>
    <w:p w14:paraId="56296D16" w14:textId="77777777" w:rsidR="00B433E9" w:rsidRPr="00582514" w:rsidRDefault="00B433E9" w:rsidP="00B433E9">
      <w:pPr>
        <w:spacing w:after="60"/>
        <w:jc w:val="left"/>
        <w:rPr>
          <w:sz w:val="24"/>
          <w:szCs w:val="24"/>
        </w:rPr>
      </w:pPr>
      <w:r w:rsidRPr="00582514">
        <w:rPr>
          <w:b/>
          <w:color w:val="172B4D"/>
          <w:sz w:val="24"/>
          <w:szCs w:val="24"/>
        </w:rPr>
        <w:t xml:space="preserve">Lecturer: </w:t>
      </w:r>
      <w:r w:rsidRPr="00582514">
        <w:rPr>
          <w:color w:val="202124"/>
          <w:sz w:val="24"/>
          <w:szCs w:val="24"/>
        </w:rPr>
        <w:t>Nadeem Mirza</w:t>
      </w:r>
    </w:p>
    <w:p w14:paraId="0E4ABEFC" w14:textId="6B160205" w:rsidR="00B433E9" w:rsidRPr="00582514" w:rsidRDefault="00B433E9" w:rsidP="00B433E9">
      <w:pPr>
        <w:spacing w:after="60"/>
        <w:jc w:val="left"/>
        <w:rPr>
          <w:sz w:val="24"/>
          <w:szCs w:val="24"/>
        </w:rPr>
      </w:pPr>
      <w:r w:rsidRPr="00582514">
        <w:rPr>
          <w:b/>
          <w:color w:val="172B4D"/>
          <w:sz w:val="24"/>
          <w:szCs w:val="24"/>
        </w:rPr>
        <w:t xml:space="preserve">Date: </w:t>
      </w:r>
      <w:r w:rsidR="00CB124A">
        <w:rPr>
          <w:color w:val="202124"/>
          <w:sz w:val="24"/>
          <w:szCs w:val="24"/>
        </w:rPr>
        <w:t>17</w:t>
      </w:r>
      <w:r w:rsidRPr="00582514">
        <w:rPr>
          <w:color w:val="202124"/>
          <w:sz w:val="24"/>
          <w:szCs w:val="24"/>
        </w:rPr>
        <w:t xml:space="preserve"> </w:t>
      </w:r>
      <w:r w:rsidR="00CB124A">
        <w:rPr>
          <w:color w:val="202124"/>
          <w:sz w:val="24"/>
          <w:szCs w:val="24"/>
        </w:rPr>
        <w:t>/08/</w:t>
      </w:r>
      <w:r w:rsidRPr="00582514">
        <w:rPr>
          <w:color w:val="202124"/>
          <w:sz w:val="24"/>
          <w:szCs w:val="24"/>
        </w:rPr>
        <w:t xml:space="preserve"> 2026</w:t>
      </w:r>
    </w:p>
    <w:p w14:paraId="648D82CA" w14:textId="77777777" w:rsidR="00B433E9" w:rsidRDefault="00B433E9" w:rsidP="00B433E9">
      <w:pPr>
        <w:spacing w:before="760" w:after="200"/>
        <w:jc w:val="center"/>
        <w:rPr>
          <w:b/>
          <w:color w:val="auto"/>
          <w:sz w:val="28"/>
          <w:szCs w:val="28"/>
        </w:rPr>
      </w:pPr>
    </w:p>
    <w:p w14:paraId="23DF76E5" w14:textId="77777777" w:rsidR="00B433E9" w:rsidRPr="00582514" w:rsidRDefault="00B433E9" w:rsidP="00B433E9">
      <w:pPr>
        <w:spacing w:before="760" w:after="200"/>
        <w:jc w:val="center"/>
        <w:rPr>
          <w:color w:val="auto"/>
          <w:sz w:val="28"/>
          <w:szCs w:val="28"/>
        </w:rPr>
      </w:pPr>
    </w:p>
    <w:p w14:paraId="4EE0FE2A" w14:textId="77777777" w:rsidR="00B433E9" w:rsidRPr="00B433E9" w:rsidRDefault="00B433E9" w:rsidP="00B433E9">
      <w:pPr>
        <w:spacing w:before="360" w:after="200"/>
        <w:jc w:val="center"/>
        <w:rPr>
          <w:rFonts w:ascii="Times New Roman" w:hAnsi="Times New Roman" w:cs="Times New Roman"/>
          <w:sz w:val="32"/>
          <w:szCs w:val="32"/>
        </w:rPr>
      </w:pPr>
      <w:r w:rsidRPr="00B433E9">
        <w:rPr>
          <w:rFonts w:ascii="Times New Roman" w:hAnsi="Times New Roman" w:cs="Times New Roman"/>
          <w:b/>
          <w:color w:val="172B4D"/>
          <w:sz w:val="32"/>
          <w:szCs w:val="32"/>
        </w:rPr>
        <w:t>Strategic Analysis Report:</w:t>
      </w:r>
      <w:r w:rsidRPr="00B433E9">
        <w:rPr>
          <w:rFonts w:ascii="Times New Roman" w:hAnsi="Times New Roman" w:cs="Times New Roman"/>
          <w:b/>
          <w:color w:val="172B4D"/>
          <w:sz w:val="32"/>
          <w:szCs w:val="32"/>
        </w:rPr>
        <w:br/>
        <w:t>MG Motor UK</w:t>
      </w:r>
    </w:p>
    <w:p w14:paraId="33DD603C" w14:textId="77777777" w:rsidR="00B433E9" w:rsidRDefault="00B433E9"/>
    <w:p w14:paraId="57459202" w14:textId="77777777" w:rsidR="00B433E9" w:rsidRDefault="00B433E9"/>
    <w:p w14:paraId="3494E9BA" w14:textId="77777777" w:rsidR="00B433E9" w:rsidRDefault="00B433E9"/>
    <w:p w14:paraId="118A93A2" w14:textId="77777777" w:rsidR="00B433E9" w:rsidRDefault="00B433E9"/>
    <w:p w14:paraId="385A09C5" w14:textId="77777777" w:rsidR="00B433E9" w:rsidRDefault="00B433E9"/>
    <w:p w14:paraId="332D2D3A" w14:textId="77777777" w:rsidR="00B433E9" w:rsidRDefault="00B433E9"/>
    <w:p w14:paraId="412D27F0" w14:textId="77777777" w:rsidR="00B433E9" w:rsidRDefault="00B433E9"/>
    <w:p w14:paraId="536248FE" w14:textId="77777777" w:rsidR="00B433E9" w:rsidRDefault="00B433E9"/>
    <w:p w14:paraId="4DCF0F7A" w14:textId="77777777" w:rsidR="00B433E9" w:rsidRDefault="00B433E9"/>
    <w:p w14:paraId="3DDCF77E" w14:textId="77777777" w:rsidR="00B433E9" w:rsidRDefault="00B433E9"/>
    <w:p w14:paraId="2B45DFB0" w14:textId="77777777" w:rsidR="00B433E9" w:rsidRDefault="00B433E9"/>
    <w:p w14:paraId="68615732" w14:textId="77777777" w:rsidR="00B433E9" w:rsidRDefault="00B433E9">
      <w:r>
        <w:lastRenderedPageBreak/>
        <w:t xml:space="preserve">                 </w:t>
      </w:r>
    </w:p>
    <w:p w14:paraId="32FAEA16" w14:textId="77777777" w:rsidR="00B433E9" w:rsidRDefault="00B433E9"/>
    <w:p w14:paraId="2EEA8378" w14:textId="77777777" w:rsidR="00B433E9" w:rsidRDefault="00B433E9"/>
    <w:p w14:paraId="3D67FFC6" w14:textId="77777777" w:rsidR="00B433E9" w:rsidRPr="00B433E9" w:rsidRDefault="00B433E9">
      <w:pPr>
        <w:rPr>
          <w:rFonts w:ascii="Times New Roman" w:hAnsi="Times New Roman" w:cs="Times New Roman"/>
          <w:sz w:val="28"/>
          <w:szCs w:val="28"/>
        </w:rPr>
      </w:pPr>
    </w:p>
    <w:p w14:paraId="08CED909" w14:textId="77777777" w:rsidR="00B433E9" w:rsidRPr="00B433E9" w:rsidRDefault="00B433E9">
      <w:pPr>
        <w:rPr>
          <w:rFonts w:ascii="Times New Roman" w:hAnsi="Times New Roman" w:cs="Times New Roman"/>
          <w:sz w:val="28"/>
          <w:szCs w:val="28"/>
        </w:rPr>
      </w:pPr>
    </w:p>
    <w:p w14:paraId="3A359799" w14:textId="2E374FDC" w:rsidR="00B433E9" w:rsidRPr="00B433E9" w:rsidRDefault="00B433E9">
      <w:pPr>
        <w:rPr>
          <w:rFonts w:ascii="Times New Roman" w:hAnsi="Times New Roman" w:cs="Times New Roman"/>
          <w:b/>
          <w:bCs/>
          <w:sz w:val="28"/>
          <w:szCs w:val="28"/>
        </w:rPr>
      </w:pPr>
      <w:r w:rsidRPr="00B433E9">
        <w:rPr>
          <w:rFonts w:ascii="Times New Roman" w:hAnsi="Times New Roman" w:cs="Times New Roman"/>
          <w:sz w:val="28"/>
          <w:szCs w:val="28"/>
        </w:rPr>
        <w:t xml:space="preserve">                                              </w:t>
      </w:r>
      <w:r w:rsidRPr="00B433E9">
        <w:rPr>
          <w:rFonts w:ascii="Times New Roman" w:hAnsi="Times New Roman" w:cs="Times New Roman"/>
          <w:b/>
          <w:bCs/>
          <w:sz w:val="28"/>
          <w:szCs w:val="28"/>
        </w:rPr>
        <w:t>Table of Contents</w:t>
      </w:r>
    </w:p>
    <w:p w14:paraId="1C9065DA" w14:textId="77777777" w:rsidR="00B433E9" w:rsidRDefault="00B433E9">
      <w:pPr>
        <w:rPr>
          <w:rFonts w:ascii="Times New Roman" w:hAnsi="Times New Roman" w:cs="Times New Roman"/>
          <w:sz w:val="28"/>
          <w:szCs w:val="28"/>
        </w:rPr>
      </w:pPr>
    </w:p>
    <w:p w14:paraId="1E5FD34A" w14:textId="77777777" w:rsidR="00B433E9" w:rsidRPr="00B433E9" w:rsidRDefault="00B433E9">
      <w:pPr>
        <w:rPr>
          <w:rFonts w:ascii="Times New Roman" w:hAnsi="Times New Roman" w:cs="Times New Roman"/>
          <w:sz w:val="28"/>
          <w:szCs w:val="28"/>
        </w:rPr>
      </w:pPr>
    </w:p>
    <w:p w14:paraId="13D03F79" w14:textId="77777777" w:rsidR="00B433E9" w:rsidRPr="00B433E9" w:rsidRDefault="00B433E9">
      <w:pPr>
        <w:rPr>
          <w:rFonts w:ascii="Times New Roman" w:hAnsi="Times New Roman" w:cs="Times New Roman"/>
          <w:sz w:val="28"/>
          <w:szCs w:val="28"/>
        </w:rPr>
      </w:pPr>
    </w:p>
    <w:p w14:paraId="56B40ED7" w14:textId="77777777" w:rsidR="00B433E9" w:rsidRPr="00B433E9" w:rsidRDefault="00B433E9">
      <w:pPr>
        <w:rPr>
          <w:rFonts w:ascii="Times New Roman" w:hAnsi="Times New Roman" w:cs="Times New Roman"/>
          <w:sz w:val="28"/>
          <w:szCs w:val="28"/>
        </w:rPr>
      </w:pPr>
    </w:p>
    <w:p w14:paraId="7FFC0833" w14:textId="77777777"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Executive Summary</w:t>
      </w:r>
      <w:r w:rsidRPr="00B433E9">
        <w:rPr>
          <w:rFonts w:ascii="Times New Roman" w:hAnsi="Times New Roman" w:cs="Times New Roman"/>
          <w:color w:val="667085"/>
          <w:sz w:val="28"/>
          <w:szCs w:val="28"/>
        </w:rPr>
        <w:tab/>
        <w:t>3</w:t>
      </w:r>
    </w:p>
    <w:p w14:paraId="02D377D4" w14:textId="0151B14E"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1. Introduction</w:t>
      </w:r>
      <w:r w:rsidRPr="00B433E9">
        <w:rPr>
          <w:rFonts w:ascii="Times New Roman" w:hAnsi="Times New Roman" w:cs="Times New Roman"/>
          <w:color w:val="667085"/>
          <w:sz w:val="28"/>
          <w:szCs w:val="28"/>
        </w:rPr>
        <w:tab/>
      </w:r>
      <w:r w:rsidR="00F5742C">
        <w:rPr>
          <w:rFonts w:ascii="Times New Roman" w:hAnsi="Times New Roman" w:cs="Times New Roman"/>
          <w:color w:val="667085"/>
          <w:sz w:val="28"/>
          <w:szCs w:val="28"/>
        </w:rPr>
        <w:t>3</w:t>
      </w:r>
    </w:p>
    <w:p w14:paraId="05A8B7B1" w14:textId="792F085E"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2. Strategic Analysis</w:t>
      </w:r>
      <w:r w:rsidRPr="00B433E9">
        <w:rPr>
          <w:rFonts w:ascii="Times New Roman" w:hAnsi="Times New Roman" w:cs="Times New Roman"/>
          <w:color w:val="667085"/>
          <w:sz w:val="28"/>
          <w:szCs w:val="28"/>
        </w:rPr>
        <w:tab/>
      </w:r>
      <w:r w:rsidR="00F5742C">
        <w:rPr>
          <w:rFonts w:ascii="Times New Roman" w:hAnsi="Times New Roman" w:cs="Times New Roman"/>
          <w:color w:val="667085"/>
          <w:sz w:val="28"/>
          <w:szCs w:val="28"/>
        </w:rPr>
        <w:t>4</w:t>
      </w:r>
    </w:p>
    <w:p w14:paraId="349BB335" w14:textId="4E4468E0"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3. Strategy Formulation</w:t>
      </w:r>
      <w:r w:rsidRPr="00B433E9">
        <w:rPr>
          <w:rFonts w:ascii="Times New Roman" w:hAnsi="Times New Roman" w:cs="Times New Roman"/>
          <w:color w:val="667085"/>
          <w:sz w:val="28"/>
          <w:szCs w:val="28"/>
        </w:rPr>
        <w:tab/>
      </w:r>
      <w:r w:rsidR="00F5742C">
        <w:rPr>
          <w:rFonts w:ascii="Times New Roman" w:hAnsi="Times New Roman" w:cs="Times New Roman"/>
          <w:color w:val="667085"/>
          <w:sz w:val="28"/>
          <w:szCs w:val="28"/>
        </w:rPr>
        <w:t>6</w:t>
      </w:r>
    </w:p>
    <w:p w14:paraId="5436C1AC" w14:textId="12864CB1"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4. Strategy Implementation</w:t>
      </w:r>
      <w:r w:rsidRPr="00B433E9">
        <w:rPr>
          <w:rFonts w:ascii="Times New Roman" w:hAnsi="Times New Roman" w:cs="Times New Roman"/>
          <w:color w:val="667085"/>
          <w:sz w:val="28"/>
          <w:szCs w:val="28"/>
        </w:rPr>
        <w:tab/>
      </w:r>
      <w:r w:rsidR="009C7276">
        <w:rPr>
          <w:rFonts w:ascii="Times New Roman" w:hAnsi="Times New Roman" w:cs="Times New Roman"/>
          <w:color w:val="667085"/>
          <w:sz w:val="28"/>
          <w:szCs w:val="28"/>
        </w:rPr>
        <w:t>7</w:t>
      </w:r>
    </w:p>
    <w:p w14:paraId="53B0D4BD" w14:textId="3CAFD93C"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5. Conclusion and Recommendations</w:t>
      </w:r>
      <w:r w:rsidRPr="00B433E9">
        <w:rPr>
          <w:rFonts w:ascii="Times New Roman" w:hAnsi="Times New Roman" w:cs="Times New Roman"/>
          <w:color w:val="667085"/>
          <w:sz w:val="28"/>
          <w:szCs w:val="28"/>
        </w:rPr>
        <w:tab/>
      </w:r>
      <w:r w:rsidR="009C7276">
        <w:rPr>
          <w:rFonts w:ascii="Times New Roman" w:hAnsi="Times New Roman" w:cs="Times New Roman"/>
          <w:color w:val="667085"/>
          <w:sz w:val="28"/>
          <w:szCs w:val="28"/>
        </w:rPr>
        <w:t>10</w:t>
      </w:r>
    </w:p>
    <w:p w14:paraId="41DE325F" w14:textId="6EF5335A" w:rsidR="00B433E9" w:rsidRPr="00B433E9" w:rsidRDefault="00B433E9" w:rsidP="00B433E9">
      <w:pPr>
        <w:tabs>
          <w:tab w:val="right" w:leader="dot" w:pos="8755"/>
        </w:tabs>
        <w:spacing w:after="80" w:line="480" w:lineRule="auto"/>
        <w:rPr>
          <w:rFonts w:ascii="Times New Roman" w:hAnsi="Times New Roman" w:cs="Times New Roman"/>
          <w:sz w:val="28"/>
          <w:szCs w:val="28"/>
        </w:rPr>
      </w:pPr>
      <w:r w:rsidRPr="00B433E9">
        <w:rPr>
          <w:rFonts w:ascii="Times New Roman" w:hAnsi="Times New Roman" w:cs="Times New Roman"/>
          <w:color w:val="172B4D"/>
          <w:sz w:val="28"/>
          <w:szCs w:val="28"/>
        </w:rPr>
        <w:t>References</w:t>
      </w:r>
      <w:r w:rsidRPr="00B433E9">
        <w:rPr>
          <w:rFonts w:ascii="Times New Roman" w:hAnsi="Times New Roman" w:cs="Times New Roman"/>
          <w:color w:val="667085"/>
          <w:sz w:val="28"/>
          <w:szCs w:val="28"/>
        </w:rPr>
        <w:tab/>
      </w:r>
      <w:r w:rsidR="009C7276">
        <w:rPr>
          <w:rFonts w:ascii="Times New Roman" w:hAnsi="Times New Roman" w:cs="Times New Roman"/>
          <w:color w:val="667085"/>
          <w:sz w:val="28"/>
          <w:szCs w:val="28"/>
        </w:rPr>
        <w:t>11</w:t>
      </w:r>
    </w:p>
    <w:p w14:paraId="043F4CF1" w14:textId="77777777" w:rsidR="00B433E9" w:rsidRDefault="00B433E9" w:rsidP="00B433E9">
      <w:pPr>
        <w:spacing w:line="480" w:lineRule="auto"/>
      </w:pPr>
      <w:r>
        <w:br w:type="page"/>
      </w:r>
    </w:p>
    <w:p w14:paraId="2154FAC7" w14:textId="77777777" w:rsidR="00B433E9" w:rsidRPr="006207D6" w:rsidRDefault="00B433E9" w:rsidP="0077261B">
      <w:pPr>
        <w:spacing w:line="360" w:lineRule="auto"/>
        <w:rPr>
          <w:rFonts w:ascii="Times New Roman" w:hAnsi="Times New Roman" w:cs="Times New Roman"/>
          <w:b/>
          <w:bCs/>
          <w:sz w:val="28"/>
          <w:szCs w:val="28"/>
        </w:rPr>
      </w:pPr>
      <w:r w:rsidRPr="006207D6">
        <w:rPr>
          <w:rFonts w:ascii="Times New Roman" w:hAnsi="Times New Roman" w:cs="Times New Roman"/>
          <w:b/>
          <w:bCs/>
          <w:sz w:val="28"/>
          <w:szCs w:val="28"/>
        </w:rPr>
        <w:t>Executive Summary</w:t>
      </w:r>
    </w:p>
    <w:p w14:paraId="256BA396" w14:textId="77777777" w:rsidR="00B433E9" w:rsidRPr="00B433E9" w:rsidRDefault="00B433E9" w:rsidP="0077261B">
      <w:pPr>
        <w:spacing w:line="360" w:lineRule="auto"/>
        <w:rPr>
          <w:rFonts w:ascii="Times New Roman" w:hAnsi="Times New Roman" w:cs="Times New Roman"/>
          <w:b/>
          <w:bCs/>
          <w:sz w:val="24"/>
          <w:szCs w:val="24"/>
        </w:rPr>
      </w:pPr>
    </w:p>
    <w:p w14:paraId="0F28F03B" w14:textId="7E9C3E77" w:rsidR="00CB124A"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 xml:space="preserve">This report assesses MG Motor UK's strategic position in a market driven by electrification, regulation, digital technology, and fierce competition. External analysis shows </w:t>
      </w:r>
      <w:r w:rsidR="000F3844">
        <w:rPr>
          <w:rFonts w:ascii="Times New Roman" w:hAnsi="Times New Roman" w:cs="Times New Roman"/>
          <w:sz w:val="24"/>
          <w:szCs w:val="24"/>
        </w:rPr>
        <w:t xml:space="preserve">a significant </w:t>
      </w:r>
      <w:r w:rsidRPr="00B433E9">
        <w:rPr>
          <w:rFonts w:ascii="Times New Roman" w:hAnsi="Times New Roman" w:cs="Times New Roman"/>
          <w:sz w:val="24"/>
          <w:szCs w:val="24"/>
        </w:rPr>
        <w:t>increase in electric and hybrid demand, but also price pressure, rapid technology change, and trade risk. Internal analysis reveals that MG advantages from SAIC Motor's scale, technology, and supply chain, as well as its British brand heritage and accessible value proposition. However, import dependency, disparities in brand perceptions, and after-sales capability all limit long-term growth.</w:t>
      </w:r>
    </w:p>
    <w:p w14:paraId="53E1D92E" w14:textId="77777777" w:rsidR="00CB124A"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 xml:space="preserve"> The paper proposes an Affordable Intelligent Mobility strategy for 2027-2029 that maintains accessible price while differentiating through dependable EV and hybrid technologies, connected services, customer care, and genuine sustainability.</w:t>
      </w:r>
    </w:p>
    <w:p w14:paraId="0BAE3E0D" w14:textId="3094B49E" w:rsidR="00B433E9"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 xml:space="preserve"> According to the SAF study, this alternative is better balanced than price-led expansion or rapid European growth. Implementation should involve a cross-functional framework, staged pilots, employee and dealer training, two-way communication, and quarterly performance reviews.</w:t>
      </w:r>
    </w:p>
    <w:p w14:paraId="758A4407" w14:textId="77777777" w:rsidR="001D0285" w:rsidRPr="00B433E9" w:rsidRDefault="001D0285" w:rsidP="0077261B">
      <w:pPr>
        <w:spacing w:line="360" w:lineRule="auto"/>
        <w:rPr>
          <w:rFonts w:ascii="Times New Roman" w:hAnsi="Times New Roman" w:cs="Times New Roman"/>
          <w:sz w:val="24"/>
          <w:szCs w:val="24"/>
        </w:rPr>
      </w:pPr>
    </w:p>
    <w:p w14:paraId="368F3A23" w14:textId="276A2644" w:rsidR="00B433E9" w:rsidRPr="006207D6" w:rsidRDefault="00B433E9" w:rsidP="0077261B">
      <w:pPr>
        <w:spacing w:line="360" w:lineRule="auto"/>
        <w:rPr>
          <w:rFonts w:ascii="Times New Roman" w:hAnsi="Times New Roman" w:cs="Times New Roman"/>
          <w:b/>
          <w:bCs/>
          <w:sz w:val="28"/>
          <w:szCs w:val="28"/>
        </w:rPr>
      </w:pPr>
      <w:r w:rsidRPr="006207D6">
        <w:rPr>
          <w:rFonts w:ascii="Times New Roman" w:hAnsi="Times New Roman" w:cs="Times New Roman"/>
          <w:b/>
          <w:bCs/>
          <w:sz w:val="28"/>
          <w:szCs w:val="28"/>
        </w:rPr>
        <w:t>1. Introduction</w:t>
      </w:r>
    </w:p>
    <w:p w14:paraId="1FC945F6" w14:textId="77777777" w:rsidR="001D0285" w:rsidRPr="00B433E9" w:rsidRDefault="001D0285" w:rsidP="0077261B">
      <w:pPr>
        <w:spacing w:line="360" w:lineRule="auto"/>
        <w:rPr>
          <w:rFonts w:ascii="Times New Roman" w:hAnsi="Times New Roman" w:cs="Times New Roman"/>
          <w:b/>
          <w:bCs/>
          <w:sz w:val="24"/>
          <w:szCs w:val="24"/>
        </w:rPr>
      </w:pPr>
    </w:p>
    <w:p w14:paraId="601B991E" w14:textId="77777777" w:rsidR="00CB124A"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Strategic management connects environmental analysis, organizational resources, strategic decision-making, and execution to long-term performance (Johnson et al., 2017; Grant, 2018). It is especially crucial in the car business, where regulations, software, batteries, and customer expectations change quickly.</w:t>
      </w:r>
    </w:p>
    <w:p w14:paraId="2FB61A25" w14:textId="1A559401" w:rsidR="00B433E9" w:rsidRPr="00B433E9"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 xml:space="preserve"> In 2025, the UK reported 2,020,520 new cars, with 473,348 battery-electric vehicles (BEVs) accounting for 23.4% of the total (SMMT, 2026). The zero-emission vehicle mandate will increase to 33% for automobiles in 2026 and 80% by 2030, presenting both an opportunity and compliance pressure (Department for Transport, 2025).</w:t>
      </w:r>
    </w:p>
    <w:p w14:paraId="02202693" w14:textId="77777777" w:rsidR="00CB124A"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 xml:space="preserve">SAIC Motor owns the British-origin brand MG, which competes with economical petrol, hybrid, and electric automobiles. The MG HS became the seventh best-selling model in the UK in 2025, with 30,191 registrations, demonstrating its market momentum (SMMT, 2026). </w:t>
      </w:r>
    </w:p>
    <w:p w14:paraId="20D0A94F" w14:textId="2BEEB586" w:rsidR="00B433E9" w:rsidRDefault="00B433E9" w:rsidP="0077261B">
      <w:pPr>
        <w:spacing w:line="360" w:lineRule="auto"/>
        <w:rPr>
          <w:rFonts w:ascii="Times New Roman" w:hAnsi="Times New Roman" w:cs="Times New Roman"/>
          <w:sz w:val="24"/>
          <w:szCs w:val="24"/>
        </w:rPr>
      </w:pPr>
      <w:r w:rsidRPr="00B433E9">
        <w:rPr>
          <w:rFonts w:ascii="Times New Roman" w:hAnsi="Times New Roman" w:cs="Times New Roman"/>
          <w:sz w:val="24"/>
          <w:szCs w:val="24"/>
        </w:rPr>
        <w:t>MG's strateg</w:t>
      </w:r>
      <w:r w:rsidR="000F3844">
        <w:rPr>
          <w:rFonts w:ascii="Times New Roman" w:hAnsi="Times New Roman" w:cs="Times New Roman"/>
          <w:sz w:val="24"/>
          <w:szCs w:val="24"/>
        </w:rPr>
        <w:t>ic</w:t>
      </w:r>
      <w:r w:rsidRPr="00B433E9">
        <w:rPr>
          <w:rFonts w:ascii="Times New Roman" w:hAnsi="Times New Roman" w:cs="Times New Roman"/>
          <w:sz w:val="24"/>
          <w:szCs w:val="24"/>
        </w:rPr>
        <w:t xml:space="preserve"> aim can be defined as accessible, low-emission mobility underpinned by cutting-edge technology and consistent consumer value. The primary goals are to increase UK market share, extend electrified products, boost brand trust and after-sales support, and promote responsible innovation.</w:t>
      </w:r>
    </w:p>
    <w:p w14:paraId="04FE053A" w14:textId="77777777" w:rsidR="006207D6" w:rsidRDefault="006207D6" w:rsidP="0077261B">
      <w:pPr>
        <w:spacing w:line="360" w:lineRule="auto"/>
        <w:rPr>
          <w:rFonts w:ascii="Times New Roman" w:hAnsi="Times New Roman" w:cs="Times New Roman"/>
          <w:sz w:val="24"/>
          <w:szCs w:val="24"/>
        </w:rPr>
      </w:pPr>
    </w:p>
    <w:p w14:paraId="515A7114" w14:textId="77777777" w:rsidR="006207D6" w:rsidRDefault="006207D6" w:rsidP="0077261B">
      <w:pPr>
        <w:spacing w:line="360" w:lineRule="auto"/>
        <w:rPr>
          <w:rFonts w:ascii="Times New Roman" w:hAnsi="Times New Roman" w:cs="Times New Roman"/>
          <w:sz w:val="24"/>
          <w:szCs w:val="24"/>
        </w:rPr>
      </w:pPr>
    </w:p>
    <w:p w14:paraId="7D736B98" w14:textId="46CB1675" w:rsidR="00DC706A" w:rsidRDefault="00D95039" w:rsidP="0077261B">
      <w:pPr>
        <w:spacing w:line="360" w:lineRule="auto"/>
        <w:rPr>
          <w:rFonts w:ascii="Times New Roman" w:hAnsi="Times New Roman" w:cs="Times New Roman"/>
          <w:b/>
          <w:bCs/>
          <w:sz w:val="28"/>
          <w:szCs w:val="28"/>
        </w:rPr>
      </w:pPr>
      <w:r w:rsidRPr="006207D6">
        <w:rPr>
          <w:rFonts w:ascii="Times New Roman" w:hAnsi="Times New Roman" w:cs="Times New Roman"/>
          <w:b/>
          <w:bCs/>
          <w:sz w:val="28"/>
          <w:szCs w:val="28"/>
        </w:rPr>
        <w:t>2. Strategic analysis</w:t>
      </w:r>
    </w:p>
    <w:p w14:paraId="6952FFC1" w14:textId="77777777" w:rsidR="006207D6" w:rsidRPr="006207D6" w:rsidRDefault="006207D6" w:rsidP="0077261B">
      <w:pPr>
        <w:spacing w:line="360" w:lineRule="auto"/>
        <w:rPr>
          <w:rFonts w:ascii="Times New Roman" w:hAnsi="Times New Roman" w:cs="Times New Roman"/>
          <w:b/>
          <w:bCs/>
          <w:sz w:val="28"/>
          <w:szCs w:val="28"/>
        </w:rPr>
      </w:pPr>
    </w:p>
    <w:p w14:paraId="12CF6F2D" w14:textId="6AE0A29B" w:rsidR="006207D6" w:rsidRPr="006207D6" w:rsidRDefault="00D95039" w:rsidP="0077261B">
      <w:pPr>
        <w:spacing w:line="360" w:lineRule="auto"/>
        <w:rPr>
          <w:rFonts w:ascii="Times New Roman" w:hAnsi="Times New Roman" w:cs="Times New Roman"/>
          <w:b/>
          <w:bCs/>
          <w:sz w:val="24"/>
          <w:szCs w:val="24"/>
        </w:rPr>
      </w:pPr>
      <w:r w:rsidRPr="006207D6">
        <w:rPr>
          <w:rFonts w:ascii="Times New Roman" w:hAnsi="Times New Roman" w:cs="Times New Roman"/>
          <w:b/>
          <w:bCs/>
          <w:sz w:val="24"/>
          <w:szCs w:val="24"/>
        </w:rPr>
        <w:t>2.1 The External Environment and Industry Forces</w:t>
      </w:r>
    </w:p>
    <w:p w14:paraId="602CABFB" w14:textId="5D117E8D" w:rsidR="00CB124A" w:rsidRDefault="004E2D21" w:rsidP="0077261B">
      <w:pPr>
        <w:spacing w:line="360" w:lineRule="auto"/>
        <w:rPr>
          <w:rFonts w:ascii="Times New Roman" w:hAnsi="Times New Roman" w:cs="Times New Roman"/>
          <w:sz w:val="24"/>
          <w:szCs w:val="24"/>
        </w:rPr>
      </w:pPr>
      <w:r w:rsidRPr="004E2D21">
        <w:rPr>
          <w:rFonts w:ascii="Times New Roman" w:hAnsi="Times New Roman" w:cs="Times New Roman"/>
          <w:sz w:val="24"/>
          <w:szCs w:val="24"/>
        </w:rPr>
        <w:t>As Kotler, Keller and Chernev (2022) note</w:t>
      </w:r>
      <w:r>
        <w:rPr>
          <w:rFonts w:ascii="Times New Roman" w:hAnsi="Times New Roman" w:cs="Times New Roman"/>
          <w:sz w:val="24"/>
          <w:szCs w:val="24"/>
        </w:rPr>
        <w:t xml:space="preserve">, </w:t>
      </w:r>
      <w:r w:rsidR="00D95039" w:rsidRPr="00D95039">
        <w:rPr>
          <w:rFonts w:ascii="Times New Roman" w:hAnsi="Times New Roman" w:cs="Times New Roman"/>
          <w:sz w:val="24"/>
          <w:szCs w:val="24"/>
        </w:rPr>
        <w:t xml:space="preserve">PESTLE analysis finds government policy and technology as the most powerful immediate impacts. The zero-emission vehicle rule benefits MG's electric line, but it also necessitates careful sales mix planning. Economic pressure drives interest in low-cost vehicles, while high borrowing prices may cause customers to postpone a purchase. Concerns about gasoline costs and pollutants drive EV demand, but restricted charging access and driver concern remain significant impediments. </w:t>
      </w:r>
    </w:p>
    <w:p w14:paraId="6EA17385" w14:textId="26748C07" w:rsidR="00D95039" w:rsidRDefault="00D95039" w:rsidP="0077261B">
      <w:pPr>
        <w:spacing w:line="360" w:lineRule="auto"/>
        <w:rPr>
          <w:rFonts w:ascii="Times New Roman" w:hAnsi="Times New Roman" w:cs="Times New Roman"/>
          <w:sz w:val="24"/>
          <w:szCs w:val="24"/>
        </w:rPr>
      </w:pPr>
      <w:r w:rsidRPr="00D95039">
        <w:rPr>
          <w:rFonts w:ascii="Times New Roman" w:hAnsi="Times New Roman" w:cs="Times New Roman"/>
          <w:sz w:val="24"/>
          <w:szCs w:val="24"/>
        </w:rPr>
        <w:t>Manufacturers are increasingly distinguishing their vehicles based on battery performance, software, cybersecurity, and connected services (Hill, Schilling, and Jones, 2017). Reducing exhaust emissions is not enough; MG must also demonstrate ethical battery sourcing, recycling, and transparent information regarding environmental impact.</w:t>
      </w:r>
    </w:p>
    <w:p w14:paraId="1406C093" w14:textId="66F58AF6" w:rsidR="00D4412E" w:rsidRPr="00AF5286" w:rsidRDefault="00AF5286" w:rsidP="00AF5286">
      <w:pPr>
        <w:spacing w:line="360" w:lineRule="auto"/>
        <w:rPr>
          <w:rFonts w:ascii="Times New Roman" w:hAnsi="Times New Roman" w:cs="Times New Roman"/>
          <w:sz w:val="24"/>
          <w:szCs w:val="24"/>
          <w:lang w:val="en-GB"/>
        </w:rPr>
      </w:pPr>
      <w:r w:rsidRPr="00AF5286">
        <w:rPr>
          <w:rFonts w:ascii="Times New Roman" w:hAnsi="Times New Roman" w:cs="Times New Roman"/>
          <w:sz w:val="24"/>
          <w:szCs w:val="24"/>
          <w:lang w:val="en-GB"/>
        </w:rPr>
        <w:t>Johnson, Whittington &amp; Scholes (2017) explicitly discuss</w:t>
      </w:r>
      <w:r>
        <w:rPr>
          <w:rFonts w:ascii="Times New Roman" w:hAnsi="Times New Roman" w:cs="Times New Roman"/>
          <w:sz w:val="24"/>
          <w:szCs w:val="24"/>
          <w:lang w:val="en-GB"/>
        </w:rPr>
        <w:t xml:space="preserve"> </w:t>
      </w:r>
      <w:r w:rsidR="00D4412E" w:rsidRPr="00AF5286">
        <w:rPr>
          <w:rFonts w:ascii="Times New Roman" w:hAnsi="Times New Roman" w:cs="Times New Roman"/>
          <w:sz w:val="24"/>
          <w:szCs w:val="24"/>
        </w:rPr>
        <w:t xml:space="preserve">PESTLE and Porter's Five Forces models </w:t>
      </w:r>
      <w:r>
        <w:rPr>
          <w:rFonts w:ascii="Times New Roman" w:hAnsi="Times New Roman" w:cs="Times New Roman"/>
          <w:sz w:val="24"/>
          <w:szCs w:val="24"/>
        </w:rPr>
        <w:t xml:space="preserve">and this can </w:t>
      </w:r>
      <w:r w:rsidR="00D4412E" w:rsidRPr="00AF5286">
        <w:rPr>
          <w:rFonts w:ascii="Times New Roman" w:hAnsi="Times New Roman" w:cs="Times New Roman"/>
          <w:sz w:val="24"/>
          <w:szCs w:val="24"/>
        </w:rPr>
        <w:t xml:space="preserve">offer a useful perspective </w:t>
      </w:r>
      <w:r w:rsidR="00CB124A" w:rsidRPr="00AF5286">
        <w:rPr>
          <w:rFonts w:ascii="Times New Roman" w:hAnsi="Times New Roman" w:cs="Times New Roman"/>
          <w:sz w:val="24"/>
          <w:szCs w:val="24"/>
        </w:rPr>
        <w:t>on</w:t>
      </w:r>
      <w:r w:rsidR="00D4412E" w:rsidRPr="00AF5286">
        <w:rPr>
          <w:rFonts w:ascii="Times New Roman" w:hAnsi="Times New Roman" w:cs="Times New Roman"/>
          <w:sz w:val="24"/>
          <w:szCs w:val="24"/>
        </w:rPr>
        <w:t xml:space="preserve"> MG's external environment and competitive position. However, both frameworks primarily depict conditions at a specific point in time. MG should thus examine them on a regular basis because government regulations, automobile technology, customer expectations, and competition strategies are constantly changing. Regular updates would enable management to identify new risks and opportunities and adapt strategic decisions before market developments harmed performance.</w:t>
      </w:r>
    </w:p>
    <w:p w14:paraId="66750B6E" w14:textId="6B0C0675" w:rsidR="00D95039"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These external pressures are also tightly linked. Government regulations may drive manufacturers to produce electric vehicles faster than private customer demand. This disparity could promote competition, result in steep discounts, and strengthen customers' bargaining power. Although decreasing costs may persuade more people to buy electric vehicles, repeated discounts may erode MG's profit margins and limit cash available for software development, customer service, and used-car maintenance. MG must therefore strike a balance between economical pricing, product quality, dependable technology, and great after-sales service</w:t>
      </w:r>
      <w:r w:rsidR="00AF5286" w:rsidRPr="00AF5286">
        <w:rPr>
          <w:b/>
          <w:bCs/>
        </w:rPr>
        <w:t xml:space="preserve"> </w:t>
      </w:r>
      <w:r w:rsidR="00AF5286" w:rsidRPr="00AF5286">
        <w:rPr>
          <w:rFonts w:ascii="Times New Roman" w:hAnsi="Times New Roman" w:cs="Times New Roman"/>
          <w:sz w:val="24"/>
          <w:szCs w:val="24"/>
        </w:rPr>
        <w:t>(Porter, 1985).</w:t>
      </w:r>
    </w:p>
    <w:p w14:paraId="15D70CFF" w14:textId="77777777" w:rsidR="006207D6" w:rsidRDefault="006207D6" w:rsidP="0077261B">
      <w:pPr>
        <w:spacing w:line="360" w:lineRule="auto"/>
        <w:rPr>
          <w:rFonts w:ascii="Times New Roman" w:hAnsi="Times New Roman" w:cs="Times New Roman"/>
          <w:sz w:val="24"/>
          <w:szCs w:val="24"/>
        </w:rPr>
      </w:pPr>
    </w:p>
    <w:p w14:paraId="3471107A" w14:textId="761A529F" w:rsidR="00D4412E" w:rsidRPr="006207D6" w:rsidRDefault="00D4412E" w:rsidP="006207D6">
      <w:pPr>
        <w:pStyle w:val="Heading2"/>
        <w:spacing w:line="360" w:lineRule="auto"/>
        <w:rPr>
          <w:rFonts w:ascii="Times New Roman" w:hAnsi="Times New Roman" w:cs="Times New Roman"/>
          <w:b/>
          <w:bCs/>
          <w:color w:val="auto"/>
          <w:sz w:val="24"/>
          <w:szCs w:val="24"/>
        </w:rPr>
      </w:pPr>
      <w:r w:rsidRPr="006207D6">
        <w:rPr>
          <w:rFonts w:ascii="Times New Roman" w:hAnsi="Times New Roman" w:cs="Times New Roman"/>
          <w:b/>
          <w:bCs/>
          <w:color w:val="auto"/>
          <w:sz w:val="24"/>
          <w:szCs w:val="24"/>
        </w:rPr>
        <w:t>2.2 Internal resources and capabilities</w:t>
      </w:r>
    </w:p>
    <w:p w14:paraId="0AFD11A1" w14:textId="77777777" w:rsidR="00CB124A"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SAIC Motor's large-scale purchasing, production, research, and logistics capabilities contribute significantly to MG's internal strength. Porter's value chain illustrates how these interconnected operations enable MG to control costs and offer automobiles at competitive pricing (Porter 1985).</w:t>
      </w:r>
    </w:p>
    <w:p w14:paraId="147171EA" w14:textId="77777777" w:rsidR="00CB124A"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 xml:space="preserve"> SAIC sold 4.507 million vehicles in 2025, including 1.643 million new-energy vehicles, while MG sold over 300,000 in Europe (SAIC Motor, 2026). This scale enables access to investment, new technology, and greater bargaining power with suppliers. However, efficient production alone does not ensure consumer value or long-term competitive advantage.</w:t>
      </w:r>
    </w:p>
    <w:p w14:paraId="2F91ADE6" w14:textId="77777777" w:rsidR="00CB124A"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 xml:space="preserve"> According to the Resource-Based View, long-term advantage is dependent on resources that are valuable, scarce, difficult to replicate, and well-organized. Although SAIC's technology and production capabilities are valuable, other well-funded firms have access to advanced battery platforms and large-scale manufacturing. </w:t>
      </w:r>
    </w:p>
    <w:p w14:paraId="4A58B18E" w14:textId="084700B7" w:rsidR="00D4412E"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 xml:space="preserve">MG’s inexpensive automobiles may </w:t>
      </w:r>
      <w:r w:rsidR="000F3844">
        <w:rPr>
          <w:rFonts w:ascii="Times New Roman" w:hAnsi="Times New Roman" w:cs="Times New Roman"/>
          <w:sz w:val="24"/>
          <w:szCs w:val="24"/>
        </w:rPr>
        <w:t>therefore</w:t>
      </w:r>
      <w:r w:rsidRPr="00D4412E">
        <w:rPr>
          <w:rFonts w:ascii="Times New Roman" w:hAnsi="Times New Roman" w:cs="Times New Roman"/>
          <w:sz w:val="24"/>
          <w:szCs w:val="24"/>
        </w:rPr>
        <w:t xml:space="preserve"> provide </w:t>
      </w:r>
      <w:r w:rsidR="000F3844">
        <w:rPr>
          <w:rFonts w:ascii="Times New Roman" w:hAnsi="Times New Roman" w:cs="Times New Roman"/>
          <w:sz w:val="24"/>
          <w:szCs w:val="24"/>
        </w:rPr>
        <w:t>only a temporary</w:t>
      </w:r>
      <w:r w:rsidRPr="00D4412E">
        <w:rPr>
          <w:rFonts w:ascii="Times New Roman" w:hAnsi="Times New Roman" w:cs="Times New Roman"/>
          <w:sz w:val="24"/>
          <w:szCs w:val="24"/>
        </w:rPr>
        <w:t xml:space="preserve"> brief advantage. </w:t>
      </w:r>
      <w:r w:rsidR="000F3844">
        <w:rPr>
          <w:rFonts w:ascii="Times New Roman" w:hAnsi="Times New Roman" w:cs="Times New Roman"/>
          <w:sz w:val="24"/>
          <w:szCs w:val="24"/>
        </w:rPr>
        <w:t xml:space="preserve">It is </w:t>
      </w:r>
      <w:r w:rsidRPr="00D4412E">
        <w:rPr>
          <w:rFonts w:ascii="Times New Roman" w:hAnsi="Times New Roman" w:cs="Times New Roman"/>
          <w:sz w:val="24"/>
          <w:szCs w:val="24"/>
        </w:rPr>
        <w:t>stronger potential comes from integrating SAIC’s engineering competence with MG’s British heritage, rising UK presence, dealership network and service excellence (Barney and Hesterly, 2015). Nevertheless, this advantage will remain limited if MG’s software, spare-parts availability, dealerships and after-sales services produce an uneven customer experience.</w:t>
      </w:r>
    </w:p>
    <w:p w14:paraId="7B65299D" w14:textId="77777777" w:rsidR="00D4412E" w:rsidRPr="006207D6" w:rsidRDefault="00D4412E" w:rsidP="0077261B">
      <w:pPr>
        <w:spacing w:line="360" w:lineRule="auto"/>
        <w:rPr>
          <w:rFonts w:ascii="Times New Roman" w:hAnsi="Times New Roman" w:cs="Times New Roman"/>
          <w:b/>
          <w:bCs/>
          <w:sz w:val="24"/>
          <w:szCs w:val="24"/>
        </w:rPr>
      </w:pPr>
    </w:p>
    <w:p w14:paraId="4FB95B4A" w14:textId="77777777" w:rsidR="00D4412E" w:rsidRPr="006207D6" w:rsidRDefault="00D4412E" w:rsidP="0077261B">
      <w:pPr>
        <w:spacing w:line="360" w:lineRule="auto"/>
        <w:rPr>
          <w:rFonts w:ascii="Times New Roman" w:hAnsi="Times New Roman" w:cs="Times New Roman"/>
          <w:b/>
          <w:bCs/>
          <w:sz w:val="24"/>
          <w:szCs w:val="24"/>
        </w:rPr>
      </w:pPr>
      <w:r w:rsidRPr="006207D6">
        <w:rPr>
          <w:rFonts w:ascii="Times New Roman" w:hAnsi="Times New Roman" w:cs="Times New Roman"/>
          <w:b/>
          <w:bCs/>
          <w:sz w:val="24"/>
          <w:szCs w:val="24"/>
        </w:rPr>
        <w:t>2.3 SWOT Synthesis</w:t>
      </w:r>
    </w:p>
    <w:p w14:paraId="14EFF862" w14:textId="77777777" w:rsidR="00D4412E"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The overall analysis leads to four conclusions. First, MG's strengths are SAIC backing, competitive price, electrified vehicles, and brand familiarity. Second, limitations include import dependency, a low-cost image, unpredictable service capabilities, and exposure to global logistics. Third, opportunities emerge from UK electrification, hybrid demand, linked services, and charging collaborations. Fourth, dangers include fierce price competition, quick battery and software changes, supply disruption, and regulation. European expansion raises special trade risks because the EU imposes countervailing charges on BEVs imported from China (European Commission, 2024). The strategic question is therefore not whether MG should grow, but how it may develop without compromising profitability, quality, or consumer trust.</w:t>
      </w:r>
    </w:p>
    <w:p w14:paraId="6037A20B" w14:textId="77777777" w:rsidR="00D4412E" w:rsidRPr="00D4412E" w:rsidRDefault="00D4412E" w:rsidP="0077261B">
      <w:pPr>
        <w:spacing w:line="360" w:lineRule="auto"/>
        <w:rPr>
          <w:rFonts w:ascii="Times New Roman" w:hAnsi="Times New Roman" w:cs="Times New Roman"/>
          <w:sz w:val="24"/>
          <w:szCs w:val="24"/>
        </w:rPr>
      </w:pPr>
    </w:p>
    <w:p w14:paraId="55187A8D" w14:textId="77777777" w:rsidR="00D4412E" w:rsidRPr="00D4412E" w:rsidRDefault="00D4412E" w:rsidP="0077261B">
      <w:pPr>
        <w:spacing w:line="360" w:lineRule="auto"/>
        <w:rPr>
          <w:rFonts w:ascii="Times New Roman" w:hAnsi="Times New Roman" w:cs="Times New Roman"/>
          <w:b/>
          <w:bCs/>
          <w:sz w:val="28"/>
          <w:szCs w:val="28"/>
        </w:rPr>
      </w:pPr>
      <w:r w:rsidRPr="00D4412E">
        <w:rPr>
          <w:rFonts w:ascii="Times New Roman" w:hAnsi="Times New Roman" w:cs="Times New Roman"/>
          <w:b/>
          <w:bCs/>
          <w:sz w:val="28"/>
          <w:szCs w:val="28"/>
        </w:rPr>
        <w:t>3. Strategy formulation</w:t>
      </w:r>
    </w:p>
    <w:p w14:paraId="16CC07CA" w14:textId="77777777" w:rsidR="00D4412E" w:rsidRPr="006207D6" w:rsidRDefault="00D4412E" w:rsidP="0077261B">
      <w:pPr>
        <w:spacing w:line="360" w:lineRule="auto"/>
        <w:rPr>
          <w:rFonts w:ascii="Times New Roman" w:hAnsi="Times New Roman" w:cs="Times New Roman"/>
          <w:b/>
          <w:bCs/>
          <w:sz w:val="24"/>
          <w:szCs w:val="24"/>
        </w:rPr>
      </w:pPr>
    </w:p>
    <w:p w14:paraId="272260D8" w14:textId="77777777" w:rsidR="00D4412E" w:rsidRPr="006207D6" w:rsidRDefault="00D4412E" w:rsidP="0077261B">
      <w:pPr>
        <w:spacing w:line="360" w:lineRule="auto"/>
        <w:rPr>
          <w:rFonts w:ascii="Times New Roman" w:hAnsi="Times New Roman" w:cs="Times New Roman"/>
          <w:b/>
          <w:bCs/>
          <w:sz w:val="24"/>
          <w:szCs w:val="24"/>
        </w:rPr>
      </w:pPr>
      <w:r w:rsidRPr="006207D6">
        <w:rPr>
          <w:rFonts w:ascii="Times New Roman" w:hAnsi="Times New Roman" w:cs="Times New Roman"/>
          <w:b/>
          <w:bCs/>
          <w:sz w:val="24"/>
          <w:szCs w:val="24"/>
        </w:rPr>
        <w:t>3.1 Strategic Alternatives</w:t>
      </w:r>
    </w:p>
    <w:p w14:paraId="6CEA0E57" w14:textId="3412D5A1" w:rsidR="00D4412E" w:rsidRPr="00D4412E"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 xml:space="preserve">Three options were considered: price-driven UK penetration, quick European expansion, and concentrated differentiation. Price-led penetration may improve volume, but it risks margin loss and a permanent budget image. Rapid European expansion provides size and diversification, but it is the </w:t>
      </w:r>
      <w:r w:rsidR="00274D6F" w:rsidRPr="00D4412E">
        <w:rPr>
          <w:rFonts w:ascii="Times New Roman" w:hAnsi="Times New Roman" w:cs="Times New Roman"/>
          <w:sz w:val="24"/>
          <w:szCs w:val="24"/>
        </w:rPr>
        <w:t>riskiest</w:t>
      </w:r>
      <w:r w:rsidRPr="00D4412E">
        <w:rPr>
          <w:rFonts w:ascii="Times New Roman" w:hAnsi="Times New Roman" w:cs="Times New Roman"/>
          <w:sz w:val="24"/>
          <w:szCs w:val="24"/>
        </w:rPr>
        <w:t xml:space="preserve"> option due to duties, regulatory variations, and localization costs (Rugman and Collinson, 2012). The recommended alternative is concentrated differentiation, which supports Porter's claim that differentiated buyer value lowers direct price comparison (Porter, 1985).</w:t>
      </w:r>
    </w:p>
    <w:p w14:paraId="3F69D8D3" w14:textId="44EFD424" w:rsidR="00274D6F" w:rsidRDefault="00D4412E" w:rsidP="0077261B">
      <w:pPr>
        <w:spacing w:line="360" w:lineRule="auto"/>
        <w:rPr>
          <w:rFonts w:ascii="Times New Roman" w:hAnsi="Times New Roman" w:cs="Times New Roman"/>
          <w:sz w:val="24"/>
          <w:szCs w:val="24"/>
        </w:rPr>
      </w:pPr>
      <w:r w:rsidRPr="00D4412E">
        <w:rPr>
          <w:rFonts w:ascii="Times New Roman" w:hAnsi="Times New Roman" w:cs="Times New Roman"/>
          <w:sz w:val="24"/>
          <w:szCs w:val="24"/>
        </w:rPr>
        <w:t xml:space="preserve">The proposed Affordable Intelligent Mobility 2027-2029 approach maintains affordable price while distinguishing itself through dependable EV and hybrid technologies, improved software and predictive maintenance, educated after-sales service, parts availability, and realistic battery sustainability. Marketing should </w:t>
      </w:r>
      <w:r w:rsidR="00BD710B">
        <w:rPr>
          <w:rFonts w:ascii="Times New Roman" w:hAnsi="Times New Roman" w:cs="Times New Roman"/>
          <w:sz w:val="24"/>
          <w:szCs w:val="24"/>
        </w:rPr>
        <w:t>shift</w:t>
      </w:r>
      <w:r w:rsidRPr="00D4412E">
        <w:rPr>
          <w:rFonts w:ascii="Times New Roman" w:hAnsi="Times New Roman" w:cs="Times New Roman"/>
          <w:sz w:val="24"/>
          <w:szCs w:val="24"/>
        </w:rPr>
        <w:t xml:space="preserve"> from </w:t>
      </w:r>
      <w:r w:rsidR="00BD710B">
        <w:rPr>
          <w:rFonts w:ascii="Times New Roman" w:hAnsi="Times New Roman" w:cs="Times New Roman"/>
          <w:sz w:val="24"/>
          <w:szCs w:val="24"/>
        </w:rPr>
        <w:t>a low-price message</w:t>
      </w:r>
      <w:r w:rsidRPr="00D4412E">
        <w:rPr>
          <w:rFonts w:ascii="Times New Roman" w:hAnsi="Times New Roman" w:cs="Times New Roman"/>
          <w:sz w:val="24"/>
          <w:szCs w:val="24"/>
        </w:rPr>
        <w:t xml:space="preserve"> to 'quality-value', including proof on warranty, running costs, safety, and service (Kotler and Keller, 2022).</w:t>
      </w:r>
    </w:p>
    <w:p w14:paraId="6AE2F271" w14:textId="77777777" w:rsidR="006207D6" w:rsidRDefault="006207D6" w:rsidP="0077261B">
      <w:pPr>
        <w:spacing w:line="360" w:lineRule="auto"/>
        <w:rPr>
          <w:rFonts w:ascii="Times New Roman" w:hAnsi="Times New Roman" w:cs="Times New Roman"/>
          <w:sz w:val="24"/>
          <w:szCs w:val="24"/>
        </w:rPr>
      </w:pPr>
    </w:p>
    <w:p w14:paraId="73009F25" w14:textId="77777777" w:rsidR="00274D6F" w:rsidRPr="006207D6" w:rsidRDefault="00274D6F" w:rsidP="0077261B">
      <w:pPr>
        <w:spacing w:line="360" w:lineRule="auto"/>
        <w:rPr>
          <w:rFonts w:ascii="Times New Roman" w:hAnsi="Times New Roman" w:cs="Times New Roman"/>
          <w:b/>
          <w:bCs/>
          <w:sz w:val="24"/>
          <w:szCs w:val="24"/>
          <w:lang w:val="en-GB"/>
        </w:rPr>
      </w:pPr>
      <w:r w:rsidRPr="006207D6">
        <w:rPr>
          <w:rFonts w:ascii="Times New Roman" w:hAnsi="Times New Roman" w:cs="Times New Roman"/>
          <w:b/>
          <w:bCs/>
          <w:sz w:val="24"/>
          <w:szCs w:val="24"/>
          <w:lang w:val="en-GB"/>
        </w:rPr>
        <w:t>3.2 SAF evaluation</w:t>
      </w:r>
    </w:p>
    <w:tbl>
      <w:tblPr>
        <w:tblStyle w:val="GridTable7ColourfulAccent4"/>
        <w:tblpPr w:leftFromText="180" w:rightFromText="180" w:vertAnchor="text" w:horzAnchor="margin" w:tblpY="173"/>
        <w:tblW w:w="9885" w:type="dxa"/>
        <w:tblLayout w:type="fixed"/>
        <w:tblLook w:val="04A0" w:firstRow="1" w:lastRow="0" w:firstColumn="1" w:lastColumn="0" w:noHBand="0" w:noVBand="1"/>
      </w:tblPr>
      <w:tblGrid>
        <w:gridCol w:w="3122"/>
        <w:gridCol w:w="3286"/>
        <w:gridCol w:w="3477"/>
      </w:tblGrid>
      <w:tr w:rsidR="00274D6F" w14:paraId="3A974694" w14:textId="77777777" w:rsidTr="006207D6">
        <w:trPr>
          <w:cnfStyle w:val="100000000000" w:firstRow="1" w:lastRow="0" w:firstColumn="0" w:lastColumn="0" w:oddVBand="0" w:evenVBand="0" w:oddHBand="0" w:evenHBand="0" w:firstRowFirstColumn="0" w:firstRowLastColumn="0" w:lastRowFirstColumn="0" w:lastRowLastColumn="0"/>
          <w:trHeight w:val="351"/>
        </w:trPr>
        <w:tc>
          <w:tcPr>
            <w:cnfStyle w:val="001000000100" w:firstRow="0" w:lastRow="0" w:firstColumn="1" w:lastColumn="0" w:oddVBand="0" w:evenVBand="0" w:oddHBand="0" w:evenHBand="0" w:firstRowFirstColumn="1" w:firstRowLastColumn="0" w:lastRowFirstColumn="0" w:lastRowLastColumn="0"/>
            <w:tcW w:w="3122" w:type="dxa"/>
          </w:tcPr>
          <w:p w14:paraId="7F73DE35" w14:textId="77777777" w:rsidR="00274D6F" w:rsidRDefault="00274D6F" w:rsidP="0077261B">
            <w:pPr>
              <w:keepNext/>
              <w:spacing w:after="0" w:line="360" w:lineRule="auto"/>
            </w:pPr>
            <w:r>
              <w:rPr>
                <w:color w:val="172B4D"/>
                <w:sz w:val="19"/>
              </w:rPr>
              <w:t>Resource or capability</w:t>
            </w:r>
          </w:p>
        </w:tc>
        <w:tc>
          <w:tcPr>
            <w:tcW w:w="3286" w:type="dxa"/>
          </w:tcPr>
          <w:p w14:paraId="1B20961C" w14:textId="77777777" w:rsidR="00274D6F" w:rsidRDefault="00274D6F" w:rsidP="0077261B">
            <w:pPr>
              <w:keepNext/>
              <w:spacing w:after="0" w:line="360" w:lineRule="auto"/>
              <w:cnfStyle w:val="100000000000" w:firstRow="1" w:lastRow="0" w:firstColumn="0" w:lastColumn="0" w:oddVBand="0" w:evenVBand="0" w:oddHBand="0" w:evenHBand="0" w:firstRowFirstColumn="0" w:firstRowLastColumn="0" w:lastRowFirstColumn="0" w:lastRowLastColumn="0"/>
            </w:pPr>
            <w:r>
              <w:rPr>
                <w:color w:val="172B4D"/>
                <w:sz w:val="19"/>
              </w:rPr>
              <w:t>VRIO assessment</w:t>
            </w:r>
          </w:p>
        </w:tc>
        <w:tc>
          <w:tcPr>
            <w:tcW w:w="3477" w:type="dxa"/>
          </w:tcPr>
          <w:p w14:paraId="4C2B7794" w14:textId="77777777" w:rsidR="00274D6F" w:rsidRDefault="00274D6F" w:rsidP="0077261B">
            <w:pPr>
              <w:keepNext/>
              <w:spacing w:after="0" w:line="360" w:lineRule="auto"/>
              <w:cnfStyle w:val="100000000000" w:firstRow="1" w:lastRow="0" w:firstColumn="0" w:lastColumn="0" w:oddVBand="0" w:evenVBand="0" w:oddHBand="0" w:evenHBand="0" w:firstRowFirstColumn="0" w:firstRowLastColumn="0" w:lastRowFirstColumn="0" w:lastRowLastColumn="0"/>
            </w:pPr>
            <w:r>
              <w:rPr>
                <w:color w:val="172B4D"/>
                <w:sz w:val="19"/>
              </w:rPr>
              <w:t>Strategic implication</w:t>
            </w:r>
          </w:p>
        </w:tc>
      </w:tr>
      <w:tr w:rsidR="00274D6F" w14:paraId="59CAA2CC" w14:textId="77777777" w:rsidTr="006207D6">
        <w:trPr>
          <w:cnfStyle w:val="000000100000" w:firstRow="0" w:lastRow="0" w:firstColumn="0" w:lastColumn="0" w:oddVBand="0" w:evenVBand="0" w:oddHBand="1" w:evenHBand="0" w:firstRowFirstColumn="0" w:firstRowLastColumn="0" w:lastRowFirstColumn="0" w:lastRowLastColumn="0"/>
          <w:trHeight w:val="617"/>
        </w:trPr>
        <w:tc>
          <w:tcPr>
            <w:cnfStyle w:val="001000000000" w:firstRow="0" w:lastRow="0" w:firstColumn="1" w:lastColumn="0" w:oddVBand="0" w:evenVBand="0" w:oddHBand="0" w:evenHBand="0" w:firstRowFirstColumn="0" w:firstRowLastColumn="0" w:lastRowFirstColumn="0" w:lastRowLastColumn="0"/>
            <w:tcW w:w="3122" w:type="dxa"/>
          </w:tcPr>
          <w:p w14:paraId="587B5F20" w14:textId="77777777" w:rsidR="00274D6F" w:rsidRPr="00274D6F" w:rsidRDefault="00274D6F" w:rsidP="0077261B">
            <w:pPr>
              <w:spacing w:after="0" w:line="360" w:lineRule="auto"/>
              <w:rPr>
                <w:rFonts w:ascii="Times New Roman" w:hAnsi="Times New Roman" w:cs="Times New Roman"/>
                <w:i w:val="0"/>
                <w:iCs w:val="0"/>
              </w:rPr>
            </w:pPr>
            <w:r w:rsidRPr="00274D6F">
              <w:rPr>
                <w:rFonts w:ascii="Times New Roman" w:hAnsi="Times New Roman" w:cs="Times New Roman"/>
                <w:i w:val="0"/>
                <w:iCs w:val="0"/>
                <w:color w:val="202124"/>
              </w:rPr>
              <w:t>SAIC finance, platforms and R&amp;D</w:t>
            </w:r>
          </w:p>
        </w:tc>
        <w:tc>
          <w:tcPr>
            <w:tcW w:w="3286" w:type="dxa"/>
          </w:tcPr>
          <w:p w14:paraId="0FFD33C8" w14:textId="77777777" w:rsidR="00274D6F" w:rsidRPr="00274D6F" w:rsidRDefault="00274D6F" w:rsidP="0077261B">
            <w:p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Valuable; moderately rare and imitable; organized</w:t>
            </w:r>
          </w:p>
        </w:tc>
        <w:tc>
          <w:tcPr>
            <w:tcW w:w="3477" w:type="dxa"/>
          </w:tcPr>
          <w:p w14:paraId="7FB83B5F" w14:textId="77777777" w:rsidR="00274D6F" w:rsidRPr="00274D6F" w:rsidRDefault="00274D6F" w:rsidP="0077261B">
            <w:p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Strong temporary advantage and investment capacity.</w:t>
            </w:r>
          </w:p>
        </w:tc>
      </w:tr>
      <w:tr w:rsidR="00274D6F" w14:paraId="5F7D0330" w14:textId="77777777" w:rsidTr="006207D6">
        <w:trPr>
          <w:trHeight w:val="617"/>
        </w:trPr>
        <w:tc>
          <w:tcPr>
            <w:cnfStyle w:val="001000000000" w:firstRow="0" w:lastRow="0" w:firstColumn="1" w:lastColumn="0" w:oddVBand="0" w:evenVBand="0" w:oddHBand="0" w:evenHBand="0" w:firstRowFirstColumn="0" w:firstRowLastColumn="0" w:lastRowFirstColumn="0" w:lastRowLastColumn="0"/>
            <w:tcW w:w="3122" w:type="dxa"/>
          </w:tcPr>
          <w:p w14:paraId="4DD44C8B" w14:textId="77777777" w:rsidR="00274D6F" w:rsidRPr="00274D6F" w:rsidRDefault="00274D6F" w:rsidP="0077261B">
            <w:pPr>
              <w:spacing w:after="0" w:line="360" w:lineRule="auto"/>
              <w:rPr>
                <w:rFonts w:ascii="Times New Roman" w:hAnsi="Times New Roman" w:cs="Times New Roman"/>
                <w:i w:val="0"/>
                <w:iCs w:val="0"/>
              </w:rPr>
            </w:pPr>
            <w:r w:rsidRPr="00274D6F">
              <w:rPr>
                <w:rFonts w:ascii="Times New Roman" w:hAnsi="Times New Roman" w:cs="Times New Roman"/>
                <w:i w:val="0"/>
                <w:iCs w:val="0"/>
                <w:color w:val="202124"/>
              </w:rPr>
              <w:t>Affordable EV and hybrid portfolio</w:t>
            </w:r>
          </w:p>
        </w:tc>
        <w:tc>
          <w:tcPr>
            <w:tcW w:w="3286" w:type="dxa"/>
          </w:tcPr>
          <w:p w14:paraId="64894191" w14:textId="77777777" w:rsidR="00274D6F" w:rsidRPr="00274D6F" w:rsidRDefault="00274D6F" w:rsidP="0077261B">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Valuable; not rare; imitable; organized</w:t>
            </w:r>
          </w:p>
        </w:tc>
        <w:tc>
          <w:tcPr>
            <w:tcW w:w="3477" w:type="dxa"/>
          </w:tcPr>
          <w:p w14:paraId="00A5460D" w14:textId="77777777" w:rsidR="00274D6F" w:rsidRPr="00274D6F" w:rsidRDefault="00274D6F" w:rsidP="0077261B">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Competitive parity unless service and technology differentiate.</w:t>
            </w:r>
          </w:p>
        </w:tc>
      </w:tr>
      <w:tr w:rsidR="00274D6F" w14:paraId="57E8A1FE" w14:textId="77777777" w:rsidTr="006207D6">
        <w:trPr>
          <w:cnfStyle w:val="000000100000" w:firstRow="0" w:lastRow="0" w:firstColumn="0" w:lastColumn="0" w:oddVBand="0" w:evenVBand="0" w:oddHBand="1" w:evenHBand="0" w:firstRowFirstColumn="0" w:firstRowLastColumn="0" w:lastRowFirstColumn="0" w:lastRowLastColumn="0"/>
          <w:trHeight w:val="634"/>
        </w:trPr>
        <w:tc>
          <w:tcPr>
            <w:cnfStyle w:val="001000000000" w:firstRow="0" w:lastRow="0" w:firstColumn="1" w:lastColumn="0" w:oddVBand="0" w:evenVBand="0" w:oddHBand="0" w:evenHBand="0" w:firstRowFirstColumn="0" w:firstRowLastColumn="0" w:lastRowFirstColumn="0" w:lastRowLastColumn="0"/>
            <w:tcW w:w="3122" w:type="dxa"/>
          </w:tcPr>
          <w:p w14:paraId="59F0378E" w14:textId="77777777" w:rsidR="00274D6F" w:rsidRPr="00274D6F" w:rsidRDefault="00274D6F" w:rsidP="0077261B">
            <w:pPr>
              <w:spacing w:after="0" w:line="360" w:lineRule="auto"/>
              <w:rPr>
                <w:rFonts w:ascii="Times New Roman" w:hAnsi="Times New Roman" w:cs="Times New Roman"/>
                <w:i w:val="0"/>
                <w:iCs w:val="0"/>
              </w:rPr>
            </w:pPr>
            <w:r w:rsidRPr="00274D6F">
              <w:rPr>
                <w:rFonts w:ascii="Times New Roman" w:hAnsi="Times New Roman" w:cs="Times New Roman"/>
                <w:i w:val="0"/>
                <w:iCs w:val="0"/>
                <w:color w:val="202124"/>
              </w:rPr>
              <w:t>MG British heritage</w:t>
            </w:r>
          </w:p>
        </w:tc>
        <w:tc>
          <w:tcPr>
            <w:tcW w:w="3286" w:type="dxa"/>
          </w:tcPr>
          <w:p w14:paraId="6F903633" w14:textId="77777777" w:rsidR="00274D6F" w:rsidRPr="00274D6F" w:rsidRDefault="00274D6F" w:rsidP="0077261B">
            <w:p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Valuable; rare; relatively difficult to imitate; partly organized</w:t>
            </w:r>
          </w:p>
        </w:tc>
        <w:tc>
          <w:tcPr>
            <w:tcW w:w="3477" w:type="dxa"/>
          </w:tcPr>
          <w:p w14:paraId="0A7C26C9" w14:textId="77777777" w:rsidR="00274D6F" w:rsidRPr="00274D6F" w:rsidRDefault="00274D6F" w:rsidP="0077261B">
            <w:pPr>
              <w:spacing w:after="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Potential long-term brand asset if linked to current quality.</w:t>
            </w:r>
          </w:p>
        </w:tc>
      </w:tr>
      <w:tr w:rsidR="00274D6F" w14:paraId="39C342C3" w14:textId="77777777" w:rsidTr="006207D6">
        <w:trPr>
          <w:trHeight w:val="617"/>
        </w:trPr>
        <w:tc>
          <w:tcPr>
            <w:cnfStyle w:val="001000000000" w:firstRow="0" w:lastRow="0" w:firstColumn="1" w:lastColumn="0" w:oddVBand="0" w:evenVBand="0" w:oddHBand="0" w:evenHBand="0" w:firstRowFirstColumn="0" w:firstRowLastColumn="0" w:lastRowFirstColumn="0" w:lastRowLastColumn="0"/>
            <w:tcW w:w="3122" w:type="dxa"/>
          </w:tcPr>
          <w:p w14:paraId="129B773A" w14:textId="77777777" w:rsidR="00274D6F" w:rsidRPr="00274D6F" w:rsidRDefault="00274D6F" w:rsidP="0077261B">
            <w:pPr>
              <w:spacing w:after="0" w:line="360" w:lineRule="auto"/>
              <w:rPr>
                <w:rFonts w:ascii="Times New Roman" w:hAnsi="Times New Roman" w:cs="Times New Roman"/>
                <w:i w:val="0"/>
                <w:iCs w:val="0"/>
              </w:rPr>
            </w:pPr>
            <w:r w:rsidRPr="00274D6F">
              <w:rPr>
                <w:rFonts w:ascii="Times New Roman" w:hAnsi="Times New Roman" w:cs="Times New Roman"/>
                <w:i w:val="0"/>
                <w:iCs w:val="0"/>
                <w:color w:val="202124"/>
              </w:rPr>
              <w:t>UK dealer and service network</w:t>
            </w:r>
          </w:p>
        </w:tc>
        <w:tc>
          <w:tcPr>
            <w:tcW w:w="3286" w:type="dxa"/>
          </w:tcPr>
          <w:p w14:paraId="71399966" w14:textId="77777777" w:rsidR="00274D6F" w:rsidRPr="00274D6F" w:rsidRDefault="00274D6F" w:rsidP="0077261B">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Valuable; not rare; imitable; only partly organized</w:t>
            </w:r>
          </w:p>
        </w:tc>
        <w:tc>
          <w:tcPr>
            <w:tcW w:w="3477" w:type="dxa"/>
          </w:tcPr>
          <w:p w14:paraId="49BEDA23" w14:textId="77777777" w:rsidR="00274D6F" w:rsidRPr="00274D6F" w:rsidRDefault="00274D6F" w:rsidP="0077261B">
            <w:pPr>
              <w:spacing w:after="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74D6F">
              <w:rPr>
                <w:rFonts w:ascii="Times New Roman" w:hAnsi="Times New Roman" w:cs="Times New Roman"/>
                <w:color w:val="202124"/>
              </w:rPr>
              <w:t>Essential for trust but requires training and consistency.</w:t>
            </w:r>
          </w:p>
        </w:tc>
      </w:tr>
    </w:tbl>
    <w:p w14:paraId="2F70E999" w14:textId="3FAA556D" w:rsidR="00274D6F" w:rsidRPr="00DC706A" w:rsidRDefault="00DC706A" w:rsidP="0077261B">
      <w:pPr>
        <w:pStyle w:val="Heading1"/>
        <w:spacing w:line="360" w:lineRule="auto"/>
        <w:rPr>
          <w:rFonts w:ascii="Times New Roman" w:hAnsi="Times New Roman" w:cs="Times New Roman"/>
          <w:b/>
          <w:bCs/>
          <w:color w:val="auto"/>
          <w:sz w:val="28"/>
          <w:szCs w:val="28"/>
        </w:rPr>
      </w:pPr>
      <w:r w:rsidRPr="00DC706A">
        <w:rPr>
          <w:rFonts w:ascii="Times New Roman" w:hAnsi="Times New Roman" w:cs="Times New Roman"/>
          <w:b/>
          <w:bCs/>
          <w:color w:val="auto"/>
          <w:sz w:val="28"/>
          <w:szCs w:val="28"/>
        </w:rPr>
        <w:t>4.</w:t>
      </w:r>
      <w:r w:rsidR="00BD710B">
        <w:rPr>
          <w:rFonts w:ascii="Times New Roman" w:hAnsi="Times New Roman" w:cs="Times New Roman"/>
          <w:b/>
          <w:bCs/>
          <w:color w:val="auto"/>
          <w:sz w:val="28"/>
          <w:szCs w:val="28"/>
        </w:rPr>
        <w:t xml:space="preserve"> </w:t>
      </w:r>
      <w:r w:rsidR="00274D6F" w:rsidRPr="00DC706A">
        <w:rPr>
          <w:rFonts w:ascii="Times New Roman" w:hAnsi="Times New Roman" w:cs="Times New Roman"/>
          <w:b/>
          <w:bCs/>
          <w:color w:val="auto"/>
          <w:sz w:val="28"/>
          <w:szCs w:val="28"/>
        </w:rPr>
        <w:t>Strategy Implementation</w:t>
      </w:r>
    </w:p>
    <w:p w14:paraId="219DD149" w14:textId="77777777" w:rsidR="00274D6F" w:rsidRPr="00274D6F" w:rsidRDefault="00274D6F" w:rsidP="0077261B">
      <w:pPr>
        <w:spacing w:line="360" w:lineRule="auto"/>
      </w:pPr>
    </w:p>
    <w:p w14:paraId="75F1DFD3" w14:textId="1E1E1770" w:rsidR="00DC706A" w:rsidRDefault="00DC706A" w:rsidP="0077261B">
      <w:pPr>
        <w:spacing w:line="360" w:lineRule="auto"/>
        <w:rPr>
          <w:rFonts w:ascii="Times New Roman" w:hAnsi="Times New Roman" w:cs="Times New Roman"/>
          <w:sz w:val="24"/>
          <w:szCs w:val="24"/>
        </w:rPr>
      </w:pPr>
      <w:r w:rsidRPr="00DC706A">
        <w:rPr>
          <w:rFonts w:ascii="Times New Roman" w:hAnsi="Times New Roman" w:cs="Times New Roman"/>
          <w:sz w:val="24"/>
          <w:szCs w:val="24"/>
        </w:rPr>
        <w:t>For MG Motor UK, strategy implementation means turning its Affordable Intelligent Mobility strategy into practical actions. This includes training dealership staff, improving software and spare-parts availability, strengthening customer service, assigning management responsibilities and monitoring performance against clear targets (Johnson et al., 2017).</w:t>
      </w:r>
    </w:p>
    <w:p w14:paraId="52740ABC" w14:textId="4A50CE27" w:rsidR="00DC706A" w:rsidRDefault="00CB124A" w:rsidP="0077261B">
      <w:pPr>
        <w:spacing w:line="36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317E9279" wp14:editId="531CA82E">
            <wp:simplePos x="0" y="0"/>
            <wp:positionH relativeFrom="column">
              <wp:posOffset>35507</wp:posOffset>
            </wp:positionH>
            <wp:positionV relativeFrom="paragraph">
              <wp:posOffset>104775</wp:posOffset>
            </wp:positionV>
            <wp:extent cx="5577840" cy="1208531"/>
            <wp:effectExtent l="133350" t="57150" r="80010" b="125095"/>
            <wp:wrapNone/>
            <wp:docPr id="1" name="Picture 1" descr="Four-phase MG strategy implementation pathway: prepare, pilot, scale and impr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g_implementation_flow.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77840" cy="120853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anchor>
        </w:drawing>
      </w:r>
    </w:p>
    <w:p w14:paraId="5E2C27F9" w14:textId="6E5B942F" w:rsidR="00CB124A" w:rsidRDefault="00CB124A" w:rsidP="0077261B">
      <w:pPr>
        <w:spacing w:line="360" w:lineRule="auto"/>
        <w:rPr>
          <w:rFonts w:ascii="Times New Roman" w:hAnsi="Times New Roman" w:cs="Times New Roman"/>
          <w:sz w:val="24"/>
          <w:szCs w:val="24"/>
        </w:rPr>
      </w:pPr>
    </w:p>
    <w:p w14:paraId="47399BF4" w14:textId="18F2FD3B" w:rsidR="000926C0" w:rsidRDefault="000926C0" w:rsidP="0077261B">
      <w:pPr>
        <w:spacing w:line="360" w:lineRule="auto"/>
        <w:rPr>
          <w:rFonts w:ascii="Times New Roman" w:hAnsi="Times New Roman" w:cs="Times New Roman"/>
          <w:sz w:val="24"/>
          <w:szCs w:val="24"/>
        </w:rPr>
      </w:pPr>
    </w:p>
    <w:p w14:paraId="6B278242" w14:textId="77777777" w:rsidR="00CB124A" w:rsidRDefault="00CB124A" w:rsidP="0077261B">
      <w:pPr>
        <w:spacing w:line="360" w:lineRule="auto"/>
        <w:rPr>
          <w:rFonts w:ascii="Times New Roman" w:hAnsi="Times New Roman" w:cs="Times New Roman"/>
          <w:sz w:val="24"/>
          <w:szCs w:val="24"/>
        </w:rPr>
      </w:pPr>
    </w:p>
    <w:p w14:paraId="48685904" w14:textId="77777777" w:rsidR="00CB124A" w:rsidRDefault="00CB124A" w:rsidP="0077261B">
      <w:pPr>
        <w:spacing w:line="360" w:lineRule="auto"/>
        <w:rPr>
          <w:rFonts w:ascii="Times New Roman" w:hAnsi="Times New Roman" w:cs="Times New Roman"/>
          <w:sz w:val="24"/>
          <w:szCs w:val="24"/>
        </w:rPr>
      </w:pPr>
    </w:p>
    <w:p w14:paraId="3900334C" w14:textId="77777777" w:rsidR="00CB124A" w:rsidRDefault="00CB124A" w:rsidP="0077261B">
      <w:pPr>
        <w:spacing w:line="360" w:lineRule="auto"/>
        <w:rPr>
          <w:rFonts w:ascii="Times New Roman" w:hAnsi="Times New Roman" w:cs="Times New Roman"/>
          <w:sz w:val="24"/>
          <w:szCs w:val="24"/>
        </w:rPr>
      </w:pPr>
    </w:p>
    <w:p w14:paraId="29E7ABC5" w14:textId="3BC6A97C" w:rsidR="00CB124A" w:rsidRPr="00CB124A" w:rsidRDefault="00CB124A" w:rsidP="0077261B">
      <w:pPr>
        <w:spacing w:line="360" w:lineRule="auto"/>
        <w:rPr>
          <w:rFonts w:ascii="Times New Roman" w:hAnsi="Times New Roman" w:cs="Times New Roman"/>
          <w:sz w:val="24"/>
          <w:szCs w:val="24"/>
        </w:rPr>
      </w:pPr>
      <w:r w:rsidRPr="00CB124A">
        <w:rPr>
          <w:rFonts w:ascii="Times New Roman" w:hAnsi="Times New Roman" w:cs="Times New Roman"/>
          <w:sz w:val="24"/>
          <w:szCs w:val="24"/>
        </w:rPr>
        <w:t>The success of MG Motor UK's Affordable Intelligent Mobility plan is dependent on its effective execution across all UK activities. SAIC can contribute technical and financial support, but customers will evaluate MG based on vehicle reliability, software, and service. Hrebiniak (2006) contends that initiatives frequently fail when duties are unclear and departments work independently, therefore MG should implement a planned 36-month p</w:t>
      </w:r>
      <w:r>
        <w:rPr>
          <w:rFonts w:ascii="Times New Roman" w:hAnsi="Times New Roman" w:cs="Times New Roman"/>
          <w:sz w:val="24"/>
          <w:szCs w:val="24"/>
        </w:rPr>
        <w:t xml:space="preserve">roject </w:t>
      </w:r>
      <w:r w:rsidRPr="00CB124A">
        <w:rPr>
          <w:rFonts w:ascii="Times New Roman" w:hAnsi="Times New Roman" w:cs="Times New Roman"/>
          <w:sz w:val="24"/>
          <w:szCs w:val="24"/>
        </w:rPr>
        <w:t>with clear leadership, safeguarded funds, and regular assessments. This method will enable management to extend successful initiatives, address flaws, and discontinue low-value investments.</w:t>
      </w:r>
    </w:p>
    <w:p w14:paraId="37B56B00" w14:textId="6F034B69" w:rsidR="00CB124A" w:rsidRPr="00CB124A" w:rsidRDefault="004E2D21" w:rsidP="0077261B">
      <w:pPr>
        <w:spacing w:line="360" w:lineRule="auto"/>
        <w:rPr>
          <w:rFonts w:ascii="Times New Roman" w:hAnsi="Times New Roman" w:cs="Times New Roman"/>
          <w:sz w:val="24"/>
          <w:szCs w:val="24"/>
        </w:rPr>
      </w:pPr>
      <w:r w:rsidRPr="004E2D21">
        <w:rPr>
          <w:rFonts w:ascii="Times New Roman" w:hAnsi="Times New Roman" w:cs="Times New Roman"/>
          <w:sz w:val="24"/>
          <w:szCs w:val="24"/>
        </w:rPr>
        <w:t>As Hrebiniak (2006) argues</w:t>
      </w:r>
      <w:r>
        <w:rPr>
          <w:rFonts w:ascii="Times New Roman" w:hAnsi="Times New Roman" w:cs="Times New Roman"/>
          <w:sz w:val="24"/>
          <w:szCs w:val="24"/>
        </w:rPr>
        <w:t xml:space="preserve"> l</w:t>
      </w:r>
      <w:r w:rsidR="00CB124A" w:rsidRPr="00CB124A">
        <w:rPr>
          <w:rFonts w:ascii="Times New Roman" w:hAnsi="Times New Roman" w:cs="Times New Roman"/>
          <w:sz w:val="24"/>
          <w:szCs w:val="24"/>
        </w:rPr>
        <w:t>eadership responsibilities should be separated, with the MG UK Managing Director remaining accountable while a full-time Pro</w:t>
      </w:r>
      <w:r w:rsidR="00CB124A">
        <w:rPr>
          <w:rFonts w:ascii="Times New Roman" w:hAnsi="Times New Roman" w:cs="Times New Roman"/>
          <w:sz w:val="24"/>
          <w:szCs w:val="24"/>
        </w:rPr>
        <w:t>ject</w:t>
      </w:r>
      <w:r w:rsidR="00CB124A" w:rsidRPr="00CB124A">
        <w:rPr>
          <w:rFonts w:ascii="Times New Roman" w:hAnsi="Times New Roman" w:cs="Times New Roman"/>
          <w:sz w:val="24"/>
          <w:szCs w:val="24"/>
        </w:rPr>
        <w:t xml:space="preserve"> Director oversees daily operations</w:t>
      </w:r>
      <w:r>
        <w:rPr>
          <w:rFonts w:ascii="Times New Roman" w:hAnsi="Times New Roman" w:cs="Times New Roman"/>
          <w:sz w:val="24"/>
          <w:szCs w:val="24"/>
        </w:rPr>
        <w:t>.</w:t>
      </w:r>
      <w:r w:rsidR="00CB124A" w:rsidRPr="00CB124A">
        <w:rPr>
          <w:rFonts w:ascii="Times New Roman" w:hAnsi="Times New Roman" w:cs="Times New Roman"/>
          <w:sz w:val="24"/>
          <w:szCs w:val="24"/>
        </w:rPr>
        <w:t xml:space="preserve"> </w:t>
      </w:r>
      <w:r>
        <w:rPr>
          <w:rFonts w:ascii="Times New Roman" w:hAnsi="Times New Roman" w:cs="Times New Roman"/>
          <w:sz w:val="24"/>
          <w:szCs w:val="24"/>
        </w:rPr>
        <w:t>Additionally, p</w:t>
      </w:r>
      <w:r w:rsidR="00CB124A" w:rsidRPr="00CB124A">
        <w:rPr>
          <w:rFonts w:ascii="Times New Roman" w:hAnsi="Times New Roman" w:cs="Times New Roman"/>
          <w:sz w:val="24"/>
          <w:szCs w:val="24"/>
        </w:rPr>
        <w:t xml:space="preserve">roduct and digital leaders oversee software, linked services, and cybersecurity, while the Aftersales Director </w:t>
      </w:r>
      <w:r w:rsidR="0077261B" w:rsidRPr="00CB124A">
        <w:rPr>
          <w:rFonts w:ascii="Times New Roman" w:hAnsi="Times New Roman" w:cs="Times New Roman"/>
          <w:sz w:val="24"/>
          <w:szCs w:val="24"/>
        </w:rPr>
        <w:t>oversees</w:t>
      </w:r>
      <w:r w:rsidR="00CB124A" w:rsidRPr="00CB124A">
        <w:rPr>
          <w:rFonts w:ascii="Times New Roman" w:hAnsi="Times New Roman" w:cs="Times New Roman"/>
          <w:sz w:val="24"/>
          <w:szCs w:val="24"/>
        </w:rPr>
        <w:t xml:space="preserve"> dealership standards, training, spare parts availability, and repair quality. </w:t>
      </w:r>
      <w:r>
        <w:rPr>
          <w:rFonts w:ascii="Times New Roman" w:hAnsi="Times New Roman" w:cs="Times New Roman"/>
          <w:sz w:val="24"/>
          <w:szCs w:val="24"/>
        </w:rPr>
        <w:t>Furthermore, m</w:t>
      </w:r>
      <w:r w:rsidR="00CB124A" w:rsidRPr="00CB124A">
        <w:rPr>
          <w:rFonts w:ascii="Times New Roman" w:hAnsi="Times New Roman" w:cs="Times New Roman"/>
          <w:sz w:val="24"/>
          <w:szCs w:val="24"/>
        </w:rPr>
        <w:t>arketing executives should strengthen brand positioning and communication, while the Finance Director should monitor spending and distribute cash following each review. The Sustainability and Compliance Lead is responsible for monitoring battery records and environmental regulations, as well as stopping operations that violate legal or sustainability norms.</w:t>
      </w:r>
    </w:p>
    <w:p w14:paraId="45D6AEF3" w14:textId="77777777" w:rsidR="00CB124A" w:rsidRPr="00CB124A" w:rsidRDefault="00CB124A" w:rsidP="0077261B">
      <w:pPr>
        <w:spacing w:line="360" w:lineRule="auto"/>
        <w:rPr>
          <w:rFonts w:ascii="Times New Roman" w:hAnsi="Times New Roman" w:cs="Times New Roman"/>
          <w:sz w:val="24"/>
          <w:szCs w:val="24"/>
        </w:rPr>
      </w:pPr>
    </w:p>
    <w:p w14:paraId="70FCCF1D" w14:textId="60203B6A" w:rsidR="00CB124A" w:rsidRPr="00CB124A" w:rsidRDefault="00CB124A" w:rsidP="0077261B">
      <w:pPr>
        <w:spacing w:line="360" w:lineRule="auto"/>
        <w:rPr>
          <w:rFonts w:ascii="Times New Roman" w:hAnsi="Times New Roman" w:cs="Times New Roman"/>
          <w:sz w:val="24"/>
          <w:szCs w:val="24"/>
        </w:rPr>
      </w:pPr>
      <w:r w:rsidRPr="00CB124A">
        <w:rPr>
          <w:rFonts w:ascii="Times New Roman" w:hAnsi="Times New Roman" w:cs="Times New Roman"/>
          <w:sz w:val="24"/>
          <w:szCs w:val="24"/>
        </w:rPr>
        <w:t>Implementation should include six interconnected areas since technology requires qualified staff and dependable customer service</w:t>
      </w:r>
      <w:r w:rsidR="009C7276" w:rsidRPr="009C7276">
        <w:t xml:space="preserve"> </w:t>
      </w:r>
      <w:r w:rsidR="009C7276" w:rsidRPr="009C7276">
        <w:rPr>
          <w:rFonts w:ascii="Times New Roman" w:hAnsi="Times New Roman" w:cs="Times New Roman"/>
          <w:sz w:val="24"/>
          <w:szCs w:val="24"/>
        </w:rPr>
        <w:t>(Porter, 1985)</w:t>
      </w:r>
      <w:r w:rsidRPr="00CB124A">
        <w:rPr>
          <w:rFonts w:ascii="Times New Roman" w:hAnsi="Times New Roman" w:cs="Times New Roman"/>
          <w:sz w:val="24"/>
          <w:szCs w:val="24"/>
        </w:rPr>
        <w:t>. MG should strengthen its software and cybersecurity, while dealerships will receive role-specific training in electric vehicles, diagnostics, data protection, and customer communication. Spare-parts operations should keep a minimum of UK stock and make alternate supply arrangements, while service procedures should shorten repair times and eliminate repeat trips. Marketing should shift away from price-driven messages and instead show evidence of warranty, safety, ownership costs, and service excellence. Charging partnerships and battery recycling should improve convenience and sustainability, while a single dashboard should integrate financial, consumer, operational, and environmental data</w:t>
      </w:r>
      <w:r w:rsidR="009C7276" w:rsidRPr="009C7276">
        <w:t xml:space="preserve"> </w:t>
      </w:r>
      <w:r w:rsidR="009C7276" w:rsidRPr="009C7276">
        <w:rPr>
          <w:rFonts w:ascii="Times New Roman" w:hAnsi="Times New Roman" w:cs="Times New Roman"/>
          <w:sz w:val="24"/>
          <w:szCs w:val="24"/>
        </w:rPr>
        <w:t>(Hill, Schilling and Jones, 2017</w:t>
      </w:r>
      <w:r w:rsidR="009C7276">
        <w:rPr>
          <w:rFonts w:ascii="Times New Roman" w:hAnsi="Times New Roman" w:cs="Times New Roman"/>
          <w:sz w:val="24"/>
          <w:szCs w:val="24"/>
        </w:rPr>
        <w:t>).</w:t>
      </w:r>
    </w:p>
    <w:p w14:paraId="334B817C" w14:textId="24355FC0" w:rsidR="006207D6" w:rsidRPr="00CB124A" w:rsidRDefault="00CB124A" w:rsidP="006207D6">
      <w:pPr>
        <w:spacing w:line="360" w:lineRule="auto"/>
        <w:rPr>
          <w:rFonts w:ascii="Times New Roman" w:hAnsi="Times New Roman" w:cs="Times New Roman"/>
          <w:sz w:val="24"/>
          <w:szCs w:val="24"/>
        </w:rPr>
      </w:pPr>
      <w:r w:rsidRPr="00CB124A">
        <w:rPr>
          <w:rFonts w:ascii="Times New Roman" w:hAnsi="Times New Roman" w:cs="Times New Roman"/>
          <w:sz w:val="24"/>
          <w:szCs w:val="24"/>
        </w:rPr>
        <w:t>Without an established budget, percentage allocations provide a reasonable starting point. MG might allocate 25% to training and diagnostic equipment, 20% to software and cybersecurity, and 20% to spare parts and service enhancements</w:t>
      </w:r>
      <w:r w:rsidR="004E2D21">
        <w:rPr>
          <w:rFonts w:ascii="Times New Roman" w:hAnsi="Times New Roman" w:cs="Times New Roman"/>
          <w:sz w:val="24"/>
          <w:szCs w:val="24"/>
        </w:rPr>
        <w:t xml:space="preserve"> </w:t>
      </w:r>
      <w:r w:rsidR="004E2D21" w:rsidRPr="004E2D21">
        <w:rPr>
          <w:rFonts w:ascii="Times New Roman" w:hAnsi="Times New Roman" w:cs="Times New Roman"/>
          <w:sz w:val="24"/>
          <w:szCs w:val="24"/>
        </w:rPr>
        <w:t>(Kaplan and Norton, 1996)</w:t>
      </w:r>
      <w:r w:rsidR="004E2D21">
        <w:rPr>
          <w:rFonts w:ascii="Times New Roman" w:hAnsi="Times New Roman" w:cs="Times New Roman"/>
          <w:sz w:val="24"/>
          <w:szCs w:val="24"/>
        </w:rPr>
        <w:t>.</w:t>
      </w:r>
      <w:r w:rsidRPr="00CB124A">
        <w:rPr>
          <w:rFonts w:ascii="Times New Roman" w:hAnsi="Times New Roman" w:cs="Times New Roman"/>
          <w:sz w:val="24"/>
          <w:szCs w:val="24"/>
        </w:rPr>
        <w:t xml:space="preserve"> </w:t>
      </w:r>
      <w:r w:rsidR="004E2D21">
        <w:rPr>
          <w:rFonts w:ascii="Times New Roman" w:hAnsi="Times New Roman" w:cs="Times New Roman"/>
          <w:sz w:val="24"/>
          <w:szCs w:val="24"/>
        </w:rPr>
        <w:t>In addition, c</w:t>
      </w:r>
      <w:r w:rsidRPr="00CB124A">
        <w:rPr>
          <w:rFonts w:ascii="Times New Roman" w:hAnsi="Times New Roman" w:cs="Times New Roman"/>
          <w:sz w:val="24"/>
          <w:szCs w:val="24"/>
        </w:rPr>
        <w:t>ustomer systems and brand development might earn 15%, charging and sustainability partnerships could receive 10%, and pro</w:t>
      </w:r>
      <w:r>
        <w:rPr>
          <w:rFonts w:ascii="Times New Roman" w:hAnsi="Times New Roman" w:cs="Times New Roman"/>
          <w:sz w:val="24"/>
          <w:szCs w:val="24"/>
        </w:rPr>
        <w:t xml:space="preserve">ject </w:t>
      </w:r>
      <w:r w:rsidRPr="00CB124A">
        <w:rPr>
          <w:rFonts w:ascii="Times New Roman" w:hAnsi="Times New Roman" w:cs="Times New Roman"/>
          <w:sz w:val="24"/>
          <w:szCs w:val="24"/>
        </w:rPr>
        <w:t>management and unexpected expenditures could receive the final 10%. During the first three months, the Finance Director should translate these percentages into a business case while protecting funding for safety, training, and customer service.</w:t>
      </w:r>
    </w:p>
    <w:p w14:paraId="58F9B0DA" w14:textId="09772B59" w:rsidR="00CB124A" w:rsidRPr="00CB124A" w:rsidRDefault="00CB124A" w:rsidP="0077261B">
      <w:pPr>
        <w:spacing w:line="360" w:lineRule="auto"/>
        <w:rPr>
          <w:rFonts w:ascii="Times New Roman" w:hAnsi="Times New Roman" w:cs="Times New Roman"/>
          <w:sz w:val="24"/>
          <w:szCs w:val="24"/>
        </w:rPr>
      </w:pPr>
      <w:r w:rsidRPr="00CB124A">
        <w:rPr>
          <w:rFonts w:ascii="Times New Roman" w:hAnsi="Times New Roman" w:cs="Times New Roman"/>
          <w:sz w:val="24"/>
          <w:szCs w:val="24"/>
        </w:rPr>
        <w:t>The initiative should be divided into four phases, each of which should conclude with a formal review before additional funding is provided. In months 1-3, MG should designate leaders, assess current performance, pick 10-15 representative dealerships, and approve the budget, targets, training plan, and risk register. During Months 4-9, these dealerships should test training, diagnostic tools, spare-parts levels, software, and customer communications, with weekly feedback to detect issues. The regional deployment should take place between Months 10 and 18, only once the study has met its safety, service, and financial targets. Months 19-36 should be spent on increasing performance, quantifying benefits, and determining whether European expansion is justified</w:t>
      </w:r>
      <w:r w:rsidR="009C7276" w:rsidRPr="009C7276">
        <w:t xml:space="preserve"> </w:t>
      </w:r>
      <w:r w:rsidR="009C7276" w:rsidRPr="009C7276">
        <w:rPr>
          <w:rFonts w:ascii="Times New Roman" w:hAnsi="Times New Roman" w:cs="Times New Roman"/>
          <w:sz w:val="24"/>
          <w:szCs w:val="24"/>
        </w:rPr>
        <w:t>(Kaplan and Norton, 1996).</w:t>
      </w:r>
    </w:p>
    <w:p w14:paraId="41E2EE53" w14:textId="3FC56F1D" w:rsidR="00CB124A" w:rsidRPr="00CB124A" w:rsidRDefault="004E2D21" w:rsidP="0077261B">
      <w:pPr>
        <w:spacing w:line="360" w:lineRule="auto"/>
        <w:rPr>
          <w:rFonts w:ascii="Times New Roman" w:hAnsi="Times New Roman" w:cs="Times New Roman"/>
          <w:sz w:val="24"/>
          <w:szCs w:val="24"/>
        </w:rPr>
      </w:pPr>
      <w:r w:rsidRPr="004E2D21">
        <w:rPr>
          <w:rFonts w:ascii="Times New Roman" w:hAnsi="Times New Roman" w:cs="Times New Roman"/>
          <w:sz w:val="24"/>
          <w:szCs w:val="24"/>
        </w:rPr>
        <w:t>As Johnson, Whittington and Scholes (2017) emphasize</w:t>
      </w:r>
      <w:r>
        <w:rPr>
          <w:rFonts w:ascii="Times New Roman" w:hAnsi="Times New Roman" w:cs="Times New Roman"/>
          <w:sz w:val="24"/>
          <w:szCs w:val="24"/>
        </w:rPr>
        <w:t xml:space="preserve"> e</w:t>
      </w:r>
      <w:r w:rsidR="00CB124A" w:rsidRPr="00CB124A">
        <w:rPr>
          <w:rFonts w:ascii="Times New Roman" w:hAnsi="Times New Roman" w:cs="Times New Roman"/>
          <w:sz w:val="24"/>
          <w:szCs w:val="24"/>
        </w:rPr>
        <w:t xml:space="preserve">mployee capability and communication will have a significant impact on implementation; thus, training should be tailored to each role's specific requirements and conclude with a practical evaluation. </w:t>
      </w:r>
      <w:r>
        <w:rPr>
          <w:rFonts w:ascii="Times New Roman" w:hAnsi="Times New Roman" w:cs="Times New Roman"/>
          <w:sz w:val="24"/>
          <w:szCs w:val="24"/>
        </w:rPr>
        <w:t>Furthermore, t</w:t>
      </w:r>
      <w:r w:rsidR="00CB124A" w:rsidRPr="00CB124A">
        <w:rPr>
          <w:rFonts w:ascii="Times New Roman" w:hAnsi="Times New Roman" w:cs="Times New Roman"/>
          <w:sz w:val="24"/>
          <w:szCs w:val="24"/>
        </w:rPr>
        <w:t xml:space="preserve">echnicians must be knowledgeable about high voltage, batteries, and diagnostics, while service advisors must adequately explain charging, software, privacy, and repair timelines. </w:t>
      </w:r>
      <w:r>
        <w:rPr>
          <w:rFonts w:ascii="Times New Roman" w:hAnsi="Times New Roman" w:cs="Times New Roman"/>
          <w:sz w:val="24"/>
          <w:szCs w:val="24"/>
        </w:rPr>
        <w:t>Also, s</w:t>
      </w:r>
      <w:r w:rsidR="00CB124A" w:rsidRPr="00CB124A">
        <w:rPr>
          <w:rFonts w:ascii="Times New Roman" w:hAnsi="Times New Roman" w:cs="Times New Roman"/>
          <w:sz w:val="24"/>
          <w:szCs w:val="24"/>
        </w:rPr>
        <w:t xml:space="preserve">alespeople demand correct product and ownership-cost knowledge, whereas managers require data analysis and management abilities. Communication should also be bidirectional, with staff and dealerships attending frequent problem-solving sessions while customers receive clear information about purchases, software upgrades, and </w:t>
      </w:r>
      <w:r w:rsidR="00F5742C" w:rsidRPr="00CB124A">
        <w:rPr>
          <w:rFonts w:ascii="Times New Roman" w:hAnsi="Times New Roman" w:cs="Times New Roman"/>
          <w:sz w:val="24"/>
          <w:szCs w:val="24"/>
        </w:rPr>
        <w:t>services</w:t>
      </w:r>
      <w:r w:rsidR="00CB124A" w:rsidRPr="00CB124A">
        <w:rPr>
          <w:rFonts w:ascii="Times New Roman" w:hAnsi="Times New Roman" w:cs="Times New Roman"/>
          <w:sz w:val="24"/>
          <w:szCs w:val="24"/>
        </w:rPr>
        <w:t>. Management should encourage early detection of problems since concealing flaws may protect short-term sales but harm long-term trust</w:t>
      </w:r>
      <w:r w:rsidR="00607811" w:rsidRPr="00607811">
        <w:t xml:space="preserve"> </w:t>
      </w:r>
      <w:r w:rsidR="00607811" w:rsidRPr="00607811">
        <w:rPr>
          <w:rFonts w:ascii="Times New Roman" w:hAnsi="Times New Roman" w:cs="Times New Roman"/>
          <w:sz w:val="24"/>
          <w:szCs w:val="24"/>
        </w:rPr>
        <w:t>(Johnson et al., 2017).</w:t>
      </w:r>
    </w:p>
    <w:p w14:paraId="0D5A2B15" w14:textId="5A051885" w:rsidR="00CB124A" w:rsidRPr="00CB124A" w:rsidRDefault="00CB124A" w:rsidP="0077261B">
      <w:pPr>
        <w:spacing w:line="360" w:lineRule="auto"/>
        <w:rPr>
          <w:rFonts w:ascii="Times New Roman" w:hAnsi="Times New Roman" w:cs="Times New Roman"/>
          <w:sz w:val="24"/>
          <w:szCs w:val="24"/>
        </w:rPr>
      </w:pPr>
      <w:r w:rsidRPr="00CB124A">
        <w:rPr>
          <w:rFonts w:ascii="Times New Roman" w:hAnsi="Times New Roman" w:cs="Times New Roman"/>
          <w:sz w:val="24"/>
          <w:szCs w:val="24"/>
        </w:rPr>
        <w:t>MG must deal with software failures, parts shortages, inconsistent dealership capability, excessive discounts, customer privacy concerns, and environmental noncompliance. Independent security and safety testing should be performed on software, and major issues should be addressed before a release is made</w:t>
      </w:r>
      <w:r w:rsidR="004E2D21" w:rsidRPr="004E2D21">
        <w:rPr>
          <w:rFonts w:ascii="Arial" w:hAnsi="Arial" w:cs="Arial"/>
          <w:color w:val="040102"/>
          <w:sz w:val="21"/>
          <w:szCs w:val="21"/>
          <w:shd w:val="clear" w:color="auto" w:fill="FFFFFF"/>
        </w:rPr>
        <w:t xml:space="preserve"> </w:t>
      </w:r>
      <w:r w:rsidR="004E2D21" w:rsidRPr="004E2D21">
        <w:rPr>
          <w:rFonts w:ascii="Times New Roman" w:hAnsi="Times New Roman" w:cs="Times New Roman"/>
          <w:sz w:val="24"/>
          <w:szCs w:val="24"/>
        </w:rPr>
        <w:t>(Maldonado, 2026)</w:t>
      </w:r>
      <w:r w:rsidR="004E2D21">
        <w:rPr>
          <w:rFonts w:ascii="Times New Roman" w:hAnsi="Times New Roman" w:cs="Times New Roman"/>
          <w:sz w:val="24"/>
          <w:szCs w:val="24"/>
        </w:rPr>
        <w:t>.</w:t>
      </w:r>
      <w:r w:rsidRPr="00CB124A">
        <w:rPr>
          <w:rFonts w:ascii="Times New Roman" w:hAnsi="Times New Roman" w:cs="Times New Roman"/>
          <w:sz w:val="24"/>
          <w:szCs w:val="24"/>
        </w:rPr>
        <w:t xml:space="preserve"> Minimum UK parts stock, alternative suppliers, and backup transport should reduce service disruption, while dealerships who perform poorly should be coached and certified later. Marketing discounts should require financial permission because continual price cuts may harm profit and brand positioning. Battery suppliers and environmental claims should also be supported by comprehensive documentation and successful audits, and any non-compliant activity should be halted until the required standard is met</w:t>
      </w:r>
      <w:r w:rsidR="00BD710B" w:rsidRPr="00BD710B">
        <w:t xml:space="preserve"> </w:t>
      </w:r>
      <w:r w:rsidR="00BD710B" w:rsidRPr="00BD710B">
        <w:rPr>
          <w:rFonts w:ascii="Times New Roman" w:hAnsi="Times New Roman" w:cs="Times New Roman"/>
          <w:sz w:val="24"/>
          <w:szCs w:val="24"/>
        </w:rPr>
        <w:t>(Hrebiniak, 2006)</w:t>
      </w:r>
      <w:r w:rsidR="00BD710B">
        <w:rPr>
          <w:rFonts w:ascii="Times New Roman" w:hAnsi="Times New Roman" w:cs="Times New Roman"/>
          <w:sz w:val="24"/>
          <w:szCs w:val="24"/>
        </w:rPr>
        <w:t>.</w:t>
      </w:r>
    </w:p>
    <w:p w14:paraId="7FAC82BD" w14:textId="3AFD0173" w:rsidR="00CB124A" w:rsidRDefault="00AF5286" w:rsidP="0077261B">
      <w:pPr>
        <w:spacing w:line="360" w:lineRule="auto"/>
        <w:rPr>
          <w:rFonts w:ascii="Times New Roman" w:hAnsi="Times New Roman" w:cs="Times New Roman"/>
          <w:sz w:val="24"/>
          <w:szCs w:val="24"/>
        </w:rPr>
      </w:pPr>
      <w:r>
        <w:rPr>
          <w:rFonts w:ascii="Times New Roman" w:hAnsi="Times New Roman" w:cs="Times New Roman"/>
          <w:sz w:val="24"/>
          <w:szCs w:val="24"/>
        </w:rPr>
        <w:t>A</w:t>
      </w:r>
      <w:r w:rsidRPr="00AF5286">
        <w:rPr>
          <w:rFonts w:ascii="Times New Roman" w:hAnsi="Times New Roman" w:cs="Times New Roman"/>
          <w:sz w:val="24"/>
          <w:szCs w:val="24"/>
        </w:rPr>
        <w:t>s Kaplan and Norton (1996) emphasize, organizations must use both financial and non</w:t>
      </w:r>
      <w:r w:rsidRPr="00AF5286">
        <w:rPr>
          <w:rFonts w:ascii="Times New Roman" w:hAnsi="Times New Roman" w:cs="Times New Roman"/>
          <w:sz w:val="24"/>
          <w:szCs w:val="24"/>
        </w:rPr>
        <w:noBreakHyphen/>
        <w:t>financial indicators to ensure operational issues are not hidden by headline sales performance</w:t>
      </w:r>
      <w:r>
        <w:rPr>
          <w:rFonts w:ascii="Times New Roman" w:hAnsi="Times New Roman" w:cs="Times New Roman"/>
          <w:sz w:val="24"/>
          <w:szCs w:val="24"/>
        </w:rPr>
        <w:t>. Also, s</w:t>
      </w:r>
      <w:r w:rsidRPr="00CB124A">
        <w:rPr>
          <w:rFonts w:ascii="Times New Roman" w:hAnsi="Times New Roman" w:cs="Times New Roman"/>
          <w:sz w:val="24"/>
          <w:szCs w:val="24"/>
        </w:rPr>
        <w:t>pending</w:t>
      </w:r>
      <w:r w:rsidR="00CB124A" w:rsidRPr="00CB124A">
        <w:rPr>
          <w:rFonts w:ascii="Times New Roman" w:hAnsi="Times New Roman" w:cs="Times New Roman"/>
          <w:sz w:val="24"/>
          <w:szCs w:val="24"/>
        </w:rPr>
        <w:t xml:space="preserve"> should not exceed 5% of each approved phase budget, while customer satisfaction should increase by 10% and warranty or software complaints should decrease by 20% by Month 18. </w:t>
      </w:r>
      <w:r>
        <w:rPr>
          <w:rFonts w:ascii="Times New Roman" w:hAnsi="Times New Roman" w:cs="Times New Roman"/>
          <w:sz w:val="24"/>
          <w:szCs w:val="24"/>
        </w:rPr>
        <w:t>In addition, i</w:t>
      </w:r>
      <w:r w:rsidR="00CB124A" w:rsidRPr="00CB124A">
        <w:rPr>
          <w:rFonts w:ascii="Times New Roman" w:hAnsi="Times New Roman" w:cs="Times New Roman"/>
          <w:sz w:val="24"/>
          <w:szCs w:val="24"/>
        </w:rPr>
        <w:t>mportant spare parts should be available at least 95% of the time, with average repair times reduced by 20% and recurrent repairs reduced by 15%. MG should certify 90% of trial workers by Month 9 and at least 95% of participating dealerships prior to each rollout stage. Overall, MG should expand only when safety, service, capabilities, and financial criteria are met, and European expansion should be postponed until UK performance is consistent for two consecutive quarters</w:t>
      </w:r>
      <w:r w:rsidR="00607811" w:rsidRPr="00607811">
        <w:t xml:space="preserve"> </w:t>
      </w:r>
      <w:r w:rsidR="00607811" w:rsidRPr="00607811">
        <w:rPr>
          <w:rFonts w:ascii="Times New Roman" w:hAnsi="Times New Roman" w:cs="Times New Roman"/>
          <w:sz w:val="24"/>
          <w:szCs w:val="24"/>
        </w:rPr>
        <w:t>(Johnson et al., 2017)</w:t>
      </w:r>
      <w:r w:rsidR="00607811">
        <w:rPr>
          <w:rFonts w:ascii="Times New Roman" w:hAnsi="Times New Roman" w:cs="Times New Roman"/>
          <w:sz w:val="24"/>
          <w:szCs w:val="24"/>
        </w:rPr>
        <w:t>.</w:t>
      </w:r>
    </w:p>
    <w:p w14:paraId="6B942C87" w14:textId="77777777" w:rsidR="0077261B" w:rsidRDefault="0077261B" w:rsidP="0077261B">
      <w:pPr>
        <w:spacing w:line="360" w:lineRule="auto"/>
        <w:rPr>
          <w:rFonts w:ascii="Times New Roman" w:hAnsi="Times New Roman" w:cs="Times New Roman"/>
          <w:sz w:val="24"/>
          <w:szCs w:val="24"/>
        </w:rPr>
      </w:pPr>
    </w:p>
    <w:p w14:paraId="1253395E" w14:textId="77777777" w:rsidR="0077261B" w:rsidRDefault="0077261B" w:rsidP="0077261B">
      <w:pPr>
        <w:spacing w:line="360" w:lineRule="auto"/>
        <w:rPr>
          <w:rFonts w:ascii="Times New Roman" w:hAnsi="Times New Roman" w:cs="Times New Roman"/>
          <w:sz w:val="24"/>
          <w:szCs w:val="24"/>
        </w:rPr>
      </w:pPr>
    </w:p>
    <w:p w14:paraId="2CC31235" w14:textId="172D7D55" w:rsidR="0077261B" w:rsidRPr="00AF5286" w:rsidRDefault="0077261B" w:rsidP="0077261B">
      <w:pPr>
        <w:spacing w:line="360" w:lineRule="auto"/>
        <w:rPr>
          <w:rFonts w:ascii="Times New Roman" w:hAnsi="Times New Roman" w:cs="Times New Roman"/>
          <w:b/>
          <w:bCs/>
          <w:sz w:val="28"/>
          <w:szCs w:val="28"/>
        </w:rPr>
      </w:pPr>
      <w:r w:rsidRPr="0077261B">
        <w:rPr>
          <w:rFonts w:ascii="Times New Roman" w:hAnsi="Times New Roman" w:cs="Times New Roman"/>
          <w:b/>
          <w:bCs/>
          <w:sz w:val="28"/>
          <w:szCs w:val="28"/>
        </w:rPr>
        <w:t>Conclusion and Recommendation</w:t>
      </w:r>
    </w:p>
    <w:p w14:paraId="529E4369" w14:textId="3C2067F6" w:rsidR="0077261B" w:rsidRDefault="0077261B" w:rsidP="0077261B">
      <w:pPr>
        <w:spacing w:line="360" w:lineRule="auto"/>
        <w:rPr>
          <w:rFonts w:ascii="Times New Roman" w:hAnsi="Times New Roman" w:cs="Times New Roman"/>
          <w:sz w:val="24"/>
          <w:szCs w:val="24"/>
        </w:rPr>
      </w:pPr>
      <w:r w:rsidRPr="0077261B">
        <w:rPr>
          <w:rFonts w:ascii="Times New Roman" w:hAnsi="Times New Roman" w:cs="Times New Roman"/>
          <w:sz w:val="24"/>
          <w:szCs w:val="24"/>
        </w:rPr>
        <w:t xml:space="preserve">MG has </w:t>
      </w:r>
      <w:r w:rsidR="004E2D21">
        <w:rPr>
          <w:rFonts w:ascii="Times New Roman" w:hAnsi="Times New Roman" w:cs="Times New Roman"/>
          <w:sz w:val="24"/>
          <w:szCs w:val="24"/>
        </w:rPr>
        <w:t>strong</w:t>
      </w:r>
      <w:r w:rsidRPr="0077261B">
        <w:rPr>
          <w:rFonts w:ascii="Times New Roman" w:hAnsi="Times New Roman" w:cs="Times New Roman"/>
          <w:sz w:val="24"/>
          <w:szCs w:val="24"/>
        </w:rPr>
        <w:t xml:space="preserve"> potential for controlled growth in the UK due to its existing brand, inexpensive vehicles, and SAIC technology. However, MG's concentrated differentiation strategy can only be successful if it increases dealership capabilities, software dependability, spare-parts availability, and customer service.</w:t>
      </w:r>
    </w:p>
    <w:p w14:paraId="1C8CE9EA" w14:textId="0076FB05" w:rsidR="0077261B" w:rsidRPr="0077261B" w:rsidRDefault="00F5742C" w:rsidP="0077261B">
      <w:pPr>
        <w:spacing w:line="360" w:lineRule="auto"/>
        <w:rPr>
          <w:rFonts w:ascii="Times New Roman" w:hAnsi="Times New Roman" w:cs="Times New Roman"/>
          <w:sz w:val="24"/>
          <w:szCs w:val="24"/>
        </w:rPr>
      </w:pPr>
      <w:r>
        <w:rPr>
          <w:rFonts w:ascii="Times New Roman" w:hAnsi="Times New Roman" w:cs="Times New Roman"/>
          <w:sz w:val="24"/>
          <w:szCs w:val="24"/>
        </w:rPr>
        <w:t>Recommendations</w:t>
      </w:r>
      <w:r w:rsidR="005212CC">
        <w:rPr>
          <w:rFonts w:ascii="Times New Roman" w:hAnsi="Times New Roman" w:cs="Times New Roman"/>
          <w:sz w:val="24"/>
          <w:szCs w:val="24"/>
        </w:rPr>
        <w:t xml:space="preserve"> for MG are:</w:t>
      </w:r>
    </w:p>
    <w:p w14:paraId="64F67685" w14:textId="56D8DCAB" w:rsidR="0077261B" w:rsidRPr="0077261B" w:rsidRDefault="0077261B" w:rsidP="0077261B">
      <w:pPr>
        <w:spacing w:line="360" w:lineRule="auto"/>
        <w:rPr>
          <w:rFonts w:ascii="Times New Roman" w:hAnsi="Times New Roman" w:cs="Times New Roman"/>
          <w:sz w:val="24"/>
          <w:szCs w:val="24"/>
        </w:rPr>
      </w:pPr>
      <w:r>
        <w:rPr>
          <w:rFonts w:ascii="Times New Roman" w:hAnsi="Times New Roman" w:cs="Times New Roman"/>
          <w:sz w:val="24"/>
          <w:szCs w:val="24"/>
        </w:rPr>
        <w:t>1.</w:t>
      </w:r>
      <w:r w:rsidRPr="0077261B">
        <w:rPr>
          <w:rFonts w:ascii="Times New Roman" w:hAnsi="Times New Roman" w:cs="Times New Roman"/>
          <w:sz w:val="24"/>
          <w:szCs w:val="24"/>
        </w:rPr>
        <w:t>Appoint a pro</w:t>
      </w:r>
      <w:r>
        <w:rPr>
          <w:rFonts w:ascii="Times New Roman" w:hAnsi="Times New Roman" w:cs="Times New Roman"/>
          <w:sz w:val="24"/>
          <w:szCs w:val="24"/>
        </w:rPr>
        <w:t xml:space="preserve">ject </w:t>
      </w:r>
      <w:r w:rsidRPr="0077261B">
        <w:rPr>
          <w:rFonts w:ascii="Times New Roman" w:hAnsi="Times New Roman" w:cs="Times New Roman"/>
          <w:sz w:val="24"/>
          <w:szCs w:val="24"/>
        </w:rPr>
        <w:t>director to oversee implementation.</w:t>
      </w:r>
    </w:p>
    <w:p w14:paraId="5E2DB537" w14:textId="1CB88135" w:rsidR="0077261B" w:rsidRPr="0077261B" w:rsidRDefault="0077261B" w:rsidP="0077261B">
      <w:pPr>
        <w:spacing w:line="360" w:lineRule="auto"/>
        <w:rPr>
          <w:rFonts w:ascii="Times New Roman" w:hAnsi="Times New Roman" w:cs="Times New Roman"/>
          <w:sz w:val="24"/>
          <w:szCs w:val="24"/>
        </w:rPr>
      </w:pPr>
      <w:r>
        <w:rPr>
          <w:rFonts w:ascii="Times New Roman" w:hAnsi="Times New Roman" w:cs="Times New Roman"/>
          <w:sz w:val="24"/>
          <w:szCs w:val="24"/>
        </w:rPr>
        <w:t>2.</w:t>
      </w:r>
      <w:r w:rsidRPr="0077261B">
        <w:rPr>
          <w:rFonts w:ascii="Times New Roman" w:hAnsi="Times New Roman" w:cs="Times New Roman"/>
          <w:sz w:val="24"/>
          <w:szCs w:val="24"/>
        </w:rPr>
        <w:t>Approve the implementation budget and performance targets by the third month.</w:t>
      </w:r>
    </w:p>
    <w:p w14:paraId="1A8DE436" w14:textId="0B178777" w:rsidR="0077261B" w:rsidRPr="0077261B" w:rsidRDefault="0077261B" w:rsidP="0077261B">
      <w:pPr>
        <w:spacing w:line="360" w:lineRule="auto"/>
        <w:rPr>
          <w:rFonts w:ascii="Times New Roman" w:hAnsi="Times New Roman" w:cs="Times New Roman"/>
          <w:sz w:val="24"/>
          <w:szCs w:val="24"/>
        </w:rPr>
      </w:pPr>
      <w:r>
        <w:rPr>
          <w:rFonts w:ascii="Times New Roman" w:hAnsi="Times New Roman" w:cs="Times New Roman"/>
          <w:sz w:val="24"/>
          <w:szCs w:val="24"/>
        </w:rPr>
        <w:t>3.</w:t>
      </w:r>
      <w:r w:rsidRPr="0077261B">
        <w:rPr>
          <w:rFonts w:ascii="Times New Roman" w:hAnsi="Times New Roman" w:cs="Times New Roman"/>
          <w:sz w:val="24"/>
          <w:szCs w:val="24"/>
        </w:rPr>
        <w:t>During months 4 through 9, test the plan at 10-15 dealerships.</w:t>
      </w:r>
    </w:p>
    <w:p w14:paraId="5078AE4D" w14:textId="487CB07B" w:rsidR="0077261B" w:rsidRPr="0077261B" w:rsidRDefault="0077261B" w:rsidP="0077261B">
      <w:pPr>
        <w:spacing w:line="360" w:lineRule="auto"/>
        <w:rPr>
          <w:rFonts w:ascii="Times New Roman" w:hAnsi="Times New Roman" w:cs="Times New Roman"/>
          <w:sz w:val="24"/>
          <w:szCs w:val="24"/>
        </w:rPr>
      </w:pPr>
      <w:r>
        <w:rPr>
          <w:rFonts w:ascii="Times New Roman" w:hAnsi="Times New Roman" w:cs="Times New Roman"/>
          <w:sz w:val="24"/>
          <w:szCs w:val="24"/>
        </w:rPr>
        <w:t>4.</w:t>
      </w:r>
      <w:r w:rsidRPr="0077261B">
        <w:rPr>
          <w:rFonts w:ascii="Times New Roman" w:hAnsi="Times New Roman" w:cs="Times New Roman"/>
          <w:sz w:val="24"/>
          <w:szCs w:val="24"/>
        </w:rPr>
        <w:t>Before expanding the initiative nationally, dealers must be trained and certified.</w:t>
      </w:r>
    </w:p>
    <w:p w14:paraId="499E2C3C" w14:textId="61D6406B" w:rsidR="0077261B" w:rsidRDefault="0077261B" w:rsidP="0077261B">
      <w:pPr>
        <w:spacing w:line="360" w:lineRule="auto"/>
        <w:rPr>
          <w:rFonts w:ascii="Times New Roman" w:hAnsi="Times New Roman" w:cs="Times New Roman"/>
          <w:sz w:val="24"/>
          <w:szCs w:val="24"/>
        </w:rPr>
      </w:pPr>
      <w:r>
        <w:rPr>
          <w:rFonts w:ascii="Times New Roman" w:hAnsi="Times New Roman" w:cs="Times New Roman"/>
          <w:sz w:val="24"/>
          <w:szCs w:val="24"/>
        </w:rPr>
        <w:t>5.</w:t>
      </w:r>
      <w:r w:rsidRPr="0077261B">
        <w:rPr>
          <w:rFonts w:ascii="Times New Roman" w:hAnsi="Times New Roman" w:cs="Times New Roman"/>
          <w:sz w:val="24"/>
          <w:szCs w:val="24"/>
        </w:rPr>
        <w:t>Review performance regularly and postpone European expansion until UK targets are met.</w:t>
      </w:r>
    </w:p>
    <w:p w14:paraId="7063A6DC" w14:textId="77777777" w:rsidR="0077261B" w:rsidRDefault="0077261B" w:rsidP="0077261B">
      <w:pPr>
        <w:spacing w:line="360" w:lineRule="auto"/>
        <w:rPr>
          <w:rFonts w:ascii="Times New Roman" w:hAnsi="Times New Roman" w:cs="Times New Roman"/>
          <w:sz w:val="24"/>
          <w:szCs w:val="24"/>
        </w:rPr>
      </w:pPr>
    </w:p>
    <w:p w14:paraId="750A2645" w14:textId="77777777" w:rsidR="0077261B" w:rsidRDefault="0077261B" w:rsidP="0077261B">
      <w:pPr>
        <w:spacing w:line="360" w:lineRule="auto"/>
        <w:rPr>
          <w:rFonts w:ascii="Times New Roman" w:hAnsi="Times New Roman" w:cs="Times New Roman"/>
          <w:sz w:val="24"/>
          <w:szCs w:val="24"/>
        </w:rPr>
      </w:pPr>
    </w:p>
    <w:p w14:paraId="23B5DA18" w14:textId="77777777" w:rsidR="0077261B" w:rsidRDefault="0077261B" w:rsidP="0077261B">
      <w:pPr>
        <w:spacing w:line="360" w:lineRule="auto"/>
        <w:rPr>
          <w:rFonts w:ascii="Times New Roman" w:hAnsi="Times New Roman" w:cs="Times New Roman"/>
          <w:sz w:val="24"/>
          <w:szCs w:val="24"/>
        </w:rPr>
      </w:pPr>
    </w:p>
    <w:p w14:paraId="4D94AF3D" w14:textId="77777777" w:rsidR="0077261B" w:rsidRDefault="0077261B" w:rsidP="0077261B">
      <w:pPr>
        <w:spacing w:line="360" w:lineRule="auto"/>
        <w:rPr>
          <w:rFonts w:ascii="Times New Roman" w:hAnsi="Times New Roman" w:cs="Times New Roman"/>
          <w:sz w:val="24"/>
          <w:szCs w:val="24"/>
        </w:rPr>
      </w:pPr>
    </w:p>
    <w:p w14:paraId="789CBCEA" w14:textId="77777777" w:rsidR="0077261B" w:rsidRDefault="0077261B" w:rsidP="0077261B">
      <w:pPr>
        <w:spacing w:line="360" w:lineRule="auto"/>
        <w:rPr>
          <w:rFonts w:ascii="Times New Roman" w:hAnsi="Times New Roman" w:cs="Times New Roman"/>
          <w:sz w:val="24"/>
          <w:szCs w:val="24"/>
        </w:rPr>
      </w:pPr>
    </w:p>
    <w:p w14:paraId="4BA4D5AC" w14:textId="77777777" w:rsidR="0077261B" w:rsidRDefault="0077261B" w:rsidP="0077261B">
      <w:pPr>
        <w:spacing w:line="360" w:lineRule="auto"/>
        <w:rPr>
          <w:rFonts w:ascii="Times New Roman" w:hAnsi="Times New Roman" w:cs="Times New Roman"/>
          <w:sz w:val="24"/>
          <w:szCs w:val="24"/>
        </w:rPr>
      </w:pPr>
    </w:p>
    <w:p w14:paraId="34C43C5E" w14:textId="77777777" w:rsidR="0077261B" w:rsidRDefault="0077261B" w:rsidP="0077261B">
      <w:pPr>
        <w:spacing w:line="360" w:lineRule="auto"/>
        <w:rPr>
          <w:rFonts w:ascii="Times New Roman" w:hAnsi="Times New Roman" w:cs="Times New Roman"/>
          <w:sz w:val="24"/>
          <w:szCs w:val="24"/>
        </w:rPr>
      </w:pPr>
    </w:p>
    <w:p w14:paraId="05870E14" w14:textId="77777777" w:rsidR="0077261B" w:rsidRDefault="0077261B" w:rsidP="0077261B">
      <w:pPr>
        <w:spacing w:line="360" w:lineRule="auto"/>
        <w:rPr>
          <w:rFonts w:ascii="Times New Roman" w:hAnsi="Times New Roman" w:cs="Times New Roman"/>
          <w:sz w:val="24"/>
          <w:szCs w:val="24"/>
        </w:rPr>
      </w:pPr>
    </w:p>
    <w:p w14:paraId="42051A11" w14:textId="77777777" w:rsidR="0077261B" w:rsidRDefault="0077261B" w:rsidP="0077261B">
      <w:pPr>
        <w:spacing w:line="360" w:lineRule="auto"/>
        <w:rPr>
          <w:rFonts w:ascii="Times New Roman" w:hAnsi="Times New Roman" w:cs="Times New Roman"/>
          <w:sz w:val="24"/>
          <w:szCs w:val="24"/>
        </w:rPr>
      </w:pPr>
    </w:p>
    <w:p w14:paraId="39A0BBC1" w14:textId="77777777" w:rsidR="0077261B" w:rsidRDefault="0077261B" w:rsidP="0077261B">
      <w:pPr>
        <w:spacing w:line="360" w:lineRule="auto"/>
        <w:rPr>
          <w:rFonts w:ascii="Times New Roman" w:hAnsi="Times New Roman" w:cs="Times New Roman"/>
          <w:sz w:val="24"/>
          <w:szCs w:val="24"/>
        </w:rPr>
      </w:pPr>
    </w:p>
    <w:p w14:paraId="32B1C8E1" w14:textId="77777777" w:rsidR="0077261B" w:rsidRDefault="0077261B" w:rsidP="0077261B">
      <w:pPr>
        <w:spacing w:line="360" w:lineRule="auto"/>
        <w:rPr>
          <w:rFonts w:ascii="Times New Roman" w:hAnsi="Times New Roman" w:cs="Times New Roman"/>
          <w:sz w:val="24"/>
          <w:szCs w:val="24"/>
        </w:rPr>
      </w:pPr>
    </w:p>
    <w:p w14:paraId="284AF18A" w14:textId="77777777" w:rsidR="0077261B" w:rsidRDefault="0077261B" w:rsidP="0077261B">
      <w:pPr>
        <w:spacing w:line="360" w:lineRule="auto"/>
        <w:rPr>
          <w:rFonts w:ascii="Times New Roman" w:hAnsi="Times New Roman" w:cs="Times New Roman"/>
          <w:sz w:val="24"/>
          <w:szCs w:val="24"/>
        </w:rPr>
      </w:pPr>
    </w:p>
    <w:p w14:paraId="31577DDF" w14:textId="77777777" w:rsidR="0077261B" w:rsidRDefault="0077261B" w:rsidP="0077261B">
      <w:pPr>
        <w:spacing w:line="360" w:lineRule="auto"/>
        <w:rPr>
          <w:rFonts w:ascii="Times New Roman" w:hAnsi="Times New Roman" w:cs="Times New Roman"/>
          <w:sz w:val="24"/>
          <w:szCs w:val="24"/>
        </w:rPr>
      </w:pPr>
    </w:p>
    <w:p w14:paraId="6CF52512" w14:textId="77777777" w:rsidR="0077261B" w:rsidRDefault="0077261B" w:rsidP="0077261B">
      <w:pPr>
        <w:spacing w:line="360" w:lineRule="auto"/>
        <w:rPr>
          <w:rFonts w:ascii="Times New Roman" w:hAnsi="Times New Roman" w:cs="Times New Roman"/>
          <w:sz w:val="24"/>
          <w:szCs w:val="24"/>
        </w:rPr>
      </w:pPr>
    </w:p>
    <w:p w14:paraId="66A775DA" w14:textId="77777777" w:rsidR="006207D6" w:rsidRDefault="006207D6" w:rsidP="0077261B">
      <w:pPr>
        <w:spacing w:line="360" w:lineRule="auto"/>
        <w:rPr>
          <w:rFonts w:ascii="Times New Roman" w:hAnsi="Times New Roman" w:cs="Times New Roman"/>
          <w:sz w:val="24"/>
          <w:szCs w:val="24"/>
        </w:rPr>
      </w:pPr>
    </w:p>
    <w:p w14:paraId="425F56DF" w14:textId="77777777" w:rsidR="006207D6" w:rsidRDefault="006207D6" w:rsidP="0077261B">
      <w:pPr>
        <w:spacing w:line="360" w:lineRule="auto"/>
        <w:rPr>
          <w:rFonts w:ascii="Times New Roman" w:hAnsi="Times New Roman" w:cs="Times New Roman"/>
          <w:sz w:val="24"/>
          <w:szCs w:val="24"/>
        </w:rPr>
      </w:pPr>
    </w:p>
    <w:p w14:paraId="03F96506" w14:textId="77777777" w:rsidR="006207D6" w:rsidRDefault="006207D6" w:rsidP="0077261B">
      <w:pPr>
        <w:spacing w:line="360" w:lineRule="auto"/>
        <w:rPr>
          <w:rFonts w:ascii="Times New Roman" w:hAnsi="Times New Roman" w:cs="Times New Roman"/>
          <w:sz w:val="24"/>
          <w:szCs w:val="24"/>
        </w:rPr>
      </w:pPr>
    </w:p>
    <w:p w14:paraId="0E1F55D8" w14:textId="77777777" w:rsidR="006207D6" w:rsidRDefault="006207D6" w:rsidP="0077261B">
      <w:pPr>
        <w:spacing w:line="360" w:lineRule="auto"/>
        <w:rPr>
          <w:rFonts w:ascii="Times New Roman" w:hAnsi="Times New Roman" w:cs="Times New Roman"/>
          <w:sz w:val="24"/>
          <w:szCs w:val="24"/>
        </w:rPr>
      </w:pPr>
    </w:p>
    <w:p w14:paraId="4E3D41EA" w14:textId="77777777" w:rsidR="006207D6" w:rsidRDefault="006207D6" w:rsidP="0077261B">
      <w:pPr>
        <w:spacing w:line="360" w:lineRule="auto"/>
        <w:rPr>
          <w:rFonts w:ascii="Times New Roman" w:hAnsi="Times New Roman" w:cs="Times New Roman"/>
          <w:sz w:val="24"/>
          <w:szCs w:val="24"/>
        </w:rPr>
      </w:pPr>
    </w:p>
    <w:p w14:paraId="637696D9" w14:textId="77777777" w:rsidR="0077261B" w:rsidRDefault="0077261B" w:rsidP="0077261B">
      <w:pPr>
        <w:spacing w:line="360" w:lineRule="auto"/>
        <w:rPr>
          <w:rFonts w:ascii="Times New Roman" w:hAnsi="Times New Roman" w:cs="Times New Roman"/>
          <w:sz w:val="24"/>
          <w:szCs w:val="24"/>
        </w:rPr>
      </w:pPr>
    </w:p>
    <w:p w14:paraId="7B04E58B" w14:textId="13D6A5BF" w:rsidR="0077261B" w:rsidRPr="00E235C6" w:rsidRDefault="00AE5682" w:rsidP="00E235C6">
      <w:pPr>
        <w:spacing w:line="360" w:lineRule="auto"/>
        <w:rPr>
          <w:rFonts w:ascii="Times New Roman" w:hAnsi="Times New Roman" w:cs="Times New Roman"/>
          <w:sz w:val="28"/>
          <w:szCs w:val="28"/>
        </w:rPr>
      </w:pPr>
      <w:r w:rsidRPr="00E235C6">
        <w:rPr>
          <w:rFonts w:ascii="Times New Roman" w:hAnsi="Times New Roman" w:cs="Times New Roman"/>
          <w:sz w:val="24"/>
          <w:szCs w:val="24"/>
        </w:rPr>
        <w:t xml:space="preserve">     </w:t>
      </w:r>
      <w:r w:rsidR="0077261B" w:rsidRPr="00E235C6">
        <w:rPr>
          <w:rFonts w:ascii="Times New Roman" w:hAnsi="Times New Roman" w:cs="Times New Roman"/>
          <w:sz w:val="24"/>
          <w:szCs w:val="24"/>
        </w:rPr>
        <w:t xml:space="preserve"> </w:t>
      </w:r>
      <w:r w:rsidR="0077261B" w:rsidRPr="00E235C6">
        <w:rPr>
          <w:rFonts w:ascii="Times New Roman" w:hAnsi="Times New Roman" w:cs="Times New Roman"/>
          <w:sz w:val="28"/>
          <w:szCs w:val="28"/>
        </w:rPr>
        <w:t xml:space="preserve"> References</w:t>
      </w:r>
    </w:p>
    <w:p w14:paraId="1E39A6C0"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Barney, J.B. and Hesterly, W.S. (2015) </w:t>
      </w:r>
      <w:r w:rsidRPr="00E235C6">
        <w:rPr>
          <w:rFonts w:ascii="Times New Roman" w:hAnsi="Times New Roman" w:cs="Times New Roman"/>
          <w:i/>
          <w:iCs/>
          <w:lang w:val="en-GB"/>
        </w:rPr>
        <w:t>Strategic Management and Competitive Advantage: Concepts and Cases</w:t>
      </w:r>
      <w:r w:rsidRPr="00E235C6">
        <w:rPr>
          <w:rFonts w:ascii="Times New Roman" w:hAnsi="Times New Roman" w:cs="Times New Roman"/>
          <w:lang w:val="en-GB"/>
        </w:rPr>
        <w:t>. 5th edn. Harlow: Pearson.</w:t>
      </w:r>
    </w:p>
    <w:p w14:paraId="24BEDD42" w14:textId="55C2B985"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Department for Transport (2025) </w:t>
      </w:r>
      <w:r w:rsidRPr="00E235C6">
        <w:rPr>
          <w:rFonts w:ascii="Times New Roman" w:hAnsi="Times New Roman" w:cs="Times New Roman"/>
          <w:i/>
          <w:iCs/>
          <w:lang w:val="en-GB"/>
        </w:rPr>
        <w:t>Zero Emission Vehicle Mandate Policy</w:t>
      </w:r>
      <w:r w:rsidRPr="00E235C6">
        <w:rPr>
          <w:rFonts w:ascii="Times New Roman" w:hAnsi="Times New Roman" w:cs="Times New Roman"/>
          <w:lang w:val="en-GB"/>
        </w:rPr>
        <w:t>. Available at: https://www.gov.uk/government/publications/zero-emission-vehicle-mandate</w:t>
      </w:r>
      <w:r w:rsidR="00B1121F">
        <w:rPr>
          <w:rFonts w:ascii="Times New Roman" w:hAnsi="Times New Roman" w:cs="Times New Roman"/>
          <w:lang w:val="en-GB"/>
        </w:rPr>
        <w:t>.</w:t>
      </w:r>
      <w:r w:rsidRPr="00E235C6">
        <w:rPr>
          <w:rFonts w:ascii="Times New Roman" w:hAnsi="Times New Roman" w:cs="Times New Roman"/>
          <w:lang w:val="en-GB"/>
        </w:rPr>
        <w:t>(Accessed: 25 July 2026).</w:t>
      </w:r>
    </w:p>
    <w:p w14:paraId="493AE7B8" w14:textId="7478179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European Commission (2024) </w:t>
      </w:r>
      <w:r w:rsidRPr="00E235C6">
        <w:rPr>
          <w:rFonts w:ascii="Times New Roman" w:hAnsi="Times New Roman" w:cs="Times New Roman"/>
          <w:i/>
          <w:iCs/>
          <w:lang w:val="en-GB"/>
        </w:rPr>
        <w:t>Commission Implementing Regulation (EU) 2024/2754 imposing a definitive countervailing duty on imports of new battery electric vehicles originating in China</w:t>
      </w:r>
      <w:r w:rsidRPr="00E235C6">
        <w:rPr>
          <w:rFonts w:ascii="Times New Roman" w:hAnsi="Times New Roman" w:cs="Times New Roman"/>
          <w:lang w:val="en-GB"/>
        </w:rPr>
        <w:t>. Available at: https://eur-lex.europa.eu/eli/reg_impl/2024/2754/oj/eng</w:t>
      </w:r>
      <w:r w:rsidR="00B1121F">
        <w:rPr>
          <w:rFonts w:ascii="Times New Roman" w:hAnsi="Times New Roman" w:cs="Times New Roman"/>
          <w:lang w:val="en-GB"/>
        </w:rPr>
        <w:t>.</w:t>
      </w:r>
      <w:r w:rsidRPr="00E235C6">
        <w:rPr>
          <w:rFonts w:ascii="Times New Roman" w:hAnsi="Times New Roman" w:cs="Times New Roman"/>
          <w:lang w:val="en-GB"/>
        </w:rPr>
        <w:t xml:space="preserve"> (Accessed: 25 July 2026).</w:t>
      </w:r>
    </w:p>
    <w:p w14:paraId="73D86744"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Grant, R.M. (2018) </w:t>
      </w:r>
      <w:r w:rsidRPr="00E235C6">
        <w:rPr>
          <w:rFonts w:ascii="Times New Roman" w:hAnsi="Times New Roman" w:cs="Times New Roman"/>
          <w:i/>
          <w:iCs/>
          <w:lang w:val="en-GB"/>
        </w:rPr>
        <w:t>Contemporary Strategy Analysis</w:t>
      </w:r>
      <w:r w:rsidRPr="00E235C6">
        <w:rPr>
          <w:rFonts w:ascii="Times New Roman" w:hAnsi="Times New Roman" w:cs="Times New Roman"/>
          <w:lang w:val="en-GB"/>
        </w:rPr>
        <w:t>. 10th edn. Hoboken, NJ: Wiley.</w:t>
      </w:r>
    </w:p>
    <w:p w14:paraId="4FFE8B58"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Hill, C.W.L., Schilling, M.A. and Jones, G.R. (2017) </w:t>
      </w:r>
      <w:r w:rsidRPr="00E235C6">
        <w:rPr>
          <w:rFonts w:ascii="Times New Roman" w:hAnsi="Times New Roman" w:cs="Times New Roman"/>
          <w:i/>
          <w:iCs/>
          <w:lang w:val="en-GB"/>
        </w:rPr>
        <w:t>Strategic Management: Theory: An Integrated Approach</w:t>
      </w:r>
      <w:r w:rsidRPr="00E235C6">
        <w:rPr>
          <w:rFonts w:ascii="Times New Roman" w:hAnsi="Times New Roman" w:cs="Times New Roman"/>
          <w:lang w:val="en-GB"/>
        </w:rPr>
        <w:t>. 12th edn. Boston, MA: Cengage Learning.</w:t>
      </w:r>
    </w:p>
    <w:p w14:paraId="7334A1AE" w14:textId="4630BAFE"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Hrebiniak, L.G. (2006) ‘Obstacles to effective strategy implementation’, </w:t>
      </w:r>
      <w:r w:rsidRPr="00E235C6">
        <w:rPr>
          <w:rFonts w:ascii="Times New Roman" w:hAnsi="Times New Roman" w:cs="Times New Roman"/>
          <w:i/>
          <w:iCs/>
          <w:lang w:val="en-GB"/>
        </w:rPr>
        <w:t>Organizational Dynamics</w:t>
      </w:r>
      <w:r w:rsidRPr="00E235C6">
        <w:rPr>
          <w:rFonts w:ascii="Times New Roman" w:hAnsi="Times New Roman" w:cs="Times New Roman"/>
          <w:lang w:val="en-GB"/>
        </w:rPr>
        <w:t>, 35(1), pp. 12–31. Available at: https://doi.org/10.1016/j.orgdyn.2005.12.001</w:t>
      </w:r>
      <w:r w:rsidR="00B1121F">
        <w:rPr>
          <w:rFonts w:ascii="Times New Roman" w:hAnsi="Times New Roman" w:cs="Times New Roman"/>
          <w:lang w:val="en-GB"/>
        </w:rPr>
        <w:t>.</w:t>
      </w:r>
      <w:r w:rsidRPr="00E235C6">
        <w:rPr>
          <w:rFonts w:ascii="Times New Roman" w:hAnsi="Times New Roman" w:cs="Times New Roman"/>
          <w:lang w:val="en-GB"/>
        </w:rPr>
        <w:t xml:space="preserve"> (Accessed: 14 August 2026).</w:t>
      </w:r>
    </w:p>
    <w:p w14:paraId="452B93EF"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Johnson, G., Whittington, R., Scholes, K., Angwin, D. and Regner, P. (2017) </w:t>
      </w:r>
      <w:r w:rsidRPr="00E235C6">
        <w:rPr>
          <w:rFonts w:ascii="Times New Roman" w:hAnsi="Times New Roman" w:cs="Times New Roman"/>
          <w:i/>
          <w:iCs/>
          <w:lang w:val="en-GB"/>
        </w:rPr>
        <w:t>Exploring Strategy: Text and Cases</w:t>
      </w:r>
      <w:r w:rsidRPr="00E235C6">
        <w:rPr>
          <w:rFonts w:ascii="Times New Roman" w:hAnsi="Times New Roman" w:cs="Times New Roman"/>
          <w:lang w:val="en-GB"/>
        </w:rPr>
        <w:t>. 11th edn. Harlow: Pearson.</w:t>
      </w:r>
    </w:p>
    <w:p w14:paraId="33D71E41"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Kaplan, R.S. and Norton, D.P. (1996) </w:t>
      </w:r>
      <w:r w:rsidRPr="00E235C6">
        <w:rPr>
          <w:rFonts w:ascii="Times New Roman" w:hAnsi="Times New Roman" w:cs="Times New Roman"/>
          <w:i/>
          <w:iCs/>
          <w:lang w:val="en-GB"/>
        </w:rPr>
        <w:t>The Balanced Scorecard: Translating Strategy into Action</w:t>
      </w:r>
      <w:r w:rsidRPr="00E235C6">
        <w:rPr>
          <w:rFonts w:ascii="Times New Roman" w:hAnsi="Times New Roman" w:cs="Times New Roman"/>
          <w:lang w:val="en-GB"/>
        </w:rPr>
        <w:t>. Boston, MA: Harvard Business School Press.</w:t>
      </w:r>
    </w:p>
    <w:p w14:paraId="5EB062B4"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Kotler, P., Keller, K.L. and Chernev, A. (2022) </w:t>
      </w:r>
      <w:r w:rsidRPr="00E235C6">
        <w:rPr>
          <w:rFonts w:ascii="Times New Roman" w:hAnsi="Times New Roman" w:cs="Times New Roman"/>
          <w:i/>
          <w:iCs/>
          <w:lang w:val="en-GB"/>
        </w:rPr>
        <w:t>Marketing Management</w:t>
      </w:r>
      <w:r w:rsidRPr="00E235C6">
        <w:rPr>
          <w:rFonts w:ascii="Times New Roman" w:hAnsi="Times New Roman" w:cs="Times New Roman"/>
          <w:lang w:val="en-GB"/>
        </w:rPr>
        <w:t>. 16th edn. Harlow: Pearson.</w:t>
      </w:r>
    </w:p>
    <w:p w14:paraId="2FC76AFC" w14:textId="6688B0CF"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Maldonado, A.G. (2026) </w:t>
      </w:r>
      <w:r w:rsidRPr="00E235C6">
        <w:rPr>
          <w:rFonts w:ascii="Times New Roman" w:hAnsi="Times New Roman" w:cs="Times New Roman"/>
          <w:i/>
          <w:iCs/>
          <w:lang w:val="en-GB"/>
        </w:rPr>
        <w:t>Obstacles to Effective Strategy Implementation</w:t>
      </w:r>
      <w:r w:rsidRPr="00E235C6">
        <w:rPr>
          <w:rFonts w:ascii="Times New Roman" w:hAnsi="Times New Roman" w:cs="Times New Roman"/>
          <w:lang w:val="en-GB"/>
        </w:rPr>
        <w:t>. [online]</w:t>
      </w:r>
      <w:r w:rsidR="00B1121F">
        <w:rPr>
          <w:rFonts w:ascii="Times New Roman" w:hAnsi="Times New Roman" w:cs="Times New Roman"/>
          <w:lang w:val="en-GB"/>
        </w:rPr>
        <w:t xml:space="preserve"> </w:t>
      </w:r>
      <w:r w:rsidRPr="00E235C6">
        <w:rPr>
          <w:rFonts w:ascii="Times New Roman" w:hAnsi="Times New Roman" w:cs="Times New Roman"/>
          <w:lang w:val="en-GB"/>
        </w:rPr>
        <w:t>Available at: https://www.scribd.com/doc/76088095/Obstacles-to-Effective-Strategy-Implementation  (Accessed: 16 August 2026).</w:t>
      </w:r>
    </w:p>
    <w:p w14:paraId="106005FD"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Porter, M.E. (1985) </w:t>
      </w:r>
      <w:r w:rsidRPr="00E235C6">
        <w:rPr>
          <w:rFonts w:ascii="Times New Roman" w:hAnsi="Times New Roman" w:cs="Times New Roman"/>
          <w:i/>
          <w:iCs/>
          <w:lang w:val="en-GB"/>
        </w:rPr>
        <w:t>Competitive Advantage: Creating and Sustaining Superior Performance</w:t>
      </w:r>
      <w:r w:rsidRPr="00E235C6">
        <w:rPr>
          <w:rFonts w:ascii="Times New Roman" w:hAnsi="Times New Roman" w:cs="Times New Roman"/>
          <w:lang w:val="en-GB"/>
        </w:rPr>
        <w:t>. New York: Free Press.</w:t>
      </w:r>
    </w:p>
    <w:p w14:paraId="4ED2767A" w14:textId="77777777"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Rugman, A.M. and Collinson, S. (2012) </w:t>
      </w:r>
      <w:r w:rsidRPr="00E235C6">
        <w:rPr>
          <w:rFonts w:ascii="Times New Roman" w:hAnsi="Times New Roman" w:cs="Times New Roman"/>
          <w:i/>
          <w:iCs/>
          <w:lang w:val="en-GB"/>
        </w:rPr>
        <w:t>International Business</w:t>
      </w:r>
      <w:r w:rsidRPr="00E235C6">
        <w:rPr>
          <w:rFonts w:ascii="Times New Roman" w:hAnsi="Times New Roman" w:cs="Times New Roman"/>
          <w:lang w:val="en-GB"/>
        </w:rPr>
        <w:t>. 6th edn. Harlow: Pearson.</w:t>
      </w:r>
    </w:p>
    <w:p w14:paraId="7B180FAB" w14:textId="08DE413C" w:rsidR="00E235C6" w:rsidRPr="00E235C6" w:rsidRDefault="00E235C6" w:rsidP="00E235C6">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SAIC Motor Corporation Limited (2026) ‘SAIC Motor reports record sales in 2025’. Available at: </w:t>
      </w:r>
      <w:hyperlink r:id="rId8" w:history="1">
        <w:r w:rsidR="00B1121F" w:rsidRPr="00F2737B">
          <w:rPr>
            <w:rStyle w:val="Hyperlink"/>
            <w:rFonts w:ascii="Times New Roman" w:hAnsi="Times New Roman" w:cs="Times New Roman"/>
            <w:lang w:val="en-GB"/>
          </w:rPr>
          <w:t>https://www.saicmotor.com/english/latest_news/saic_motor/63549.shtml</w:t>
        </w:r>
      </w:hyperlink>
      <w:r w:rsidR="00B1121F">
        <w:rPr>
          <w:rFonts w:ascii="Times New Roman" w:hAnsi="Times New Roman" w:cs="Times New Roman"/>
          <w:lang w:val="en-GB"/>
        </w:rPr>
        <w:t xml:space="preserve"> </w:t>
      </w:r>
      <w:r w:rsidRPr="00E235C6">
        <w:rPr>
          <w:rFonts w:ascii="Times New Roman" w:hAnsi="Times New Roman" w:cs="Times New Roman"/>
          <w:lang w:val="en-GB"/>
        </w:rPr>
        <w:t>(Accessed: 25 July 2026).</w:t>
      </w:r>
    </w:p>
    <w:p w14:paraId="12AC2AF6" w14:textId="77777777" w:rsidR="00B1121F" w:rsidRPr="00E235C6" w:rsidRDefault="00E235C6" w:rsidP="00B1121F">
      <w:pPr>
        <w:spacing w:after="100" w:line="240" w:lineRule="auto"/>
        <w:ind w:left="425" w:hanging="425"/>
        <w:rPr>
          <w:rFonts w:ascii="Times New Roman" w:hAnsi="Times New Roman" w:cs="Times New Roman"/>
          <w:lang w:val="en-GB"/>
        </w:rPr>
      </w:pPr>
      <w:r w:rsidRPr="00E235C6">
        <w:rPr>
          <w:rFonts w:ascii="Times New Roman" w:hAnsi="Times New Roman" w:cs="Times New Roman"/>
          <w:lang w:val="en-GB"/>
        </w:rPr>
        <w:t xml:space="preserve">Society of Motor Manufacturers and Traders (SMMT) (2026) ‘UK new car market breaches two million as almost one in four buyers go electric’. Available at: https://www.smmt.co.uk/uk-new-car-market-breaches-two-million-as-almost-one-in-four-buyers-go-electric/  </w:t>
      </w:r>
      <w:r w:rsidR="00B1121F" w:rsidRPr="00E235C6">
        <w:rPr>
          <w:rFonts w:ascii="Times New Roman" w:hAnsi="Times New Roman" w:cs="Times New Roman"/>
          <w:lang w:val="en-GB"/>
        </w:rPr>
        <w:t>(Accessed: 25 July 2026).</w:t>
      </w:r>
    </w:p>
    <w:p w14:paraId="651DFBCB" w14:textId="71F8E4E6" w:rsidR="00E235C6" w:rsidRPr="00E235C6" w:rsidRDefault="00E235C6" w:rsidP="00E235C6">
      <w:pPr>
        <w:spacing w:after="100" w:line="240" w:lineRule="auto"/>
        <w:ind w:left="425" w:hanging="425"/>
        <w:rPr>
          <w:rFonts w:ascii="Times New Roman" w:hAnsi="Times New Roman" w:cs="Times New Roman"/>
          <w:lang w:val="en-GB"/>
        </w:rPr>
      </w:pPr>
    </w:p>
    <w:p w14:paraId="76CC30CE" w14:textId="77777777" w:rsidR="009C7276" w:rsidRPr="00E235C6" w:rsidRDefault="009C7276" w:rsidP="00E235C6">
      <w:pPr>
        <w:spacing w:after="100" w:line="240" w:lineRule="auto"/>
        <w:ind w:left="425" w:hanging="425"/>
        <w:rPr>
          <w:rFonts w:ascii="Times New Roman" w:hAnsi="Times New Roman" w:cs="Times New Roman"/>
          <w:lang w:val="en-GB"/>
        </w:rPr>
      </w:pPr>
    </w:p>
    <w:p w14:paraId="6C1C157C" w14:textId="77777777" w:rsidR="00F5742C" w:rsidRPr="00E235C6" w:rsidRDefault="00F5742C" w:rsidP="00E235C6">
      <w:pPr>
        <w:spacing w:after="100" w:line="360" w:lineRule="auto"/>
        <w:ind w:left="425" w:hanging="425"/>
        <w:rPr>
          <w:rFonts w:ascii="Times New Roman" w:hAnsi="Times New Roman" w:cs="Times New Roman"/>
          <w:lang w:val="en-GB"/>
        </w:rPr>
      </w:pPr>
    </w:p>
    <w:p w14:paraId="1549DF5D" w14:textId="77777777" w:rsidR="00F5742C" w:rsidRPr="00E235C6" w:rsidRDefault="00F5742C" w:rsidP="00E235C6">
      <w:pPr>
        <w:spacing w:after="100" w:line="240" w:lineRule="auto"/>
        <w:ind w:left="425" w:hanging="425"/>
        <w:rPr>
          <w:lang w:val="en-GB"/>
        </w:rPr>
      </w:pPr>
    </w:p>
    <w:p w14:paraId="36DC6A31" w14:textId="77777777" w:rsidR="00F5742C" w:rsidRPr="00E235C6" w:rsidRDefault="00F5742C" w:rsidP="00E235C6">
      <w:pPr>
        <w:spacing w:after="100" w:line="360" w:lineRule="auto"/>
        <w:ind w:left="425" w:hanging="425"/>
        <w:rPr>
          <w:rFonts w:ascii="Times New Roman" w:hAnsi="Times New Roman" w:cs="Times New Roman"/>
        </w:rPr>
      </w:pPr>
    </w:p>
    <w:p w14:paraId="100344D2" w14:textId="77777777" w:rsidR="005212CC" w:rsidRPr="00E235C6" w:rsidRDefault="005212CC" w:rsidP="00E235C6">
      <w:pPr>
        <w:spacing w:line="360" w:lineRule="auto"/>
        <w:rPr>
          <w:rFonts w:ascii="Times New Roman" w:hAnsi="Times New Roman" w:cs="Times New Roman"/>
          <w:sz w:val="28"/>
          <w:szCs w:val="28"/>
        </w:rPr>
      </w:pPr>
    </w:p>
    <w:sectPr w:rsidR="005212CC" w:rsidRPr="00E235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3C259" w14:textId="77777777" w:rsidR="0036053B" w:rsidRDefault="0036053B" w:rsidP="0077261B">
      <w:pPr>
        <w:spacing w:after="0" w:line="240" w:lineRule="auto"/>
      </w:pPr>
      <w:r>
        <w:separator/>
      </w:r>
    </w:p>
  </w:endnote>
  <w:endnote w:type="continuationSeparator" w:id="0">
    <w:p w14:paraId="491C9B82" w14:textId="77777777" w:rsidR="0036053B" w:rsidRDefault="0036053B" w:rsidP="00772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669278"/>
      <w:docPartObj>
        <w:docPartGallery w:val="Page Numbers (Bottom of Page)"/>
        <w:docPartUnique/>
      </w:docPartObj>
    </w:sdtPr>
    <w:sdtEndPr>
      <w:rPr>
        <w:noProof/>
      </w:rPr>
    </w:sdtEndPr>
    <w:sdtContent>
      <w:p w14:paraId="755E66CA" w14:textId="56776AD4" w:rsidR="0077261B" w:rsidRDefault="007726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532A2C" w14:textId="77777777" w:rsidR="0077261B" w:rsidRDefault="00772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07447" w14:textId="77777777" w:rsidR="0036053B" w:rsidRDefault="0036053B" w:rsidP="0077261B">
      <w:pPr>
        <w:spacing w:after="0" w:line="240" w:lineRule="auto"/>
      </w:pPr>
      <w:r>
        <w:separator/>
      </w:r>
    </w:p>
  </w:footnote>
  <w:footnote w:type="continuationSeparator" w:id="0">
    <w:p w14:paraId="1046766F" w14:textId="77777777" w:rsidR="0036053B" w:rsidRDefault="0036053B" w:rsidP="00772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C92943"/>
    <w:multiLevelType w:val="multilevel"/>
    <w:tmpl w:val="71483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6015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3E9"/>
    <w:rsid w:val="000926C0"/>
    <w:rsid w:val="000F3844"/>
    <w:rsid w:val="001D0285"/>
    <w:rsid w:val="00274D6F"/>
    <w:rsid w:val="0036053B"/>
    <w:rsid w:val="003A68A8"/>
    <w:rsid w:val="00430605"/>
    <w:rsid w:val="004E2D21"/>
    <w:rsid w:val="005212CC"/>
    <w:rsid w:val="00607811"/>
    <w:rsid w:val="006207D6"/>
    <w:rsid w:val="006A2A8D"/>
    <w:rsid w:val="007042E9"/>
    <w:rsid w:val="0077261B"/>
    <w:rsid w:val="008B061C"/>
    <w:rsid w:val="0094635D"/>
    <w:rsid w:val="009C7276"/>
    <w:rsid w:val="00AE5682"/>
    <w:rsid w:val="00AF5286"/>
    <w:rsid w:val="00B1121F"/>
    <w:rsid w:val="00B433E9"/>
    <w:rsid w:val="00B72134"/>
    <w:rsid w:val="00B9068F"/>
    <w:rsid w:val="00BD710B"/>
    <w:rsid w:val="00CB124A"/>
    <w:rsid w:val="00D4412E"/>
    <w:rsid w:val="00D95039"/>
    <w:rsid w:val="00DC706A"/>
    <w:rsid w:val="00E235C6"/>
    <w:rsid w:val="00EC73FE"/>
    <w:rsid w:val="00F465E4"/>
    <w:rsid w:val="00F57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D305"/>
  <w15:chartTrackingRefBased/>
  <w15:docId w15:val="{B35831EC-D9FF-4694-B13E-720317458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3E9"/>
    <w:pPr>
      <w:spacing w:after="120" w:line="264" w:lineRule="auto"/>
      <w:jc w:val="both"/>
    </w:pPr>
    <w:rPr>
      <w:rFonts w:ascii="Calibri" w:eastAsiaTheme="minorEastAsia" w:hAnsi="Calibri"/>
      <w:color w:val="000000"/>
      <w:kern w:val="0"/>
      <w:sz w:val="22"/>
      <w:szCs w:val="22"/>
      <w:lang w:val="en-US"/>
      <w14:ligatures w14:val="none"/>
    </w:rPr>
  </w:style>
  <w:style w:type="paragraph" w:styleId="Heading1">
    <w:name w:val="heading 1"/>
    <w:basedOn w:val="Normal"/>
    <w:next w:val="Normal"/>
    <w:link w:val="Heading1Char"/>
    <w:uiPriority w:val="9"/>
    <w:qFormat/>
    <w:rsid w:val="00B433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33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3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3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3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3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3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3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3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3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33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3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3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3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3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3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3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3E9"/>
    <w:rPr>
      <w:rFonts w:eastAsiaTheme="majorEastAsia" w:cstheme="majorBidi"/>
      <w:color w:val="272727" w:themeColor="text1" w:themeTint="D8"/>
    </w:rPr>
  </w:style>
  <w:style w:type="paragraph" w:styleId="Title">
    <w:name w:val="Title"/>
    <w:basedOn w:val="Normal"/>
    <w:next w:val="Normal"/>
    <w:link w:val="TitleChar"/>
    <w:uiPriority w:val="10"/>
    <w:qFormat/>
    <w:rsid w:val="00B433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3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3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3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3E9"/>
    <w:pPr>
      <w:spacing w:before="160"/>
      <w:jc w:val="center"/>
    </w:pPr>
    <w:rPr>
      <w:i/>
      <w:iCs/>
      <w:color w:val="404040" w:themeColor="text1" w:themeTint="BF"/>
    </w:rPr>
  </w:style>
  <w:style w:type="character" w:customStyle="1" w:styleId="QuoteChar">
    <w:name w:val="Quote Char"/>
    <w:basedOn w:val="DefaultParagraphFont"/>
    <w:link w:val="Quote"/>
    <w:uiPriority w:val="29"/>
    <w:rsid w:val="00B433E9"/>
    <w:rPr>
      <w:i/>
      <w:iCs/>
      <w:color w:val="404040" w:themeColor="text1" w:themeTint="BF"/>
    </w:rPr>
  </w:style>
  <w:style w:type="paragraph" w:styleId="ListParagraph">
    <w:name w:val="List Paragraph"/>
    <w:basedOn w:val="Normal"/>
    <w:uiPriority w:val="34"/>
    <w:qFormat/>
    <w:rsid w:val="00B433E9"/>
    <w:pPr>
      <w:ind w:left="720"/>
      <w:contextualSpacing/>
    </w:pPr>
  </w:style>
  <w:style w:type="character" w:styleId="IntenseEmphasis">
    <w:name w:val="Intense Emphasis"/>
    <w:basedOn w:val="DefaultParagraphFont"/>
    <w:uiPriority w:val="21"/>
    <w:qFormat/>
    <w:rsid w:val="00B433E9"/>
    <w:rPr>
      <w:i/>
      <w:iCs/>
      <w:color w:val="0F4761" w:themeColor="accent1" w:themeShade="BF"/>
    </w:rPr>
  </w:style>
  <w:style w:type="paragraph" w:styleId="IntenseQuote">
    <w:name w:val="Intense Quote"/>
    <w:basedOn w:val="Normal"/>
    <w:next w:val="Normal"/>
    <w:link w:val="IntenseQuoteChar"/>
    <w:uiPriority w:val="30"/>
    <w:qFormat/>
    <w:rsid w:val="00B43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3E9"/>
    <w:rPr>
      <w:i/>
      <w:iCs/>
      <w:color w:val="0F4761" w:themeColor="accent1" w:themeShade="BF"/>
    </w:rPr>
  </w:style>
  <w:style w:type="character" w:styleId="IntenseReference">
    <w:name w:val="Intense Reference"/>
    <w:basedOn w:val="DefaultParagraphFont"/>
    <w:uiPriority w:val="32"/>
    <w:qFormat/>
    <w:rsid w:val="00B433E9"/>
    <w:rPr>
      <w:b/>
      <w:bCs/>
      <w:smallCaps/>
      <w:color w:val="0F4761" w:themeColor="accent1" w:themeShade="BF"/>
      <w:spacing w:val="5"/>
    </w:rPr>
  </w:style>
  <w:style w:type="table" w:styleId="GridTable5Dark-Accent4">
    <w:name w:val="Grid Table 5 Dark Accent 4"/>
    <w:basedOn w:val="TableNormal"/>
    <w:uiPriority w:val="50"/>
    <w:rsid w:val="00274D6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7ColourfulAccent4">
    <w:name w:val="Grid Table 7 Colorful Accent 4"/>
    <w:basedOn w:val="TableNormal"/>
    <w:uiPriority w:val="52"/>
    <w:rsid w:val="00274D6F"/>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paragraph" w:styleId="Header">
    <w:name w:val="header"/>
    <w:basedOn w:val="Normal"/>
    <w:link w:val="HeaderChar"/>
    <w:uiPriority w:val="99"/>
    <w:unhideWhenUsed/>
    <w:rsid w:val="00772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61B"/>
    <w:rPr>
      <w:rFonts w:ascii="Calibri" w:eastAsiaTheme="minorEastAsia" w:hAnsi="Calibri"/>
      <w:color w:val="000000"/>
      <w:kern w:val="0"/>
      <w:sz w:val="22"/>
      <w:szCs w:val="22"/>
      <w:lang w:val="en-US"/>
      <w14:ligatures w14:val="none"/>
    </w:rPr>
  </w:style>
  <w:style w:type="paragraph" w:styleId="Footer">
    <w:name w:val="footer"/>
    <w:basedOn w:val="Normal"/>
    <w:link w:val="FooterChar"/>
    <w:uiPriority w:val="99"/>
    <w:unhideWhenUsed/>
    <w:rsid w:val="00772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61B"/>
    <w:rPr>
      <w:rFonts w:ascii="Calibri" w:eastAsiaTheme="minorEastAsia" w:hAnsi="Calibri"/>
      <w:color w:val="000000"/>
      <w:kern w:val="0"/>
      <w:sz w:val="22"/>
      <w:szCs w:val="22"/>
      <w:lang w:val="en-US"/>
      <w14:ligatures w14:val="none"/>
    </w:rPr>
  </w:style>
  <w:style w:type="character" w:styleId="Hyperlink">
    <w:name w:val="Hyperlink"/>
    <w:basedOn w:val="DefaultParagraphFont"/>
    <w:uiPriority w:val="99"/>
    <w:unhideWhenUsed/>
    <w:rsid w:val="00430605"/>
    <w:rPr>
      <w:color w:val="467886" w:themeColor="hyperlink"/>
      <w:u w:val="single"/>
    </w:rPr>
  </w:style>
  <w:style w:type="character" w:styleId="UnresolvedMention">
    <w:name w:val="Unresolved Mention"/>
    <w:basedOn w:val="DefaultParagraphFont"/>
    <w:uiPriority w:val="99"/>
    <w:semiHidden/>
    <w:unhideWhenUsed/>
    <w:rsid w:val="004306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icmotor.com/english/latest_news/saic_motor/63549.s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TotalTime>
  <Pages>11</Pages>
  <Words>2833</Words>
  <Characters>16152</Characters>
  <Application>Microsoft Office Word</Application>
  <DocSecurity>0</DocSecurity>
  <Lines>134</Lines>
  <Paragraphs>37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2.2 Internal resources and capabilities</vt:lpstr>
      <vt:lpstr>4. Strategy Implementation</vt:lpstr>
    </vt:vector>
  </TitlesOfParts>
  <Company/>
  <LinksUpToDate>false</LinksUpToDate>
  <CharactersWithSpaces>18948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Masala (2236548)</dc:creator>
  <cp:keywords/>
  <dc:description/>
  <cp:lastModifiedBy>Alina Masala</cp:lastModifiedBy>
  <cp:revision>7</cp:revision>
  <dcterms:created xsi:type="dcterms:W3CDTF">2026-08-14T21:31:00Z</dcterms:created>
  <dcterms:modified xsi:type="dcterms:W3CDTF">2026-08-17T11:41:00Z</dcterms:modified>
</cp:coreProperties>
</file>