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82247" w14:textId="53A0B3B1" w:rsidR="00AC3965" w:rsidRPr="00AC3965" w:rsidRDefault="00AC3965" w:rsidP="00AC396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  <w:u w:val="single"/>
          <w:bdr w:val="none" w:sz="0" w:space="0" w:color="auto" w:frame="1"/>
        </w:rPr>
      </w:pPr>
      <w:r w:rsidRPr="00AC3965">
        <w:rPr>
          <w:rFonts w:ascii="Arial" w:hAnsi="Arial" w:cs="Arial"/>
          <w:color w:val="000000" w:themeColor="text1"/>
          <w:u w:val="single"/>
          <w:bdr w:val="none" w:sz="0" w:space="0" w:color="auto" w:frame="1"/>
        </w:rPr>
        <w:t>Reference</w:t>
      </w:r>
    </w:p>
    <w:p w14:paraId="3DD7F322" w14:textId="77777777" w:rsidR="00AC3965" w:rsidRPr="00AC3965" w:rsidRDefault="00AC3965" w:rsidP="00AC3965">
      <w:pPr>
        <w:spacing w:line="360" w:lineRule="auto"/>
        <w:jc w:val="both"/>
        <w:rPr>
          <w:rFonts w:ascii="Arial" w:hAnsi="Arial" w:cs="Arial"/>
        </w:rPr>
      </w:pPr>
    </w:p>
    <w:p w14:paraId="20972410" w14:textId="77777777" w:rsidR="00AC3965" w:rsidRPr="00AC3965" w:rsidRDefault="00AC3965" w:rsidP="00AC396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AC3965">
        <w:rPr>
          <w:rFonts w:ascii="Arial" w:hAnsi="Arial" w:cs="Arial"/>
          <w:i/>
          <w:iCs/>
          <w:color w:val="000000" w:themeColor="text1"/>
          <w:bdr w:val="none" w:sz="0" w:space="0" w:color="auto" w:frame="1"/>
        </w:rPr>
        <w:t>Anjong</w:t>
      </w:r>
      <w:proofErr w:type="spellEnd"/>
      <w:r w:rsidRPr="00AC3965">
        <w:rPr>
          <w:rFonts w:ascii="Arial" w:hAnsi="Arial" w:cs="Arial"/>
          <w:i/>
          <w:iCs/>
          <w:color w:val="000000" w:themeColor="text1"/>
          <w:bdr w:val="none" w:sz="0" w:space="0" w:color="auto" w:frame="1"/>
        </w:rPr>
        <w:t>, M.M. &amp; Banda, A. (2018). ‘</w:t>
      </w:r>
      <w:r w:rsidRPr="00AC3965">
        <w:rPr>
          <w:rFonts w:ascii="Arial" w:hAnsi="Arial" w:cs="Arial"/>
          <w:color w:val="000000" w:themeColor="text1"/>
          <w:bdr w:val="none" w:sz="0" w:space="0" w:color="auto" w:frame="1"/>
        </w:rPr>
        <w:t>Tell us Stories, Please! Storytelling for Young Learners of English’,</w:t>
      </w:r>
      <w:r w:rsidRPr="00AC3965">
        <w:rPr>
          <w:rFonts w:ascii="Arial" w:hAnsi="Arial" w:cs="Arial"/>
          <w:i/>
          <w:iCs/>
          <w:color w:val="000000" w:themeColor="text1"/>
          <w:bdr w:val="none" w:sz="0" w:space="0" w:color="auto" w:frame="1"/>
        </w:rPr>
        <w:t> </w:t>
      </w:r>
    </w:p>
    <w:p w14:paraId="614F42F1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Baker, C. (2014) 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A parents' and teachers' guide to bilingualism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4th ed. </w:t>
      </w:r>
    </w:p>
    <w:p w14:paraId="38C7FC2E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Bialystok, E. (2006) ‘Second-language acquisition and bilingualism at an early age and the impact on early cognitive development.’ </w:t>
      </w:r>
      <w:proofErr w:type="spellStart"/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Encyclopedia</w:t>
      </w:r>
      <w:proofErr w:type="spellEnd"/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on early childhood development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pp.1-4.</w:t>
      </w:r>
    </w:p>
    <w:p w14:paraId="6B224860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Bozhovich</w:t>
      </w:r>
      <w:proofErr w:type="spellEnd"/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E. D. (2009) ‘Zone of Proximal Development: The Diagnostic Capabilities and Limitations of Indirect Collaboration’, 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Journal of Russian &amp; East European Psychology,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47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(6), pp. 48.</w:t>
      </w:r>
    </w:p>
    <w:p w14:paraId="1D3F78A6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FF0000"/>
        </w:rPr>
      </w:pPr>
      <w:proofErr w:type="spellStart"/>
      <w:proofErr w:type="gramStart"/>
      <w:r w:rsidRPr="00AC3965">
        <w:rPr>
          <w:rFonts w:ascii="Arial" w:hAnsi="Arial" w:cs="Arial"/>
        </w:rPr>
        <w:t>Cenoz,J</w:t>
      </w:r>
      <w:proofErr w:type="spellEnd"/>
      <w:r w:rsidRPr="00AC3965">
        <w:rPr>
          <w:rFonts w:ascii="Arial" w:hAnsi="Arial" w:cs="Arial"/>
        </w:rPr>
        <w:t>.</w:t>
      </w:r>
      <w:proofErr w:type="gramEnd"/>
      <w:r w:rsidRPr="00AC3965">
        <w:rPr>
          <w:rFonts w:ascii="Arial" w:hAnsi="Arial" w:cs="Arial"/>
        </w:rPr>
        <w:t xml:space="preserve"> (2013) ‘Defining Multilingualism’,</w:t>
      </w:r>
      <w:r w:rsidRPr="00AC3965">
        <w:rPr>
          <w:rFonts w:ascii="Arial" w:hAnsi="Arial" w:cs="Arial"/>
          <w:i/>
          <w:iCs/>
        </w:rPr>
        <w:t xml:space="preserve"> Annual Review of Applied Linguistics, </w:t>
      </w:r>
      <w:r w:rsidRPr="00AC3965">
        <w:rPr>
          <w:rFonts w:ascii="Arial" w:hAnsi="Arial" w:cs="Arial"/>
        </w:rPr>
        <w:t>33, pp.3-18 (Accessed:21st March 2020) DOI: 10.1017/S026719051300007X.</w:t>
      </w:r>
    </w:p>
    <w:p w14:paraId="27042FD4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C3965">
        <w:rPr>
          <w:rFonts w:ascii="Arial" w:hAnsi="Arial" w:cs="Arial"/>
          <w:i/>
          <w:iCs/>
          <w:color w:val="000000" w:themeColor="text1"/>
        </w:rPr>
        <w:t xml:space="preserve">Developing the Curriculum </w:t>
      </w:r>
      <w:proofErr w:type="spellStart"/>
      <w:r w:rsidRPr="00AC3965">
        <w:rPr>
          <w:rFonts w:ascii="Arial" w:hAnsi="Arial" w:cs="Arial"/>
          <w:i/>
          <w:iCs/>
          <w:color w:val="000000" w:themeColor="text1"/>
        </w:rPr>
        <w:t>Cymreig</w:t>
      </w:r>
      <w:proofErr w:type="spellEnd"/>
      <w:r w:rsidRPr="00AC3965">
        <w:rPr>
          <w:rFonts w:ascii="Arial" w:hAnsi="Arial" w:cs="Arial"/>
          <w:i/>
          <w:iCs/>
          <w:color w:val="000000" w:themeColor="text1"/>
        </w:rPr>
        <w:t xml:space="preserve"> </w:t>
      </w:r>
      <w:r w:rsidRPr="00AC3965">
        <w:rPr>
          <w:rFonts w:ascii="Arial" w:hAnsi="Arial" w:cs="Arial"/>
          <w:color w:val="000000" w:themeColor="text1"/>
        </w:rPr>
        <w:t xml:space="preserve">(2003) Available at: </w:t>
      </w:r>
      <w:hyperlink r:id="rId6" w:history="1">
        <w:r w:rsidRPr="00AC3965">
          <w:rPr>
            <w:rStyle w:val="Hyperlink"/>
            <w:rFonts w:ascii="Arial" w:hAnsi="Arial" w:cs="Arial"/>
          </w:rPr>
          <w:t>http://www.wasacre.org.uk/publications/wag/E-developingthecurriculumcymreig.pdf</w:t>
        </w:r>
      </w:hyperlink>
      <w:r w:rsidRPr="00AC3965">
        <w:rPr>
          <w:rFonts w:ascii="Arial" w:hAnsi="Arial" w:cs="Arial"/>
          <w:color w:val="000000" w:themeColor="text1"/>
        </w:rPr>
        <w:t xml:space="preserve"> (Accessed:21st March 2020). </w:t>
      </w:r>
    </w:p>
    <w:p w14:paraId="66ABA258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Dolya</w:t>
      </w:r>
      <w:proofErr w:type="spellEnd"/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G. (2009) 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Vygotsky in action in the early years the key to learning curriculum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New York: Routledge.</w:t>
      </w:r>
    </w:p>
    <w:p w14:paraId="617FEB00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</w:rPr>
      </w:pPr>
      <w:r w:rsidRPr="00AC3965">
        <w:rPr>
          <w:rFonts w:ascii="Arial" w:hAnsi="Arial" w:cs="Arial"/>
        </w:rPr>
        <w:t xml:space="preserve">Ellis, G. (2000) </w:t>
      </w:r>
      <w:r w:rsidRPr="00AC3965">
        <w:rPr>
          <w:rFonts w:ascii="Arial" w:hAnsi="Arial" w:cs="Arial"/>
          <w:i/>
          <w:iCs/>
        </w:rPr>
        <w:t>Teaching English to young learners: Reflection on a decade</w:t>
      </w:r>
      <w:r w:rsidRPr="00AC3965">
        <w:rPr>
          <w:rFonts w:ascii="Arial" w:hAnsi="Arial" w:cs="Arial"/>
        </w:rPr>
        <w:t xml:space="preserve"> </w:t>
      </w:r>
      <w:r w:rsidRPr="00AC3965">
        <w:rPr>
          <w:rFonts w:ascii="Arial" w:hAnsi="Arial" w:cs="Arial"/>
          <w:i/>
          <w:iCs/>
        </w:rPr>
        <w:t xml:space="preserve">(1990-2000). </w:t>
      </w:r>
      <w:r w:rsidRPr="00AC3965">
        <w:rPr>
          <w:rFonts w:ascii="Arial" w:hAnsi="Arial" w:cs="Arial"/>
        </w:rPr>
        <w:t xml:space="preserve">Retrieved from </w:t>
      </w:r>
      <w:r w:rsidRPr="00AC3965">
        <w:rPr>
          <w:rFonts w:ascii="Arial" w:hAnsi="Arial" w:cs="Arial"/>
          <w:color w:val="0000FF"/>
        </w:rPr>
        <w:t xml:space="preserve">www.britishcouncil.org/english/eyl/article02.htm </w:t>
      </w:r>
    </w:p>
    <w:p w14:paraId="03674176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AC3965">
        <w:rPr>
          <w:rFonts w:ascii="Arial" w:eastAsia="Times New Roman" w:hAnsi="Arial" w:cs="Arial"/>
          <w:lang w:eastAsia="en-GB"/>
        </w:rPr>
        <w:t>Encyclopedia</w:t>
      </w:r>
      <w:proofErr w:type="spellEnd"/>
      <w:r w:rsidRPr="00AC3965">
        <w:rPr>
          <w:rFonts w:ascii="Arial" w:eastAsia="Times New Roman" w:hAnsi="Arial" w:cs="Arial"/>
          <w:lang w:eastAsia="en-GB"/>
        </w:rPr>
        <w:t xml:space="preserve"> of Children’s Health (2020) </w:t>
      </w:r>
      <w:r w:rsidRPr="00AC3965">
        <w:rPr>
          <w:rFonts w:ascii="Arial" w:eastAsia="Times New Roman" w:hAnsi="Arial" w:cs="Arial"/>
          <w:i/>
          <w:iCs/>
          <w:lang w:eastAsia="en-GB"/>
        </w:rPr>
        <w:t xml:space="preserve">Cognitive Development </w:t>
      </w:r>
      <w:r w:rsidRPr="00AC3965">
        <w:rPr>
          <w:rFonts w:ascii="Arial" w:eastAsia="Times New Roman" w:hAnsi="Arial" w:cs="Arial"/>
          <w:lang w:eastAsia="en-GB"/>
        </w:rPr>
        <w:t xml:space="preserve">Available at: </w:t>
      </w:r>
      <w:hyperlink r:id="rId7" w:history="1">
        <w:r w:rsidRPr="00AC3965">
          <w:rPr>
            <w:rStyle w:val="Hyperlink"/>
            <w:rFonts w:ascii="Arial" w:eastAsia="Times New Roman" w:hAnsi="Arial" w:cs="Arial"/>
            <w:lang w:eastAsia="en-GB"/>
          </w:rPr>
          <w:t>http://www.healthofchildren.com/C/Cognitive-Development.html</w:t>
        </w:r>
      </w:hyperlink>
      <w:r w:rsidRPr="00AC3965">
        <w:rPr>
          <w:rFonts w:ascii="Arial" w:eastAsia="Times New Roman" w:hAnsi="Arial" w:cs="Arial"/>
          <w:lang w:eastAsia="en-GB"/>
        </w:rPr>
        <w:t xml:space="preserve"> (Accessed: 18th March 2020). </w:t>
      </w:r>
    </w:p>
    <w:p w14:paraId="2B46F2E8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FF0000"/>
          <w:lang w:eastAsia="en-GB"/>
        </w:rPr>
      </w:pPr>
      <w:r w:rsidRPr="00AC3965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Grant, A., Dennis, N. and Li, P. (2014) ‘Cognitive control, cognitive reserve, and memory in the aging bilingual brain’, </w:t>
      </w:r>
      <w:r w:rsidRPr="00AC3965">
        <w:rPr>
          <w:rFonts w:ascii="Arial" w:eastAsia="Times New Roman" w:hAnsi="Arial" w:cs="Arial"/>
          <w:i/>
          <w:iCs/>
          <w:color w:val="000000"/>
          <w:lang w:eastAsia="en-GB"/>
        </w:rPr>
        <w:t>Frontiers in Psychology</w:t>
      </w:r>
      <w:r w:rsidRPr="00AC3965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, 5, pp.1401. DOI: 10.3389/fpsyg.2014.01401</w:t>
      </w:r>
    </w:p>
    <w:p w14:paraId="5BE17A1B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353535"/>
        </w:rPr>
      </w:pPr>
      <w:r w:rsidRPr="00AC3965">
        <w:rPr>
          <w:rFonts w:ascii="Arial" w:hAnsi="Arial" w:cs="Arial"/>
          <w:color w:val="000000" w:themeColor="text1"/>
        </w:rPr>
        <w:t xml:space="preserve">Hamad, H. et.al. (2018) ‘Factors Influencing Language Learning: Experiences from Diverse Cultural Backgrounds’, DOI: </w:t>
      </w:r>
      <w:hyperlink r:id="rId8" w:tgtFrame="_blank" w:history="1">
        <w:r w:rsidRPr="00AC3965">
          <w:rPr>
            <w:rStyle w:val="Hyperlink"/>
            <w:rFonts w:ascii="Arial" w:hAnsi="Arial" w:cs="Arial"/>
            <w:color w:val="505050"/>
          </w:rPr>
          <w:t>http://dx.doi.org/10.2139/ssrn.3166780</w:t>
        </w:r>
      </w:hyperlink>
      <w:r w:rsidRPr="00AC3965">
        <w:rPr>
          <w:rFonts w:ascii="Arial" w:hAnsi="Arial" w:cs="Arial"/>
          <w:color w:val="353535"/>
        </w:rPr>
        <w:t xml:space="preserve">  </w:t>
      </w:r>
      <w:r w:rsidRPr="00AC3965">
        <w:rPr>
          <w:rFonts w:ascii="Arial" w:hAnsi="Arial" w:cs="Arial"/>
          <w:color w:val="000000" w:themeColor="text1"/>
        </w:rPr>
        <w:t>(Accessed: 21st March 2020).</w:t>
      </w:r>
    </w:p>
    <w:p w14:paraId="7416571D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lastRenderedPageBreak/>
        <w:t>Lefmann</w:t>
      </w:r>
      <w:proofErr w:type="spellEnd"/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T. and Combs-Orme, T. (2013) ‘Early Brain Development for Social Work Practice: Integrating Neuroscience with Piaget's Theory of Cognitive Development’ 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Journal of Human </w:t>
      </w:r>
      <w:proofErr w:type="spellStart"/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Behavior</w:t>
      </w:r>
      <w:proofErr w:type="spellEnd"/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in the Social Environment,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23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(5), pp.640-647.</w:t>
      </w:r>
    </w:p>
    <w:p w14:paraId="1818F6AA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C3965">
        <w:rPr>
          <w:rFonts w:ascii="Arial" w:hAnsi="Arial" w:cs="Arial"/>
          <w:color w:val="000000" w:themeColor="text1"/>
          <w:shd w:val="clear" w:color="auto" w:fill="FFFFFF"/>
        </w:rPr>
        <w:t>Marian, V., and Shook, A. (2012) ‘The cognitive benefits of being bilingual’ </w:t>
      </w:r>
      <w:proofErr w:type="spellStart"/>
      <w:proofErr w:type="gramStart"/>
      <w:r w:rsidRPr="00AC3965">
        <w:rPr>
          <w:rFonts w:ascii="Arial" w:hAnsi="Arial" w:cs="Arial"/>
          <w:i/>
          <w:iCs/>
          <w:color w:val="000000" w:themeColor="text1"/>
        </w:rPr>
        <w:t>Cerebrum:the</w:t>
      </w:r>
      <w:proofErr w:type="spellEnd"/>
      <w:proofErr w:type="gramEnd"/>
      <w:r w:rsidRPr="00AC3965">
        <w:rPr>
          <w:rFonts w:ascii="Arial" w:hAnsi="Arial" w:cs="Arial"/>
          <w:i/>
          <w:iCs/>
          <w:color w:val="000000" w:themeColor="text1"/>
        </w:rPr>
        <w:t xml:space="preserve"> Dana forum on brain science</w:t>
      </w:r>
      <w:r w:rsidRPr="00AC3965">
        <w:rPr>
          <w:rFonts w:ascii="Arial" w:hAnsi="Arial" w:cs="Arial"/>
          <w:color w:val="000000" w:themeColor="text1"/>
          <w:shd w:val="clear" w:color="auto" w:fill="FFFFFF"/>
        </w:rPr>
        <w:t xml:space="preserve">, 13. </w:t>
      </w:r>
    </w:p>
    <w:p w14:paraId="10BB8671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C3965">
        <w:rPr>
          <w:rFonts w:ascii="Arial" w:hAnsi="Arial" w:cs="Arial"/>
          <w:color w:val="000000" w:themeColor="text1"/>
        </w:rPr>
        <w:t xml:space="preserve">McElroy, M. (2013) </w:t>
      </w:r>
      <w:r w:rsidRPr="00AC3965">
        <w:rPr>
          <w:rFonts w:ascii="Arial" w:hAnsi="Arial" w:cs="Arial"/>
          <w:i/>
          <w:iCs/>
          <w:color w:val="000000" w:themeColor="text1"/>
        </w:rPr>
        <w:t xml:space="preserve">While in womb, babies begin learning language from their mothers. </w:t>
      </w:r>
      <w:r w:rsidRPr="00AC3965">
        <w:rPr>
          <w:rFonts w:ascii="Arial" w:hAnsi="Arial" w:cs="Arial"/>
          <w:color w:val="000000" w:themeColor="text1"/>
        </w:rPr>
        <w:t>Available at:</w:t>
      </w:r>
      <w:r w:rsidRPr="00AC3965">
        <w:rPr>
          <w:rFonts w:ascii="Arial" w:hAnsi="Arial" w:cs="Arial"/>
        </w:rPr>
        <w:t xml:space="preserve"> </w:t>
      </w:r>
      <w:hyperlink r:id="rId9" w:history="1">
        <w:r w:rsidRPr="00AC3965">
          <w:rPr>
            <w:rStyle w:val="Hyperlink"/>
            <w:rFonts w:ascii="Arial" w:hAnsi="Arial" w:cs="Arial"/>
          </w:rPr>
          <w:t>https://www.washington.edu/news/2013/01/02/while-in-womb-babies-begin-learning-language-from-their-mothers/</w:t>
        </w:r>
      </w:hyperlink>
      <w:r w:rsidRPr="00AC3965">
        <w:rPr>
          <w:rFonts w:ascii="Arial" w:hAnsi="Arial" w:cs="Arial"/>
          <w:color w:val="000000" w:themeColor="text1"/>
        </w:rPr>
        <w:t xml:space="preserve"> (Accessed: 10th March 2020). </w:t>
      </w:r>
    </w:p>
    <w:p w14:paraId="052156C0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AC3965">
        <w:rPr>
          <w:rFonts w:ascii="Arial" w:hAnsi="Arial" w:cs="Arial"/>
          <w:color w:val="303030"/>
          <w:shd w:val="clear" w:color="auto" w:fill="FFFFFF"/>
        </w:rPr>
        <w:t>McLoed</w:t>
      </w:r>
      <w:proofErr w:type="spellEnd"/>
      <w:r w:rsidRPr="00AC3965">
        <w:rPr>
          <w:rFonts w:ascii="Arial" w:hAnsi="Arial" w:cs="Arial"/>
          <w:color w:val="303030"/>
          <w:shd w:val="clear" w:color="auto" w:fill="FFFFFF"/>
        </w:rPr>
        <w:t xml:space="preserve">, S., et al., (2015) ‘Multilingualism and speech-language competence in early childhood: Impact on academic and social-emotional outcomes at school’, Early Childhood Research Quarterly, 35, pp.53-66. (Accessed:6th March 2020) </w:t>
      </w:r>
      <w:proofErr w:type="spellStart"/>
      <w:r w:rsidRPr="00AC3965">
        <w:rPr>
          <w:rFonts w:ascii="Arial" w:hAnsi="Arial" w:cs="Arial"/>
          <w:color w:val="303030"/>
          <w:shd w:val="clear" w:color="auto" w:fill="FFFFFF"/>
        </w:rPr>
        <w:t>DOI:</w:t>
      </w:r>
      <w:hyperlink r:id="rId10" w:history="1">
        <w:r w:rsidRPr="00AC3965">
          <w:rPr>
            <w:rStyle w:val="Hyperlink"/>
            <w:rFonts w:ascii="Arial" w:hAnsi="Arial" w:cs="Arial"/>
          </w:rPr>
          <w:t>http</w:t>
        </w:r>
        <w:proofErr w:type="spellEnd"/>
        <w:r w:rsidRPr="00AC3965">
          <w:rPr>
            <w:rStyle w:val="Hyperlink"/>
            <w:rFonts w:ascii="Arial" w:hAnsi="Arial" w:cs="Arial"/>
          </w:rPr>
          <w:t>://dx.doi.org/10.1016/j.ecresq.2015.08.005</w:t>
        </w:r>
      </w:hyperlink>
      <w:r w:rsidRPr="00AC3965">
        <w:rPr>
          <w:rFonts w:ascii="Arial" w:hAnsi="Arial" w:cs="Arial"/>
          <w:color w:val="000000" w:themeColor="text1"/>
        </w:rPr>
        <w:t xml:space="preserve"> </w:t>
      </w:r>
    </w:p>
    <w:p w14:paraId="6B09B1FA" w14:textId="77777777" w:rsidR="00AC3965" w:rsidRPr="00AC3965" w:rsidRDefault="00AC3965" w:rsidP="00AC396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C3965">
        <w:rPr>
          <w:rFonts w:ascii="Arial" w:hAnsi="Arial" w:cs="Arial"/>
          <w:color w:val="000000" w:themeColor="text1"/>
        </w:rPr>
        <w:t xml:space="preserve">Moon, C., </w:t>
      </w:r>
      <w:proofErr w:type="spellStart"/>
      <w:r w:rsidRPr="00AC3965">
        <w:rPr>
          <w:rFonts w:ascii="Arial" w:hAnsi="Arial" w:cs="Arial"/>
          <w:color w:val="000000" w:themeColor="text1"/>
        </w:rPr>
        <w:t>Lagercrantz</w:t>
      </w:r>
      <w:proofErr w:type="spellEnd"/>
      <w:r w:rsidRPr="00AC3965">
        <w:rPr>
          <w:rFonts w:ascii="Arial" w:hAnsi="Arial" w:cs="Arial"/>
          <w:color w:val="000000" w:themeColor="text1"/>
        </w:rPr>
        <w:t xml:space="preserve">, H. and Kuhl, </w:t>
      </w:r>
      <w:proofErr w:type="gramStart"/>
      <w:r w:rsidRPr="00AC3965">
        <w:rPr>
          <w:rFonts w:ascii="Arial" w:hAnsi="Arial" w:cs="Arial"/>
          <w:color w:val="000000" w:themeColor="text1"/>
        </w:rPr>
        <w:t>P,K.</w:t>
      </w:r>
      <w:proofErr w:type="gramEnd"/>
      <w:r w:rsidRPr="00AC3965">
        <w:rPr>
          <w:rFonts w:ascii="Arial" w:hAnsi="Arial" w:cs="Arial"/>
          <w:color w:val="000000" w:themeColor="text1"/>
        </w:rPr>
        <w:t xml:space="preserve"> (2012) Language experienced in utero affects vowel perception </w:t>
      </w:r>
      <w:r w:rsidRPr="00AC3965">
        <w:rPr>
          <w:rFonts w:ascii="Arial" w:hAnsi="Arial" w:cs="Arial"/>
          <w:b/>
          <w:bCs/>
          <w:color w:val="000000" w:themeColor="text1"/>
        </w:rPr>
        <w:t xml:space="preserve">after </w:t>
      </w:r>
      <w:r w:rsidRPr="00AC3965">
        <w:rPr>
          <w:rFonts w:ascii="Arial" w:hAnsi="Arial" w:cs="Arial"/>
          <w:color w:val="000000" w:themeColor="text1"/>
        </w:rPr>
        <w:t xml:space="preserve">birth: a two-country study. </w:t>
      </w:r>
      <w:r w:rsidRPr="00AC3965">
        <w:rPr>
          <w:rFonts w:ascii="Arial" w:hAnsi="Arial" w:cs="Arial"/>
          <w:i/>
          <w:iCs/>
          <w:color w:val="000000" w:themeColor="text1"/>
        </w:rPr>
        <w:t xml:space="preserve">Acta </w:t>
      </w:r>
      <w:proofErr w:type="spellStart"/>
      <w:r w:rsidRPr="00AC3965">
        <w:rPr>
          <w:rFonts w:ascii="Arial" w:hAnsi="Arial" w:cs="Arial"/>
          <w:i/>
          <w:iCs/>
          <w:color w:val="000000" w:themeColor="text1"/>
        </w:rPr>
        <w:t>Paediatrica</w:t>
      </w:r>
      <w:proofErr w:type="spellEnd"/>
      <w:r w:rsidRPr="00AC3965">
        <w:rPr>
          <w:rFonts w:ascii="Arial" w:hAnsi="Arial" w:cs="Arial"/>
          <w:color w:val="000000" w:themeColor="text1"/>
        </w:rPr>
        <w:t xml:space="preserve">. (Accessed: 12th March 2020) DOI: </w:t>
      </w:r>
      <w:hyperlink r:id="rId11" w:history="1">
        <w:r w:rsidRPr="00AC3965">
          <w:rPr>
            <w:rStyle w:val="Hyperlink"/>
            <w:rFonts w:ascii="Arial" w:hAnsi="Arial" w:cs="Arial"/>
          </w:rPr>
          <w:t>10.1111/apa.12098</w:t>
        </w:r>
      </w:hyperlink>
      <w:r w:rsidRPr="00AC3965">
        <w:rPr>
          <w:rFonts w:ascii="Arial" w:hAnsi="Arial" w:cs="Arial"/>
          <w:color w:val="000000" w:themeColor="text1"/>
        </w:rPr>
        <w:t xml:space="preserve"> </w:t>
      </w:r>
    </w:p>
    <w:p w14:paraId="6DFDC6CB" w14:textId="77777777" w:rsidR="00AC3965" w:rsidRPr="00AC3965" w:rsidRDefault="00AC3965" w:rsidP="00AC3965">
      <w:pPr>
        <w:spacing w:line="360" w:lineRule="auto"/>
        <w:jc w:val="both"/>
        <w:rPr>
          <w:rFonts w:ascii="Arial" w:hAnsi="Arial" w:cs="Arial"/>
        </w:rPr>
      </w:pPr>
      <w:proofErr w:type="spellStart"/>
      <w:r w:rsidRPr="00AC3965">
        <w:rPr>
          <w:rFonts w:ascii="Arial" w:eastAsia="Times New Roman" w:hAnsi="Arial" w:cs="Arial"/>
          <w:lang w:eastAsia="en-GB"/>
        </w:rPr>
        <w:t>Okoh</w:t>
      </w:r>
      <w:proofErr w:type="spellEnd"/>
      <w:r w:rsidRPr="00AC3965">
        <w:rPr>
          <w:rFonts w:ascii="Arial" w:eastAsia="Times New Roman" w:hAnsi="Arial" w:cs="Arial"/>
          <w:lang w:eastAsia="en-GB"/>
        </w:rPr>
        <w:t xml:space="preserve">, N. (2010) ‘Bilingualism and Divergent Thinking among Nigerian and Welsh School Children’ </w:t>
      </w:r>
      <w:r w:rsidRPr="00AC3965">
        <w:rPr>
          <w:rFonts w:ascii="Arial" w:eastAsia="Times New Roman" w:hAnsi="Arial" w:cs="Arial"/>
          <w:i/>
          <w:iCs/>
          <w:lang w:eastAsia="en-GB"/>
        </w:rPr>
        <w:t xml:space="preserve">The Journal of Social Psychology, </w:t>
      </w:r>
      <w:r w:rsidRPr="00AC3965">
        <w:rPr>
          <w:rFonts w:ascii="Arial" w:eastAsia="Times New Roman" w:hAnsi="Arial" w:cs="Arial"/>
          <w:lang w:eastAsia="en-GB"/>
        </w:rPr>
        <w:t>110(2), pp. 163-170 (Accessed: 20th March 2020) DOI:</w:t>
      </w:r>
      <w:r w:rsidRPr="00AC3965">
        <w:rPr>
          <w:rFonts w:ascii="Arial" w:hAnsi="Arial" w:cs="Arial"/>
        </w:rPr>
        <w:t xml:space="preserve"> </w:t>
      </w:r>
      <w:hyperlink r:id="rId12" w:history="1">
        <w:r w:rsidRPr="00AC3965">
          <w:rPr>
            <w:rStyle w:val="Hyperlink"/>
            <w:rFonts w:ascii="Arial" w:hAnsi="Arial" w:cs="Arial"/>
            <w:color w:val="333333"/>
          </w:rPr>
          <w:t>10.1080/00224545.1980.9924242</w:t>
        </w:r>
      </w:hyperlink>
    </w:p>
    <w:p w14:paraId="3BC04711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</w:rPr>
      </w:pPr>
      <w:r w:rsidRPr="00AC3965">
        <w:rPr>
          <w:rFonts w:ascii="Arial" w:hAnsi="Arial" w:cs="Arial"/>
        </w:rPr>
        <w:t xml:space="preserve">Paradis, M. (2004) </w:t>
      </w:r>
      <w:r w:rsidRPr="00AC3965">
        <w:rPr>
          <w:rFonts w:ascii="Arial" w:hAnsi="Arial" w:cs="Arial"/>
          <w:i/>
          <w:iCs/>
        </w:rPr>
        <w:t>A neurolinguistic theory of bilingualism</w:t>
      </w:r>
      <w:r w:rsidRPr="00AC3965">
        <w:rPr>
          <w:rFonts w:ascii="Arial" w:hAnsi="Arial" w:cs="Arial"/>
        </w:rPr>
        <w:t xml:space="preserve">. Amsterdam, Philadelphia: John </w:t>
      </w:r>
      <w:proofErr w:type="spellStart"/>
      <w:r w:rsidRPr="00AC3965">
        <w:rPr>
          <w:rFonts w:ascii="Arial" w:hAnsi="Arial" w:cs="Arial"/>
        </w:rPr>
        <w:t>Benjamins</w:t>
      </w:r>
      <w:proofErr w:type="spellEnd"/>
      <w:r w:rsidRPr="00AC3965">
        <w:rPr>
          <w:rFonts w:ascii="Arial" w:hAnsi="Arial" w:cs="Arial"/>
        </w:rPr>
        <w:t xml:space="preserve">. </w:t>
      </w:r>
    </w:p>
    <w:p w14:paraId="5A73319D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AC3965">
        <w:rPr>
          <w:rFonts w:ascii="Arial" w:eastAsia="Times New Roman" w:hAnsi="Arial" w:cs="Arial"/>
          <w:lang w:eastAsia="en-GB"/>
        </w:rPr>
        <w:t>Petitto</w:t>
      </w:r>
      <w:proofErr w:type="spellEnd"/>
      <w:r w:rsidRPr="00AC3965">
        <w:rPr>
          <w:rFonts w:ascii="Arial" w:eastAsia="Times New Roman" w:hAnsi="Arial" w:cs="Arial"/>
          <w:lang w:eastAsia="en-GB"/>
        </w:rPr>
        <w:t xml:space="preserve">, L. (2009) ‘New Discoveries From the Bilingual Brain and Mind Across the Life </w:t>
      </w:r>
      <w:proofErr w:type="spellStart"/>
      <w:proofErr w:type="gramStart"/>
      <w:r w:rsidRPr="00AC3965">
        <w:rPr>
          <w:rFonts w:ascii="Arial" w:eastAsia="Times New Roman" w:hAnsi="Arial" w:cs="Arial"/>
          <w:lang w:eastAsia="en-GB"/>
        </w:rPr>
        <w:t>Span:Implications</w:t>
      </w:r>
      <w:proofErr w:type="spellEnd"/>
      <w:proofErr w:type="gramEnd"/>
      <w:r w:rsidRPr="00AC3965">
        <w:rPr>
          <w:rFonts w:ascii="Arial" w:eastAsia="Times New Roman" w:hAnsi="Arial" w:cs="Arial"/>
          <w:lang w:eastAsia="en-GB"/>
        </w:rPr>
        <w:t xml:space="preserve"> for Education’, </w:t>
      </w:r>
      <w:r w:rsidRPr="00AC3965">
        <w:rPr>
          <w:rFonts w:ascii="Arial" w:eastAsia="Times New Roman" w:hAnsi="Arial" w:cs="Arial"/>
          <w:i/>
          <w:iCs/>
          <w:lang w:eastAsia="en-GB"/>
        </w:rPr>
        <w:t>Mind, Brain and Education.</w:t>
      </w:r>
      <w:r w:rsidRPr="00AC3965">
        <w:rPr>
          <w:rFonts w:ascii="Arial" w:eastAsia="Times New Roman" w:hAnsi="Arial" w:cs="Arial"/>
          <w:lang w:eastAsia="en-GB"/>
        </w:rPr>
        <w:t xml:space="preserve"> 3(4), pp.185-197.</w:t>
      </w:r>
    </w:p>
    <w:p w14:paraId="10433718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Pound, L. (2005) </w:t>
      </w:r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How children </w:t>
      </w:r>
      <w:proofErr w:type="gramStart"/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>learn :</w:t>
      </w:r>
      <w:proofErr w:type="gramEnd"/>
      <w:r w:rsidRPr="00AC3965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From Montessori to Vygotsky - educational theories and approaches made easy</w:t>
      </w:r>
      <w:r w:rsidRPr="00AC396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(Practical pre-school). Leamington Spa: Step Forward Publishing.</w:t>
      </w:r>
    </w:p>
    <w:p w14:paraId="7DA54C23" w14:textId="77777777" w:rsidR="00AC3965" w:rsidRPr="00AC3965" w:rsidRDefault="00AC3965" w:rsidP="00AC396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AC3965">
        <w:rPr>
          <w:rFonts w:ascii="Arial" w:hAnsi="Arial" w:cs="Arial"/>
          <w:i/>
          <w:iCs/>
          <w:color w:val="000000" w:themeColor="text1"/>
          <w:bdr w:val="none" w:sz="0" w:space="0" w:color="auto" w:frame="1"/>
        </w:rPr>
        <w:t>Proceedings of the International Conference on the Roles of Parents in Shaping Children’s Characters.</w:t>
      </w:r>
      <w:r w:rsidRPr="00AC3965">
        <w:rPr>
          <w:rStyle w:val="apple-converted-space"/>
          <w:rFonts w:ascii="Arial" w:hAnsi="Arial" w:cs="Arial"/>
          <w:i/>
          <w:iCs/>
          <w:color w:val="000000" w:themeColor="text1"/>
          <w:bdr w:val="none" w:sz="0" w:space="0" w:color="auto" w:frame="1"/>
        </w:rPr>
        <w:t> </w:t>
      </w:r>
      <w:proofErr w:type="spellStart"/>
      <w:r w:rsidRPr="00AC3965">
        <w:rPr>
          <w:rFonts w:ascii="Arial" w:hAnsi="Arial" w:cs="Arial"/>
          <w:color w:val="000000" w:themeColor="text1"/>
          <w:bdr w:val="none" w:sz="0" w:space="0" w:color="auto" w:frame="1"/>
        </w:rPr>
        <w:t>Universitas</w:t>
      </w:r>
      <w:proofErr w:type="spellEnd"/>
      <w:r w:rsidRPr="00AC3965">
        <w:rPr>
          <w:rFonts w:ascii="Arial" w:hAnsi="Arial" w:cs="Arial"/>
          <w:color w:val="000000" w:themeColor="text1"/>
          <w:bdr w:val="none" w:sz="0" w:space="0" w:color="auto" w:frame="1"/>
        </w:rPr>
        <w:t xml:space="preserve"> </w:t>
      </w:r>
      <w:proofErr w:type="spellStart"/>
      <w:r w:rsidRPr="00AC3965">
        <w:rPr>
          <w:rFonts w:ascii="Arial" w:hAnsi="Arial" w:cs="Arial"/>
          <w:color w:val="000000" w:themeColor="text1"/>
          <w:bdr w:val="none" w:sz="0" w:space="0" w:color="auto" w:frame="1"/>
        </w:rPr>
        <w:t>Syiah</w:t>
      </w:r>
      <w:proofErr w:type="spellEnd"/>
      <w:r w:rsidRPr="00AC3965">
        <w:rPr>
          <w:rFonts w:ascii="Arial" w:hAnsi="Arial" w:cs="Arial"/>
          <w:color w:val="000000" w:themeColor="text1"/>
          <w:bdr w:val="none" w:sz="0" w:space="0" w:color="auto" w:frame="1"/>
        </w:rPr>
        <w:t xml:space="preserve"> Kuala, Banda Aceh, Indonesia 3-4</w:t>
      </w:r>
      <w:r w:rsidRPr="00AC3965">
        <w:rPr>
          <w:rFonts w:ascii="Arial" w:hAnsi="Arial" w:cs="Arial"/>
          <w:color w:val="000000" w:themeColor="text1"/>
          <w:bdr w:val="none" w:sz="0" w:space="0" w:color="auto" w:frame="1"/>
          <w:vertAlign w:val="superscript"/>
        </w:rPr>
        <w:t>th</w:t>
      </w:r>
      <w:r w:rsidRPr="00AC3965">
        <w:rPr>
          <w:rStyle w:val="apple-converted-space"/>
          <w:rFonts w:ascii="Arial" w:hAnsi="Arial" w:cs="Arial"/>
          <w:color w:val="000000" w:themeColor="text1"/>
          <w:bdr w:val="none" w:sz="0" w:space="0" w:color="auto" w:frame="1"/>
        </w:rPr>
        <w:t> </w:t>
      </w:r>
      <w:r w:rsidRPr="00AC3965">
        <w:rPr>
          <w:rFonts w:ascii="Arial" w:hAnsi="Arial" w:cs="Arial"/>
          <w:color w:val="000000" w:themeColor="text1"/>
          <w:bdr w:val="none" w:sz="0" w:space="0" w:color="auto" w:frame="1"/>
        </w:rPr>
        <w:t>December. Indonesia: International Conference on Early Childhood Education.</w:t>
      </w:r>
    </w:p>
    <w:p w14:paraId="4966D24D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u w:val="single"/>
          <w:lang w:eastAsia="en-GB"/>
        </w:rPr>
      </w:pPr>
      <w:r w:rsidRPr="00AC3965">
        <w:rPr>
          <w:rFonts w:ascii="Arial" w:hAnsi="Arial" w:cs="Arial"/>
          <w:color w:val="000000" w:themeColor="text1"/>
          <w:u w:val="single"/>
        </w:rPr>
        <w:t>Reference</w:t>
      </w:r>
    </w:p>
    <w:p w14:paraId="089EA9EB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AC3965">
        <w:rPr>
          <w:rFonts w:ascii="Arial" w:hAnsi="Arial" w:cs="Arial"/>
        </w:rPr>
        <w:lastRenderedPageBreak/>
        <w:t>Stanborough</w:t>
      </w:r>
      <w:proofErr w:type="spellEnd"/>
      <w:r w:rsidRPr="00AC3965">
        <w:rPr>
          <w:rFonts w:ascii="Arial" w:hAnsi="Arial" w:cs="Arial"/>
        </w:rPr>
        <w:t xml:space="preserve">, R. (2019). </w:t>
      </w:r>
      <w:r w:rsidRPr="00AC3965">
        <w:rPr>
          <w:rFonts w:ascii="Arial" w:hAnsi="Arial" w:cs="Arial"/>
          <w:i/>
          <w:iCs/>
        </w:rPr>
        <w:t>Healthline.</w:t>
      </w:r>
      <w:r w:rsidRPr="00AC3965">
        <w:rPr>
          <w:rFonts w:ascii="Arial" w:hAnsi="Arial" w:cs="Arial"/>
        </w:rPr>
        <w:t xml:space="preserve"> Available at:</w:t>
      </w:r>
      <w:hyperlink r:id="rId13" w:anchor="in-classrooms" w:history="1">
        <w:r w:rsidRPr="00AC3965">
          <w:rPr>
            <w:rStyle w:val="Hyperlink"/>
            <w:rFonts w:ascii="Arial" w:hAnsi="Arial" w:cs="Arial"/>
          </w:rPr>
          <w:t>https://www.healthline.com/health/childrens-health/chomsky-theory#in-classrooms</w:t>
        </w:r>
      </w:hyperlink>
      <w:r w:rsidRPr="00AC3965">
        <w:rPr>
          <w:rFonts w:ascii="Arial" w:hAnsi="Arial" w:cs="Arial"/>
          <w:color w:val="000000" w:themeColor="text1"/>
        </w:rPr>
        <w:t xml:space="preserve"> (Accessed: 21st March 2020).</w:t>
      </w:r>
    </w:p>
    <w:p w14:paraId="49E95CF6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C3965">
        <w:rPr>
          <w:rFonts w:ascii="Arial" w:hAnsi="Arial" w:cs="Arial"/>
          <w:i/>
          <w:iCs/>
          <w:color w:val="000000" w:themeColor="text1"/>
        </w:rPr>
        <w:t xml:space="preserve">The Foundation Phase Framework </w:t>
      </w:r>
      <w:r w:rsidRPr="00AC3965">
        <w:rPr>
          <w:rFonts w:ascii="Arial" w:hAnsi="Arial" w:cs="Arial"/>
          <w:color w:val="000000" w:themeColor="text1"/>
        </w:rPr>
        <w:t xml:space="preserve">(2015) Available at: </w:t>
      </w:r>
      <w:hyperlink r:id="rId14" w:history="1">
        <w:r w:rsidRPr="00AC3965">
          <w:rPr>
            <w:rStyle w:val="Hyperlink"/>
            <w:rFonts w:ascii="Arial" w:hAnsi="Arial" w:cs="Arial"/>
          </w:rPr>
          <w:t>https://hwb.gov.wales/storage/d5d8e39c-b534-40cb-a3f5-7e2e126d8077/foundation-phase-framework.pdf</w:t>
        </w:r>
      </w:hyperlink>
      <w:r w:rsidRPr="00AC3965">
        <w:rPr>
          <w:rFonts w:ascii="Arial" w:hAnsi="Arial" w:cs="Arial"/>
          <w:color w:val="000000" w:themeColor="text1"/>
        </w:rPr>
        <w:t xml:space="preserve"> (Accessed:21st March 2020). </w:t>
      </w:r>
    </w:p>
    <w:p w14:paraId="18A012E0" w14:textId="77777777" w:rsidR="00AC3965" w:rsidRPr="00AC3965" w:rsidRDefault="00AC3965" w:rsidP="00AC3965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AC3965">
        <w:rPr>
          <w:rFonts w:ascii="Arial" w:eastAsia="Times New Roman" w:hAnsi="Arial" w:cs="Arial"/>
          <w:lang w:eastAsia="en-GB"/>
        </w:rPr>
        <w:t>Waltendorf</w:t>
      </w:r>
      <w:proofErr w:type="spellEnd"/>
      <w:r w:rsidRPr="00AC3965">
        <w:rPr>
          <w:rFonts w:ascii="Arial" w:eastAsia="Times New Roman" w:hAnsi="Arial" w:cs="Arial"/>
          <w:lang w:eastAsia="en-GB"/>
        </w:rPr>
        <w:t xml:space="preserve">, E and </w:t>
      </w:r>
      <w:proofErr w:type="spellStart"/>
      <w:r w:rsidRPr="00AC3965">
        <w:rPr>
          <w:rFonts w:ascii="Arial" w:eastAsia="Times New Roman" w:hAnsi="Arial" w:cs="Arial"/>
          <w:lang w:eastAsia="en-GB"/>
        </w:rPr>
        <w:t>Festman</w:t>
      </w:r>
      <w:proofErr w:type="spellEnd"/>
      <w:r w:rsidRPr="00AC3965">
        <w:rPr>
          <w:rFonts w:ascii="Arial" w:eastAsia="Times New Roman" w:hAnsi="Arial" w:cs="Arial"/>
          <w:lang w:eastAsia="en-GB"/>
        </w:rPr>
        <w:t xml:space="preserve">, J (2008) ‘Images of The Multilingual Brain: The effect of Age of Second Language Acquisition’ </w:t>
      </w:r>
      <w:r w:rsidRPr="00AC3965">
        <w:rPr>
          <w:rFonts w:ascii="Arial" w:eastAsia="Times New Roman" w:hAnsi="Arial" w:cs="Arial"/>
          <w:i/>
          <w:iCs/>
          <w:lang w:eastAsia="en-GB"/>
        </w:rPr>
        <w:t xml:space="preserve">Annual Review of Applied </w:t>
      </w:r>
      <w:proofErr w:type="spellStart"/>
      <w:r w:rsidRPr="00AC3965">
        <w:rPr>
          <w:rFonts w:ascii="Arial" w:eastAsia="Times New Roman" w:hAnsi="Arial" w:cs="Arial"/>
          <w:i/>
          <w:iCs/>
          <w:lang w:eastAsia="en-GB"/>
        </w:rPr>
        <w:t>Lingulistics</w:t>
      </w:r>
      <w:proofErr w:type="spellEnd"/>
      <w:r w:rsidRPr="00AC3965">
        <w:rPr>
          <w:rFonts w:ascii="Arial" w:eastAsia="Times New Roman" w:hAnsi="Arial" w:cs="Arial"/>
          <w:i/>
          <w:iCs/>
          <w:lang w:eastAsia="en-GB"/>
        </w:rPr>
        <w:t xml:space="preserve"> </w:t>
      </w:r>
      <w:r w:rsidRPr="00AC3965">
        <w:rPr>
          <w:rFonts w:ascii="Arial" w:eastAsia="Times New Roman" w:hAnsi="Arial" w:cs="Arial"/>
          <w:lang w:eastAsia="en-GB"/>
        </w:rPr>
        <w:t>28, pp. 3-24. (Accessed:14th March 2020) DOI: 10.1017/S0267190508080033.</w:t>
      </w:r>
    </w:p>
    <w:p w14:paraId="5000D61E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C3965">
        <w:rPr>
          <w:rFonts w:ascii="Arial" w:hAnsi="Arial" w:cs="Arial"/>
          <w:color w:val="000000" w:themeColor="text1"/>
        </w:rPr>
        <w:t xml:space="preserve">Welsh early years specialists (No Date) </w:t>
      </w:r>
      <w:proofErr w:type="spellStart"/>
      <w:r w:rsidRPr="00AC3965">
        <w:rPr>
          <w:rFonts w:ascii="Arial" w:hAnsi="Arial" w:cs="Arial"/>
          <w:i/>
          <w:iCs/>
          <w:color w:val="000000" w:themeColor="text1"/>
        </w:rPr>
        <w:t>Mudiad</w:t>
      </w:r>
      <w:proofErr w:type="spellEnd"/>
      <w:r w:rsidRPr="00AC3965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AC3965">
        <w:rPr>
          <w:rFonts w:ascii="Arial" w:hAnsi="Arial" w:cs="Arial"/>
          <w:i/>
          <w:iCs/>
          <w:color w:val="000000" w:themeColor="text1"/>
        </w:rPr>
        <w:t>Meithrin</w:t>
      </w:r>
      <w:proofErr w:type="spellEnd"/>
      <w:r w:rsidRPr="00AC3965">
        <w:rPr>
          <w:rFonts w:ascii="Arial" w:hAnsi="Arial" w:cs="Arial"/>
          <w:color w:val="000000" w:themeColor="text1"/>
        </w:rPr>
        <w:t xml:space="preserve">. Available at: </w:t>
      </w:r>
      <w:hyperlink r:id="rId15" w:history="1">
        <w:r w:rsidRPr="00AC3965">
          <w:rPr>
            <w:rStyle w:val="Hyperlink"/>
            <w:rFonts w:ascii="Arial" w:hAnsi="Arial" w:cs="Arial"/>
            <w:i/>
            <w:iCs/>
          </w:rPr>
          <w:t>https://www.meithrin.cymru/about-us/</w:t>
        </w:r>
      </w:hyperlink>
      <w:r w:rsidRPr="00AC3965">
        <w:rPr>
          <w:rFonts w:ascii="Arial" w:hAnsi="Arial" w:cs="Arial"/>
          <w:i/>
          <w:iCs/>
          <w:color w:val="000000" w:themeColor="text1"/>
        </w:rPr>
        <w:t xml:space="preserve"> </w:t>
      </w:r>
      <w:r w:rsidRPr="00AC3965">
        <w:rPr>
          <w:rFonts w:ascii="Arial" w:hAnsi="Arial" w:cs="Arial"/>
          <w:color w:val="000000" w:themeColor="text1"/>
        </w:rPr>
        <w:t>(Accessed: 21st March 2020).</w:t>
      </w:r>
    </w:p>
    <w:p w14:paraId="4B232652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</w:rPr>
      </w:pPr>
      <w:r w:rsidRPr="00AC3965">
        <w:rPr>
          <w:rFonts w:ascii="Arial" w:hAnsi="Arial" w:cs="Arial"/>
        </w:rPr>
        <w:t xml:space="preserve">Welsh Government (2020) </w:t>
      </w:r>
      <w:r w:rsidRPr="00AC3965">
        <w:rPr>
          <w:rFonts w:ascii="Arial" w:hAnsi="Arial" w:cs="Arial"/>
          <w:i/>
          <w:iCs/>
        </w:rPr>
        <w:t>Developing a vision for Curriculum design.</w:t>
      </w:r>
      <w:r w:rsidRPr="00AC3965">
        <w:rPr>
          <w:rFonts w:ascii="Arial" w:hAnsi="Arial" w:cs="Arial"/>
        </w:rPr>
        <w:t xml:space="preserve"> Available at: </w:t>
      </w:r>
      <w:hyperlink r:id="rId16" w:anchor="curriculum-design-and-the-four-purposes" w:history="1">
        <w:r w:rsidRPr="00AC3965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AC3965">
        <w:rPr>
          <w:rFonts w:ascii="Arial" w:hAnsi="Arial" w:cs="Arial"/>
        </w:rPr>
        <w:t xml:space="preserve"> (Accessed:19th March 2020).</w:t>
      </w:r>
    </w:p>
    <w:p w14:paraId="1E82076F" w14:textId="77777777" w:rsidR="00AC3965" w:rsidRPr="00AC3965" w:rsidRDefault="00AC3965" w:rsidP="00AC3965">
      <w:pPr>
        <w:pStyle w:val="NormalWeb"/>
        <w:spacing w:line="360" w:lineRule="auto"/>
        <w:jc w:val="both"/>
        <w:rPr>
          <w:rFonts w:ascii="Arial" w:hAnsi="Arial" w:cs="Arial"/>
        </w:rPr>
      </w:pPr>
      <w:r w:rsidRPr="00AC3965">
        <w:rPr>
          <w:rFonts w:ascii="Arial" w:hAnsi="Arial" w:cs="Arial"/>
        </w:rPr>
        <w:t xml:space="preserve">Welsh Government, WG. (2015) </w:t>
      </w:r>
      <w:r w:rsidRPr="00AC3965">
        <w:rPr>
          <w:rFonts w:ascii="Arial" w:hAnsi="Arial" w:cs="Arial"/>
          <w:i/>
          <w:iCs/>
        </w:rPr>
        <w:t xml:space="preserve">Evaluation report on capacity building approaches to support the delivery of English as an additional language in Wales. </w:t>
      </w:r>
      <w:r w:rsidRPr="00AC3965">
        <w:rPr>
          <w:rFonts w:ascii="Arial" w:hAnsi="Arial" w:cs="Arial"/>
        </w:rPr>
        <w:t>Cardiff. Available at:</w:t>
      </w:r>
      <w:hyperlink r:id="rId17" w:history="1">
        <w:r w:rsidRPr="00AC3965">
          <w:rPr>
            <w:rStyle w:val="Hyperlink"/>
            <w:rFonts w:ascii="Arial" w:hAnsi="Arial" w:cs="Arial"/>
          </w:rPr>
          <w:t>https://gov.wales/sites/default/files/publications/2018-11/evaluation-report-on-capacity-building-approaches-to-support-the-delivery-of-english-as-an-additional-language-in-wales.pdf</w:t>
        </w:r>
      </w:hyperlink>
      <w:r w:rsidRPr="00AC3965">
        <w:rPr>
          <w:rFonts w:ascii="Arial" w:hAnsi="Arial" w:cs="Arial"/>
        </w:rPr>
        <w:t xml:space="preserve"> </w:t>
      </w:r>
    </w:p>
    <w:sectPr w:rsidR="00AC3965" w:rsidRPr="00AC3965" w:rsidSect="00093CF4">
      <w:headerReference w:type="default" r:id="rId18"/>
      <w:footerReference w:type="defaul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718C7" w14:textId="77777777" w:rsidR="008A7891" w:rsidRDefault="008A7891" w:rsidP="00AC3965">
      <w:r>
        <w:separator/>
      </w:r>
    </w:p>
  </w:endnote>
  <w:endnote w:type="continuationSeparator" w:id="0">
    <w:p w14:paraId="7C49BD72" w14:textId="77777777" w:rsidR="008A7891" w:rsidRDefault="008A7891" w:rsidP="00AC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47B24" w14:textId="77777777" w:rsidR="00AC3965" w:rsidRDefault="00AC3965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A3FAE3B" w14:textId="77777777" w:rsidR="00AC3965" w:rsidRDefault="00AC39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980BF" w14:textId="77777777" w:rsidR="008A7891" w:rsidRDefault="008A7891" w:rsidP="00AC3965">
      <w:r>
        <w:separator/>
      </w:r>
    </w:p>
  </w:footnote>
  <w:footnote w:type="continuationSeparator" w:id="0">
    <w:p w14:paraId="7F90829A" w14:textId="77777777" w:rsidR="008A7891" w:rsidRDefault="008A7891" w:rsidP="00AC3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AAF33" w14:textId="77777777" w:rsidR="00AC3965" w:rsidRDefault="00AC3965">
    <w:pPr>
      <w:pStyle w:val="Header"/>
    </w:pPr>
    <w:r>
      <w:t>EAEE4006/C</w:t>
    </w:r>
  </w:p>
  <w:p w14:paraId="554D735C" w14:textId="580B0535" w:rsidR="00AC3965" w:rsidRDefault="00AC3965">
    <w:pPr>
      <w:pStyle w:val="Header"/>
    </w:pPr>
    <w:r>
      <w:t>1904573</w:t>
    </w:r>
    <w:r>
      <w:ptab w:relativeTo="margin" w:alignment="center" w:leader="none"/>
    </w:r>
    <w:sdt>
      <w:sdtPr>
        <w:id w:val="968859947"/>
        <w:placeholder>
          <w:docPart w:val="485B8A2B42BFCA4AB2610A15DC0410E5"/>
        </w:placeholder>
        <w:temporary/>
        <w:showingPlcHdr/>
        <w15:appearance w15:val="hidden"/>
      </w:sdtPr>
      <w:sdtContent>
        <w:r>
          <w:t>[Type here]</w:t>
        </w:r>
      </w:sdtContent>
    </w:sdt>
    <w:r>
      <w:ptab w:relativeTo="margin" w:alignment="right" w:leader="none"/>
    </w:r>
    <w:sdt>
      <w:sdtPr>
        <w:id w:val="968859952"/>
        <w:placeholder>
          <w:docPart w:val="485B8A2B42BFCA4AB2610A15DC0410E5"/>
        </w:placeholder>
        <w:temporary/>
        <w:showingPlcHdr/>
        <w15:appearance w15:val="hidden"/>
      </w:sdtPr>
      <w:sdtContent>
        <w:r>
          <w:t>[Type here]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EA"/>
    <w:rsid w:val="00093CF4"/>
    <w:rsid w:val="00104D70"/>
    <w:rsid w:val="00766BA1"/>
    <w:rsid w:val="008A7891"/>
    <w:rsid w:val="00AC07EA"/>
    <w:rsid w:val="00AC3965"/>
    <w:rsid w:val="00E6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D567"/>
  <w15:chartTrackingRefBased/>
  <w15:docId w15:val="{19C71051-7C49-E64F-AB32-47197CFAF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7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07EA"/>
  </w:style>
  <w:style w:type="character" w:styleId="Hyperlink">
    <w:name w:val="Hyperlink"/>
    <w:basedOn w:val="DefaultParagraphFont"/>
    <w:uiPriority w:val="99"/>
    <w:unhideWhenUsed/>
    <w:rsid w:val="00AC07E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C07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BA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BA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C39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3965"/>
  </w:style>
  <w:style w:type="paragraph" w:styleId="Footer">
    <w:name w:val="footer"/>
    <w:basedOn w:val="Normal"/>
    <w:link w:val="FooterChar"/>
    <w:uiPriority w:val="99"/>
    <w:unhideWhenUsed/>
    <w:rsid w:val="00AC39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x.doi.org/10.2139/ssrn.3166780" TargetMode="External"/><Relationship Id="rId13" Type="http://schemas.openxmlformats.org/officeDocument/2006/relationships/hyperlink" Target="https://www.healthline.com/health/childrens-health/chomsky-theory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glossaryDocument" Target="glossary/document.xml"/><Relationship Id="rId7" Type="http://schemas.openxmlformats.org/officeDocument/2006/relationships/hyperlink" Target="http://www.healthofchildren.com/C/Cognitive-Development.html" TargetMode="External"/><Relationship Id="rId12" Type="http://schemas.openxmlformats.org/officeDocument/2006/relationships/hyperlink" Target="https://doi.org/10.1080/00224545.1980.9924242" TargetMode="External"/><Relationship Id="rId17" Type="http://schemas.openxmlformats.org/officeDocument/2006/relationships/hyperlink" Target="https://gov.wales/sites/default/files/publications/2018-11/evaluation-report-on-capacity-building-approaches-to-support-the-delivery-of-english-as-an-additional-language-in-wale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curriculum-for-wales/designing-your-curriculum/developing-a-vision-for-curriculum-design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wasacre.org.uk/publications/wag/E-developingthecurriculumcymreig.pdf" TargetMode="External"/><Relationship Id="rId11" Type="http://schemas.openxmlformats.org/officeDocument/2006/relationships/hyperlink" Target="http://dx.doi.org/10.1111/apa.12098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meithrin.cymru/about-us/" TargetMode="External"/><Relationship Id="rId10" Type="http://schemas.openxmlformats.org/officeDocument/2006/relationships/hyperlink" Target="http://dx.doi.org/10.1016/j.ecresq.2015.08.005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washington.edu/news/2013/01/02/while-in-womb-babies-begin-learning-language-from-their-mothers/" TargetMode="External"/><Relationship Id="rId14" Type="http://schemas.openxmlformats.org/officeDocument/2006/relationships/hyperlink" Target="https://hwb.gov.wales/storage/d5d8e39c-b534-40cb-a3f5-7e2e126d8077/foundation-phase-framework.pdf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85B8A2B42BFCA4AB2610A15DC041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D83B7-231F-2E42-8ABF-126FF10E18A5}"/>
      </w:docPartPr>
      <w:docPartBody>
        <w:p w:rsidR="00000000" w:rsidRDefault="00D222CF" w:rsidP="00D222CF">
          <w:pPr>
            <w:pStyle w:val="485B8A2B42BFCA4AB2610A15DC0410E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2CF"/>
    <w:rsid w:val="00D222CF"/>
    <w:rsid w:val="00F5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85B8A2B42BFCA4AB2610A15DC0410E5">
    <w:name w:val="485B8A2B42BFCA4AB2610A15DC0410E5"/>
    <w:rsid w:val="00D222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921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Jones (1904573)</dc:creator>
  <cp:keywords/>
  <dc:description/>
  <cp:lastModifiedBy>Lauren Jones (1904573)</cp:lastModifiedBy>
  <cp:revision>4</cp:revision>
  <dcterms:created xsi:type="dcterms:W3CDTF">2020-03-30T17:00:00Z</dcterms:created>
  <dcterms:modified xsi:type="dcterms:W3CDTF">2020-04-02T16:09:00Z</dcterms:modified>
</cp:coreProperties>
</file>