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kern w:val="2"/>
          <w:sz w:val="24"/>
          <w:szCs w:val="24"/>
          <w:lang w:eastAsia="en-US"/>
          <w14:ligatures w14:val="standardContextual"/>
        </w:rPr>
        <w:id w:val="-1252111009"/>
        <w:docPartObj>
          <w:docPartGallery w:val="Cover Pages"/>
          <w:docPartUnique/>
        </w:docPartObj>
      </w:sdtPr>
      <w:sdtEndPr/>
      <w:sdtContent>
        <w:p w14:paraId="5D840484" w14:textId="553483C4" w:rsidR="00B3134E" w:rsidRPr="00685F3A" w:rsidRDefault="00B3134E" w:rsidP="00B37E39">
          <w:pPr>
            <w:pStyle w:val="NoSpacing"/>
            <w:jc w:val="both"/>
            <w:rPr>
              <w:rFonts w:cstheme="minorHAnsi"/>
              <w:sz w:val="24"/>
              <w:szCs w:val="24"/>
            </w:rPr>
          </w:pPr>
          <w:r w:rsidRPr="00685F3A">
            <w:rPr>
              <w:rFonts w:cstheme="minorHAnsi"/>
              <w:noProof/>
              <w:sz w:val="24"/>
              <w:szCs w:val="24"/>
            </w:rPr>
            <mc:AlternateContent>
              <mc:Choice Requires="wpg">
                <w:drawing>
                  <wp:anchor distT="0" distB="0" distL="114300" distR="114300" simplePos="0" relativeHeight="251659264" behindDoc="1" locked="0" layoutInCell="1" allowOverlap="1" wp14:anchorId="2CAE2DB2" wp14:editId="311BD52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07T00:00:00Z">
                                      <w:dateFormat w:val="dd/MM/yyyy"/>
                                      <w:lid w:val="en-GB"/>
                                      <w:storeMappedDataAs w:val="dateTime"/>
                                      <w:calendar w:val="gregorian"/>
                                    </w:date>
                                  </w:sdtPr>
                                  <w:sdtEndPr/>
                                  <w:sdtContent>
                                    <w:p w14:paraId="74D7F98B" w14:textId="525125B2" w:rsidR="00B3134E" w:rsidRDefault="00B3134E">
                                      <w:pPr>
                                        <w:pStyle w:val="NoSpacing"/>
                                        <w:jc w:val="right"/>
                                        <w:rPr>
                                          <w:color w:val="FFFFFF" w:themeColor="background1"/>
                                          <w:sz w:val="28"/>
                                          <w:szCs w:val="28"/>
                                        </w:rPr>
                                      </w:pPr>
                                      <w:r>
                                        <w:rPr>
                                          <w:color w:val="FFFFFF" w:themeColor="background1"/>
                                          <w:sz w:val="28"/>
                                          <w:szCs w:val="28"/>
                                        </w:rPr>
                                        <w:t>07/07/2023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AE2DB2"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07T00:00:00Z">
                                <w:dateFormat w:val="dd/MM/yyyy"/>
                                <w:lid w:val="en-GB"/>
                                <w:storeMappedDataAs w:val="dateTime"/>
                                <w:calendar w:val="gregorian"/>
                              </w:date>
                            </w:sdtPr>
                            <w:sdtEndPr/>
                            <w:sdtContent>
                              <w:p w14:paraId="74D7F98B" w14:textId="525125B2" w:rsidR="00B3134E" w:rsidRDefault="00B3134E">
                                <w:pPr>
                                  <w:pStyle w:val="NoSpacing"/>
                                  <w:jc w:val="right"/>
                                  <w:rPr>
                                    <w:color w:val="FFFFFF" w:themeColor="background1"/>
                                    <w:sz w:val="28"/>
                                    <w:szCs w:val="28"/>
                                  </w:rPr>
                                </w:pPr>
                                <w:r>
                                  <w:rPr>
                                    <w:color w:val="FFFFFF" w:themeColor="background1"/>
                                    <w:sz w:val="28"/>
                                    <w:szCs w:val="28"/>
                                  </w:rPr>
                                  <w:t>07/07/2023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85F3A">
            <w:rPr>
              <w:rFonts w:cstheme="minorHAnsi"/>
              <w:noProof/>
              <w:sz w:val="24"/>
              <w:szCs w:val="24"/>
            </w:rPr>
            <mc:AlternateContent>
              <mc:Choice Requires="wps">
                <w:drawing>
                  <wp:anchor distT="0" distB="0" distL="114300" distR="114300" simplePos="0" relativeHeight="251661312" behindDoc="0" locked="0" layoutInCell="1" allowOverlap="1" wp14:anchorId="13CD7B63" wp14:editId="4D03313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17D7F1" w14:textId="34533FDD" w:rsidR="00B3134E" w:rsidRDefault="00A40D5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3134E">
                                      <w:rPr>
                                        <w:color w:val="4472C4" w:themeColor="accent1"/>
                                        <w:sz w:val="26"/>
                                        <w:szCs w:val="26"/>
                                      </w:rPr>
                                      <w:t>Sandra Boscaneanu</w:t>
                                    </w:r>
                                    <w:r w:rsidR="00B37E39">
                                      <w:rPr>
                                        <w:color w:val="4472C4" w:themeColor="accent1"/>
                                        <w:sz w:val="26"/>
                                        <w:szCs w:val="26"/>
                                      </w:rPr>
                                      <w:t xml:space="preserve"> 2016826</w:t>
                                    </w:r>
                                  </w:sdtContent>
                                </w:sdt>
                              </w:p>
                              <w:p w14:paraId="17C43B14" w14:textId="70B29D38" w:rsidR="00B3134E" w:rsidRDefault="00B3134E">
                                <w:pPr>
                                  <w:pStyle w:val="NoSpacing"/>
                                  <w:rPr>
                                    <w:color w:val="595959" w:themeColor="text1" w:themeTint="A6"/>
                                    <w:sz w:val="20"/>
                                    <w:szCs w:val="20"/>
                                  </w:rPr>
                                </w:pPr>
                                <w:r>
                                  <w:rPr>
                                    <w:caps/>
                                    <w:color w:val="595959" w:themeColor="text1" w:themeTint="A6"/>
                                    <w:sz w:val="20"/>
                                    <w:szCs w:val="20"/>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CD7B63" id="_x0000_t202" coordsize="21600,21600" o:spt="202" path="m,l,21600r21600,l21600,xe">
                    <v:stroke joinstyle="miter"/>
                    <v:path gradientshapeok="t" o:connecttype="rect"/>
                  </v:shapetype>
                  <v:shape id="Text Box 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217D7F1" w14:textId="34533FDD" w:rsidR="00B3134E" w:rsidRDefault="00A40D5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3134E">
                                <w:rPr>
                                  <w:color w:val="4472C4" w:themeColor="accent1"/>
                                  <w:sz w:val="26"/>
                                  <w:szCs w:val="26"/>
                                </w:rPr>
                                <w:t>Sandra Boscaneanu</w:t>
                              </w:r>
                              <w:r w:rsidR="00B37E39">
                                <w:rPr>
                                  <w:color w:val="4472C4" w:themeColor="accent1"/>
                                  <w:sz w:val="26"/>
                                  <w:szCs w:val="26"/>
                                </w:rPr>
                                <w:t xml:space="preserve"> 2016826</w:t>
                              </w:r>
                            </w:sdtContent>
                          </w:sdt>
                        </w:p>
                        <w:p w14:paraId="17C43B14" w14:textId="70B29D38" w:rsidR="00B3134E" w:rsidRDefault="00B3134E">
                          <w:pPr>
                            <w:pStyle w:val="NoSpacing"/>
                            <w:rPr>
                              <w:color w:val="595959" w:themeColor="text1" w:themeTint="A6"/>
                              <w:sz w:val="20"/>
                              <w:szCs w:val="20"/>
                            </w:rPr>
                          </w:pPr>
                          <w:r>
                            <w:rPr>
                              <w:caps/>
                              <w:color w:val="595959" w:themeColor="text1" w:themeTint="A6"/>
                              <w:sz w:val="20"/>
                              <w:szCs w:val="20"/>
                            </w:rPr>
                            <w:t>University of wales trinity saint david</w:t>
                          </w:r>
                        </w:p>
                      </w:txbxContent>
                    </v:textbox>
                    <w10:wrap anchorx="page" anchory="page"/>
                  </v:shape>
                </w:pict>
              </mc:Fallback>
            </mc:AlternateContent>
          </w:r>
          <w:r w:rsidRPr="00685F3A">
            <w:rPr>
              <w:rFonts w:cstheme="minorHAnsi"/>
              <w:noProof/>
              <w:sz w:val="24"/>
              <w:szCs w:val="24"/>
            </w:rPr>
            <mc:AlternateContent>
              <mc:Choice Requires="wps">
                <w:drawing>
                  <wp:anchor distT="0" distB="0" distL="114300" distR="114300" simplePos="0" relativeHeight="251660288" behindDoc="0" locked="0" layoutInCell="1" allowOverlap="1" wp14:anchorId="0E852524" wp14:editId="24EE951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36A970" w14:textId="2B73C3D7" w:rsidR="00B3134E" w:rsidRPr="00B3134E" w:rsidRDefault="00A40D51" w:rsidP="00B3134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C2C5D">
                                      <w:rPr>
                                        <w:rFonts w:asciiTheme="majorHAnsi" w:eastAsiaTheme="majorEastAsia" w:hAnsiTheme="majorHAnsi" w:cstheme="majorBidi"/>
                                        <w:color w:val="262626" w:themeColor="text1" w:themeTint="D9"/>
                                        <w:sz w:val="72"/>
                                        <w:szCs w:val="7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852524" id="Text Box 3"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F36A970" w14:textId="2B73C3D7" w:rsidR="00B3134E" w:rsidRPr="00B3134E" w:rsidRDefault="00A40D51" w:rsidP="00B3134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C2C5D">
                                <w:rPr>
                                  <w:rFonts w:asciiTheme="majorHAnsi" w:eastAsiaTheme="majorEastAsia" w:hAnsiTheme="majorHAnsi" w:cstheme="majorBidi"/>
                                  <w:color w:val="262626" w:themeColor="text1" w:themeTint="D9"/>
                                  <w:sz w:val="72"/>
                                  <w:szCs w:val="72"/>
                                </w:rPr>
                                <w:t xml:space="preserve">     </w:t>
                              </w:r>
                            </w:sdtContent>
                          </w:sdt>
                        </w:p>
                      </w:txbxContent>
                    </v:textbox>
                    <w10:wrap anchorx="page" anchory="page"/>
                  </v:shape>
                </w:pict>
              </mc:Fallback>
            </mc:AlternateContent>
          </w:r>
        </w:p>
        <w:p w14:paraId="20AAC8D5" w14:textId="6DB8EFCD" w:rsidR="00B3134E" w:rsidRPr="00685F3A" w:rsidRDefault="00B37E39" w:rsidP="00B37E39">
          <w:pPr>
            <w:jc w:val="both"/>
            <w:rPr>
              <w:rFonts w:cstheme="minorHAnsi"/>
              <w:sz w:val="24"/>
              <w:szCs w:val="24"/>
            </w:rPr>
          </w:pPr>
          <w:r w:rsidRPr="00685F3A">
            <w:rPr>
              <w:rFonts w:cstheme="minorHAnsi"/>
              <w:noProof/>
              <w:sz w:val="24"/>
              <w:szCs w:val="24"/>
            </w:rPr>
            <w:drawing>
              <wp:anchor distT="0" distB="0" distL="114300" distR="114300" simplePos="0" relativeHeight="251662336" behindDoc="0" locked="0" layoutInCell="1" allowOverlap="1" wp14:anchorId="6AD47D36" wp14:editId="68CE5740">
                <wp:simplePos x="0" y="0"/>
                <wp:positionH relativeFrom="column">
                  <wp:posOffset>1514475</wp:posOffset>
                </wp:positionH>
                <wp:positionV relativeFrom="page">
                  <wp:posOffset>3895725</wp:posOffset>
                </wp:positionV>
                <wp:extent cx="3286760" cy="2191385"/>
                <wp:effectExtent l="0" t="0" r="8890" b="0"/>
                <wp:wrapSquare wrapText="bothSides"/>
                <wp:docPr id="2074831241" name="Picture 1" descr="A group of cans of sod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831241" name="Picture 1" descr="A group of cans of soda&#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6760" cy="2191385"/>
                        </a:xfrm>
                        <a:prstGeom prst="rect">
                          <a:avLst/>
                        </a:prstGeom>
                        <a:noFill/>
                      </pic:spPr>
                    </pic:pic>
                  </a:graphicData>
                </a:graphic>
                <wp14:sizeRelH relativeFrom="page">
                  <wp14:pctWidth>0</wp14:pctWidth>
                </wp14:sizeRelH>
                <wp14:sizeRelV relativeFrom="page">
                  <wp14:pctHeight>0</wp14:pctHeight>
                </wp14:sizeRelV>
              </wp:anchor>
            </w:drawing>
          </w:r>
          <w:r w:rsidR="00B3134E" w:rsidRPr="00685F3A">
            <w:rPr>
              <w:rFonts w:cstheme="minorHAnsi"/>
              <w:sz w:val="24"/>
              <w:szCs w:val="24"/>
            </w:rPr>
            <w:br w:type="page"/>
          </w:r>
        </w:p>
      </w:sdtContent>
    </w:sdt>
    <w:p w14:paraId="570BDAA5" w14:textId="3E5783F5" w:rsidR="00B37E39" w:rsidRDefault="00B37E39" w:rsidP="00E94AB0">
      <w:pPr>
        <w:jc w:val="center"/>
        <w:rPr>
          <w:rFonts w:cstheme="minorHAnsi"/>
          <w:sz w:val="24"/>
          <w:szCs w:val="24"/>
        </w:rPr>
      </w:pPr>
      <w:r w:rsidRPr="00685F3A">
        <w:rPr>
          <w:rFonts w:cstheme="minorHAnsi"/>
          <w:sz w:val="24"/>
          <w:szCs w:val="24"/>
        </w:rPr>
        <w:lastRenderedPageBreak/>
        <w:t>Executive Summary</w:t>
      </w:r>
    </w:p>
    <w:p w14:paraId="4A2FEAA3" w14:textId="5A02C26A" w:rsidR="00E94AB0" w:rsidRDefault="00E94AB0" w:rsidP="00E94AB0">
      <w:pPr>
        <w:jc w:val="both"/>
        <w:rPr>
          <w:rFonts w:cstheme="minorHAnsi"/>
          <w:sz w:val="24"/>
          <w:szCs w:val="24"/>
        </w:rPr>
      </w:pPr>
      <w:r w:rsidRPr="00E94AB0">
        <w:rPr>
          <w:rFonts w:cstheme="minorHAnsi"/>
          <w:sz w:val="24"/>
          <w:szCs w:val="24"/>
        </w:rPr>
        <w:t>Coca-Cola, a well-known beverage company, has continuously adjusted its vision and mission to align with industry changes and societal expectations. Their commitment to refreshing the world, inspiring optimism, and creating value has remained a consistent aspect of their operations. The company operates through Strategic Business Units (SBUs) that manage specific brands or product categories, allowing for focused management with distinct marketing strategies and financial targets. Key stakeholders include major shareholders like Warren Buffett, The Vanguard Group, and BlackRock, while the board of directors and managers from various regions and departments shape the company's strategic direction. Financially, Coca-Cola has experienced profit growth, with substantial increases in gross profit and net revenues in recent years. This success can be attributed to factors such as price/mix growth and concentrate sales.</w:t>
      </w:r>
      <w:r w:rsidR="001A76A3">
        <w:rPr>
          <w:rFonts w:cstheme="minorHAnsi"/>
          <w:sz w:val="24"/>
          <w:szCs w:val="24"/>
        </w:rPr>
        <w:t xml:space="preserve"> </w:t>
      </w:r>
      <w:r w:rsidRPr="00E94AB0">
        <w:rPr>
          <w:rFonts w:cstheme="minorHAnsi"/>
          <w:sz w:val="24"/>
          <w:szCs w:val="24"/>
        </w:rPr>
        <w:t>A SWOT analysis highlights Coca-Cola's strengths, such as a robust bottling and distribution system, a diverse portfolio of brands, and efforts to address health concerns by introducing low or no-sugar beverages. However, the company also faces challenges related to health concerns, particularly regarding sugar content. While striving to bring moments of happiness to people's lives, Coca-Cola is also committed to sustainability and building a shared future. Based on these findings, the analysis suggests that Coca-Cola's strategy is working to a significant extent. The company's strong distribution system, diverse brand portfolio, and positive financial performance indicate a successful approach. However, it is important for Coca-Cola to continue addressing challenges and adapting to evolving consumer preferences and external factors to ensure long-term success.</w:t>
      </w:r>
      <w:r w:rsidR="001A76A3">
        <w:rPr>
          <w:rFonts w:cstheme="minorHAnsi"/>
          <w:sz w:val="24"/>
          <w:szCs w:val="24"/>
        </w:rPr>
        <w:t xml:space="preserve"> </w:t>
      </w:r>
      <w:r w:rsidRPr="00E94AB0">
        <w:rPr>
          <w:rFonts w:cstheme="minorHAnsi"/>
          <w:sz w:val="24"/>
          <w:szCs w:val="24"/>
        </w:rPr>
        <w:t>Coca-Cola's deliberate growth strategy aims to enhance profitability while prioriti</w:t>
      </w:r>
      <w:r w:rsidR="000E5924">
        <w:rPr>
          <w:rFonts w:cstheme="minorHAnsi"/>
          <w:sz w:val="24"/>
          <w:szCs w:val="24"/>
        </w:rPr>
        <w:t>s</w:t>
      </w:r>
      <w:r w:rsidRPr="00E94AB0">
        <w:rPr>
          <w:rFonts w:cstheme="minorHAnsi"/>
          <w:sz w:val="24"/>
          <w:szCs w:val="24"/>
        </w:rPr>
        <w:t>ing long-term growth. The company leverages its market position through product enhancements, marketing initiatives, and a broad differentiation strategy. This strategy exhibits notable strengths, successful financial performance, and support from stakeholders. Nonetheless, the company must remain vigilant in addressing challenges and adapting to changing consumer preferences and external circumstances to secure sustained success.</w:t>
      </w:r>
    </w:p>
    <w:p w14:paraId="364DA6B5" w14:textId="729531D7" w:rsidR="00E94AB0" w:rsidRDefault="00E94AB0">
      <w:pPr>
        <w:rPr>
          <w:rFonts w:cstheme="minorHAnsi"/>
          <w:sz w:val="24"/>
          <w:szCs w:val="24"/>
        </w:rPr>
      </w:pPr>
      <w:r>
        <w:rPr>
          <w:rFonts w:cstheme="minorHAnsi"/>
          <w:sz w:val="24"/>
          <w:szCs w:val="24"/>
        </w:rPr>
        <w:br w:type="page"/>
      </w:r>
    </w:p>
    <w:p w14:paraId="75030F42" w14:textId="09072C42" w:rsidR="0050119F" w:rsidRDefault="0050119F">
      <w:pPr>
        <w:rPr>
          <w:rFonts w:cstheme="minorHAnsi"/>
          <w:sz w:val="24"/>
          <w:szCs w:val="24"/>
        </w:rPr>
      </w:pPr>
    </w:p>
    <w:sdt>
      <w:sdtPr>
        <w:rPr>
          <w:rFonts w:asciiTheme="minorHAnsi" w:eastAsiaTheme="minorHAnsi" w:hAnsiTheme="minorHAnsi" w:cstheme="minorBidi"/>
          <w:color w:val="auto"/>
          <w:kern w:val="2"/>
          <w:sz w:val="22"/>
          <w:szCs w:val="22"/>
          <w:lang w:eastAsia="en-US"/>
          <w14:ligatures w14:val="standardContextual"/>
        </w:rPr>
        <w:id w:val="-1962878277"/>
        <w:docPartObj>
          <w:docPartGallery w:val="Table of Contents"/>
          <w:docPartUnique/>
        </w:docPartObj>
      </w:sdtPr>
      <w:sdtEndPr>
        <w:rPr>
          <w:b/>
          <w:bCs/>
        </w:rPr>
      </w:sdtEndPr>
      <w:sdtContent>
        <w:p w14:paraId="4AFBB715" w14:textId="39351C03" w:rsidR="003D28C5" w:rsidRDefault="003D28C5">
          <w:pPr>
            <w:pStyle w:val="TOCHeading"/>
          </w:pPr>
          <w:r>
            <w:t>Table of Contents</w:t>
          </w:r>
        </w:p>
        <w:p w14:paraId="1633D58F" w14:textId="78977E3E" w:rsidR="003D28C5" w:rsidRDefault="003D28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411101" w:history="1">
            <w:r w:rsidRPr="004F07F0">
              <w:rPr>
                <w:rStyle w:val="Hyperlink"/>
                <w:rFonts w:cstheme="minorHAnsi"/>
                <w:noProof/>
              </w:rPr>
              <w:t>1.0 Introduction</w:t>
            </w:r>
            <w:r>
              <w:rPr>
                <w:noProof/>
                <w:webHidden/>
              </w:rPr>
              <w:tab/>
            </w:r>
            <w:r>
              <w:rPr>
                <w:noProof/>
                <w:webHidden/>
              </w:rPr>
              <w:fldChar w:fldCharType="begin"/>
            </w:r>
            <w:r>
              <w:rPr>
                <w:noProof/>
                <w:webHidden/>
              </w:rPr>
              <w:instrText xml:space="preserve"> PAGEREF _Toc139411101 \h </w:instrText>
            </w:r>
            <w:r>
              <w:rPr>
                <w:noProof/>
                <w:webHidden/>
              </w:rPr>
            </w:r>
            <w:r>
              <w:rPr>
                <w:noProof/>
                <w:webHidden/>
              </w:rPr>
              <w:fldChar w:fldCharType="separate"/>
            </w:r>
            <w:r w:rsidR="001A76A3">
              <w:rPr>
                <w:noProof/>
                <w:webHidden/>
              </w:rPr>
              <w:t>5</w:t>
            </w:r>
            <w:r>
              <w:rPr>
                <w:noProof/>
                <w:webHidden/>
              </w:rPr>
              <w:fldChar w:fldCharType="end"/>
            </w:r>
          </w:hyperlink>
        </w:p>
        <w:p w14:paraId="5D949D53" w14:textId="17E7F818" w:rsidR="003D28C5" w:rsidRDefault="00A40D51">
          <w:pPr>
            <w:pStyle w:val="TOC1"/>
            <w:tabs>
              <w:tab w:val="right" w:leader="dot" w:pos="9016"/>
            </w:tabs>
            <w:rPr>
              <w:rFonts w:eastAsiaTheme="minorEastAsia"/>
              <w:noProof/>
              <w:lang w:eastAsia="en-GB"/>
            </w:rPr>
          </w:pPr>
          <w:hyperlink w:anchor="_Toc139411102" w:history="1">
            <w:r w:rsidR="003D28C5" w:rsidRPr="004F07F0">
              <w:rPr>
                <w:rStyle w:val="Hyperlink"/>
                <w:rFonts w:cstheme="minorHAnsi"/>
                <w:noProof/>
              </w:rPr>
              <w:t>2.0 Findings</w:t>
            </w:r>
            <w:r w:rsidR="003D28C5">
              <w:rPr>
                <w:noProof/>
                <w:webHidden/>
              </w:rPr>
              <w:tab/>
            </w:r>
            <w:r w:rsidR="003D28C5">
              <w:rPr>
                <w:noProof/>
                <w:webHidden/>
              </w:rPr>
              <w:fldChar w:fldCharType="begin"/>
            </w:r>
            <w:r w:rsidR="003D28C5">
              <w:rPr>
                <w:noProof/>
                <w:webHidden/>
              </w:rPr>
              <w:instrText xml:space="preserve"> PAGEREF _Toc139411102 \h </w:instrText>
            </w:r>
            <w:r w:rsidR="003D28C5">
              <w:rPr>
                <w:noProof/>
                <w:webHidden/>
              </w:rPr>
            </w:r>
            <w:r w:rsidR="003D28C5">
              <w:rPr>
                <w:noProof/>
                <w:webHidden/>
              </w:rPr>
              <w:fldChar w:fldCharType="separate"/>
            </w:r>
            <w:r w:rsidR="001A76A3">
              <w:rPr>
                <w:noProof/>
                <w:webHidden/>
              </w:rPr>
              <w:t>5</w:t>
            </w:r>
            <w:r w:rsidR="003D28C5">
              <w:rPr>
                <w:noProof/>
                <w:webHidden/>
              </w:rPr>
              <w:fldChar w:fldCharType="end"/>
            </w:r>
          </w:hyperlink>
        </w:p>
        <w:p w14:paraId="296452D8" w14:textId="6C59F56D" w:rsidR="003D28C5" w:rsidRDefault="00A40D51">
          <w:pPr>
            <w:pStyle w:val="TOC2"/>
            <w:tabs>
              <w:tab w:val="right" w:leader="dot" w:pos="9016"/>
            </w:tabs>
            <w:rPr>
              <w:rFonts w:eastAsiaTheme="minorEastAsia"/>
              <w:noProof/>
              <w:lang w:eastAsia="en-GB"/>
            </w:rPr>
          </w:pPr>
          <w:hyperlink w:anchor="_Toc139411103" w:history="1">
            <w:r w:rsidR="003D28C5" w:rsidRPr="004F07F0">
              <w:rPr>
                <w:rStyle w:val="Hyperlink"/>
                <w:rFonts w:cstheme="minorHAnsi"/>
                <w:noProof/>
              </w:rPr>
              <w:t>2.1 Introduction to Organisation</w:t>
            </w:r>
            <w:r w:rsidR="003D28C5">
              <w:rPr>
                <w:noProof/>
                <w:webHidden/>
              </w:rPr>
              <w:tab/>
            </w:r>
            <w:r w:rsidR="003D28C5">
              <w:rPr>
                <w:noProof/>
                <w:webHidden/>
              </w:rPr>
              <w:fldChar w:fldCharType="begin"/>
            </w:r>
            <w:r w:rsidR="003D28C5">
              <w:rPr>
                <w:noProof/>
                <w:webHidden/>
              </w:rPr>
              <w:instrText xml:space="preserve"> PAGEREF _Toc139411103 \h </w:instrText>
            </w:r>
            <w:r w:rsidR="003D28C5">
              <w:rPr>
                <w:noProof/>
                <w:webHidden/>
              </w:rPr>
            </w:r>
            <w:r w:rsidR="003D28C5">
              <w:rPr>
                <w:noProof/>
                <w:webHidden/>
              </w:rPr>
              <w:fldChar w:fldCharType="separate"/>
            </w:r>
            <w:r w:rsidR="001A76A3">
              <w:rPr>
                <w:noProof/>
                <w:webHidden/>
              </w:rPr>
              <w:t>5</w:t>
            </w:r>
            <w:r w:rsidR="003D28C5">
              <w:rPr>
                <w:noProof/>
                <w:webHidden/>
              </w:rPr>
              <w:fldChar w:fldCharType="end"/>
            </w:r>
          </w:hyperlink>
        </w:p>
        <w:p w14:paraId="08CAEC35" w14:textId="7AFB2BA6" w:rsidR="003D28C5" w:rsidRDefault="00A40D51">
          <w:pPr>
            <w:pStyle w:val="TOC3"/>
            <w:tabs>
              <w:tab w:val="right" w:leader="dot" w:pos="9016"/>
            </w:tabs>
            <w:rPr>
              <w:rFonts w:eastAsiaTheme="minorEastAsia"/>
              <w:noProof/>
              <w:lang w:eastAsia="en-GB"/>
            </w:rPr>
          </w:pPr>
          <w:hyperlink w:anchor="_Toc139411104" w:history="1">
            <w:r w:rsidR="003D28C5" w:rsidRPr="004F07F0">
              <w:rPr>
                <w:rStyle w:val="Hyperlink"/>
                <w:rFonts w:cstheme="minorHAnsi"/>
                <w:noProof/>
              </w:rPr>
              <w:t xml:space="preserve">2.1.1 </w:t>
            </w:r>
            <w:r w:rsidR="003D28C5" w:rsidRPr="004F07F0">
              <w:rPr>
                <w:rStyle w:val="Hyperlink"/>
                <w:rFonts w:cstheme="minorHAnsi"/>
                <w:i/>
                <w:iCs/>
                <w:noProof/>
              </w:rPr>
              <w:t>Historical development of the organisation concentrating on its strategic development.</w:t>
            </w:r>
            <w:r w:rsidR="003D28C5">
              <w:rPr>
                <w:noProof/>
                <w:webHidden/>
              </w:rPr>
              <w:tab/>
            </w:r>
            <w:r w:rsidR="003D28C5">
              <w:rPr>
                <w:noProof/>
                <w:webHidden/>
              </w:rPr>
              <w:fldChar w:fldCharType="begin"/>
            </w:r>
            <w:r w:rsidR="003D28C5">
              <w:rPr>
                <w:noProof/>
                <w:webHidden/>
              </w:rPr>
              <w:instrText xml:space="preserve"> PAGEREF _Toc139411104 \h </w:instrText>
            </w:r>
            <w:r w:rsidR="003D28C5">
              <w:rPr>
                <w:noProof/>
                <w:webHidden/>
              </w:rPr>
            </w:r>
            <w:r w:rsidR="003D28C5">
              <w:rPr>
                <w:noProof/>
                <w:webHidden/>
              </w:rPr>
              <w:fldChar w:fldCharType="separate"/>
            </w:r>
            <w:r w:rsidR="001A76A3">
              <w:rPr>
                <w:noProof/>
                <w:webHidden/>
              </w:rPr>
              <w:t>5</w:t>
            </w:r>
            <w:r w:rsidR="003D28C5">
              <w:rPr>
                <w:noProof/>
                <w:webHidden/>
              </w:rPr>
              <w:fldChar w:fldCharType="end"/>
            </w:r>
          </w:hyperlink>
        </w:p>
        <w:p w14:paraId="6BD46885" w14:textId="13B871F5" w:rsidR="003D28C5" w:rsidRDefault="00A40D51">
          <w:pPr>
            <w:pStyle w:val="TOC3"/>
            <w:tabs>
              <w:tab w:val="right" w:leader="dot" w:pos="9016"/>
            </w:tabs>
            <w:rPr>
              <w:rFonts w:eastAsiaTheme="minorEastAsia"/>
              <w:noProof/>
              <w:lang w:eastAsia="en-GB"/>
            </w:rPr>
          </w:pPr>
          <w:hyperlink w:anchor="_Toc139411105" w:history="1">
            <w:r w:rsidR="003D28C5" w:rsidRPr="004F07F0">
              <w:rPr>
                <w:rStyle w:val="Hyperlink"/>
                <w:rFonts w:cstheme="minorHAnsi"/>
                <w:noProof/>
              </w:rPr>
              <w:t xml:space="preserve">2.1.2 </w:t>
            </w:r>
            <w:r w:rsidR="003D28C5" w:rsidRPr="004F07F0">
              <w:rPr>
                <w:rStyle w:val="Hyperlink"/>
                <w:rFonts w:cstheme="minorHAnsi"/>
                <w:i/>
                <w:iCs/>
                <w:noProof/>
              </w:rPr>
              <w:t>Profit, Loss and Current Market Share, Stakeholders</w:t>
            </w:r>
            <w:r w:rsidR="003D28C5">
              <w:rPr>
                <w:noProof/>
                <w:webHidden/>
              </w:rPr>
              <w:tab/>
            </w:r>
            <w:r w:rsidR="003D28C5">
              <w:rPr>
                <w:noProof/>
                <w:webHidden/>
              </w:rPr>
              <w:fldChar w:fldCharType="begin"/>
            </w:r>
            <w:r w:rsidR="003D28C5">
              <w:rPr>
                <w:noProof/>
                <w:webHidden/>
              </w:rPr>
              <w:instrText xml:space="preserve"> PAGEREF _Toc139411105 \h </w:instrText>
            </w:r>
            <w:r w:rsidR="003D28C5">
              <w:rPr>
                <w:noProof/>
                <w:webHidden/>
              </w:rPr>
            </w:r>
            <w:r w:rsidR="003D28C5">
              <w:rPr>
                <w:noProof/>
                <w:webHidden/>
              </w:rPr>
              <w:fldChar w:fldCharType="separate"/>
            </w:r>
            <w:r w:rsidR="001A76A3">
              <w:rPr>
                <w:noProof/>
                <w:webHidden/>
              </w:rPr>
              <w:t>6</w:t>
            </w:r>
            <w:r w:rsidR="003D28C5">
              <w:rPr>
                <w:noProof/>
                <w:webHidden/>
              </w:rPr>
              <w:fldChar w:fldCharType="end"/>
            </w:r>
          </w:hyperlink>
        </w:p>
        <w:p w14:paraId="4EBAAA28" w14:textId="08E2BAD0" w:rsidR="003D28C5" w:rsidRDefault="00A40D51">
          <w:pPr>
            <w:pStyle w:val="TOC3"/>
            <w:tabs>
              <w:tab w:val="right" w:leader="dot" w:pos="9016"/>
            </w:tabs>
            <w:rPr>
              <w:rFonts w:eastAsiaTheme="minorEastAsia"/>
              <w:noProof/>
              <w:lang w:eastAsia="en-GB"/>
            </w:rPr>
          </w:pPr>
          <w:hyperlink w:anchor="_Toc139411106" w:history="1">
            <w:r w:rsidR="003D28C5" w:rsidRPr="004F07F0">
              <w:rPr>
                <w:rStyle w:val="Hyperlink"/>
                <w:rFonts w:cstheme="minorHAnsi"/>
                <w:noProof/>
              </w:rPr>
              <w:t xml:space="preserve">2.1.3 </w:t>
            </w:r>
            <w:r w:rsidR="003D28C5" w:rsidRPr="004F07F0">
              <w:rPr>
                <w:rStyle w:val="Hyperlink"/>
                <w:rFonts w:cstheme="minorHAnsi"/>
                <w:i/>
                <w:iCs/>
                <w:noProof/>
              </w:rPr>
              <w:t>The major stakeholders</w:t>
            </w:r>
            <w:r w:rsidR="003D28C5">
              <w:rPr>
                <w:noProof/>
                <w:webHidden/>
              </w:rPr>
              <w:tab/>
            </w:r>
            <w:r w:rsidR="003D28C5">
              <w:rPr>
                <w:noProof/>
                <w:webHidden/>
              </w:rPr>
              <w:fldChar w:fldCharType="begin"/>
            </w:r>
            <w:r w:rsidR="003D28C5">
              <w:rPr>
                <w:noProof/>
                <w:webHidden/>
              </w:rPr>
              <w:instrText xml:space="preserve"> PAGEREF _Toc139411106 \h </w:instrText>
            </w:r>
            <w:r w:rsidR="003D28C5">
              <w:rPr>
                <w:noProof/>
                <w:webHidden/>
              </w:rPr>
            </w:r>
            <w:r w:rsidR="003D28C5">
              <w:rPr>
                <w:noProof/>
                <w:webHidden/>
              </w:rPr>
              <w:fldChar w:fldCharType="separate"/>
            </w:r>
            <w:r w:rsidR="001A76A3">
              <w:rPr>
                <w:noProof/>
                <w:webHidden/>
              </w:rPr>
              <w:t>7</w:t>
            </w:r>
            <w:r w:rsidR="003D28C5">
              <w:rPr>
                <w:noProof/>
                <w:webHidden/>
              </w:rPr>
              <w:fldChar w:fldCharType="end"/>
            </w:r>
          </w:hyperlink>
        </w:p>
        <w:p w14:paraId="6A1E937A" w14:textId="15060707" w:rsidR="003D28C5" w:rsidRDefault="00A40D51">
          <w:pPr>
            <w:pStyle w:val="TOC2"/>
            <w:tabs>
              <w:tab w:val="right" w:leader="dot" w:pos="9016"/>
            </w:tabs>
            <w:rPr>
              <w:rFonts w:eastAsiaTheme="minorEastAsia"/>
              <w:noProof/>
              <w:lang w:eastAsia="en-GB"/>
            </w:rPr>
          </w:pPr>
          <w:hyperlink w:anchor="_Toc139411107" w:history="1">
            <w:r w:rsidR="003D28C5" w:rsidRPr="004F07F0">
              <w:rPr>
                <w:rStyle w:val="Hyperlink"/>
                <w:rFonts w:cstheme="minorHAnsi"/>
                <w:noProof/>
              </w:rPr>
              <w:t xml:space="preserve">2.2 </w:t>
            </w:r>
            <w:r w:rsidR="003D28C5" w:rsidRPr="004F07F0">
              <w:rPr>
                <w:rStyle w:val="Hyperlink"/>
                <w:rFonts w:cstheme="minorHAnsi"/>
                <w:i/>
                <w:iCs/>
                <w:noProof/>
              </w:rPr>
              <w:t>SWOT Analysis</w:t>
            </w:r>
            <w:r w:rsidR="003D28C5">
              <w:rPr>
                <w:noProof/>
                <w:webHidden/>
              </w:rPr>
              <w:tab/>
            </w:r>
            <w:r w:rsidR="003D28C5">
              <w:rPr>
                <w:noProof/>
                <w:webHidden/>
              </w:rPr>
              <w:fldChar w:fldCharType="begin"/>
            </w:r>
            <w:r w:rsidR="003D28C5">
              <w:rPr>
                <w:noProof/>
                <w:webHidden/>
              </w:rPr>
              <w:instrText xml:space="preserve"> PAGEREF _Toc139411107 \h </w:instrText>
            </w:r>
            <w:r w:rsidR="003D28C5">
              <w:rPr>
                <w:noProof/>
                <w:webHidden/>
              </w:rPr>
            </w:r>
            <w:r w:rsidR="003D28C5">
              <w:rPr>
                <w:noProof/>
                <w:webHidden/>
              </w:rPr>
              <w:fldChar w:fldCharType="separate"/>
            </w:r>
            <w:r w:rsidR="001A76A3">
              <w:rPr>
                <w:noProof/>
                <w:webHidden/>
              </w:rPr>
              <w:t>7</w:t>
            </w:r>
            <w:r w:rsidR="003D28C5">
              <w:rPr>
                <w:noProof/>
                <w:webHidden/>
              </w:rPr>
              <w:fldChar w:fldCharType="end"/>
            </w:r>
          </w:hyperlink>
        </w:p>
        <w:p w14:paraId="320C8C15" w14:textId="3DA6AC94" w:rsidR="003D28C5" w:rsidRDefault="00A40D51">
          <w:pPr>
            <w:pStyle w:val="TOC2"/>
            <w:tabs>
              <w:tab w:val="right" w:leader="dot" w:pos="9016"/>
            </w:tabs>
            <w:rPr>
              <w:rFonts w:eastAsiaTheme="minorEastAsia"/>
              <w:noProof/>
              <w:lang w:eastAsia="en-GB"/>
            </w:rPr>
          </w:pPr>
          <w:hyperlink w:anchor="_Toc139411108" w:history="1">
            <w:r w:rsidR="003D28C5" w:rsidRPr="004F07F0">
              <w:rPr>
                <w:rStyle w:val="Hyperlink"/>
                <w:rFonts w:cstheme="minorHAnsi"/>
                <w:noProof/>
              </w:rPr>
              <w:t>2.3</w:t>
            </w:r>
            <w:r w:rsidR="003D28C5" w:rsidRPr="004F07F0">
              <w:rPr>
                <w:rStyle w:val="Hyperlink"/>
                <w:rFonts w:cstheme="minorHAnsi"/>
                <w:i/>
                <w:iCs/>
                <w:noProof/>
              </w:rPr>
              <w:t xml:space="preserve"> PESTLE</w:t>
            </w:r>
            <w:r w:rsidR="003D28C5">
              <w:rPr>
                <w:noProof/>
                <w:webHidden/>
              </w:rPr>
              <w:tab/>
            </w:r>
            <w:r w:rsidR="003D28C5">
              <w:rPr>
                <w:noProof/>
                <w:webHidden/>
              </w:rPr>
              <w:fldChar w:fldCharType="begin"/>
            </w:r>
            <w:r w:rsidR="003D28C5">
              <w:rPr>
                <w:noProof/>
                <w:webHidden/>
              </w:rPr>
              <w:instrText xml:space="preserve"> PAGEREF _Toc139411108 \h </w:instrText>
            </w:r>
            <w:r w:rsidR="003D28C5">
              <w:rPr>
                <w:noProof/>
                <w:webHidden/>
              </w:rPr>
            </w:r>
            <w:r w:rsidR="003D28C5">
              <w:rPr>
                <w:noProof/>
                <w:webHidden/>
              </w:rPr>
              <w:fldChar w:fldCharType="separate"/>
            </w:r>
            <w:r w:rsidR="001A76A3">
              <w:rPr>
                <w:noProof/>
                <w:webHidden/>
              </w:rPr>
              <w:t>8</w:t>
            </w:r>
            <w:r w:rsidR="003D28C5">
              <w:rPr>
                <w:noProof/>
                <w:webHidden/>
              </w:rPr>
              <w:fldChar w:fldCharType="end"/>
            </w:r>
          </w:hyperlink>
        </w:p>
        <w:p w14:paraId="2666D686" w14:textId="052DAB62" w:rsidR="003D28C5" w:rsidRDefault="00A40D51">
          <w:pPr>
            <w:pStyle w:val="TOC2"/>
            <w:tabs>
              <w:tab w:val="right" w:leader="dot" w:pos="9016"/>
            </w:tabs>
            <w:rPr>
              <w:rFonts w:eastAsiaTheme="minorEastAsia"/>
              <w:noProof/>
              <w:lang w:eastAsia="en-GB"/>
            </w:rPr>
          </w:pPr>
          <w:hyperlink w:anchor="_Toc139411109" w:history="1">
            <w:r w:rsidR="003D28C5" w:rsidRPr="004F07F0">
              <w:rPr>
                <w:rStyle w:val="Hyperlink"/>
                <w:rFonts w:cstheme="minorHAnsi"/>
                <w:noProof/>
              </w:rPr>
              <w:t xml:space="preserve">2.4 </w:t>
            </w:r>
            <w:r w:rsidR="003D28C5" w:rsidRPr="004F07F0">
              <w:rPr>
                <w:rStyle w:val="Hyperlink"/>
                <w:rFonts w:cstheme="minorHAnsi"/>
                <w:i/>
                <w:iCs/>
                <w:noProof/>
              </w:rPr>
              <w:t>BCG</w:t>
            </w:r>
            <w:r w:rsidR="003D28C5">
              <w:rPr>
                <w:noProof/>
                <w:webHidden/>
              </w:rPr>
              <w:tab/>
            </w:r>
            <w:r w:rsidR="003D28C5">
              <w:rPr>
                <w:noProof/>
                <w:webHidden/>
              </w:rPr>
              <w:fldChar w:fldCharType="begin"/>
            </w:r>
            <w:r w:rsidR="003D28C5">
              <w:rPr>
                <w:noProof/>
                <w:webHidden/>
              </w:rPr>
              <w:instrText xml:space="preserve"> PAGEREF _Toc139411109 \h </w:instrText>
            </w:r>
            <w:r w:rsidR="003D28C5">
              <w:rPr>
                <w:noProof/>
                <w:webHidden/>
              </w:rPr>
            </w:r>
            <w:r w:rsidR="003D28C5">
              <w:rPr>
                <w:noProof/>
                <w:webHidden/>
              </w:rPr>
              <w:fldChar w:fldCharType="separate"/>
            </w:r>
            <w:r w:rsidR="001A76A3">
              <w:rPr>
                <w:noProof/>
                <w:webHidden/>
              </w:rPr>
              <w:t>8</w:t>
            </w:r>
            <w:r w:rsidR="003D28C5">
              <w:rPr>
                <w:noProof/>
                <w:webHidden/>
              </w:rPr>
              <w:fldChar w:fldCharType="end"/>
            </w:r>
          </w:hyperlink>
        </w:p>
        <w:p w14:paraId="5240A4CD" w14:textId="763EDF89" w:rsidR="003D28C5" w:rsidRDefault="00A40D51">
          <w:pPr>
            <w:pStyle w:val="TOC2"/>
            <w:tabs>
              <w:tab w:val="right" w:leader="dot" w:pos="9016"/>
            </w:tabs>
            <w:rPr>
              <w:rFonts w:eastAsiaTheme="minorEastAsia"/>
              <w:noProof/>
              <w:lang w:eastAsia="en-GB"/>
            </w:rPr>
          </w:pPr>
          <w:hyperlink w:anchor="_Toc139411110" w:history="1">
            <w:r w:rsidR="003D28C5" w:rsidRPr="004F07F0">
              <w:rPr>
                <w:rStyle w:val="Hyperlink"/>
                <w:rFonts w:cstheme="minorHAnsi"/>
                <w:noProof/>
              </w:rPr>
              <w:t>2.5.</w:t>
            </w:r>
            <w:r w:rsidR="003D28C5" w:rsidRPr="004F07F0">
              <w:rPr>
                <w:rStyle w:val="Hyperlink"/>
                <w:rFonts w:cstheme="minorHAnsi"/>
                <w:i/>
                <w:iCs/>
                <w:noProof/>
              </w:rPr>
              <w:t>Fiver Forces Analysis</w:t>
            </w:r>
            <w:r w:rsidR="003D28C5">
              <w:rPr>
                <w:noProof/>
                <w:webHidden/>
              </w:rPr>
              <w:tab/>
            </w:r>
            <w:r w:rsidR="003D28C5">
              <w:rPr>
                <w:noProof/>
                <w:webHidden/>
              </w:rPr>
              <w:fldChar w:fldCharType="begin"/>
            </w:r>
            <w:r w:rsidR="003D28C5">
              <w:rPr>
                <w:noProof/>
                <w:webHidden/>
              </w:rPr>
              <w:instrText xml:space="preserve"> PAGEREF _Toc139411110 \h </w:instrText>
            </w:r>
            <w:r w:rsidR="003D28C5">
              <w:rPr>
                <w:noProof/>
                <w:webHidden/>
              </w:rPr>
            </w:r>
            <w:r w:rsidR="003D28C5">
              <w:rPr>
                <w:noProof/>
                <w:webHidden/>
              </w:rPr>
              <w:fldChar w:fldCharType="separate"/>
            </w:r>
            <w:r w:rsidR="001A76A3">
              <w:rPr>
                <w:noProof/>
                <w:webHidden/>
              </w:rPr>
              <w:t>9</w:t>
            </w:r>
            <w:r w:rsidR="003D28C5">
              <w:rPr>
                <w:noProof/>
                <w:webHidden/>
              </w:rPr>
              <w:fldChar w:fldCharType="end"/>
            </w:r>
          </w:hyperlink>
        </w:p>
        <w:p w14:paraId="14FF2950" w14:textId="61C08B3F" w:rsidR="003D28C5" w:rsidRDefault="00A40D51">
          <w:pPr>
            <w:pStyle w:val="TOC2"/>
            <w:tabs>
              <w:tab w:val="right" w:leader="dot" w:pos="9016"/>
            </w:tabs>
            <w:rPr>
              <w:rFonts w:eastAsiaTheme="minorEastAsia"/>
              <w:noProof/>
              <w:lang w:eastAsia="en-GB"/>
            </w:rPr>
          </w:pPr>
          <w:hyperlink w:anchor="_Toc139411111" w:history="1">
            <w:r w:rsidR="003D28C5" w:rsidRPr="004F07F0">
              <w:rPr>
                <w:rStyle w:val="Hyperlink"/>
                <w:rFonts w:cstheme="minorHAnsi"/>
                <w:noProof/>
              </w:rPr>
              <w:t xml:space="preserve">2.6 </w:t>
            </w:r>
            <w:r w:rsidR="003D28C5" w:rsidRPr="004F07F0">
              <w:rPr>
                <w:rStyle w:val="Hyperlink"/>
                <w:rFonts w:cstheme="minorHAnsi"/>
                <w:i/>
                <w:iCs/>
                <w:noProof/>
              </w:rPr>
              <w:t>Porter Generic</w:t>
            </w:r>
            <w:r w:rsidR="003D28C5">
              <w:rPr>
                <w:noProof/>
                <w:webHidden/>
              </w:rPr>
              <w:tab/>
            </w:r>
            <w:r w:rsidR="003D28C5">
              <w:rPr>
                <w:noProof/>
                <w:webHidden/>
              </w:rPr>
              <w:fldChar w:fldCharType="begin"/>
            </w:r>
            <w:r w:rsidR="003D28C5">
              <w:rPr>
                <w:noProof/>
                <w:webHidden/>
              </w:rPr>
              <w:instrText xml:space="preserve"> PAGEREF _Toc139411111 \h </w:instrText>
            </w:r>
            <w:r w:rsidR="003D28C5">
              <w:rPr>
                <w:noProof/>
                <w:webHidden/>
              </w:rPr>
            </w:r>
            <w:r w:rsidR="003D28C5">
              <w:rPr>
                <w:noProof/>
                <w:webHidden/>
              </w:rPr>
              <w:fldChar w:fldCharType="separate"/>
            </w:r>
            <w:r w:rsidR="001A76A3">
              <w:rPr>
                <w:noProof/>
                <w:webHidden/>
              </w:rPr>
              <w:t>10</w:t>
            </w:r>
            <w:r w:rsidR="003D28C5">
              <w:rPr>
                <w:noProof/>
                <w:webHidden/>
              </w:rPr>
              <w:fldChar w:fldCharType="end"/>
            </w:r>
          </w:hyperlink>
        </w:p>
        <w:p w14:paraId="1BE09790" w14:textId="2E02225F" w:rsidR="003D28C5" w:rsidRDefault="00A40D51">
          <w:pPr>
            <w:pStyle w:val="TOC2"/>
            <w:tabs>
              <w:tab w:val="right" w:leader="dot" w:pos="9016"/>
            </w:tabs>
            <w:rPr>
              <w:rFonts w:eastAsiaTheme="minorEastAsia"/>
              <w:noProof/>
              <w:lang w:eastAsia="en-GB"/>
            </w:rPr>
          </w:pPr>
          <w:hyperlink w:anchor="_Toc139411112" w:history="1">
            <w:r w:rsidR="003D28C5" w:rsidRPr="004F07F0">
              <w:rPr>
                <w:rStyle w:val="Hyperlink"/>
                <w:rFonts w:cstheme="minorHAnsi"/>
                <w:noProof/>
              </w:rPr>
              <w:t xml:space="preserve">2.7 </w:t>
            </w:r>
            <w:r w:rsidR="003D28C5" w:rsidRPr="004F07F0">
              <w:rPr>
                <w:rStyle w:val="Hyperlink"/>
                <w:rFonts w:cstheme="minorHAnsi"/>
                <w:i/>
                <w:iCs/>
                <w:noProof/>
              </w:rPr>
              <w:t>Stakeholder Analysis</w:t>
            </w:r>
            <w:r w:rsidR="003D28C5">
              <w:rPr>
                <w:noProof/>
                <w:webHidden/>
              </w:rPr>
              <w:tab/>
            </w:r>
            <w:r w:rsidR="003D28C5">
              <w:rPr>
                <w:noProof/>
                <w:webHidden/>
              </w:rPr>
              <w:fldChar w:fldCharType="begin"/>
            </w:r>
            <w:r w:rsidR="003D28C5">
              <w:rPr>
                <w:noProof/>
                <w:webHidden/>
              </w:rPr>
              <w:instrText xml:space="preserve"> PAGEREF _Toc139411112 \h </w:instrText>
            </w:r>
            <w:r w:rsidR="003D28C5">
              <w:rPr>
                <w:noProof/>
                <w:webHidden/>
              </w:rPr>
            </w:r>
            <w:r w:rsidR="003D28C5">
              <w:rPr>
                <w:noProof/>
                <w:webHidden/>
              </w:rPr>
              <w:fldChar w:fldCharType="separate"/>
            </w:r>
            <w:r w:rsidR="001A76A3">
              <w:rPr>
                <w:noProof/>
                <w:webHidden/>
              </w:rPr>
              <w:t>11</w:t>
            </w:r>
            <w:r w:rsidR="003D28C5">
              <w:rPr>
                <w:noProof/>
                <w:webHidden/>
              </w:rPr>
              <w:fldChar w:fldCharType="end"/>
            </w:r>
          </w:hyperlink>
        </w:p>
        <w:p w14:paraId="12233D51" w14:textId="268C7A22" w:rsidR="003D28C5" w:rsidRDefault="00A40D51">
          <w:pPr>
            <w:pStyle w:val="TOC2"/>
            <w:tabs>
              <w:tab w:val="right" w:leader="dot" w:pos="9016"/>
            </w:tabs>
            <w:rPr>
              <w:rFonts w:eastAsiaTheme="minorEastAsia"/>
              <w:noProof/>
              <w:lang w:eastAsia="en-GB"/>
            </w:rPr>
          </w:pPr>
          <w:hyperlink w:anchor="_Toc139411113" w:history="1">
            <w:r w:rsidR="003D28C5" w:rsidRPr="004F07F0">
              <w:rPr>
                <w:rStyle w:val="Hyperlink"/>
                <w:rFonts w:cstheme="minorHAnsi"/>
                <w:noProof/>
              </w:rPr>
              <w:t xml:space="preserve">2.8 </w:t>
            </w:r>
            <w:r w:rsidR="003D28C5" w:rsidRPr="004F07F0">
              <w:rPr>
                <w:rStyle w:val="Hyperlink"/>
                <w:rFonts w:cstheme="minorHAnsi"/>
                <w:i/>
                <w:iCs/>
                <w:noProof/>
              </w:rPr>
              <w:t>Market Forces</w:t>
            </w:r>
            <w:r w:rsidR="003D28C5">
              <w:rPr>
                <w:noProof/>
                <w:webHidden/>
              </w:rPr>
              <w:tab/>
            </w:r>
            <w:r w:rsidR="003D28C5">
              <w:rPr>
                <w:noProof/>
                <w:webHidden/>
              </w:rPr>
              <w:fldChar w:fldCharType="begin"/>
            </w:r>
            <w:r w:rsidR="003D28C5">
              <w:rPr>
                <w:noProof/>
                <w:webHidden/>
              </w:rPr>
              <w:instrText xml:space="preserve"> PAGEREF _Toc139411113 \h </w:instrText>
            </w:r>
            <w:r w:rsidR="003D28C5">
              <w:rPr>
                <w:noProof/>
                <w:webHidden/>
              </w:rPr>
            </w:r>
            <w:r w:rsidR="003D28C5">
              <w:rPr>
                <w:noProof/>
                <w:webHidden/>
              </w:rPr>
              <w:fldChar w:fldCharType="separate"/>
            </w:r>
            <w:r w:rsidR="001A76A3">
              <w:rPr>
                <w:noProof/>
                <w:webHidden/>
              </w:rPr>
              <w:t>11</w:t>
            </w:r>
            <w:r w:rsidR="003D28C5">
              <w:rPr>
                <w:noProof/>
                <w:webHidden/>
              </w:rPr>
              <w:fldChar w:fldCharType="end"/>
            </w:r>
          </w:hyperlink>
        </w:p>
        <w:p w14:paraId="6CF40345" w14:textId="0CF498D1" w:rsidR="003D28C5" w:rsidRDefault="00A40D51">
          <w:pPr>
            <w:pStyle w:val="TOC2"/>
            <w:tabs>
              <w:tab w:val="right" w:leader="dot" w:pos="9016"/>
            </w:tabs>
            <w:rPr>
              <w:rFonts w:eastAsiaTheme="minorEastAsia"/>
              <w:noProof/>
              <w:lang w:eastAsia="en-GB"/>
            </w:rPr>
          </w:pPr>
          <w:hyperlink w:anchor="_Toc139411114" w:history="1">
            <w:r w:rsidR="003D28C5" w:rsidRPr="004F07F0">
              <w:rPr>
                <w:rStyle w:val="Hyperlink"/>
                <w:rFonts w:cstheme="minorHAnsi"/>
                <w:noProof/>
              </w:rPr>
              <w:t xml:space="preserve">2.9 </w:t>
            </w:r>
            <w:r w:rsidR="003D28C5" w:rsidRPr="004F07F0">
              <w:rPr>
                <w:rStyle w:val="Hyperlink"/>
                <w:rFonts w:cstheme="minorHAnsi"/>
                <w:i/>
                <w:iCs/>
                <w:noProof/>
              </w:rPr>
              <w:t>Coca-Cola Strategy</w:t>
            </w:r>
            <w:r w:rsidR="003D28C5">
              <w:rPr>
                <w:noProof/>
                <w:webHidden/>
              </w:rPr>
              <w:tab/>
            </w:r>
            <w:r w:rsidR="003D28C5">
              <w:rPr>
                <w:noProof/>
                <w:webHidden/>
              </w:rPr>
              <w:fldChar w:fldCharType="begin"/>
            </w:r>
            <w:r w:rsidR="003D28C5">
              <w:rPr>
                <w:noProof/>
                <w:webHidden/>
              </w:rPr>
              <w:instrText xml:space="preserve"> PAGEREF _Toc139411114 \h </w:instrText>
            </w:r>
            <w:r w:rsidR="003D28C5">
              <w:rPr>
                <w:noProof/>
                <w:webHidden/>
              </w:rPr>
            </w:r>
            <w:r w:rsidR="003D28C5">
              <w:rPr>
                <w:noProof/>
                <w:webHidden/>
              </w:rPr>
              <w:fldChar w:fldCharType="separate"/>
            </w:r>
            <w:r w:rsidR="001A76A3">
              <w:rPr>
                <w:noProof/>
                <w:webHidden/>
              </w:rPr>
              <w:t>12</w:t>
            </w:r>
            <w:r w:rsidR="003D28C5">
              <w:rPr>
                <w:noProof/>
                <w:webHidden/>
              </w:rPr>
              <w:fldChar w:fldCharType="end"/>
            </w:r>
          </w:hyperlink>
        </w:p>
        <w:p w14:paraId="682E6CC5" w14:textId="719E2440" w:rsidR="003D28C5" w:rsidRDefault="00A40D51">
          <w:pPr>
            <w:pStyle w:val="TOC3"/>
            <w:tabs>
              <w:tab w:val="right" w:leader="dot" w:pos="9016"/>
            </w:tabs>
            <w:rPr>
              <w:rFonts w:eastAsiaTheme="minorEastAsia"/>
              <w:noProof/>
              <w:lang w:eastAsia="en-GB"/>
            </w:rPr>
          </w:pPr>
          <w:hyperlink w:anchor="_Toc139411115" w:history="1">
            <w:r w:rsidR="003D28C5" w:rsidRPr="004F07F0">
              <w:rPr>
                <w:rStyle w:val="Hyperlink"/>
                <w:rFonts w:cstheme="minorHAnsi"/>
                <w:noProof/>
              </w:rPr>
              <w:t xml:space="preserve">2.9.1 </w:t>
            </w:r>
            <w:r w:rsidR="003D28C5" w:rsidRPr="004F07F0">
              <w:rPr>
                <w:rStyle w:val="Hyperlink"/>
                <w:rFonts w:cstheme="minorHAnsi"/>
                <w:i/>
                <w:iCs/>
                <w:noProof/>
              </w:rPr>
              <w:t>Advantages and disadvantages of Coca-Cola current strategy</w:t>
            </w:r>
            <w:r w:rsidR="003D28C5">
              <w:rPr>
                <w:noProof/>
                <w:webHidden/>
              </w:rPr>
              <w:tab/>
            </w:r>
            <w:r w:rsidR="003D28C5">
              <w:rPr>
                <w:noProof/>
                <w:webHidden/>
              </w:rPr>
              <w:fldChar w:fldCharType="begin"/>
            </w:r>
            <w:r w:rsidR="003D28C5">
              <w:rPr>
                <w:noProof/>
                <w:webHidden/>
              </w:rPr>
              <w:instrText xml:space="preserve"> PAGEREF _Toc139411115 \h </w:instrText>
            </w:r>
            <w:r w:rsidR="003D28C5">
              <w:rPr>
                <w:noProof/>
                <w:webHidden/>
              </w:rPr>
            </w:r>
            <w:r w:rsidR="003D28C5">
              <w:rPr>
                <w:noProof/>
                <w:webHidden/>
              </w:rPr>
              <w:fldChar w:fldCharType="separate"/>
            </w:r>
            <w:r w:rsidR="001A76A3">
              <w:rPr>
                <w:noProof/>
                <w:webHidden/>
              </w:rPr>
              <w:t>12</w:t>
            </w:r>
            <w:r w:rsidR="003D28C5">
              <w:rPr>
                <w:noProof/>
                <w:webHidden/>
              </w:rPr>
              <w:fldChar w:fldCharType="end"/>
            </w:r>
          </w:hyperlink>
        </w:p>
        <w:p w14:paraId="580FA166" w14:textId="4BAEC25E" w:rsidR="003D28C5" w:rsidRDefault="00A40D51">
          <w:pPr>
            <w:pStyle w:val="TOC1"/>
            <w:tabs>
              <w:tab w:val="right" w:leader="dot" w:pos="9016"/>
            </w:tabs>
            <w:rPr>
              <w:rFonts w:eastAsiaTheme="minorEastAsia"/>
              <w:noProof/>
              <w:lang w:eastAsia="en-GB"/>
            </w:rPr>
          </w:pPr>
          <w:hyperlink w:anchor="_Toc139411116" w:history="1">
            <w:r w:rsidR="003D28C5" w:rsidRPr="004F07F0">
              <w:rPr>
                <w:rStyle w:val="Hyperlink"/>
                <w:rFonts w:cstheme="minorHAnsi"/>
                <w:noProof/>
              </w:rPr>
              <w:t>3.0 Conclusion</w:t>
            </w:r>
            <w:r w:rsidR="003D28C5">
              <w:rPr>
                <w:noProof/>
                <w:webHidden/>
              </w:rPr>
              <w:tab/>
            </w:r>
            <w:r w:rsidR="003D28C5">
              <w:rPr>
                <w:noProof/>
                <w:webHidden/>
              </w:rPr>
              <w:fldChar w:fldCharType="begin"/>
            </w:r>
            <w:r w:rsidR="003D28C5">
              <w:rPr>
                <w:noProof/>
                <w:webHidden/>
              </w:rPr>
              <w:instrText xml:space="preserve"> PAGEREF _Toc139411116 \h </w:instrText>
            </w:r>
            <w:r w:rsidR="003D28C5">
              <w:rPr>
                <w:noProof/>
                <w:webHidden/>
              </w:rPr>
            </w:r>
            <w:r w:rsidR="003D28C5">
              <w:rPr>
                <w:noProof/>
                <w:webHidden/>
              </w:rPr>
              <w:fldChar w:fldCharType="separate"/>
            </w:r>
            <w:r w:rsidR="001A76A3">
              <w:rPr>
                <w:noProof/>
                <w:webHidden/>
              </w:rPr>
              <w:t>13</w:t>
            </w:r>
            <w:r w:rsidR="003D28C5">
              <w:rPr>
                <w:noProof/>
                <w:webHidden/>
              </w:rPr>
              <w:fldChar w:fldCharType="end"/>
            </w:r>
          </w:hyperlink>
        </w:p>
        <w:p w14:paraId="6AAFAC1B" w14:textId="2EDE38D8" w:rsidR="003D28C5" w:rsidRDefault="00A40D51">
          <w:pPr>
            <w:pStyle w:val="TOC1"/>
            <w:tabs>
              <w:tab w:val="right" w:leader="dot" w:pos="9016"/>
            </w:tabs>
            <w:rPr>
              <w:rFonts w:eastAsiaTheme="minorEastAsia"/>
              <w:noProof/>
              <w:lang w:eastAsia="en-GB"/>
            </w:rPr>
          </w:pPr>
          <w:hyperlink w:anchor="_Toc139411117" w:history="1">
            <w:r w:rsidR="003D28C5" w:rsidRPr="004F07F0">
              <w:rPr>
                <w:rStyle w:val="Hyperlink"/>
                <w:rFonts w:cstheme="minorHAnsi"/>
                <w:noProof/>
              </w:rPr>
              <w:t>Appendices</w:t>
            </w:r>
            <w:r w:rsidR="003D28C5">
              <w:rPr>
                <w:noProof/>
                <w:webHidden/>
              </w:rPr>
              <w:tab/>
            </w:r>
            <w:r w:rsidR="003D28C5">
              <w:rPr>
                <w:noProof/>
                <w:webHidden/>
              </w:rPr>
              <w:fldChar w:fldCharType="begin"/>
            </w:r>
            <w:r w:rsidR="003D28C5">
              <w:rPr>
                <w:noProof/>
                <w:webHidden/>
              </w:rPr>
              <w:instrText xml:space="preserve"> PAGEREF _Toc139411117 \h </w:instrText>
            </w:r>
            <w:r w:rsidR="003D28C5">
              <w:rPr>
                <w:noProof/>
                <w:webHidden/>
              </w:rPr>
            </w:r>
            <w:r w:rsidR="003D28C5">
              <w:rPr>
                <w:noProof/>
                <w:webHidden/>
              </w:rPr>
              <w:fldChar w:fldCharType="separate"/>
            </w:r>
            <w:r w:rsidR="001A76A3">
              <w:rPr>
                <w:noProof/>
                <w:webHidden/>
              </w:rPr>
              <w:t>14</w:t>
            </w:r>
            <w:r w:rsidR="003D28C5">
              <w:rPr>
                <w:noProof/>
                <w:webHidden/>
              </w:rPr>
              <w:fldChar w:fldCharType="end"/>
            </w:r>
          </w:hyperlink>
        </w:p>
        <w:p w14:paraId="706A70C8" w14:textId="13CAD7B5" w:rsidR="003D28C5" w:rsidRDefault="00A40D51">
          <w:pPr>
            <w:pStyle w:val="TOC1"/>
            <w:tabs>
              <w:tab w:val="right" w:leader="dot" w:pos="9016"/>
            </w:tabs>
            <w:rPr>
              <w:rFonts w:eastAsiaTheme="minorEastAsia"/>
              <w:noProof/>
              <w:lang w:eastAsia="en-GB"/>
            </w:rPr>
          </w:pPr>
          <w:hyperlink w:anchor="_Toc139411118" w:history="1">
            <w:r w:rsidR="003D28C5" w:rsidRPr="004F07F0">
              <w:rPr>
                <w:rStyle w:val="Hyperlink"/>
                <w:rFonts w:cstheme="minorHAnsi"/>
                <w:noProof/>
              </w:rPr>
              <w:t xml:space="preserve"> Appendix A</w:t>
            </w:r>
            <w:r w:rsidR="003D28C5">
              <w:rPr>
                <w:noProof/>
                <w:webHidden/>
              </w:rPr>
              <w:tab/>
            </w:r>
            <w:r w:rsidR="003D28C5">
              <w:rPr>
                <w:noProof/>
                <w:webHidden/>
              </w:rPr>
              <w:fldChar w:fldCharType="begin"/>
            </w:r>
            <w:r w:rsidR="003D28C5">
              <w:rPr>
                <w:noProof/>
                <w:webHidden/>
              </w:rPr>
              <w:instrText xml:space="preserve"> PAGEREF _Toc139411118 \h </w:instrText>
            </w:r>
            <w:r w:rsidR="003D28C5">
              <w:rPr>
                <w:noProof/>
                <w:webHidden/>
              </w:rPr>
            </w:r>
            <w:r w:rsidR="003D28C5">
              <w:rPr>
                <w:noProof/>
                <w:webHidden/>
              </w:rPr>
              <w:fldChar w:fldCharType="separate"/>
            </w:r>
            <w:r w:rsidR="001A76A3">
              <w:rPr>
                <w:noProof/>
                <w:webHidden/>
              </w:rPr>
              <w:t>14</w:t>
            </w:r>
            <w:r w:rsidR="003D28C5">
              <w:rPr>
                <w:noProof/>
                <w:webHidden/>
              </w:rPr>
              <w:fldChar w:fldCharType="end"/>
            </w:r>
          </w:hyperlink>
        </w:p>
        <w:p w14:paraId="3E7594DA" w14:textId="70F9B92F" w:rsidR="003D28C5" w:rsidRDefault="00A40D51">
          <w:pPr>
            <w:pStyle w:val="TOC1"/>
            <w:tabs>
              <w:tab w:val="right" w:leader="dot" w:pos="9016"/>
            </w:tabs>
            <w:rPr>
              <w:rFonts w:eastAsiaTheme="minorEastAsia"/>
              <w:noProof/>
              <w:lang w:eastAsia="en-GB"/>
            </w:rPr>
          </w:pPr>
          <w:hyperlink w:anchor="_Toc139411119" w:history="1">
            <w:r w:rsidR="003D28C5" w:rsidRPr="004F07F0">
              <w:rPr>
                <w:rStyle w:val="Hyperlink"/>
                <w:rFonts w:cstheme="minorHAnsi"/>
                <w:noProof/>
              </w:rPr>
              <w:t>Appendix B</w:t>
            </w:r>
            <w:r w:rsidR="003D28C5">
              <w:rPr>
                <w:noProof/>
                <w:webHidden/>
              </w:rPr>
              <w:tab/>
            </w:r>
            <w:r w:rsidR="003D28C5">
              <w:rPr>
                <w:noProof/>
                <w:webHidden/>
              </w:rPr>
              <w:fldChar w:fldCharType="begin"/>
            </w:r>
            <w:r w:rsidR="003D28C5">
              <w:rPr>
                <w:noProof/>
                <w:webHidden/>
              </w:rPr>
              <w:instrText xml:space="preserve"> PAGEREF _Toc139411119 \h </w:instrText>
            </w:r>
            <w:r w:rsidR="003D28C5">
              <w:rPr>
                <w:noProof/>
                <w:webHidden/>
              </w:rPr>
            </w:r>
            <w:r w:rsidR="003D28C5">
              <w:rPr>
                <w:noProof/>
                <w:webHidden/>
              </w:rPr>
              <w:fldChar w:fldCharType="separate"/>
            </w:r>
            <w:r w:rsidR="001A76A3">
              <w:rPr>
                <w:noProof/>
                <w:webHidden/>
              </w:rPr>
              <w:t>16</w:t>
            </w:r>
            <w:r w:rsidR="003D28C5">
              <w:rPr>
                <w:noProof/>
                <w:webHidden/>
              </w:rPr>
              <w:fldChar w:fldCharType="end"/>
            </w:r>
          </w:hyperlink>
        </w:p>
        <w:p w14:paraId="3FDC5420" w14:textId="6AE29CA3" w:rsidR="003D28C5" w:rsidRDefault="00A40D51">
          <w:pPr>
            <w:pStyle w:val="TOC1"/>
            <w:tabs>
              <w:tab w:val="right" w:leader="dot" w:pos="9016"/>
            </w:tabs>
            <w:rPr>
              <w:rFonts w:eastAsiaTheme="minorEastAsia"/>
              <w:noProof/>
              <w:lang w:eastAsia="en-GB"/>
            </w:rPr>
          </w:pPr>
          <w:hyperlink w:anchor="_Toc139411120" w:history="1">
            <w:r w:rsidR="003D28C5" w:rsidRPr="004F07F0">
              <w:rPr>
                <w:rStyle w:val="Hyperlink"/>
                <w:rFonts w:cstheme="minorHAnsi"/>
                <w:noProof/>
              </w:rPr>
              <w:t>Appendix C</w:t>
            </w:r>
            <w:r w:rsidR="003D28C5">
              <w:rPr>
                <w:noProof/>
                <w:webHidden/>
              </w:rPr>
              <w:tab/>
            </w:r>
            <w:r w:rsidR="003D28C5">
              <w:rPr>
                <w:noProof/>
                <w:webHidden/>
              </w:rPr>
              <w:fldChar w:fldCharType="begin"/>
            </w:r>
            <w:r w:rsidR="003D28C5">
              <w:rPr>
                <w:noProof/>
                <w:webHidden/>
              </w:rPr>
              <w:instrText xml:space="preserve"> PAGEREF _Toc139411120 \h </w:instrText>
            </w:r>
            <w:r w:rsidR="003D28C5">
              <w:rPr>
                <w:noProof/>
                <w:webHidden/>
              </w:rPr>
            </w:r>
            <w:r w:rsidR="003D28C5">
              <w:rPr>
                <w:noProof/>
                <w:webHidden/>
              </w:rPr>
              <w:fldChar w:fldCharType="separate"/>
            </w:r>
            <w:r w:rsidR="001A76A3">
              <w:rPr>
                <w:noProof/>
                <w:webHidden/>
              </w:rPr>
              <w:t>19</w:t>
            </w:r>
            <w:r w:rsidR="003D28C5">
              <w:rPr>
                <w:noProof/>
                <w:webHidden/>
              </w:rPr>
              <w:fldChar w:fldCharType="end"/>
            </w:r>
          </w:hyperlink>
        </w:p>
        <w:p w14:paraId="02941CCE" w14:textId="64684972" w:rsidR="003D28C5" w:rsidRDefault="00A40D51">
          <w:pPr>
            <w:pStyle w:val="TOC1"/>
            <w:tabs>
              <w:tab w:val="right" w:leader="dot" w:pos="9016"/>
            </w:tabs>
            <w:rPr>
              <w:rFonts w:eastAsiaTheme="minorEastAsia"/>
              <w:noProof/>
              <w:lang w:eastAsia="en-GB"/>
            </w:rPr>
          </w:pPr>
          <w:hyperlink w:anchor="_Toc139411121" w:history="1">
            <w:r w:rsidR="003D28C5" w:rsidRPr="004F07F0">
              <w:rPr>
                <w:rStyle w:val="Hyperlink"/>
                <w:rFonts w:cstheme="minorHAnsi"/>
                <w:noProof/>
              </w:rPr>
              <w:t>Appendix D</w:t>
            </w:r>
            <w:r w:rsidR="003D28C5">
              <w:rPr>
                <w:noProof/>
                <w:webHidden/>
              </w:rPr>
              <w:tab/>
            </w:r>
            <w:r w:rsidR="003D28C5">
              <w:rPr>
                <w:noProof/>
                <w:webHidden/>
              </w:rPr>
              <w:fldChar w:fldCharType="begin"/>
            </w:r>
            <w:r w:rsidR="003D28C5">
              <w:rPr>
                <w:noProof/>
                <w:webHidden/>
              </w:rPr>
              <w:instrText xml:space="preserve"> PAGEREF _Toc139411121 \h </w:instrText>
            </w:r>
            <w:r w:rsidR="003D28C5">
              <w:rPr>
                <w:noProof/>
                <w:webHidden/>
              </w:rPr>
            </w:r>
            <w:r w:rsidR="003D28C5">
              <w:rPr>
                <w:noProof/>
                <w:webHidden/>
              </w:rPr>
              <w:fldChar w:fldCharType="separate"/>
            </w:r>
            <w:r w:rsidR="001A76A3">
              <w:rPr>
                <w:noProof/>
                <w:webHidden/>
              </w:rPr>
              <w:t>20</w:t>
            </w:r>
            <w:r w:rsidR="003D28C5">
              <w:rPr>
                <w:noProof/>
                <w:webHidden/>
              </w:rPr>
              <w:fldChar w:fldCharType="end"/>
            </w:r>
          </w:hyperlink>
        </w:p>
        <w:p w14:paraId="0721C1C3" w14:textId="656415DD" w:rsidR="003D28C5" w:rsidRDefault="00A40D51">
          <w:pPr>
            <w:pStyle w:val="TOC1"/>
            <w:tabs>
              <w:tab w:val="right" w:leader="dot" w:pos="9016"/>
            </w:tabs>
            <w:rPr>
              <w:rFonts w:eastAsiaTheme="minorEastAsia"/>
              <w:noProof/>
              <w:lang w:eastAsia="en-GB"/>
            </w:rPr>
          </w:pPr>
          <w:hyperlink w:anchor="_Toc139411122" w:history="1">
            <w:r w:rsidR="003D28C5" w:rsidRPr="004F07F0">
              <w:rPr>
                <w:rStyle w:val="Hyperlink"/>
                <w:rFonts w:cstheme="minorHAnsi"/>
                <w:noProof/>
              </w:rPr>
              <w:t>Appendix E</w:t>
            </w:r>
            <w:r w:rsidR="003D28C5">
              <w:rPr>
                <w:noProof/>
                <w:webHidden/>
              </w:rPr>
              <w:tab/>
            </w:r>
            <w:r w:rsidR="003D28C5">
              <w:rPr>
                <w:noProof/>
                <w:webHidden/>
              </w:rPr>
              <w:fldChar w:fldCharType="begin"/>
            </w:r>
            <w:r w:rsidR="003D28C5">
              <w:rPr>
                <w:noProof/>
                <w:webHidden/>
              </w:rPr>
              <w:instrText xml:space="preserve"> PAGEREF _Toc139411122 \h </w:instrText>
            </w:r>
            <w:r w:rsidR="003D28C5">
              <w:rPr>
                <w:noProof/>
                <w:webHidden/>
              </w:rPr>
            </w:r>
            <w:r w:rsidR="003D28C5">
              <w:rPr>
                <w:noProof/>
                <w:webHidden/>
              </w:rPr>
              <w:fldChar w:fldCharType="separate"/>
            </w:r>
            <w:r w:rsidR="001A76A3">
              <w:rPr>
                <w:noProof/>
                <w:webHidden/>
              </w:rPr>
              <w:t>21</w:t>
            </w:r>
            <w:r w:rsidR="003D28C5">
              <w:rPr>
                <w:noProof/>
                <w:webHidden/>
              </w:rPr>
              <w:fldChar w:fldCharType="end"/>
            </w:r>
          </w:hyperlink>
        </w:p>
        <w:p w14:paraId="35130ECA" w14:textId="4BA95DBE" w:rsidR="003D28C5" w:rsidRDefault="00A40D51">
          <w:pPr>
            <w:pStyle w:val="TOC1"/>
            <w:tabs>
              <w:tab w:val="right" w:leader="dot" w:pos="9016"/>
            </w:tabs>
            <w:rPr>
              <w:rFonts w:eastAsiaTheme="minorEastAsia"/>
              <w:noProof/>
              <w:lang w:eastAsia="en-GB"/>
            </w:rPr>
          </w:pPr>
          <w:hyperlink w:anchor="_Toc139411123" w:history="1">
            <w:r w:rsidR="003D28C5" w:rsidRPr="004F07F0">
              <w:rPr>
                <w:rStyle w:val="Hyperlink"/>
                <w:rFonts w:cstheme="minorHAnsi"/>
                <w:noProof/>
              </w:rPr>
              <w:t>Appendix F</w:t>
            </w:r>
            <w:r w:rsidR="003D28C5">
              <w:rPr>
                <w:noProof/>
                <w:webHidden/>
              </w:rPr>
              <w:tab/>
            </w:r>
            <w:r w:rsidR="003D28C5">
              <w:rPr>
                <w:noProof/>
                <w:webHidden/>
              </w:rPr>
              <w:fldChar w:fldCharType="begin"/>
            </w:r>
            <w:r w:rsidR="003D28C5">
              <w:rPr>
                <w:noProof/>
                <w:webHidden/>
              </w:rPr>
              <w:instrText xml:space="preserve"> PAGEREF _Toc139411123 \h </w:instrText>
            </w:r>
            <w:r w:rsidR="003D28C5">
              <w:rPr>
                <w:noProof/>
                <w:webHidden/>
              </w:rPr>
            </w:r>
            <w:r w:rsidR="003D28C5">
              <w:rPr>
                <w:noProof/>
                <w:webHidden/>
              </w:rPr>
              <w:fldChar w:fldCharType="separate"/>
            </w:r>
            <w:r w:rsidR="001A76A3">
              <w:rPr>
                <w:noProof/>
                <w:webHidden/>
              </w:rPr>
              <w:t>23</w:t>
            </w:r>
            <w:r w:rsidR="003D28C5">
              <w:rPr>
                <w:noProof/>
                <w:webHidden/>
              </w:rPr>
              <w:fldChar w:fldCharType="end"/>
            </w:r>
          </w:hyperlink>
        </w:p>
        <w:p w14:paraId="372B27A7" w14:textId="67CC901D" w:rsidR="003D28C5" w:rsidRDefault="00A40D51">
          <w:pPr>
            <w:pStyle w:val="TOC1"/>
            <w:tabs>
              <w:tab w:val="right" w:leader="dot" w:pos="9016"/>
            </w:tabs>
            <w:rPr>
              <w:rFonts w:eastAsiaTheme="minorEastAsia"/>
              <w:noProof/>
              <w:lang w:eastAsia="en-GB"/>
            </w:rPr>
          </w:pPr>
          <w:hyperlink w:anchor="_Toc139411124" w:history="1">
            <w:r w:rsidR="003D28C5" w:rsidRPr="004F07F0">
              <w:rPr>
                <w:rStyle w:val="Hyperlink"/>
                <w:rFonts w:cstheme="minorHAnsi"/>
                <w:noProof/>
              </w:rPr>
              <w:t>Reference</w:t>
            </w:r>
            <w:r w:rsidR="003D28C5">
              <w:rPr>
                <w:noProof/>
                <w:webHidden/>
              </w:rPr>
              <w:tab/>
            </w:r>
            <w:r w:rsidR="003D28C5">
              <w:rPr>
                <w:noProof/>
                <w:webHidden/>
              </w:rPr>
              <w:fldChar w:fldCharType="begin"/>
            </w:r>
            <w:r w:rsidR="003D28C5">
              <w:rPr>
                <w:noProof/>
                <w:webHidden/>
              </w:rPr>
              <w:instrText xml:space="preserve"> PAGEREF _Toc139411124 \h </w:instrText>
            </w:r>
            <w:r w:rsidR="003D28C5">
              <w:rPr>
                <w:noProof/>
                <w:webHidden/>
              </w:rPr>
            </w:r>
            <w:r w:rsidR="003D28C5">
              <w:rPr>
                <w:noProof/>
                <w:webHidden/>
              </w:rPr>
              <w:fldChar w:fldCharType="separate"/>
            </w:r>
            <w:r w:rsidR="001A76A3">
              <w:rPr>
                <w:noProof/>
                <w:webHidden/>
              </w:rPr>
              <w:t>27</w:t>
            </w:r>
            <w:r w:rsidR="003D28C5">
              <w:rPr>
                <w:noProof/>
                <w:webHidden/>
              </w:rPr>
              <w:fldChar w:fldCharType="end"/>
            </w:r>
          </w:hyperlink>
        </w:p>
        <w:p w14:paraId="35AB8C3A" w14:textId="07573FBE" w:rsidR="003D28C5" w:rsidRDefault="003D28C5">
          <w:r>
            <w:rPr>
              <w:b/>
              <w:bCs/>
            </w:rPr>
            <w:fldChar w:fldCharType="end"/>
          </w:r>
        </w:p>
      </w:sdtContent>
    </w:sdt>
    <w:p w14:paraId="60A60B00" w14:textId="35182E53" w:rsidR="0050119F" w:rsidRDefault="0050119F">
      <w:pPr>
        <w:rPr>
          <w:rFonts w:cstheme="minorHAnsi"/>
          <w:sz w:val="24"/>
          <w:szCs w:val="24"/>
        </w:rPr>
      </w:pPr>
      <w:r>
        <w:rPr>
          <w:rFonts w:cstheme="minorHAnsi"/>
          <w:sz w:val="24"/>
          <w:szCs w:val="24"/>
        </w:rPr>
        <w:br w:type="page"/>
      </w:r>
    </w:p>
    <w:p w14:paraId="7BB5F2E0" w14:textId="77777777" w:rsidR="0050119F" w:rsidRDefault="0050119F">
      <w:pPr>
        <w:rPr>
          <w:rFonts w:cstheme="minorHAnsi"/>
          <w:sz w:val="24"/>
          <w:szCs w:val="24"/>
        </w:rPr>
      </w:pPr>
    </w:p>
    <w:p w14:paraId="696204A3" w14:textId="77777777" w:rsidR="00E94AB0" w:rsidRPr="00685F3A" w:rsidRDefault="00E94AB0" w:rsidP="00B37E39">
      <w:pPr>
        <w:jc w:val="both"/>
        <w:rPr>
          <w:rFonts w:cstheme="minorHAnsi"/>
          <w:sz w:val="24"/>
          <w:szCs w:val="24"/>
        </w:rPr>
      </w:pPr>
    </w:p>
    <w:p w14:paraId="7028588A" w14:textId="1FB0A738" w:rsidR="00A4094E" w:rsidRPr="00685F3A" w:rsidRDefault="00B3134E" w:rsidP="00B37E39">
      <w:pPr>
        <w:pStyle w:val="Heading1"/>
        <w:jc w:val="both"/>
        <w:rPr>
          <w:rFonts w:asciiTheme="minorHAnsi" w:hAnsiTheme="minorHAnsi" w:cstheme="minorHAnsi"/>
          <w:sz w:val="24"/>
          <w:szCs w:val="24"/>
        </w:rPr>
      </w:pPr>
      <w:bookmarkStart w:id="0" w:name="_Toc139411101"/>
      <w:r w:rsidRPr="00685F3A">
        <w:rPr>
          <w:rFonts w:asciiTheme="minorHAnsi" w:hAnsiTheme="minorHAnsi" w:cstheme="minorHAnsi"/>
          <w:sz w:val="24"/>
          <w:szCs w:val="24"/>
        </w:rPr>
        <w:t>1.0 Introduction</w:t>
      </w:r>
      <w:bookmarkEnd w:id="0"/>
      <w:r w:rsidRPr="00685F3A">
        <w:rPr>
          <w:rFonts w:asciiTheme="minorHAnsi" w:hAnsiTheme="minorHAnsi" w:cstheme="minorHAnsi"/>
          <w:sz w:val="24"/>
          <w:szCs w:val="24"/>
        </w:rPr>
        <w:t xml:space="preserve"> </w:t>
      </w:r>
    </w:p>
    <w:p w14:paraId="20E375C4" w14:textId="58DC53EA" w:rsidR="00B37E39" w:rsidRPr="00685F3A" w:rsidRDefault="00B3134E" w:rsidP="00B37E39">
      <w:pPr>
        <w:jc w:val="both"/>
        <w:rPr>
          <w:rFonts w:cstheme="minorHAnsi"/>
          <w:sz w:val="24"/>
          <w:szCs w:val="24"/>
        </w:rPr>
      </w:pPr>
      <w:r w:rsidRPr="00685F3A">
        <w:rPr>
          <w:rFonts w:cstheme="minorHAnsi"/>
          <w:sz w:val="24"/>
          <w:szCs w:val="24"/>
        </w:rPr>
        <w:t>This assignment's objective is to conduct a strategic analysis and evaluation of Coca-Cola company using the following models</w:t>
      </w:r>
      <w:r w:rsidR="00BC2C5D" w:rsidRPr="00685F3A">
        <w:rPr>
          <w:rFonts w:cstheme="minorHAnsi"/>
          <w:sz w:val="24"/>
          <w:szCs w:val="24"/>
        </w:rPr>
        <w:t>,</w:t>
      </w:r>
      <w:r w:rsidRPr="00685F3A">
        <w:rPr>
          <w:rFonts w:cstheme="minorHAnsi"/>
          <w:sz w:val="24"/>
          <w:szCs w:val="24"/>
        </w:rPr>
        <w:t xml:space="preserve"> SWOT,PESTLE, 5 forces, porters generic, BCG,  and the stakeholder analysis.</w:t>
      </w:r>
      <w:r w:rsidR="00AA6FCE" w:rsidRPr="00685F3A">
        <w:rPr>
          <w:rFonts w:cstheme="minorHAnsi"/>
          <w:sz w:val="24"/>
          <w:szCs w:val="24"/>
        </w:rPr>
        <w:t xml:space="preserve"> </w:t>
      </w:r>
      <w:r w:rsidR="00B37E39" w:rsidRPr="00685F3A">
        <w:rPr>
          <w:rFonts w:cstheme="minorHAnsi"/>
          <w:sz w:val="24"/>
          <w:szCs w:val="24"/>
        </w:rPr>
        <w:t xml:space="preserve">The Chief Executive of Coca-Cola requested it, and needs to be submitted on 7 July 2023, before 3PM. Furthermore, for this report various credible sources have been used, such </w:t>
      </w:r>
      <w:r w:rsidR="009069F5" w:rsidRPr="00685F3A">
        <w:rPr>
          <w:rFonts w:cstheme="minorHAnsi"/>
          <w:sz w:val="24"/>
          <w:szCs w:val="24"/>
        </w:rPr>
        <w:t>as</w:t>
      </w:r>
      <w:r w:rsidR="00B37E39" w:rsidRPr="00685F3A">
        <w:rPr>
          <w:rFonts w:cstheme="minorHAnsi"/>
          <w:sz w:val="24"/>
          <w:szCs w:val="24"/>
        </w:rPr>
        <w:t xml:space="preserve"> website</w:t>
      </w:r>
      <w:r w:rsidR="009069F5" w:rsidRPr="00685F3A">
        <w:rPr>
          <w:rFonts w:cstheme="minorHAnsi"/>
          <w:sz w:val="24"/>
          <w:szCs w:val="24"/>
        </w:rPr>
        <w:t>s</w:t>
      </w:r>
      <w:r w:rsidR="00B37E39" w:rsidRPr="00685F3A">
        <w:rPr>
          <w:rFonts w:cstheme="minorHAnsi"/>
          <w:sz w:val="24"/>
          <w:szCs w:val="24"/>
        </w:rPr>
        <w:t>, journal article</w:t>
      </w:r>
      <w:r w:rsidR="009069F5" w:rsidRPr="00685F3A">
        <w:rPr>
          <w:rFonts w:cstheme="minorHAnsi"/>
          <w:sz w:val="24"/>
          <w:szCs w:val="24"/>
        </w:rPr>
        <w:t xml:space="preserve">s, e-books, books, and </w:t>
      </w:r>
      <w:r w:rsidR="00AE298F" w:rsidRPr="00685F3A">
        <w:rPr>
          <w:rFonts w:cstheme="minorHAnsi"/>
          <w:sz w:val="24"/>
          <w:szCs w:val="24"/>
        </w:rPr>
        <w:t>e-</w:t>
      </w:r>
      <w:r w:rsidR="009069F5" w:rsidRPr="00685F3A">
        <w:rPr>
          <w:rFonts w:cstheme="minorHAnsi"/>
          <w:sz w:val="24"/>
          <w:szCs w:val="24"/>
        </w:rPr>
        <w:t>news</w:t>
      </w:r>
      <w:r w:rsidR="00AE298F" w:rsidRPr="00685F3A">
        <w:rPr>
          <w:rFonts w:cstheme="minorHAnsi"/>
          <w:sz w:val="24"/>
          <w:szCs w:val="24"/>
        </w:rPr>
        <w:t>.</w:t>
      </w:r>
    </w:p>
    <w:p w14:paraId="2E0C5247" w14:textId="62E2B343" w:rsidR="00B3134E" w:rsidRDefault="00B3134E" w:rsidP="00B37E39">
      <w:pPr>
        <w:pStyle w:val="Heading1"/>
        <w:jc w:val="both"/>
        <w:rPr>
          <w:rFonts w:asciiTheme="minorHAnsi" w:hAnsiTheme="minorHAnsi" w:cstheme="minorHAnsi"/>
          <w:sz w:val="24"/>
          <w:szCs w:val="24"/>
        </w:rPr>
      </w:pPr>
      <w:bookmarkStart w:id="1" w:name="_Toc139411102"/>
      <w:r w:rsidRPr="00685F3A">
        <w:rPr>
          <w:rFonts w:asciiTheme="minorHAnsi" w:hAnsiTheme="minorHAnsi" w:cstheme="minorHAnsi"/>
          <w:sz w:val="24"/>
          <w:szCs w:val="24"/>
        </w:rPr>
        <w:t>2.0 Findings</w:t>
      </w:r>
      <w:bookmarkEnd w:id="1"/>
      <w:r w:rsidRPr="00685F3A">
        <w:rPr>
          <w:rFonts w:asciiTheme="minorHAnsi" w:hAnsiTheme="minorHAnsi" w:cstheme="minorHAnsi"/>
          <w:sz w:val="24"/>
          <w:szCs w:val="24"/>
        </w:rPr>
        <w:t xml:space="preserve"> </w:t>
      </w:r>
    </w:p>
    <w:p w14:paraId="0322D946" w14:textId="388B2A48" w:rsidR="00CB6369" w:rsidRPr="00CB6369" w:rsidRDefault="00300D51" w:rsidP="00CB6369">
      <w:pPr>
        <w:jc w:val="both"/>
        <w:rPr>
          <w:sz w:val="24"/>
          <w:szCs w:val="24"/>
        </w:rPr>
      </w:pPr>
      <w:r>
        <w:rPr>
          <w:sz w:val="24"/>
          <w:szCs w:val="24"/>
        </w:rPr>
        <w:t>T</w:t>
      </w:r>
      <w:r w:rsidR="00CB6369" w:rsidRPr="00CB6369">
        <w:rPr>
          <w:sz w:val="24"/>
          <w:szCs w:val="24"/>
        </w:rPr>
        <w:t xml:space="preserve">he findings suggest that the vision and mission of Coca-Cola have evolved over time to reflect changes in the beverage industry and societal expectations. The company has always aimed to refresh and bring moments of happiness to people's lives, while also adapting to sustainability and health concerns. Coca-Cola's historical development can be traced back to its creation in 1886 and subsequent global expansion through its franchise distribution model. The company operates with Strategic Business Units (SBUs) responsible for specific brands or product categories, allowing for more focused management. Coca-Cola's major stakeholders include shareholders, investors, employees, customers, suppliers, and the community. The company's profitability and market share have shown </w:t>
      </w:r>
      <w:r w:rsidR="00CB6369" w:rsidRPr="00CB6369">
        <w:rPr>
          <w:sz w:val="24"/>
          <w:szCs w:val="24"/>
        </w:rPr>
        <w:t>growth</w:t>
      </w:r>
      <w:r w:rsidR="00CB6369" w:rsidRPr="00CB6369">
        <w:rPr>
          <w:sz w:val="24"/>
          <w:szCs w:val="24"/>
        </w:rPr>
        <w:t>, but it faces competition from other beverage companies. Coca-Cola implements a broad differentiation strategy to set itself apart from competitors and maintain its market position. The company's strategic decisions are influenced by market trends, consumer preferences, regulations, technology advancements, and sustainability goals. Overall, Coca-Cola aims to achieve profitability, growth, and a positive impact on society through its strategic approach.</w:t>
      </w:r>
    </w:p>
    <w:p w14:paraId="69E5F869" w14:textId="787A5BA6" w:rsidR="00B3134E" w:rsidRPr="00685F3A" w:rsidRDefault="00B3134E" w:rsidP="00B37E39">
      <w:pPr>
        <w:pStyle w:val="Heading2"/>
        <w:jc w:val="both"/>
        <w:rPr>
          <w:rFonts w:asciiTheme="minorHAnsi" w:hAnsiTheme="minorHAnsi" w:cstheme="minorHAnsi"/>
          <w:sz w:val="24"/>
          <w:szCs w:val="24"/>
        </w:rPr>
      </w:pPr>
      <w:bookmarkStart w:id="2" w:name="_Toc139411103"/>
      <w:r w:rsidRPr="00685F3A">
        <w:rPr>
          <w:rFonts w:asciiTheme="minorHAnsi" w:hAnsiTheme="minorHAnsi" w:cstheme="minorHAnsi"/>
          <w:sz w:val="24"/>
          <w:szCs w:val="24"/>
        </w:rPr>
        <w:t>2.1 Introduction to Organisation</w:t>
      </w:r>
      <w:bookmarkEnd w:id="2"/>
    </w:p>
    <w:p w14:paraId="71ADA86E" w14:textId="77777777" w:rsidR="00B3134E" w:rsidRPr="00685F3A" w:rsidRDefault="00B3134E" w:rsidP="00B37E39">
      <w:pPr>
        <w:jc w:val="both"/>
        <w:rPr>
          <w:rFonts w:cstheme="minorHAnsi"/>
          <w:sz w:val="24"/>
          <w:szCs w:val="24"/>
        </w:rPr>
      </w:pPr>
      <w:r w:rsidRPr="00685F3A">
        <w:rPr>
          <w:rFonts w:cstheme="minorHAnsi"/>
          <w:sz w:val="24"/>
          <w:szCs w:val="24"/>
        </w:rPr>
        <w:t xml:space="preserve">After research on its previous annual reports emerged that the vision and mission of the company have likely been shaped and refined through its history, reflecting the changing landscape of the beverage industry and societal expectations, such as, sustainability, health and safety regulations. According to Coca-Cola Annual Report(1998) the company's vision was to refresh and serve more of the world's consumers in more locations, taking advantage of an increasingly efficient and expansive system of bottlers. Thus, the company's commitment to refreshing the world, inspiring optimism and happiness, and creating value has been a fundamental aspect of its operations for many years. Therefore, Coca-Cola has always aimed to refresh and bring moments of happiness to people's lives, which aligns with its overall purpose and guiding principles. </w:t>
      </w:r>
    </w:p>
    <w:p w14:paraId="2E237CD2" w14:textId="77777777" w:rsidR="00B3134E" w:rsidRPr="00685F3A" w:rsidRDefault="00B3134E" w:rsidP="00B37E39">
      <w:pPr>
        <w:jc w:val="both"/>
        <w:rPr>
          <w:rFonts w:cstheme="minorHAnsi"/>
          <w:sz w:val="24"/>
          <w:szCs w:val="24"/>
        </w:rPr>
      </w:pPr>
      <w:r w:rsidRPr="00685F3A">
        <w:rPr>
          <w:rFonts w:cstheme="minorHAnsi"/>
          <w:sz w:val="24"/>
          <w:szCs w:val="24"/>
        </w:rPr>
        <w:t>Coca-Cola Company(2023) vision is  “</w:t>
      </w:r>
      <w:r w:rsidRPr="00685F3A">
        <w:rPr>
          <w:rFonts w:cstheme="minorHAnsi"/>
          <w:i/>
          <w:iCs/>
          <w:sz w:val="24"/>
          <w:szCs w:val="24"/>
        </w:rPr>
        <w:t>to craft the brands and choice of drinks that people love, to refresh them in body &amp; spirit. And done in ways that create a more sustainable business and better shared future that makes a difference in people’s lives, communities and our planet.</w:t>
      </w:r>
      <w:r w:rsidRPr="00685F3A">
        <w:rPr>
          <w:rFonts w:cstheme="minorHAnsi"/>
          <w:sz w:val="24"/>
          <w:szCs w:val="24"/>
        </w:rPr>
        <w:t>” Furthermore, the mission is “</w:t>
      </w:r>
      <w:r w:rsidRPr="00685F3A">
        <w:rPr>
          <w:rFonts w:cstheme="minorHAnsi"/>
          <w:i/>
          <w:iCs/>
          <w:sz w:val="24"/>
          <w:szCs w:val="24"/>
        </w:rPr>
        <w:t>Refresh the world. Make a difference</w:t>
      </w:r>
      <w:r w:rsidRPr="00685F3A">
        <w:rPr>
          <w:rFonts w:cstheme="minorHAnsi"/>
          <w:sz w:val="24"/>
          <w:szCs w:val="24"/>
        </w:rPr>
        <w:t>.”</w:t>
      </w:r>
    </w:p>
    <w:p w14:paraId="6A8E1285" w14:textId="7EC5EADE" w:rsidR="00B3134E" w:rsidRPr="00685F3A" w:rsidRDefault="00B3134E" w:rsidP="005E7405">
      <w:pPr>
        <w:jc w:val="right"/>
        <w:rPr>
          <w:rFonts w:cstheme="minorHAnsi"/>
          <w:sz w:val="24"/>
          <w:szCs w:val="24"/>
        </w:rPr>
      </w:pPr>
      <w:r w:rsidRPr="00685F3A">
        <w:rPr>
          <w:rFonts w:cstheme="minorHAnsi"/>
          <w:sz w:val="24"/>
          <w:szCs w:val="24"/>
        </w:rPr>
        <w:t>(The Coca-Cola Company, 2023</w:t>
      </w:r>
      <w:r w:rsidR="00CB1C57">
        <w:rPr>
          <w:rFonts w:cstheme="minorHAnsi"/>
          <w:sz w:val="24"/>
          <w:szCs w:val="24"/>
        </w:rPr>
        <w:t>a</w:t>
      </w:r>
      <w:r w:rsidRPr="00685F3A">
        <w:rPr>
          <w:rFonts w:cstheme="minorHAnsi"/>
          <w:sz w:val="24"/>
          <w:szCs w:val="24"/>
        </w:rPr>
        <w:t>)</w:t>
      </w:r>
    </w:p>
    <w:p w14:paraId="0DCD5672" w14:textId="3DD09CAE" w:rsidR="00B3134E" w:rsidRPr="00685F3A" w:rsidRDefault="00B3134E" w:rsidP="00B37E39">
      <w:pPr>
        <w:pStyle w:val="Heading3"/>
        <w:jc w:val="both"/>
        <w:rPr>
          <w:rFonts w:asciiTheme="minorHAnsi" w:hAnsiTheme="minorHAnsi" w:cstheme="minorHAnsi"/>
          <w:i/>
          <w:iCs/>
        </w:rPr>
      </w:pPr>
      <w:bookmarkStart w:id="3" w:name="_Toc139411104"/>
      <w:r w:rsidRPr="00685F3A">
        <w:rPr>
          <w:rFonts w:asciiTheme="minorHAnsi" w:hAnsiTheme="minorHAnsi" w:cstheme="minorHAnsi"/>
        </w:rPr>
        <w:t xml:space="preserve">2.1.1 </w:t>
      </w:r>
      <w:r w:rsidRPr="00685F3A">
        <w:rPr>
          <w:rFonts w:asciiTheme="minorHAnsi" w:hAnsiTheme="minorHAnsi" w:cstheme="minorHAnsi"/>
          <w:i/>
          <w:iCs/>
        </w:rPr>
        <w:t xml:space="preserve">Historical development of the organisation concentrating on its strategic </w:t>
      </w:r>
      <w:r w:rsidR="00FB6DC1" w:rsidRPr="00685F3A">
        <w:rPr>
          <w:rFonts w:asciiTheme="minorHAnsi" w:hAnsiTheme="minorHAnsi" w:cstheme="minorHAnsi"/>
          <w:i/>
          <w:iCs/>
        </w:rPr>
        <w:t>development.</w:t>
      </w:r>
      <w:bookmarkEnd w:id="3"/>
    </w:p>
    <w:p w14:paraId="0E9E0718" w14:textId="6E39697F" w:rsidR="007D1560" w:rsidRPr="00685F3A" w:rsidRDefault="007D1560" w:rsidP="00B00840">
      <w:pPr>
        <w:ind w:firstLine="720"/>
        <w:jc w:val="both"/>
        <w:rPr>
          <w:rFonts w:cstheme="minorHAnsi"/>
          <w:sz w:val="24"/>
          <w:szCs w:val="24"/>
        </w:rPr>
      </w:pPr>
      <w:r w:rsidRPr="00685F3A">
        <w:rPr>
          <w:rFonts w:cstheme="minorHAnsi"/>
          <w:sz w:val="24"/>
          <w:szCs w:val="24"/>
        </w:rPr>
        <w:t xml:space="preserve">Alonso (2023) states that in 1886, Dr. John Pemberton, a chemist from Atlanta, Georgia, created the Coca-Cola drink. The recipe and the Coca-Cola Company were acquired by Asa Griggs Candler in 1892. The brand quickly became popular and gained nationwide distribution across the United States. In the early 1900s, Coca-Cola experienced rapid </w:t>
      </w:r>
      <w:r w:rsidRPr="00685F3A">
        <w:rPr>
          <w:rFonts w:cstheme="minorHAnsi"/>
          <w:sz w:val="24"/>
          <w:szCs w:val="24"/>
        </w:rPr>
        <w:lastRenderedPageBreak/>
        <w:t xml:space="preserve">expansion on a global scale. This global growth can be attributed to the unique franchise distribution model known as the Coca-Cola System, which has been in operation since 1889. Therefore, in 1919, the company was </w:t>
      </w:r>
      <w:r w:rsidR="00235330" w:rsidRPr="00685F3A">
        <w:rPr>
          <w:rFonts w:cstheme="minorHAnsi"/>
          <w:sz w:val="24"/>
          <w:szCs w:val="24"/>
        </w:rPr>
        <w:t>sold</w:t>
      </w:r>
      <w:r w:rsidRPr="00685F3A">
        <w:rPr>
          <w:rFonts w:cstheme="minorHAnsi"/>
          <w:sz w:val="24"/>
          <w:szCs w:val="24"/>
        </w:rPr>
        <w:t xml:space="preserve"> </w:t>
      </w:r>
      <w:r w:rsidR="00235330" w:rsidRPr="00685F3A">
        <w:rPr>
          <w:rFonts w:cstheme="minorHAnsi"/>
          <w:sz w:val="24"/>
          <w:szCs w:val="24"/>
        </w:rPr>
        <w:t>to</w:t>
      </w:r>
      <w:r w:rsidRPr="00685F3A">
        <w:rPr>
          <w:rFonts w:cstheme="minorHAnsi"/>
          <w:sz w:val="24"/>
          <w:szCs w:val="24"/>
        </w:rPr>
        <w:t xml:space="preserve"> Ernest Woodruff, and under the management of Woodruff's sons, it evolved into a prominent global brand. However, it is important to note that the Coca-Cola Company is a publicly traded company, which means it has multiple owners and shareholders.</w:t>
      </w:r>
    </w:p>
    <w:p w14:paraId="5F82E0A2" w14:textId="4F00C8B7" w:rsidR="007D1560" w:rsidRPr="00685F3A" w:rsidRDefault="007D1560" w:rsidP="003F1F31">
      <w:pPr>
        <w:ind w:firstLine="720"/>
        <w:jc w:val="both"/>
        <w:rPr>
          <w:rFonts w:cstheme="minorHAnsi"/>
          <w:sz w:val="24"/>
          <w:szCs w:val="24"/>
        </w:rPr>
      </w:pPr>
      <w:r w:rsidRPr="00685F3A">
        <w:rPr>
          <w:rFonts w:cstheme="minorHAnsi"/>
          <w:sz w:val="24"/>
          <w:szCs w:val="24"/>
        </w:rPr>
        <w:t>In addition, Ciafone (2019) suggests that Coca-Cola's core business revolves around the creation and management of symbolic systems of production, specifically the construction of brands through textual representations that distinguish its physical products. This immaterial foundation forms the basis for the rest of the company's operations. According to Ciafone (2019), the Coca-Cola Company's primary focus is on establishing and supporting the system of bottling production. Consequently, the company is not primarily engaged in the direct sale of soft drinks, but rather in the franchising of bottling operations. The company sells the rights to produce Coca-Cola beverages to bottlers who are engaged in the actual production process</w:t>
      </w:r>
      <w:r w:rsidR="00813F2D" w:rsidRPr="00685F3A">
        <w:rPr>
          <w:rFonts w:cstheme="minorHAnsi"/>
          <w:sz w:val="24"/>
          <w:szCs w:val="24"/>
        </w:rPr>
        <w:t xml:space="preserve">. </w:t>
      </w:r>
    </w:p>
    <w:p w14:paraId="3AF09A8B" w14:textId="1F61696D" w:rsidR="007D1560" w:rsidRPr="00685F3A" w:rsidRDefault="007D1560" w:rsidP="005B63D9">
      <w:pPr>
        <w:ind w:firstLine="720"/>
        <w:jc w:val="both"/>
        <w:rPr>
          <w:rFonts w:cstheme="minorHAnsi"/>
          <w:sz w:val="24"/>
          <w:szCs w:val="24"/>
        </w:rPr>
      </w:pPr>
      <w:r w:rsidRPr="00685F3A">
        <w:rPr>
          <w:rFonts w:cstheme="minorHAnsi"/>
          <w:sz w:val="24"/>
          <w:szCs w:val="24"/>
        </w:rPr>
        <w:t xml:space="preserve">According to the research (Cuofano, 2023) the Coca-Cola Company operates with Strategic Business Units (SBU) as a means of organising and managing its diverse product portfolio. SBUs are individual business units within the company that are responsible for specific brands or product categories. Each SBU may have its own marketing strategies, product development, and financial targets, allowing for more focused management and decision-making. Examples of SBUs within Coca-Cola include </w:t>
      </w:r>
      <w:r w:rsidR="005B63D9" w:rsidRPr="00685F3A">
        <w:rPr>
          <w:rFonts w:cstheme="minorHAnsi"/>
          <w:sz w:val="24"/>
          <w:szCs w:val="24"/>
        </w:rPr>
        <w:t xml:space="preserve">Coca-Cola FEMSA, serving Latin America, Coca-Cola Europacific Partners plc (CCEP), serving Western Europe, Australia, Pacific and Indonesia, Coca-Cola HBC AG (Coca-Cola Hellenic), serving Eastern Europe, Arca Continental, serving Latin America and parts of North America, Swire Beverages, serving Asia and parts of North America. </w:t>
      </w:r>
      <w:r w:rsidR="00572C47" w:rsidRPr="00685F3A">
        <w:rPr>
          <w:rFonts w:cstheme="minorHAnsi"/>
          <w:sz w:val="24"/>
          <w:szCs w:val="24"/>
        </w:rPr>
        <w:t>Bottling Investments Group (BIG),</w:t>
      </w:r>
      <w:r w:rsidR="000E1B78">
        <w:rPr>
          <w:rFonts w:cstheme="minorHAnsi"/>
          <w:sz w:val="24"/>
          <w:szCs w:val="24"/>
        </w:rPr>
        <w:t xml:space="preserve"> and</w:t>
      </w:r>
      <w:r w:rsidR="0049016A" w:rsidRPr="00685F3A">
        <w:rPr>
          <w:rFonts w:cstheme="minorHAnsi"/>
          <w:sz w:val="24"/>
          <w:szCs w:val="24"/>
        </w:rPr>
        <w:t xml:space="preserve"> Global Ventures (GV). </w:t>
      </w:r>
    </w:p>
    <w:p w14:paraId="3B658B5B" w14:textId="3576F710" w:rsidR="007D1560" w:rsidRPr="00685F3A" w:rsidRDefault="007D1560" w:rsidP="00CB3490">
      <w:pPr>
        <w:ind w:firstLine="720"/>
        <w:jc w:val="both"/>
        <w:rPr>
          <w:rFonts w:cstheme="minorHAnsi"/>
          <w:sz w:val="24"/>
          <w:szCs w:val="24"/>
        </w:rPr>
      </w:pPr>
      <w:r w:rsidRPr="00685F3A">
        <w:rPr>
          <w:rFonts w:cstheme="minorHAnsi"/>
          <w:sz w:val="24"/>
          <w:szCs w:val="24"/>
        </w:rPr>
        <w:t xml:space="preserve">Alonso (2023) states that Coca-Cola System, comprises a vast network of more than 900 bottling facilities that are responsible for the production of an estimated 2 billion servings of Coca-Cola daily. However, Alonso(2023) states that Coca-Cola Bottling Co. Consolidated is authorised to sell 38 Coca-Cola products in 14 states and the District of Columbia. Still, Coca-Cola Bottling also offers </w:t>
      </w:r>
      <w:r w:rsidR="00C26DF9" w:rsidRPr="00685F3A">
        <w:rPr>
          <w:rFonts w:cstheme="minorHAnsi"/>
          <w:sz w:val="24"/>
          <w:szCs w:val="24"/>
        </w:rPr>
        <w:t>a</w:t>
      </w:r>
      <w:r w:rsidRPr="00685F3A">
        <w:rPr>
          <w:rFonts w:cstheme="minorHAnsi"/>
          <w:sz w:val="24"/>
          <w:szCs w:val="24"/>
        </w:rPr>
        <w:t xml:space="preserve"> dozen non-Coca-Cola beverages, such as Dr. Pepper, Dunkin' Donuts coffee, and Monster energy drinks. Hence, the agreement between The Coca-Cola Company(KO) and Coca-Cola Bottling Co. Consolidated (COKE) is outlined in contractual agreements. Each contract details the authorized range of Coca-Cola products that the bottler can offer for sale, the permitted locations for sales, and various additional factors aimed at streamlining the distribution of Coca-Cola products this diminishes the necessity for competition among multiple enterprises offering identical products.</w:t>
      </w:r>
    </w:p>
    <w:p w14:paraId="419FF920" w14:textId="77777777" w:rsidR="007D1560" w:rsidRPr="00685F3A" w:rsidRDefault="007D1560" w:rsidP="00CB3490">
      <w:pPr>
        <w:ind w:firstLine="720"/>
        <w:jc w:val="both"/>
        <w:rPr>
          <w:rFonts w:cstheme="minorHAnsi"/>
          <w:sz w:val="24"/>
          <w:szCs w:val="24"/>
        </w:rPr>
      </w:pPr>
      <w:r w:rsidRPr="00685F3A">
        <w:rPr>
          <w:rFonts w:cstheme="minorHAnsi"/>
          <w:sz w:val="24"/>
          <w:szCs w:val="24"/>
        </w:rPr>
        <w:t xml:space="preserve">On the other hand, Jacobs(2020) states that the COKE company face a significant disadvantage in the agreement, as they are responsible for acquiring and maintaining the manufacturing and distribution equipment, all while having to allocate a significant portion of their earnings to The Coca-Cola Company. For example, in 2019 the COKE company brought in $4.8 billion in revenue, however, $1.3 billion of that went to the KO company for the concentrate syrup, marketing programs, and drink equipment. Jacobs(2023) states that despite the challenging nature of the arrangement, the Coca-Cola bottlers persist in maintaining this relationship with The Coca-Cola Company simply because they have very limited alternatives. Due to the immense strength of consumer brands in the beverage and food industries, attempting to establish their own soft drink line would likely prove vain for </w:t>
      </w:r>
      <w:r w:rsidRPr="00685F3A">
        <w:rPr>
          <w:rFonts w:cstheme="minorHAnsi"/>
          <w:sz w:val="24"/>
          <w:szCs w:val="24"/>
        </w:rPr>
        <w:lastRenderedPageBreak/>
        <w:t>the bottlers, even if they possessed all the necessary ingredients, manufacturing equipment, and distribution channels.</w:t>
      </w:r>
    </w:p>
    <w:p w14:paraId="0CC035B4" w14:textId="42D898F1" w:rsidR="007D1560" w:rsidRPr="00685F3A" w:rsidRDefault="007D1560" w:rsidP="00B37E39">
      <w:pPr>
        <w:pStyle w:val="Heading3"/>
        <w:jc w:val="both"/>
        <w:rPr>
          <w:rFonts w:asciiTheme="minorHAnsi" w:hAnsiTheme="minorHAnsi" w:cstheme="minorHAnsi"/>
          <w:i/>
          <w:iCs/>
        </w:rPr>
      </w:pPr>
      <w:bookmarkStart w:id="4" w:name="_Toc139411105"/>
      <w:r w:rsidRPr="00685F3A">
        <w:rPr>
          <w:rFonts w:asciiTheme="minorHAnsi" w:hAnsiTheme="minorHAnsi" w:cstheme="minorHAnsi"/>
        </w:rPr>
        <w:t xml:space="preserve">2.1.2 </w:t>
      </w:r>
      <w:r w:rsidRPr="00685F3A">
        <w:rPr>
          <w:rFonts w:asciiTheme="minorHAnsi" w:hAnsiTheme="minorHAnsi" w:cstheme="minorHAnsi"/>
          <w:i/>
          <w:iCs/>
        </w:rPr>
        <w:t>Profit, Loss and Current Market Share, Stakeholders</w:t>
      </w:r>
      <w:bookmarkEnd w:id="4"/>
    </w:p>
    <w:p w14:paraId="64F33B0B" w14:textId="7D24CBD3" w:rsidR="000708CD" w:rsidRDefault="007D1560" w:rsidP="00B37E39">
      <w:pPr>
        <w:jc w:val="both"/>
        <w:rPr>
          <w:rFonts w:cstheme="minorHAnsi"/>
          <w:sz w:val="24"/>
          <w:szCs w:val="24"/>
        </w:rPr>
      </w:pPr>
      <w:r w:rsidRPr="00685F3A">
        <w:rPr>
          <w:rFonts w:cstheme="minorHAnsi"/>
          <w:sz w:val="24"/>
          <w:szCs w:val="24"/>
        </w:rPr>
        <w:t>According to The Business Show (2022) in the past year, the Coca-Cola bottling business for the United Kingdom and Europe has nearly doubled its profits, thanks to the reopening of hospitality and acquisitions. The profits of Coca-Cola Euro pacific Partners (CCEP) increased by 98.5% to £828.5 million in 2021, compared to the previous year.</w:t>
      </w:r>
      <w:r w:rsidR="006E6A82" w:rsidRPr="006E6A82">
        <w:t xml:space="preserve"> </w:t>
      </w:r>
      <w:r w:rsidR="006E6A82" w:rsidRPr="006E6A82">
        <w:rPr>
          <w:rFonts w:cstheme="minorHAnsi"/>
          <w:sz w:val="24"/>
          <w:szCs w:val="24"/>
        </w:rPr>
        <w:t>Additionally, as stated in The Coca-Cola Company's report in 2022, the gross profit for the year reached a significant milestone. Over the course of the full year, net revenues experienced a notable 11% increase, amounting to $43.0 billion, while organic revenues (non-GAAP) saw an impressive growth of 16%. This positive performance was primarily attributed to an 11% rise in price/mix and a 5% increase in concentrate sales.</w:t>
      </w:r>
    </w:p>
    <w:p w14:paraId="0E946CF5" w14:textId="7E5A3D3C" w:rsidR="007D1560" w:rsidRPr="00685F3A" w:rsidRDefault="007D1560" w:rsidP="003F1F31">
      <w:pPr>
        <w:pStyle w:val="Heading3"/>
        <w:spacing w:before="0"/>
        <w:jc w:val="both"/>
        <w:rPr>
          <w:rFonts w:asciiTheme="minorHAnsi" w:hAnsiTheme="minorHAnsi" w:cstheme="minorHAnsi"/>
        </w:rPr>
      </w:pPr>
      <w:bookmarkStart w:id="5" w:name="_Toc139411106"/>
      <w:r w:rsidRPr="00685F3A">
        <w:rPr>
          <w:rFonts w:asciiTheme="minorHAnsi" w:hAnsiTheme="minorHAnsi" w:cstheme="minorHAnsi"/>
        </w:rPr>
        <w:t xml:space="preserve">2.1.3 </w:t>
      </w:r>
      <w:r w:rsidRPr="00685F3A">
        <w:rPr>
          <w:rFonts w:asciiTheme="minorHAnsi" w:hAnsiTheme="minorHAnsi" w:cstheme="minorHAnsi"/>
          <w:i/>
          <w:iCs/>
        </w:rPr>
        <w:t>The major stakeholders</w:t>
      </w:r>
      <w:bookmarkEnd w:id="5"/>
    </w:p>
    <w:p w14:paraId="4E40F448" w14:textId="5B32B6FF" w:rsidR="00331B67" w:rsidRPr="00685F3A" w:rsidRDefault="007D1560" w:rsidP="003F1F31">
      <w:pPr>
        <w:spacing w:after="0"/>
        <w:jc w:val="both"/>
        <w:rPr>
          <w:rFonts w:cstheme="minorHAnsi"/>
          <w:sz w:val="24"/>
          <w:szCs w:val="24"/>
        </w:rPr>
      </w:pPr>
      <w:r w:rsidRPr="00685F3A">
        <w:rPr>
          <w:rFonts w:cstheme="minorHAnsi"/>
          <w:sz w:val="24"/>
          <w:szCs w:val="24"/>
        </w:rPr>
        <w:t xml:space="preserve">As stated by Ciafone (2019), the largest shareholder is Warren Buffett, according to various interviews on (CNBC, 2023), Buffett views Coca-Cola as a sound investment that aligns with his investment strategy. Buffett initially invested $1 billion in Coca-Cola stock in 1988 and continued to invest thereafter. Buffett considers Coca-Cola a solid investment due to its exceptional competitive advantage in the market, being the most recognisable brand worldwide, and having a vast global production and distribution </w:t>
      </w:r>
      <w:r w:rsidR="00E67D98" w:rsidRPr="00685F3A">
        <w:rPr>
          <w:rFonts w:cstheme="minorHAnsi"/>
          <w:sz w:val="24"/>
          <w:szCs w:val="24"/>
        </w:rPr>
        <w:t>system. Furthermore</w:t>
      </w:r>
      <w:r w:rsidR="00DC4E3C" w:rsidRPr="00685F3A">
        <w:rPr>
          <w:rFonts w:cstheme="minorHAnsi"/>
          <w:sz w:val="24"/>
          <w:szCs w:val="24"/>
        </w:rPr>
        <w:t xml:space="preserve"> Cuofano</w:t>
      </w:r>
      <w:r w:rsidR="00B87EE7" w:rsidRPr="00685F3A">
        <w:rPr>
          <w:rFonts w:cstheme="minorHAnsi"/>
          <w:sz w:val="24"/>
          <w:szCs w:val="24"/>
        </w:rPr>
        <w:t xml:space="preserve">(2023) states that The Vanguard Group have 7.9% of Coca-Cola shares and BlackRock </w:t>
      </w:r>
      <w:r w:rsidR="0070381A" w:rsidRPr="00685F3A">
        <w:rPr>
          <w:rFonts w:cstheme="minorHAnsi"/>
          <w:sz w:val="24"/>
          <w:szCs w:val="24"/>
        </w:rPr>
        <w:t>6.45% of the company’s shares</w:t>
      </w:r>
      <w:r w:rsidR="005477DB" w:rsidRPr="00685F3A">
        <w:rPr>
          <w:rFonts w:cstheme="minorHAnsi"/>
          <w:sz w:val="24"/>
          <w:szCs w:val="24"/>
        </w:rPr>
        <w:t>, these three are the major stakeholders of the company</w:t>
      </w:r>
      <w:r w:rsidR="0070381A" w:rsidRPr="00685F3A">
        <w:rPr>
          <w:rFonts w:cstheme="minorHAnsi"/>
          <w:sz w:val="24"/>
          <w:szCs w:val="24"/>
        </w:rPr>
        <w:t xml:space="preserve">. </w:t>
      </w:r>
      <w:r w:rsidR="00E67D98" w:rsidRPr="00685F3A">
        <w:rPr>
          <w:rFonts w:cstheme="minorHAnsi"/>
          <w:sz w:val="24"/>
          <w:szCs w:val="24"/>
        </w:rPr>
        <w:t>Accordingly,</w:t>
      </w:r>
      <w:r w:rsidR="00E63B15" w:rsidRPr="00685F3A">
        <w:rPr>
          <w:rFonts w:cstheme="minorHAnsi"/>
          <w:sz w:val="24"/>
          <w:szCs w:val="24"/>
        </w:rPr>
        <w:t xml:space="preserve"> Cuofano(2023) there are individual investors too,</w:t>
      </w:r>
      <w:r w:rsidR="00F441AA" w:rsidRPr="00685F3A">
        <w:rPr>
          <w:rFonts w:cstheme="minorHAnsi"/>
          <w:sz w:val="24"/>
          <w:szCs w:val="24"/>
        </w:rPr>
        <w:t xml:space="preserve"> the major individual stakeholders are</w:t>
      </w:r>
      <w:r w:rsidR="00E63B15" w:rsidRPr="00685F3A">
        <w:rPr>
          <w:rFonts w:cstheme="minorHAnsi"/>
          <w:sz w:val="24"/>
          <w:szCs w:val="24"/>
        </w:rPr>
        <w:t xml:space="preserve"> </w:t>
      </w:r>
      <w:r w:rsidR="00F441AA" w:rsidRPr="00685F3A">
        <w:rPr>
          <w:rFonts w:cstheme="minorHAnsi"/>
          <w:sz w:val="24"/>
          <w:szCs w:val="24"/>
        </w:rPr>
        <w:t>the</w:t>
      </w:r>
      <w:r w:rsidR="00A21D73" w:rsidRPr="00685F3A">
        <w:rPr>
          <w:rFonts w:cstheme="minorHAnsi"/>
          <w:sz w:val="24"/>
          <w:szCs w:val="24"/>
        </w:rPr>
        <w:t xml:space="preserve"> director of Coca-Cola Company(KO) </w:t>
      </w:r>
      <w:r w:rsidR="00E67D98" w:rsidRPr="00685F3A">
        <w:rPr>
          <w:rFonts w:cstheme="minorHAnsi"/>
          <w:sz w:val="24"/>
          <w:szCs w:val="24"/>
        </w:rPr>
        <w:t>since</w:t>
      </w:r>
      <w:r w:rsidR="00A21D73" w:rsidRPr="00685F3A">
        <w:rPr>
          <w:rFonts w:cstheme="minorHAnsi"/>
          <w:sz w:val="24"/>
          <w:szCs w:val="24"/>
        </w:rPr>
        <w:t xml:space="preserve"> 1982, </w:t>
      </w:r>
      <w:r w:rsidR="00256156" w:rsidRPr="00685F3A">
        <w:rPr>
          <w:rFonts w:cstheme="minorHAnsi"/>
          <w:sz w:val="24"/>
          <w:szCs w:val="24"/>
        </w:rPr>
        <w:t>and the chairman Barry Diller</w:t>
      </w:r>
      <w:r w:rsidR="00F441AA" w:rsidRPr="00685F3A">
        <w:rPr>
          <w:rFonts w:cstheme="minorHAnsi"/>
          <w:sz w:val="24"/>
          <w:szCs w:val="24"/>
        </w:rPr>
        <w:t>.</w:t>
      </w:r>
      <w:r w:rsidR="00F34498" w:rsidRPr="00685F3A">
        <w:rPr>
          <w:rFonts w:cstheme="minorHAnsi"/>
          <w:sz w:val="24"/>
          <w:szCs w:val="24"/>
        </w:rPr>
        <w:t xml:space="preserve"> </w:t>
      </w:r>
      <w:r w:rsidR="00BB6EF3" w:rsidRPr="00685F3A">
        <w:rPr>
          <w:rFonts w:cstheme="minorHAnsi"/>
          <w:sz w:val="24"/>
          <w:szCs w:val="24"/>
        </w:rPr>
        <w:t>On the other hand</w:t>
      </w:r>
      <w:r w:rsidR="009767C9" w:rsidRPr="00685F3A">
        <w:rPr>
          <w:rFonts w:cstheme="minorHAnsi"/>
          <w:sz w:val="24"/>
          <w:szCs w:val="24"/>
        </w:rPr>
        <w:t>, Brondoni (2020)</w:t>
      </w:r>
      <w:r w:rsidR="00A53E11" w:rsidRPr="00685F3A">
        <w:rPr>
          <w:rFonts w:cstheme="minorHAnsi"/>
          <w:sz w:val="24"/>
          <w:szCs w:val="24"/>
        </w:rPr>
        <w:t xml:space="preserve"> </w:t>
      </w:r>
      <w:r w:rsidR="009767C9" w:rsidRPr="00685F3A">
        <w:rPr>
          <w:rFonts w:cstheme="minorHAnsi"/>
          <w:sz w:val="24"/>
          <w:szCs w:val="24"/>
        </w:rPr>
        <w:t>states, i</w:t>
      </w:r>
      <w:r w:rsidR="00331B67" w:rsidRPr="00685F3A">
        <w:rPr>
          <w:rFonts w:cstheme="minorHAnsi"/>
          <w:sz w:val="24"/>
          <w:szCs w:val="24"/>
        </w:rPr>
        <w:t xml:space="preserve">nsiders, including directors and top management, hold a collective ownership stake of 0.77 percent in Coca-Cola. While this percentage may seem </w:t>
      </w:r>
      <w:r w:rsidR="0053596C" w:rsidRPr="00685F3A">
        <w:rPr>
          <w:rFonts w:cstheme="minorHAnsi"/>
          <w:sz w:val="24"/>
          <w:szCs w:val="24"/>
        </w:rPr>
        <w:t>small</w:t>
      </w:r>
      <w:r w:rsidR="00331B67" w:rsidRPr="00685F3A">
        <w:rPr>
          <w:rFonts w:cstheme="minorHAnsi"/>
          <w:sz w:val="24"/>
          <w:szCs w:val="24"/>
        </w:rPr>
        <w:t>, it is the board of directors, led by the chairman and CEO, who holds decision-making authority within the company. Collaborating with managers from various regions and departments, the board of directors plays a crucial role in shaping the strategic direction of the Coca-Cola Company.</w:t>
      </w:r>
      <w:r w:rsidR="00F23504" w:rsidRPr="00685F3A">
        <w:rPr>
          <w:rFonts w:cstheme="minorHAnsi"/>
          <w:sz w:val="24"/>
          <w:szCs w:val="24"/>
        </w:rPr>
        <w:t xml:space="preserve"> </w:t>
      </w:r>
    </w:p>
    <w:p w14:paraId="351331B5" w14:textId="28458327" w:rsidR="00DD6FD3" w:rsidRPr="00685F3A" w:rsidRDefault="00DE0E81" w:rsidP="00CB76D7">
      <w:pPr>
        <w:ind w:firstLine="720"/>
        <w:jc w:val="both"/>
        <w:rPr>
          <w:rFonts w:cstheme="minorHAnsi"/>
          <w:sz w:val="24"/>
          <w:szCs w:val="24"/>
        </w:rPr>
      </w:pPr>
      <w:r w:rsidRPr="00685F3A">
        <w:rPr>
          <w:rFonts w:cstheme="minorHAnsi"/>
          <w:sz w:val="24"/>
          <w:szCs w:val="24"/>
        </w:rPr>
        <w:t>Hitt et al. (</w:t>
      </w:r>
      <w:r w:rsidR="00A15815" w:rsidRPr="00685F3A">
        <w:rPr>
          <w:rFonts w:cstheme="minorHAnsi"/>
          <w:sz w:val="24"/>
          <w:szCs w:val="24"/>
        </w:rPr>
        <w:t>2019</w:t>
      </w:r>
      <w:r w:rsidRPr="00685F3A">
        <w:rPr>
          <w:rFonts w:cstheme="minorHAnsi"/>
          <w:sz w:val="24"/>
          <w:szCs w:val="24"/>
        </w:rPr>
        <w:t>) asserts that organizations that actively involve stakeholders in their operations have a greater probability of achieving superior performance compared to those that do not engage stakeholders. Additionally</w:t>
      </w:r>
      <w:r w:rsidR="0016757B" w:rsidRPr="00685F3A">
        <w:rPr>
          <w:rFonts w:cstheme="minorHAnsi"/>
          <w:sz w:val="24"/>
          <w:szCs w:val="24"/>
        </w:rPr>
        <w:t>, Hitt et al. (</w:t>
      </w:r>
      <w:r w:rsidR="00A15815" w:rsidRPr="00685F3A">
        <w:rPr>
          <w:rFonts w:cstheme="minorHAnsi"/>
          <w:sz w:val="24"/>
          <w:szCs w:val="24"/>
        </w:rPr>
        <w:t>2019)</w:t>
      </w:r>
      <w:r w:rsidR="0016757B" w:rsidRPr="00685F3A">
        <w:rPr>
          <w:rFonts w:cstheme="minorHAnsi"/>
          <w:sz w:val="24"/>
          <w:szCs w:val="24"/>
        </w:rPr>
        <w:t xml:space="preserve"> argue that vision serves as the foundation for a firm's mission. While a mission specifies the firm's intended business areas and target customers in a more concrete manner, it should also be inspiring and relevant to all stakeholders, just like the vision. Hitt et al. (</w:t>
      </w:r>
      <w:r w:rsidR="00A15815" w:rsidRPr="00685F3A">
        <w:rPr>
          <w:rFonts w:cstheme="minorHAnsi"/>
          <w:sz w:val="24"/>
          <w:szCs w:val="24"/>
        </w:rPr>
        <w:t>2019</w:t>
      </w:r>
      <w:r w:rsidR="0016757B" w:rsidRPr="00685F3A">
        <w:rPr>
          <w:rFonts w:cstheme="minorHAnsi"/>
          <w:sz w:val="24"/>
          <w:szCs w:val="24"/>
        </w:rPr>
        <w:t>) proposes categorising stakeholders into three groups: capital market stakeholders (shareholders and major capital suppliers), product market stakeholders (primary customers, suppliers, host communities, and unions), and organizational stakeholders (employees, both non-managerial and managerial personnel). These critics, including Ciafone (2019), Hit et al. (2020), and Cuofano (2023), suggest that each stakeholder category has different objectives and should be given varying levels of attention. For instance, shareholders, who invest money in the company, expect a positive return on their investments.</w:t>
      </w:r>
      <w:r w:rsidR="00316F9D">
        <w:rPr>
          <w:rFonts w:cstheme="minorHAnsi"/>
          <w:sz w:val="24"/>
          <w:szCs w:val="24"/>
        </w:rPr>
        <w:t xml:space="preserve"> </w:t>
      </w:r>
    </w:p>
    <w:p w14:paraId="7CE1F83B" w14:textId="0F6D02E0" w:rsidR="007D1560" w:rsidRPr="00685F3A" w:rsidRDefault="007D1560" w:rsidP="00B37E39">
      <w:pPr>
        <w:pStyle w:val="Heading2"/>
        <w:jc w:val="both"/>
        <w:rPr>
          <w:rFonts w:asciiTheme="minorHAnsi" w:hAnsiTheme="minorHAnsi" w:cstheme="minorHAnsi"/>
          <w:sz w:val="24"/>
          <w:szCs w:val="24"/>
        </w:rPr>
      </w:pPr>
      <w:bookmarkStart w:id="6" w:name="_Toc139411107"/>
      <w:r w:rsidRPr="00685F3A">
        <w:rPr>
          <w:rFonts w:asciiTheme="minorHAnsi" w:hAnsiTheme="minorHAnsi" w:cstheme="minorHAnsi"/>
          <w:sz w:val="24"/>
          <w:szCs w:val="24"/>
        </w:rPr>
        <w:t xml:space="preserve">2.2 </w:t>
      </w:r>
      <w:r w:rsidRPr="00685F3A">
        <w:rPr>
          <w:rFonts w:asciiTheme="minorHAnsi" w:hAnsiTheme="minorHAnsi" w:cstheme="minorHAnsi"/>
          <w:i/>
          <w:iCs/>
          <w:sz w:val="24"/>
          <w:szCs w:val="24"/>
        </w:rPr>
        <w:t>SWOT Analysis</w:t>
      </w:r>
      <w:bookmarkEnd w:id="6"/>
    </w:p>
    <w:p w14:paraId="4C8B8C1A" w14:textId="4ADC3D6B" w:rsidR="007D1560" w:rsidRPr="00685F3A" w:rsidRDefault="007D1560" w:rsidP="00B37E39">
      <w:pPr>
        <w:jc w:val="both"/>
        <w:rPr>
          <w:rFonts w:cstheme="minorHAnsi"/>
          <w:sz w:val="24"/>
          <w:szCs w:val="24"/>
        </w:rPr>
      </w:pPr>
      <w:r w:rsidRPr="00685F3A">
        <w:rPr>
          <w:rFonts w:cstheme="minorHAnsi"/>
          <w:sz w:val="24"/>
          <w:szCs w:val="24"/>
        </w:rPr>
        <w:t xml:space="preserve">Based on information gained from SWOT analysis, Coca-Cola Enterprises have strong bottling and distribution system, where profits of 56% of the company's revenue came from concentrate operations and 42% came from bottling partners. Furthermore, another strength </w:t>
      </w:r>
      <w:r w:rsidRPr="00685F3A">
        <w:rPr>
          <w:rFonts w:cstheme="minorHAnsi"/>
          <w:sz w:val="24"/>
          <w:szCs w:val="24"/>
        </w:rPr>
        <w:lastRenderedPageBreak/>
        <w:t>is that they have a wide range brand portfolio, the company sells numerous non-alcoholic drinks, such as: Powerade, Minute Maid, Gold Peak Iced Tea, and multiple bottled water brands. The most famous dinks sold are Coca-Cola</w:t>
      </w:r>
      <w:r w:rsidR="00A620F5" w:rsidRPr="00685F3A">
        <w:rPr>
          <w:rFonts w:cstheme="minorHAnsi"/>
          <w:sz w:val="24"/>
          <w:szCs w:val="24"/>
        </w:rPr>
        <w:t xml:space="preserve"> and Coca-Cola Zero sugar, </w:t>
      </w:r>
      <w:r w:rsidRPr="00685F3A">
        <w:rPr>
          <w:rFonts w:cstheme="minorHAnsi"/>
          <w:sz w:val="24"/>
          <w:szCs w:val="24"/>
        </w:rPr>
        <w:t xml:space="preserve">Diet Coke, Fanta and Sprite. </w:t>
      </w:r>
    </w:p>
    <w:p w14:paraId="3AE74220" w14:textId="0CF88604" w:rsidR="0057786D" w:rsidRDefault="007E3A83" w:rsidP="00CB76D7">
      <w:pPr>
        <w:ind w:firstLine="720"/>
        <w:jc w:val="both"/>
        <w:rPr>
          <w:rFonts w:cstheme="minorHAnsi"/>
          <w:sz w:val="24"/>
          <w:szCs w:val="24"/>
        </w:rPr>
      </w:pPr>
      <w:r w:rsidRPr="00685F3A">
        <w:rPr>
          <w:rFonts w:cstheme="minorHAnsi"/>
          <w:sz w:val="24"/>
          <w:szCs w:val="24"/>
        </w:rPr>
        <w:t xml:space="preserve">On the other hand, </w:t>
      </w:r>
      <w:r w:rsidR="00694A28" w:rsidRPr="00685F3A">
        <w:rPr>
          <w:rFonts w:cstheme="minorHAnsi"/>
          <w:sz w:val="24"/>
          <w:szCs w:val="24"/>
        </w:rPr>
        <w:t xml:space="preserve">health concern from FDA, as Coca-Cola contain </w:t>
      </w:r>
      <w:r w:rsidR="00F26D63" w:rsidRPr="00685F3A">
        <w:rPr>
          <w:rFonts w:cstheme="minorHAnsi"/>
          <w:sz w:val="24"/>
          <w:szCs w:val="24"/>
        </w:rPr>
        <w:t xml:space="preserve">a lot of sugar, which leads to </w:t>
      </w:r>
      <w:r w:rsidR="000F3FAB" w:rsidRPr="00685F3A">
        <w:rPr>
          <w:rFonts w:cstheme="minorHAnsi"/>
          <w:sz w:val="24"/>
          <w:szCs w:val="24"/>
        </w:rPr>
        <w:t>obesity</w:t>
      </w:r>
      <w:r w:rsidR="00F26D63" w:rsidRPr="00685F3A">
        <w:rPr>
          <w:rFonts w:cstheme="minorHAnsi"/>
          <w:sz w:val="24"/>
          <w:szCs w:val="24"/>
        </w:rPr>
        <w:t xml:space="preserve"> and other </w:t>
      </w:r>
      <w:r w:rsidR="000F3FAB" w:rsidRPr="00685F3A">
        <w:rPr>
          <w:rFonts w:cstheme="minorHAnsi"/>
          <w:sz w:val="24"/>
          <w:szCs w:val="24"/>
        </w:rPr>
        <w:t>illnesses</w:t>
      </w:r>
      <w:r w:rsidR="00F26D63" w:rsidRPr="00685F3A">
        <w:rPr>
          <w:rFonts w:cstheme="minorHAnsi"/>
          <w:sz w:val="24"/>
          <w:szCs w:val="24"/>
        </w:rPr>
        <w:t>.</w:t>
      </w:r>
      <w:r w:rsidR="0057786D">
        <w:rPr>
          <w:rFonts w:cstheme="minorHAnsi"/>
          <w:sz w:val="24"/>
          <w:szCs w:val="24"/>
        </w:rPr>
        <w:t xml:space="preserve"> However, Coca-Cola alr</w:t>
      </w:r>
      <w:r w:rsidR="00D43C70">
        <w:rPr>
          <w:rFonts w:cstheme="minorHAnsi"/>
          <w:sz w:val="24"/>
          <w:szCs w:val="24"/>
        </w:rPr>
        <w:t>eady took initiative and introduced low or no sugar beverage</w:t>
      </w:r>
      <w:r w:rsidR="006605D5">
        <w:rPr>
          <w:rFonts w:cstheme="minorHAnsi"/>
          <w:sz w:val="24"/>
          <w:szCs w:val="24"/>
        </w:rPr>
        <w:t>.</w:t>
      </w:r>
      <w:r w:rsidR="00D43C70">
        <w:rPr>
          <w:rFonts w:cstheme="minorHAnsi"/>
          <w:sz w:val="24"/>
          <w:szCs w:val="24"/>
        </w:rPr>
        <w:t xml:space="preserve"> </w:t>
      </w:r>
      <w:r w:rsidR="006605D5">
        <w:rPr>
          <w:rFonts w:cstheme="minorHAnsi"/>
          <w:sz w:val="24"/>
          <w:szCs w:val="24"/>
        </w:rPr>
        <w:t>Furthermore,</w:t>
      </w:r>
      <w:r w:rsidR="00D43C70">
        <w:rPr>
          <w:rFonts w:cstheme="minorHAnsi"/>
          <w:sz w:val="24"/>
          <w:szCs w:val="24"/>
        </w:rPr>
        <w:t xml:space="preserve"> according to The Coca-Cola Company(2023</w:t>
      </w:r>
      <w:r w:rsidR="006605D5">
        <w:rPr>
          <w:rFonts w:cstheme="minorHAnsi"/>
          <w:sz w:val="24"/>
          <w:szCs w:val="24"/>
        </w:rPr>
        <w:t>b</w:t>
      </w:r>
      <w:r w:rsidR="00D43C70">
        <w:rPr>
          <w:rFonts w:cstheme="minorHAnsi"/>
          <w:sz w:val="24"/>
          <w:szCs w:val="24"/>
        </w:rPr>
        <w:t>)</w:t>
      </w:r>
      <w:r w:rsidR="006605D5">
        <w:rPr>
          <w:rFonts w:cstheme="minorHAnsi"/>
          <w:sz w:val="24"/>
          <w:szCs w:val="24"/>
        </w:rPr>
        <w:t xml:space="preserve"> the company</w:t>
      </w:r>
      <w:r w:rsidR="00D43C70">
        <w:rPr>
          <w:rFonts w:cstheme="minorHAnsi"/>
          <w:sz w:val="24"/>
          <w:szCs w:val="24"/>
        </w:rPr>
        <w:t xml:space="preserve"> </w:t>
      </w:r>
      <w:r w:rsidR="006605D5">
        <w:rPr>
          <w:rFonts w:cstheme="minorHAnsi"/>
          <w:sz w:val="24"/>
          <w:szCs w:val="24"/>
        </w:rPr>
        <w:t xml:space="preserve">intends </w:t>
      </w:r>
      <w:r w:rsidR="00D43C70">
        <w:rPr>
          <w:rFonts w:cstheme="minorHAnsi"/>
          <w:sz w:val="24"/>
          <w:szCs w:val="24"/>
        </w:rPr>
        <w:t xml:space="preserve">to diversify its portfolio even more. </w:t>
      </w:r>
    </w:p>
    <w:p w14:paraId="052A914C" w14:textId="2E02C25D" w:rsidR="007D1560" w:rsidRPr="00685F3A" w:rsidRDefault="00F26D63" w:rsidP="008249F3">
      <w:pPr>
        <w:spacing w:after="0"/>
        <w:ind w:firstLine="720"/>
        <w:jc w:val="both"/>
        <w:rPr>
          <w:rFonts w:cstheme="minorHAnsi"/>
          <w:sz w:val="24"/>
          <w:szCs w:val="24"/>
        </w:rPr>
      </w:pPr>
      <w:r w:rsidRPr="00685F3A">
        <w:rPr>
          <w:rFonts w:cstheme="minorHAnsi"/>
          <w:sz w:val="24"/>
          <w:szCs w:val="24"/>
        </w:rPr>
        <w:t xml:space="preserve"> </w:t>
      </w:r>
      <w:r w:rsidR="0042703D" w:rsidRPr="00685F3A">
        <w:rPr>
          <w:rFonts w:cstheme="minorHAnsi"/>
          <w:sz w:val="24"/>
          <w:szCs w:val="24"/>
        </w:rPr>
        <w:t xml:space="preserve">Griffin (2021) emphasizes the significance of SWOT analysis as a crucial component of strategy formulation. It involves assessing an </w:t>
      </w:r>
      <w:r w:rsidR="008D4F3E" w:rsidRPr="00685F3A">
        <w:rPr>
          <w:rFonts w:cstheme="minorHAnsi"/>
          <w:sz w:val="24"/>
          <w:szCs w:val="24"/>
        </w:rPr>
        <w:t>organisation’s</w:t>
      </w:r>
      <w:r w:rsidR="0042703D" w:rsidRPr="00685F3A">
        <w:rPr>
          <w:rFonts w:cstheme="minorHAnsi"/>
          <w:sz w:val="24"/>
          <w:szCs w:val="24"/>
        </w:rPr>
        <w:t xml:space="preserve"> internal strengths and weaknesses, along with external opportunities and threats. The objective is to create effective strategies that capitalize on strengths and opportunities, mitigate threats, and address weaknesses. Please</w:t>
      </w:r>
      <w:r w:rsidR="00884CB6" w:rsidRPr="00685F3A">
        <w:rPr>
          <w:rFonts w:cstheme="minorHAnsi"/>
          <w:sz w:val="24"/>
          <w:szCs w:val="24"/>
        </w:rPr>
        <w:t xml:space="preserve"> see </w:t>
      </w:r>
      <w:r w:rsidR="00E6415C" w:rsidRPr="00685F3A">
        <w:rPr>
          <w:rFonts w:cstheme="minorHAnsi"/>
          <w:b/>
          <w:bCs/>
          <w:sz w:val="24"/>
          <w:szCs w:val="24"/>
        </w:rPr>
        <w:t>A</w:t>
      </w:r>
      <w:r w:rsidR="000B44CE" w:rsidRPr="00685F3A">
        <w:rPr>
          <w:rFonts w:cstheme="minorHAnsi"/>
          <w:b/>
          <w:bCs/>
          <w:sz w:val="24"/>
          <w:szCs w:val="24"/>
        </w:rPr>
        <w:t>ppendix A</w:t>
      </w:r>
      <w:r w:rsidR="000B44CE" w:rsidRPr="00685F3A">
        <w:rPr>
          <w:rFonts w:cstheme="minorHAnsi"/>
          <w:sz w:val="24"/>
          <w:szCs w:val="24"/>
        </w:rPr>
        <w:t xml:space="preserve"> for more information about the SWOT analysis.</w:t>
      </w:r>
    </w:p>
    <w:p w14:paraId="6DF3E510" w14:textId="4B11B719" w:rsidR="007D1560" w:rsidRPr="00685F3A" w:rsidRDefault="007D1560" w:rsidP="00B37E39">
      <w:pPr>
        <w:pStyle w:val="Heading2"/>
        <w:jc w:val="both"/>
        <w:rPr>
          <w:rFonts w:asciiTheme="minorHAnsi" w:hAnsiTheme="minorHAnsi" w:cstheme="minorHAnsi"/>
          <w:sz w:val="24"/>
          <w:szCs w:val="24"/>
        </w:rPr>
      </w:pPr>
      <w:bookmarkStart w:id="7" w:name="_Toc139411108"/>
      <w:r w:rsidRPr="00685F3A">
        <w:rPr>
          <w:rFonts w:asciiTheme="minorHAnsi" w:hAnsiTheme="minorHAnsi" w:cstheme="minorHAnsi"/>
          <w:sz w:val="24"/>
          <w:szCs w:val="24"/>
        </w:rPr>
        <w:t>2.3</w:t>
      </w:r>
      <w:r w:rsidRPr="00685F3A">
        <w:rPr>
          <w:rFonts w:asciiTheme="minorHAnsi" w:hAnsiTheme="minorHAnsi" w:cstheme="minorHAnsi"/>
          <w:i/>
          <w:iCs/>
          <w:sz w:val="24"/>
          <w:szCs w:val="24"/>
        </w:rPr>
        <w:t xml:space="preserve"> PESTLE</w:t>
      </w:r>
      <w:bookmarkEnd w:id="7"/>
    </w:p>
    <w:p w14:paraId="0D682C6C" w14:textId="7331EC77" w:rsidR="00C4049D" w:rsidRPr="00685F3A" w:rsidRDefault="00C4049D" w:rsidP="003F1F31">
      <w:pPr>
        <w:ind w:firstLine="720"/>
        <w:jc w:val="both"/>
        <w:rPr>
          <w:rFonts w:cstheme="minorHAnsi"/>
          <w:sz w:val="24"/>
          <w:szCs w:val="24"/>
        </w:rPr>
      </w:pPr>
      <w:r w:rsidRPr="00685F3A">
        <w:rPr>
          <w:rFonts w:cstheme="minorHAnsi"/>
          <w:sz w:val="24"/>
          <w:szCs w:val="24"/>
        </w:rPr>
        <w:t xml:space="preserve">Based on the PESTLE analysis Coca-Cola Company is </w:t>
      </w:r>
      <w:r w:rsidR="00A7185A" w:rsidRPr="00685F3A">
        <w:rPr>
          <w:rFonts w:cstheme="minorHAnsi"/>
          <w:sz w:val="24"/>
          <w:szCs w:val="24"/>
        </w:rPr>
        <w:t xml:space="preserve">influenced </w:t>
      </w:r>
      <w:r w:rsidR="002215FF" w:rsidRPr="00685F3A">
        <w:rPr>
          <w:rFonts w:cstheme="minorHAnsi"/>
          <w:sz w:val="24"/>
          <w:szCs w:val="24"/>
        </w:rPr>
        <w:t xml:space="preserve">by external factors such </w:t>
      </w:r>
      <w:r w:rsidR="00F34851" w:rsidRPr="00685F3A">
        <w:rPr>
          <w:rFonts w:cstheme="minorHAnsi"/>
          <w:sz w:val="24"/>
          <w:szCs w:val="24"/>
        </w:rPr>
        <w:t>as</w:t>
      </w:r>
      <w:r w:rsidR="002215FF" w:rsidRPr="00685F3A">
        <w:rPr>
          <w:rFonts w:cstheme="minorHAnsi"/>
          <w:sz w:val="24"/>
          <w:szCs w:val="24"/>
        </w:rPr>
        <w:t xml:space="preserve"> the UN Water conference, where, the Conference is actively encouraging voluntary commitments from participants, supported by the Water Action Agenda, to accelerate efforts and achieve tangible results</w:t>
      </w:r>
      <w:r w:rsidR="00A575DB" w:rsidRPr="00685F3A">
        <w:rPr>
          <w:rFonts w:cstheme="minorHAnsi"/>
          <w:sz w:val="24"/>
          <w:szCs w:val="24"/>
        </w:rPr>
        <w:t xml:space="preserve">. Furthermore, the growing apprehension regarding climate change is anticipated to lead to the implementation of further legal or regulatory obligations, both domestically and internationally. These requirements aim to reduce or alleviate the impact of carbon dioxide and other greenhouse gas emissions on the environment, discourage the use of plastic materials, and impose limitations or additional expenses on commercial water usage due to concerns over local water </w:t>
      </w:r>
      <w:r w:rsidR="00216B16" w:rsidRPr="00685F3A">
        <w:rPr>
          <w:rFonts w:cstheme="minorHAnsi"/>
          <w:sz w:val="24"/>
          <w:szCs w:val="24"/>
        </w:rPr>
        <w:t>scarcity.</w:t>
      </w:r>
      <w:r w:rsidR="001E199E" w:rsidRPr="00685F3A">
        <w:rPr>
          <w:rFonts w:cstheme="minorHAnsi"/>
          <w:sz w:val="24"/>
          <w:szCs w:val="24"/>
        </w:rPr>
        <w:t xml:space="preserve"> </w:t>
      </w:r>
      <w:r w:rsidR="00F34851" w:rsidRPr="00685F3A">
        <w:rPr>
          <w:rFonts w:cstheme="minorHAnsi"/>
          <w:sz w:val="24"/>
          <w:szCs w:val="24"/>
        </w:rPr>
        <w:t>According to</w:t>
      </w:r>
      <w:r w:rsidR="002E6F32" w:rsidRPr="00685F3A">
        <w:rPr>
          <w:rFonts w:cstheme="minorHAnsi"/>
          <w:sz w:val="24"/>
          <w:szCs w:val="24"/>
        </w:rPr>
        <w:t xml:space="preserve"> Zhenmin and Guterres (2023),t</w:t>
      </w:r>
      <w:r w:rsidR="00F34851" w:rsidRPr="00685F3A">
        <w:rPr>
          <w:rFonts w:cstheme="minorHAnsi"/>
          <w:sz w:val="24"/>
          <w:szCs w:val="24"/>
        </w:rPr>
        <w:t xml:space="preserve">he persistent water and sanitation crisis poses a universal threat, as inadequate management of water resources amplifies risks across various spheres of life. The COVID-19 pandemic has highlighted </w:t>
      </w:r>
      <w:r w:rsidR="007E0314" w:rsidRPr="00685F3A">
        <w:rPr>
          <w:rFonts w:cstheme="minorHAnsi"/>
          <w:sz w:val="24"/>
          <w:szCs w:val="24"/>
        </w:rPr>
        <w:t xml:space="preserve">the </w:t>
      </w:r>
      <w:r w:rsidR="00F34851" w:rsidRPr="00685F3A">
        <w:rPr>
          <w:rFonts w:cstheme="minorHAnsi"/>
          <w:sz w:val="24"/>
          <w:szCs w:val="24"/>
        </w:rPr>
        <w:t xml:space="preserve">interconnectedness and emphasized the need to address this crisis collectively. With growing populations, increased water demands in agriculture and industry, and exacerbated effects of climate change, it is crucial to establish a robust and adaptable water cycle that benefits all individuals worldwide. Without such a system in place, both human well-being and environmental sustainability will remain jeopardized, hindering </w:t>
      </w:r>
      <w:r w:rsidR="00A55D66" w:rsidRPr="00685F3A">
        <w:rPr>
          <w:rFonts w:cstheme="minorHAnsi"/>
          <w:sz w:val="24"/>
          <w:szCs w:val="24"/>
        </w:rPr>
        <w:t xml:space="preserve">the </w:t>
      </w:r>
      <w:r w:rsidR="00F34851" w:rsidRPr="00685F3A">
        <w:rPr>
          <w:rFonts w:cstheme="minorHAnsi"/>
          <w:sz w:val="24"/>
          <w:szCs w:val="24"/>
        </w:rPr>
        <w:t>ability to achieve a sustainable and fair future.</w:t>
      </w:r>
    </w:p>
    <w:p w14:paraId="3F2EA811" w14:textId="2C32A39C" w:rsidR="00E02515" w:rsidRPr="00685F3A" w:rsidRDefault="00C4049D" w:rsidP="003F1F31">
      <w:pPr>
        <w:ind w:firstLine="720"/>
        <w:jc w:val="both"/>
        <w:rPr>
          <w:rFonts w:cstheme="minorHAnsi"/>
          <w:sz w:val="24"/>
          <w:szCs w:val="24"/>
        </w:rPr>
      </w:pPr>
      <w:r w:rsidRPr="00685F3A">
        <w:rPr>
          <w:rFonts w:cstheme="minorHAnsi"/>
          <w:sz w:val="24"/>
          <w:szCs w:val="24"/>
        </w:rPr>
        <w:t xml:space="preserve">Water holds utmost importance for The Coca-Cola Company as it is essential for their business operations, public health, food security, biodiversity, and addressing the climate crisis. With a presence in over </w:t>
      </w:r>
      <w:r w:rsidR="0053596C" w:rsidRPr="00685F3A">
        <w:rPr>
          <w:rFonts w:cstheme="minorHAnsi"/>
          <w:sz w:val="24"/>
          <w:szCs w:val="24"/>
        </w:rPr>
        <w:t>two hundred</w:t>
      </w:r>
      <w:r w:rsidRPr="00685F3A">
        <w:rPr>
          <w:rFonts w:cstheme="minorHAnsi"/>
          <w:sz w:val="24"/>
          <w:szCs w:val="24"/>
        </w:rPr>
        <w:t xml:space="preserve"> countries and territories, the company recogni</w:t>
      </w:r>
      <w:r w:rsidR="000A441A" w:rsidRPr="00685F3A">
        <w:rPr>
          <w:rFonts w:cstheme="minorHAnsi"/>
          <w:sz w:val="24"/>
          <w:szCs w:val="24"/>
        </w:rPr>
        <w:t>s</w:t>
      </w:r>
      <w:r w:rsidRPr="00685F3A">
        <w:rPr>
          <w:rFonts w:cstheme="minorHAnsi"/>
          <w:sz w:val="24"/>
          <w:szCs w:val="24"/>
        </w:rPr>
        <w:t>es its responsibility to address water stress, protect local water resources, and contribute to community climate resilience. Consequently, their 2030 water strategy focuses on accelerating actions to enhance water security in the areas where they operate, source ingredients, and impact people's lives.</w:t>
      </w:r>
      <w:r w:rsidR="00695A01" w:rsidRPr="00685F3A">
        <w:rPr>
          <w:rFonts w:cstheme="minorHAnsi"/>
          <w:sz w:val="24"/>
          <w:szCs w:val="24"/>
        </w:rPr>
        <w:t xml:space="preserve"> </w:t>
      </w:r>
    </w:p>
    <w:p w14:paraId="7833A5DD" w14:textId="77A8C583" w:rsidR="00B009F3" w:rsidRPr="00685F3A" w:rsidRDefault="00B7436B" w:rsidP="00223F26">
      <w:pPr>
        <w:ind w:firstLine="720"/>
        <w:jc w:val="both"/>
        <w:rPr>
          <w:rFonts w:cstheme="minorHAnsi"/>
          <w:sz w:val="24"/>
          <w:szCs w:val="24"/>
        </w:rPr>
      </w:pPr>
      <w:r w:rsidRPr="00685F3A">
        <w:rPr>
          <w:rFonts w:cstheme="minorHAnsi"/>
          <w:sz w:val="24"/>
          <w:szCs w:val="24"/>
        </w:rPr>
        <w:t>Furthermore, MarketLine Team( 2023)states that t</w:t>
      </w:r>
      <w:r w:rsidR="001E58E6" w:rsidRPr="00685F3A">
        <w:rPr>
          <w:rFonts w:cstheme="minorHAnsi"/>
          <w:sz w:val="24"/>
          <w:szCs w:val="24"/>
        </w:rPr>
        <w:t xml:space="preserve">he conflict between Russia and Ukraine in 2022 led to a surge in energy costs, particularly in Europe, which could have a lasting impact on the company and its independent bottlers. The company's operations in Ukraine have also been affected by the conflict. In 2021, the company's operations in Russia and Ukraine accounted for 2% of unit case volume, 1% of consolidated net operating revenues, and 2% of operating profitability. </w:t>
      </w:r>
      <w:r w:rsidR="006A2A12" w:rsidRPr="00685F3A">
        <w:rPr>
          <w:rFonts w:cstheme="minorHAnsi"/>
          <w:sz w:val="24"/>
          <w:szCs w:val="24"/>
        </w:rPr>
        <w:t xml:space="preserve">During challenging economic circumstances, consumers might choose to reduce their discretionary expenses by either refraining from purchasing Coca-Cola products altogether or opting for lower-priced alternatives provided by </w:t>
      </w:r>
      <w:r w:rsidR="006A2A12" w:rsidRPr="00685F3A">
        <w:rPr>
          <w:rFonts w:cstheme="minorHAnsi"/>
          <w:sz w:val="24"/>
          <w:szCs w:val="24"/>
        </w:rPr>
        <w:lastRenderedPageBreak/>
        <w:t>other companies, such as private-label brands. This could potentially lead to a decline in the company profitability and have an adverse impact on their overall financial performance.</w:t>
      </w:r>
      <w:r w:rsidR="003F1F31" w:rsidRPr="00685F3A">
        <w:rPr>
          <w:rFonts w:cstheme="minorHAnsi"/>
          <w:sz w:val="24"/>
          <w:szCs w:val="24"/>
        </w:rPr>
        <w:t xml:space="preserve"> </w:t>
      </w:r>
      <w:r w:rsidR="0034030E" w:rsidRPr="00685F3A">
        <w:rPr>
          <w:rFonts w:cstheme="minorHAnsi"/>
          <w:sz w:val="24"/>
          <w:szCs w:val="24"/>
        </w:rPr>
        <w:t xml:space="preserve">Please refer to the </w:t>
      </w:r>
      <w:r w:rsidR="00E6415C" w:rsidRPr="00685F3A">
        <w:rPr>
          <w:rFonts w:cstheme="minorHAnsi"/>
          <w:b/>
          <w:bCs/>
          <w:sz w:val="24"/>
          <w:szCs w:val="24"/>
        </w:rPr>
        <w:t>A</w:t>
      </w:r>
      <w:r w:rsidR="0034030E" w:rsidRPr="00685F3A">
        <w:rPr>
          <w:rFonts w:cstheme="minorHAnsi"/>
          <w:b/>
          <w:bCs/>
          <w:sz w:val="24"/>
          <w:szCs w:val="24"/>
        </w:rPr>
        <w:t xml:space="preserve">ppendix </w:t>
      </w:r>
      <w:r w:rsidR="009E5187" w:rsidRPr="00685F3A">
        <w:rPr>
          <w:rFonts w:cstheme="minorHAnsi"/>
          <w:b/>
          <w:bCs/>
          <w:sz w:val="24"/>
          <w:szCs w:val="24"/>
        </w:rPr>
        <w:t>B</w:t>
      </w:r>
      <w:r w:rsidR="009E5187" w:rsidRPr="00685F3A">
        <w:rPr>
          <w:rFonts w:cstheme="minorHAnsi"/>
          <w:sz w:val="24"/>
          <w:szCs w:val="24"/>
        </w:rPr>
        <w:t xml:space="preserve"> </w:t>
      </w:r>
      <w:r w:rsidR="0034030E" w:rsidRPr="00685F3A">
        <w:rPr>
          <w:rFonts w:cstheme="minorHAnsi"/>
          <w:sz w:val="24"/>
          <w:szCs w:val="24"/>
        </w:rPr>
        <w:t>in the report for further information</w:t>
      </w:r>
      <w:r w:rsidR="009E5187" w:rsidRPr="00685F3A">
        <w:rPr>
          <w:rFonts w:cstheme="minorHAnsi"/>
          <w:sz w:val="24"/>
          <w:szCs w:val="24"/>
        </w:rPr>
        <w:t xml:space="preserve"> on PESTLE analysis</w:t>
      </w:r>
      <w:r w:rsidR="0034030E" w:rsidRPr="00685F3A">
        <w:rPr>
          <w:rFonts w:cstheme="minorHAnsi"/>
          <w:sz w:val="24"/>
          <w:szCs w:val="24"/>
        </w:rPr>
        <w:t>.</w:t>
      </w:r>
    </w:p>
    <w:p w14:paraId="3B3DC720" w14:textId="79AA55A0" w:rsidR="007D1560" w:rsidRPr="00685F3A" w:rsidRDefault="007D1560" w:rsidP="00B37E39">
      <w:pPr>
        <w:pStyle w:val="Heading2"/>
        <w:jc w:val="both"/>
        <w:rPr>
          <w:rFonts w:asciiTheme="minorHAnsi" w:hAnsiTheme="minorHAnsi" w:cstheme="minorHAnsi"/>
          <w:sz w:val="24"/>
          <w:szCs w:val="24"/>
        </w:rPr>
      </w:pPr>
      <w:bookmarkStart w:id="8" w:name="_Toc139411109"/>
      <w:r w:rsidRPr="00685F3A">
        <w:rPr>
          <w:rFonts w:asciiTheme="minorHAnsi" w:hAnsiTheme="minorHAnsi" w:cstheme="minorHAnsi"/>
          <w:sz w:val="24"/>
          <w:szCs w:val="24"/>
        </w:rPr>
        <w:t xml:space="preserve">2.4 </w:t>
      </w:r>
      <w:r w:rsidRPr="00685F3A">
        <w:rPr>
          <w:rFonts w:asciiTheme="minorHAnsi" w:hAnsiTheme="minorHAnsi" w:cstheme="minorHAnsi"/>
          <w:i/>
          <w:iCs/>
          <w:sz w:val="24"/>
          <w:szCs w:val="24"/>
        </w:rPr>
        <w:t>BCG</w:t>
      </w:r>
      <w:bookmarkEnd w:id="8"/>
      <w:r w:rsidRPr="00685F3A">
        <w:rPr>
          <w:rFonts w:asciiTheme="minorHAnsi" w:hAnsiTheme="minorHAnsi" w:cstheme="minorHAnsi"/>
          <w:sz w:val="24"/>
          <w:szCs w:val="24"/>
        </w:rPr>
        <w:t xml:space="preserve"> </w:t>
      </w:r>
    </w:p>
    <w:p w14:paraId="0A66D1E0" w14:textId="77777777" w:rsidR="00B73813" w:rsidRDefault="00200ADE" w:rsidP="008249F3">
      <w:pPr>
        <w:spacing w:after="0"/>
        <w:ind w:firstLine="720"/>
        <w:jc w:val="both"/>
        <w:rPr>
          <w:rFonts w:cstheme="minorHAnsi"/>
          <w:sz w:val="24"/>
          <w:szCs w:val="24"/>
        </w:rPr>
      </w:pPr>
      <w:r w:rsidRPr="00685F3A">
        <w:rPr>
          <w:rFonts w:cstheme="minorHAnsi"/>
          <w:sz w:val="24"/>
          <w:szCs w:val="24"/>
        </w:rPr>
        <w:t>Henderson (1970), t</w:t>
      </w:r>
      <w:r w:rsidR="00BD42BB" w:rsidRPr="00685F3A">
        <w:rPr>
          <w:rFonts w:cstheme="minorHAnsi"/>
          <w:sz w:val="24"/>
          <w:szCs w:val="24"/>
        </w:rPr>
        <w:t>he founder of the Boston Consulting Group (BCG) office, introduced this concept in 1979</w:t>
      </w:r>
      <w:r w:rsidR="006E2495" w:rsidRPr="00685F3A">
        <w:rPr>
          <w:rFonts w:cstheme="minorHAnsi"/>
          <w:sz w:val="24"/>
          <w:szCs w:val="24"/>
        </w:rPr>
        <w:t>,</w:t>
      </w:r>
      <w:r w:rsidR="00BD42BB" w:rsidRPr="00685F3A">
        <w:rPr>
          <w:rFonts w:cstheme="minorHAnsi"/>
          <w:sz w:val="24"/>
          <w:szCs w:val="24"/>
        </w:rPr>
        <w:t xml:space="preserve"> </w:t>
      </w:r>
      <w:r w:rsidRPr="00685F3A">
        <w:rPr>
          <w:rFonts w:cstheme="minorHAnsi"/>
          <w:sz w:val="24"/>
          <w:szCs w:val="24"/>
        </w:rPr>
        <w:t xml:space="preserve">he states on </w:t>
      </w:r>
      <w:r w:rsidR="00A977CD" w:rsidRPr="00685F3A">
        <w:rPr>
          <w:rFonts w:cstheme="minorHAnsi"/>
          <w:sz w:val="24"/>
          <w:szCs w:val="24"/>
        </w:rPr>
        <w:t>BCG website</w:t>
      </w:r>
      <w:r w:rsidR="008208BB" w:rsidRPr="00685F3A">
        <w:rPr>
          <w:rFonts w:cstheme="minorHAnsi"/>
          <w:sz w:val="24"/>
          <w:szCs w:val="24"/>
        </w:rPr>
        <w:t xml:space="preserve"> (Henderson, 1970)</w:t>
      </w:r>
      <w:r w:rsidR="00A977CD" w:rsidRPr="00685F3A">
        <w:rPr>
          <w:rFonts w:cstheme="minorHAnsi"/>
          <w:sz w:val="24"/>
          <w:szCs w:val="24"/>
        </w:rPr>
        <w:t xml:space="preserve"> that </w:t>
      </w:r>
      <w:r w:rsidR="006E2495" w:rsidRPr="00685F3A">
        <w:rPr>
          <w:rFonts w:cstheme="minorHAnsi"/>
          <w:sz w:val="24"/>
          <w:szCs w:val="24"/>
        </w:rPr>
        <w:t>for a company to achieve success, it is essential to have a collection of products that exhibit diverse growth rates and market shares. The composition of this product portfolio depends on maintaining a balance between cash inflows and outflows. Products with high growth potential necessitate investments to foster their expansion, while products with low growth rates should generate surplus cash.</w:t>
      </w:r>
    </w:p>
    <w:p w14:paraId="5A01968A" w14:textId="77777777" w:rsidR="00B73813" w:rsidRDefault="009973B2" w:rsidP="00B73813">
      <w:pPr>
        <w:ind w:firstLine="720"/>
        <w:jc w:val="both"/>
        <w:rPr>
          <w:rFonts w:cstheme="minorHAnsi"/>
          <w:sz w:val="24"/>
          <w:szCs w:val="24"/>
        </w:rPr>
      </w:pPr>
      <w:r w:rsidRPr="00685F3A">
        <w:rPr>
          <w:rFonts w:cstheme="minorHAnsi"/>
          <w:sz w:val="24"/>
          <w:szCs w:val="24"/>
        </w:rPr>
        <w:t xml:space="preserve"> </w:t>
      </w:r>
      <w:r w:rsidR="00AC4519" w:rsidRPr="00685F3A">
        <w:rPr>
          <w:rFonts w:cstheme="minorHAnsi"/>
          <w:sz w:val="24"/>
          <w:szCs w:val="24"/>
        </w:rPr>
        <w:t>According to, BCG</w:t>
      </w:r>
      <w:r w:rsidR="009777B4" w:rsidRPr="00685F3A">
        <w:rPr>
          <w:rFonts w:cstheme="minorHAnsi"/>
          <w:sz w:val="24"/>
          <w:szCs w:val="24"/>
        </w:rPr>
        <w:t xml:space="preserve"> (2023) the growth share matrix</w:t>
      </w:r>
      <w:r w:rsidR="000D19E6" w:rsidRPr="00685F3A">
        <w:rPr>
          <w:rFonts w:cstheme="minorHAnsi"/>
          <w:sz w:val="24"/>
          <w:szCs w:val="24"/>
        </w:rPr>
        <w:t>(BCG)</w:t>
      </w:r>
      <w:r w:rsidR="009777B4" w:rsidRPr="00685F3A">
        <w:rPr>
          <w:rFonts w:cstheme="minorHAnsi"/>
          <w:sz w:val="24"/>
          <w:szCs w:val="24"/>
        </w:rPr>
        <w:t xml:space="preserve"> is a portfolio management framework that assists companies in determining how to prioritise their various enterprises. It is a table divided into four quadrants, each of which represents a different level of profitability: question marks, stars, dog</w:t>
      </w:r>
      <w:r w:rsidR="00232197" w:rsidRPr="00685F3A">
        <w:rPr>
          <w:rFonts w:cstheme="minorHAnsi"/>
          <w:sz w:val="24"/>
          <w:szCs w:val="24"/>
        </w:rPr>
        <w:t>s</w:t>
      </w:r>
      <w:r w:rsidR="009777B4" w:rsidRPr="00685F3A">
        <w:rPr>
          <w:rFonts w:cstheme="minorHAnsi"/>
          <w:sz w:val="24"/>
          <w:szCs w:val="24"/>
        </w:rPr>
        <w:t>, and cash cows. By designating each business to one of these four categories, executives could then determine where to allocate their resources and capital to generate the most value and where to reduce their losses.</w:t>
      </w:r>
      <w:r w:rsidR="00B73813">
        <w:rPr>
          <w:rFonts w:cstheme="minorHAnsi"/>
          <w:sz w:val="24"/>
          <w:szCs w:val="24"/>
        </w:rPr>
        <w:t xml:space="preserve"> </w:t>
      </w:r>
      <w:r w:rsidR="000F750C" w:rsidRPr="00685F3A">
        <w:rPr>
          <w:rFonts w:cstheme="minorHAnsi"/>
          <w:sz w:val="24"/>
          <w:szCs w:val="24"/>
        </w:rPr>
        <w:t>Rawat (2021)</w:t>
      </w:r>
      <w:r w:rsidR="00893E8A" w:rsidRPr="00685F3A">
        <w:rPr>
          <w:rFonts w:cstheme="minorHAnsi"/>
          <w:sz w:val="24"/>
          <w:szCs w:val="24"/>
        </w:rPr>
        <w:t xml:space="preserve">, </w:t>
      </w:r>
      <w:r w:rsidR="00CA0356" w:rsidRPr="00685F3A">
        <w:rPr>
          <w:rFonts w:cstheme="minorHAnsi"/>
          <w:sz w:val="24"/>
          <w:szCs w:val="24"/>
        </w:rPr>
        <w:t>states that t</w:t>
      </w:r>
      <w:r w:rsidR="006B051E" w:rsidRPr="00685F3A">
        <w:rPr>
          <w:rFonts w:cstheme="minorHAnsi"/>
          <w:sz w:val="24"/>
          <w:szCs w:val="24"/>
        </w:rPr>
        <w:t xml:space="preserve">he BCG Matrix is employed to analyse the range of products offered by manufacturers by considering factors such as market share, growth potential, and annual </w:t>
      </w:r>
      <w:r w:rsidR="00502281" w:rsidRPr="00685F3A">
        <w:rPr>
          <w:rFonts w:cstheme="minorHAnsi"/>
          <w:sz w:val="24"/>
          <w:szCs w:val="24"/>
        </w:rPr>
        <w:t>sales.</w:t>
      </w:r>
      <w:r w:rsidRPr="00685F3A">
        <w:rPr>
          <w:rFonts w:cstheme="minorHAnsi"/>
          <w:sz w:val="24"/>
          <w:szCs w:val="24"/>
        </w:rPr>
        <w:t xml:space="preserve"> </w:t>
      </w:r>
    </w:p>
    <w:p w14:paraId="5952103D" w14:textId="258E2A82" w:rsidR="00404E41" w:rsidRPr="00685F3A" w:rsidRDefault="00BA5C73" w:rsidP="00B73813">
      <w:pPr>
        <w:ind w:firstLine="720"/>
        <w:jc w:val="both"/>
        <w:rPr>
          <w:rFonts w:cstheme="minorHAnsi"/>
          <w:sz w:val="24"/>
          <w:szCs w:val="24"/>
        </w:rPr>
      </w:pPr>
      <w:r w:rsidRPr="00685F3A">
        <w:rPr>
          <w:rFonts w:cstheme="minorHAnsi"/>
          <w:sz w:val="24"/>
          <w:szCs w:val="24"/>
        </w:rPr>
        <w:t>However, the BCG matrix also has certain limitations. As mentioned by Mohajan (2017), it fails to consider environmental factors in its analysis. Additionally, the BCG matrix categori</w:t>
      </w:r>
      <w:r w:rsidR="00301542" w:rsidRPr="00685F3A">
        <w:rPr>
          <w:rFonts w:cstheme="minorHAnsi"/>
          <w:sz w:val="24"/>
          <w:szCs w:val="24"/>
        </w:rPr>
        <w:t>s</w:t>
      </w:r>
      <w:r w:rsidRPr="00685F3A">
        <w:rPr>
          <w:rFonts w:cstheme="minorHAnsi"/>
          <w:sz w:val="24"/>
          <w:szCs w:val="24"/>
        </w:rPr>
        <w:t>es businesses as either low or high, disregarding the possibility of a medium classification. Therefore, the true essence of a business may not be accurately portrayed. Mohajan (2017) further asserts that dogs, despite being classified as low-growth products, can occasionally assist other businesses in gaining a competitive edge. In certain situations, they may even generate higher profits.</w:t>
      </w:r>
      <w:r w:rsidR="00596B3F" w:rsidRPr="00685F3A">
        <w:rPr>
          <w:rFonts w:cstheme="minorHAnsi"/>
          <w:sz w:val="24"/>
          <w:szCs w:val="24"/>
        </w:rPr>
        <w:t xml:space="preserve"> </w:t>
      </w:r>
    </w:p>
    <w:p w14:paraId="18DDD36E" w14:textId="49716E49" w:rsidR="007A1509" w:rsidRPr="00685F3A" w:rsidRDefault="007A1509" w:rsidP="00596B3F">
      <w:pPr>
        <w:ind w:firstLine="720"/>
        <w:jc w:val="both"/>
        <w:rPr>
          <w:rFonts w:cstheme="minorHAnsi"/>
          <w:sz w:val="24"/>
          <w:szCs w:val="24"/>
        </w:rPr>
      </w:pPr>
      <w:r w:rsidRPr="00685F3A">
        <w:rPr>
          <w:rFonts w:cstheme="minorHAnsi"/>
          <w:sz w:val="24"/>
          <w:szCs w:val="24"/>
        </w:rPr>
        <w:t>In their research, Madsen and Mohajan (2017) cited Lu and Zhao (2006) who presented various criticisms of the BCG matrix. Lu and Zhao (2006) argue that the classification of high and low is highly subjective, and the BCG analysis fails to consider potential synergies among different Strategic Business Units (SBUs) within the product portfolio. Additionally, Lu and Zhao (2006) observed that managers often neglect a rational economic approach and instead rely on unstructured and subjective decision-making processes influenced by power dynamics or emotions.</w:t>
      </w:r>
      <w:r w:rsidR="00525D5E">
        <w:rPr>
          <w:rFonts w:cstheme="minorHAnsi"/>
          <w:sz w:val="24"/>
          <w:szCs w:val="24"/>
        </w:rPr>
        <w:t xml:space="preserve"> For instance</w:t>
      </w:r>
      <w:r w:rsidRPr="00685F3A">
        <w:rPr>
          <w:rFonts w:cstheme="minorHAnsi"/>
          <w:sz w:val="24"/>
          <w:szCs w:val="24"/>
        </w:rPr>
        <w:t xml:space="preserve">, when confronted with the same scenario, two different managers may propose conflicting resource allocation strategies. In such situations, </w:t>
      </w:r>
      <w:r w:rsidR="00813F2D" w:rsidRPr="00685F3A">
        <w:rPr>
          <w:rFonts w:cstheme="minorHAnsi"/>
          <w:sz w:val="24"/>
          <w:szCs w:val="24"/>
        </w:rPr>
        <w:t>using</w:t>
      </w:r>
      <w:r w:rsidRPr="00685F3A">
        <w:rPr>
          <w:rFonts w:cstheme="minorHAnsi"/>
          <w:sz w:val="24"/>
          <w:szCs w:val="24"/>
        </w:rPr>
        <w:t xml:space="preserve"> the BCG matrix could potentially lead managers to make less rational decisions compared to decisions made without relying on BCG analysis.</w:t>
      </w:r>
    </w:p>
    <w:p w14:paraId="532904DF" w14:textId="57AE9FCF" w:rsidR="00E811E2" w:rsidRDefault="000E4EE7" w:rsidP="003F1F31">
      <w:pPr>
        <w:ind w:firstLine="720"/>
        <w:jc w:val="both"/>
        <w:rPr>
          <w:rFonts w:cstheme="minorHAnsi"/>
          <w:sz w:val="24"/>
          <w:szCs w:val="24"/>
        </w:rPr>
      </w:pPr>
      <w:r w:rsidRPr="00685F3A">
        <w:rPr>
          <w:rFonts w:cstheme="minorHAnsi"/>
          <w:sz w:val="24"/>
          <w:szCs w:val="24"/>
        </w:rPr>
        <w:t>Based on the</w:t>
      </w:r>
      <w:r w:rsidR="004146D8" w:rsidRPr="00685F3A">
        <w:rPr>
          <w:rFonts w:cstheme="minorHAnsi"/>
          <w:sz w:val="24"/>
          <w:szCs w:val="24"/>
        </w:rPr>
        <w:t xml:space="preserve"> BCG</w:t>
      </w:r>
      <w:r w:rsidRPr="00685F3A">
        <w:rPr>
          <w:rFonts w:cstheme="minorHAnsi"/>
          <w:sz w:val="24"/>
          <w:szCs w:val="24"/>
        </w:rPr>
        <w:t xml:space="preserve"> analysis</w:t>
      </w:r>
      <w:r w:rsidR="004146D8" w:rsidRPr="00685F3A">
        <w:rPr>
          <w:rFonts w:cstheme="minorHAnsi"/>
          <w:sz w:val="24"/>
          <w:szCs w:val="24"/>
        </w:rPr>
        <w:t>, Coca-Cola Zero Sugar experienced a 10% increase in sales, primarily driven by consumers' preference for reducing their sugar intake. The trend of sugar reduction has significantly influenced The Coca-Cola Company (KO), leading them to allocate additional funds towards advertising their range of low or no-sugar beverages</w:t>
      </w:r>
      <w:r w:rsidR="00733918" w:rsidRPr="00685F3A">
        <w:rPr>
          <w:rFonts w:cstheme="minorHAnsi"/>
          <w:sz w:val="24"/>
          <w:szCs w:val="24"/>
        </w:rPr>
        <w:t>(CCEP Integrated Report, 2022).</w:t>
      </w:r>
    </w:p>
    <w:p w14:paraId="26AEC466" w14:textId="6135B8F7" w:rsidR="00BF4A05" w:rsidRPr="00685F3A" w:rsidRDefault="00BF4A05" w:rsidP="00733918">
      <w:pPr>
        <w:jc w:val="both"/>
        <w:rPr>
          <w:rFonts w:cstheme="minorHAnsi"/>
          <w:sz w:val="24"/>
          <w:szCs w:val="24"/>
        </w:rPr>
      </w:pPr>
      <w:r w:rsidRPr="00685F3A">
        <w:rPr>
          <w:rFonts w:cstheme="minorHAnsi"/>
          <w:sz w:val="24"/>
          <w:szCs w:val="24"/>
        </w:rPr>
        <w:t>Plea</w:t>
      </w:r>
      <w:r w:rsidR="00351713" w:rsidRPr="00685F3A">
        <w:rPr>
          <w:rFonts w:cstheme="minorHAnsi"/>
          <w:sz w:val="24"/>
          <w:szCs w:val="24"/>
        </w:rPr>
        <w:t xml:space="preserve">se refer to </w:t>
      </w:r>
      <w:r w:rsidR="00E6415C" w:rsidRPr="00685F3A">
        <w:rPr>
          <w:rFonts w:cstheme="minorHAnsi"/>
          <w:b/>
          <w:bCs/>
          <w:sz w:val="24"/>
          <w:szCs w:val="24"/>
        </w:rPr>
        <w:t>A</w:t>
      </w:r>
      <w:r w:rsidR="00351713" w:rsidRPr="00685F3A">
        <w:rPr>
          <w:rFonts w:cstheme="minorHAnsi"/>
          <w:b/>
          <w:bCs/>
          <w:sz w:val="24"/>
          <w:szCs w:val="24"/>
        </w:rPr>
        <w:t>ppendix C</w:t>
      </w:r>
      <w:r w:rsidR="00351713" w:rsidRPr="00685F3A">
        <w:rPr>
          <w:rFonts w:cstheme="minorHAnsi"/>
          <w:sz w:val="24"/>
          <w:szCs w:val="24"/>
        </w:rPr>
        <w:t xml:space="preserve"> for further information on BCG analysis.</w:t>
      </w:r>
    </w:p>
    <w:p w14:paraId="44D933B0" w14:textId="7DEE9571" w:rsidR="007D1560" w:rsidRPr="00685F3A" w:rsidRDefault="007D1560" w:rsidP="00B37E39">
      <w:pPr>
        <w:pStyle w:val="Heading2"/>
        <w:jc w:val="both"/>
        <w:rPr>
          <w:rFonts w:asciiTheme="minorHAnsi" w:hAnsiTheme="minorHAnsi" w:cstheme="minorHAnsi"/>
          <w:i/>
          <w:iCs/>
          <w:sz w:val="24"/>
          <w:szCs w:val="24"/>
        </w:rPr>
      </w:pPr>
      <w:bookmarkStart w:id="9" w:name="_Toc139411110"/>
      <w:r w:rsidRPr="00685F3A">
        <w:rPr>
          <w:rFonts w:asciiTheme="minorHAnsi" w:hAnsiTheme="minorHAnsi" w:cstheme="minorHAnsi"/>
          <w:sz w:val="24"/>
          <w:szCs w:val="24"/>
        </w:rPr>
        <w:t>2.5.</w:t>
      </w:r>
      <w:r w:rsidRPr="00685F3A">
        <w:rPr>
          <w:rFonts w:asciiTheme="minorHAnsi" w:hAnsiTheme="minorHAnsi" w:cstheme="minorHAnsi"/>
          <w:i/>
          <w:iCs/>
          <w:sz w:val="24"/>
          <w:szCs w:val="24"/>
        </w:rPr>
        <w:t>Fiver Forces Analysis</w:t>
      </w:r>
      <w:bookmarkEnd w:id="9"/>
    </w:p>
    <w:p w14:paraId="79617473" w14:textId="16146494" w:rsidR="00EA598E" w:rsidRPr="00685F3A" w:rsidRDefault="002A72AF" w:rsidP="003F1F31">
      <w:pPr>
        <w:ind w:firstLine="720"/>
        <w:jc w:val="both"/>
        <w:rPr>
          <w:rFonts w:cstheme="minorHAnsi"/>
          <w:sz w:val="24"/>
          <w:szCs w:val="24"/>
        </w:rPr>
      </w:pPr>
      <w:r w:rsidRPr="00685F3A">
        <w:rPr>
          <w:rFonts w:cstheme="minorHAnsi"/>
          <w:sz w:val="24"/>
          <w:szCs w:val="24"/>
        </w:rPr>
        <w:t xml:space="preserve">Based on the Five Force analysis, </w:t>
      </w:r>
      <w:r w:rsidR="00425954" w:rsidRPr="00685F3A">
        <w:rPr>
          <w:rFonts w:cstheme="minorHAnsi"/>
          <w:sz w:val="24"/>
          <w:szCs w:val="24"/>
        </w:rPr>
        <w:t xml:space="preserve"> </w:t>
      </w:r>
      <w:r w:rsidR="002B02AE" w:rsidRPr="00685F3A">
        <w:rPr>
          <w:rFonts w:cstheme="minorHAnsi"/>
          <w:sz w:val="24"/>
          <w:szCs w:val="24"/>
        </w:rPr>
        <w:t xml:space="preserve">Coca-Cola faces significant competition from rivals such as PepsiCo, Nestlé, Keurig Dr Pepper, Danone, Suntory Beverage &amp; Food, Unilever, AB InBev, Kirin Holdings, Heineken, Diageo, and Red Bull. </w:t>
      </w:r>
      <w:r w:rsidR="006C14FC" w:rsidRPr="00685F3A">
        <w:rPr>
          <w:rFonts w:cstheme="minorHAnsi"/>
          <w:sz w:val="24"/>
          <w:szCs w:val="24"/>
        </w:rPr>
        <w:t xml:space="preserve">(MarketLine Team 2023). </w:t>
      </w:r>
      <w:r w:rsidR="002B02AE" w:rsidRPr="00685F3A">
        <w:rPr>
          <w:rFonts w:cstheme="minorHAnsi"/>
          <w:sz w:val="24"/>
          <w:szCs w:val="24"/>
        </w:rPr>
        <w:t xml:space="preserve">Regional and </w:t>
      </w:r>
      <w:r w:rsidR="002B02AE" w:rsidRPr="00685F3A">
        <w:rPr>
          <w:rFonts w:cstheme="minorHAnsi"/>
          <w:sz w:val="24"/>
          <w:szCs w:val="24"/>
        </w:rPr>
        <w:lastRenderedPageBreak/>
        <w:t xml:space="preserve">local companies, as well as emerging microbrands, also contribute to the competitive landscape. The company employs various strategies to maintain its market share, including pricing, advertising, product innovation, and marketing partnerships. In terms of suppliers, Coca-Cola leverages its size to negotiate favorable terms and procures raw materials like sugar, </w:t>
      </w:r>
      <w:r w:rsidR="008E4BDB" w:rsidRPr="00685F3A">
        <w:rPr>
          <w:rFonts w:cstheme="minorHAnsi"/>
          <w:sz w:val="24"/>
          <w:szCs w:val="24"/>
        </w:rPr>
        <w:t>flavourings</w:t>
      </w:r>
      <w:r w:rsidR="002B02AE" w:rsidRPr="00685F3A">
        <w:rPr>
          <w:rFonts w:cstheme="minorHAnsi"/>
          <w:sz w:val="24"/>
          <w:szCs w:val="24"/>
        </w:rPr>
        <w:t xml:space="preserve">, and packaging materials. </w:t>
      </w:r>
      <w:r w:rsidR="00916815" w:rsidRPr="00685F3A">
        <w:rPr>
          <w:rFonts w:cstheme="minorHAnsi"/>
          <w:sz w:val="24"/>
          <w:szCs w:val="24"/>
        </w:rPr>
        <w:t>The Coca-Cola Company (2023) states that f</w:t>
      </w:r>
      <w:r w:rsidR="002B02AE" w:rsidRPr="00685F3A">
        <w:rPr>
          <w:rFonts w:cstheme="minorHAnsi"/>
          <w:sz w:val="24"/>
          <w:szCs w:val="24"/>
        </w:rPr>
        <w:t xml:space="preserve">or non-nutritive sweeteners, the company sources them from multiple suppliers, including the United States and China. In the juice segment, Coca-Cola relies on orange juice and concentrate, primarily from Florida and Brazil, while facing risks from citrus greening disease and weather conditions. The company's pricing flexibility is influenced by market conditions, and it has implemented an incidence-based pricing model. In the market, the diversification of consumer preferences and the availability of substitutes have increased competition, empowering buyers. Coca-Cola engages with </w:t>
      </w:r>
      <w:r w:rsidR="00F02BDA" w:rsidRPr="00685F3A">
        <w:rPr>
          <w:rFonts w:cstheme="minorHAnsi"/>
          <w:sz w:val="24"/>
          <w:szCs w:val="24"/>
        </w:rPr>
        <w:t>several types</w:t>
      </w:r>
      <w:r w:rsidR="002B02AE" w:rsidRPr="00685F3A">
        <w:rPr>
          <w:rFonts w:cstheme="minorHAnsi"/>
          <w:sz w:val="24"/>
          <w:szCs w:val="24"/>
        </w:rPr>
        <w:t xml:space="preserve"> of customers, with varying degrees of negotiating power. The threat of substitute products</w:t>
      </w:r>
      <w:r w:rsidR="00A7577E" w:rsidRPr="00685F3A">
        <w:rPr>
          <w:rFonts w:cstheme="minorHAnsi"/>
          <w:sz w:val="24"/>
          <w:szCs w:val="24"/>
        </w:rPr>
        <w:t xml:space="preserve"> that</w:t>
      </w:r>
      <w:r w:rsidR="002B02AE" w:rsidRPr="00685F3A">
        <w:rPr>
          <w:rFonts w:cstheme="minorHAnsi"/>
          <w:sz w:val="24"/>
          <w:szCs w:val="24"/>
        </w:rPr>
        <w:t xml:space="preserve"> comes from </w:t>
      </w:r>
      <w:r w:rsidR="00AC6509" w:rsidRPr="00685F3A">
        <w:rPr>
          <w:rFonts w:cstheme="minorHAnsi"/>
          <w:sz w:val="24"/>
          <w:szCs w:val="24"/>
        </w:rPr>
        <w:t xml:space="preserve">external influences, such as the economic crisis, inflation and </w:t>
      </w:r>
      <w:r w:rsidR="00152472" w:rsidRPr="00685F3A">
        <w:rPr>
          <w:rFonts w:cstheme="minorHAnsi"/>
          <w:sz w:val="24"/>
          <w:szCs w:val="24"/>
        </w:rPr>
        <w:t>the war in Ukraine, making the consumer opt for lower priced products such as</w:t>
      </w:r>
      <w:r w:rsidR="00454C87" w:rsidRPr="00685F3A">
        <w:rPr>
          <w:rFonts w:cstheme="minorHAnsi"/>
          <w:sz w:val="24"/>
          <w:szCs w:val="24"/>
        </w:rPr>
        <w:t xml:space="preserve"> Pepsi</w:t>
      </w:r>
      <w:r w:rsidR="003F1F31" w:rsidRPr="00685F3A">
        <w:rPr>
          <w:rFonts w:cstheme="minorHAnsi"/>
          <w:sz w:val="24"/>
          <w:szCs w:val="24"/>
        </w:rPr>
        <w:t xml:space="preserve"> drinks</w:t>
      </w:r>
      <w:r w:rsidR="00AB2109" w:rsidRPr="00685F3A">
        <w:rPr>
          <w:rFonts w:cstheme="minorHAnsi"/>
          <w:sz w:val="24"/>
          <w:szCs w:val="24"/>
        </w:rPr>
        <w:t>.</w:t>
      </w:r>
      <w:r w:rsidR="003F1F31" w:rsidRPr="00685F3A">
        <w:rPr>
          <w:rFonts w:cstheme="minorHAnsi"/>
          <w:sz w:val="24"/>
          <w:szCs w:val="24"/>
        </w:rPr>
        <w:t xml:space="preserve"> </w:t>
      </w:r>
      <w:r w:rsidR="000D5A63" w:rsidRPr="00685F3A">
        <w:rPr>
          <w:rFonts w:cstheme="minorHAnsi"/>
          <w:sz w:val="24"/>
          <w:szCs w:val="24"/>
        </w:rPr>
        <w:t xml:space="preserve">Please see </w:t>
      </w:r>
      <w:r w:rsidR="000D5A63" w:rsidRPr="00685F3A">
        <w:rPr>
          <w:rFonts w:cstheme="minorHAnsi"/>
          <w:b/>
          <w:bCs/>
          <w:sz w:val="24"/>
          <w:szCs w:val="24"/>
        </w:rPr>
        <w:t xml:space="preserve">Appendix </w:t>
      </w:r>
      <w:r w:rsidR="00351713" w:rsidRPr="00685F3A">
        <w:rPr>
          <w:rFonts w:cstheme="minorHAnsi"/>
          <w:b/>
          <w:bCs/>
          <w:sz w:val="24"/>
          <w:szCs w:val="24"/>
        </w:rPr>
        <w:t>D</w:t>
      </w:r>
      <w:r w:rsidR="000D5A63" w:rsidRPr="00685F3A">
        <w:rPr>
          <w:rFonts w:cstheme="minorHAnsi"/>
          <w:sz w:val="24"/>
          <w:szCs w:val="24"/>
        </w:rPr>
        <w:t xml:space="preserve"> for </w:t>
      </w:r>
      <w:r w:rsidR="00675A5E" w:rsidRPr="00685F3A">
        <w:rPr>
          <w:rFonts w:cstheme="minorHAnsi"/>
          <w:sz w:val="24"/>
          <w:szCs w:val="24"/>
        </w:rPr>
        <w:t>further information on Five Forces Analysis.</w:t>
      </w:r>
    </w:p>
    <w:p w14:paraId="51520D9F" w14:textId="77777777" w:rsidR="007D1560" w:rsidRPr="00685F3A" w:rsidRDefault="007D1560" w:rsidP="00B37E39">
      <w:pPr>
        <w:pStyle w:val="Heading2"/>
        <w:jc w:val="both"/>
        <w:rPr>
          <w:rFonts w:asciiTheme="minorHAnsi" w:hAnsiTheme="minorHAnsi" w:cstheme="minorHAnsi"/>
          <w:sz w:val="24"/>
          <w:szCs w:val="24"/>
        </w:rPr>
      </w:pPr>
      <w:bookmarkStart w:id="10" w:name="_Toc139411111"/>
      <w:r w:rsidRPr="00685F3A">
        <w:rPr>
          <w:rFonts w:asciiTheme="minorHAnsi" w:hAnsiTheme="minorHAnsi" w:cstheme="minorHAnsi"/>
          <w:sz w:val="24"/>
          <w:szCs w:val="24"/>
        </w:rPr>
        <w:t xml:space="preserve">2.6 </w:t>
      </w:r>
      <w:r w:rsidRPr="00685F3A">
        <w:rPr>
          <w:rFonts w:asciiTheme="minorHAnsi" w:hAnsiTheme="minorHAnsi" w:cstheme="minorHAnsi"/>
          <w:i/>
          <w:iCs/>
          <w:sz w:val="24"/>
          <w:szCs w:val="24"/>
        </w:rPr>
        <w:t>Porter Generic</w:t>
      </w:r>
      <w:bookmarkEnd w:id="10"/>
    </w:p>
    <w:p w14:paraId="24D895F1" w14:textId="62EDAAE3" w:rsidR="00957999" w:rsidRPr="00685F3A" w:rsidRDefault="007D1560" w:rsidP="00184833">
      <w:pPr>
        <w:spacing w:after="0"/>
        <w:ind w:firstLine="720"/>
        <w:jc w:val="both"/>
        <w:rPr>
          <w:rFonts w:cstheme="minorHAnsi"/>
          <w:sz w:val="24"/>
          <w:szCs w:val="24"/>
        </w:rPr>
      </w:pPr>
      <w:r w:rsidRPr="00685F3A">
        <w:rPr>
          <w:rFonts w:cstheme="minorHAnsi"/>
          <w:sz w:val="24"/>
          <w:szCs w:val="24"/>
        </w:rPr>
        <w:t xml:space="preserve">Griffin (2021) quoted Michael Porter, who states that organisations have the option to adopt a differentiation, overall cost leadership, or focus strategy at the business level. When an organization pursues a differentiation strategy, it aims to set itself apart from competitors by offering superior product or service quality. Consequently, companies that successfully implement differentiation can command higher prices compared to their competitors because customers are willing to pay more to acquire the additional value they perceive. </w:t>
      </w:r>
      <w:r w:rsidR="00C35196" w:rsidRPr="00685F3A">
        <w:rPr>
          <w:rFonts w:cstheme="minorHAnsi"/>
          <w:sz w:val="24"/>
          <w:szCs w:val="24"/>
        </w:rPr>
        <w:t>Porter’s Generic Strategies</w:t>
      </w:r>
      <w:r w:rsidR="007B23DC" w:rsidRPr="00685F3A">
        <w:rPr>
          <w:rFonts w:cstheme="minorHAnsi"/>
          <w:sz w:val="24"/>
          <w:szCs w:val="24"/>
        </w:rPr>
        <w:t xml:space="preserve"> are a set of strategic approaches that businesses can use to gain a competitive advantage in their industry. These strategies are based on the concept of creating a unique position in the market and aligning it with the company's strengths and resources. Porter's Generic Strategies </w:t>
      </w:r>
      <w:r w:rsidR="00903781" w:rsidRPr="00685F3A">
        <w:rPr>
          <w:rFonts w:cstheme="minorHAnsi"/>
          <w:sz w:val="24"/>
          <w:szCs w:val="24"/>
        </w:rPr>
        <w:t>include</w:t>
      </w:r>
      <w:r w:rsidR="007B23DC" w:rsidRPr="00685F3A">
        <w:rPr>
          <w:rFonts w:cstheme="minorHAnsi"/>
          <w:sz w:val="24"/>
          <w:szCs w:val="24"/>
        </w:rPr>
        <w:t xml:space="preserve"> </w:t>
      </w:r>
      <w:r w:rsidR="00957999" w:rsidRPr="00685F3A">
        <w:rPr>
          <w:rFonts w:cstheme="minorHAnsi"/>
          <w:sz w:val="24"/>
          <w:szCs w:val="24"/>
        </w:rPr>
        <w:t>c</w:t>
      </w:r>
      <w:r w:rsidR="007B23DC" w:rsidRPr="00685F3A">
        <w:rPr>
          <w:rFonts w:cstheme="minorHAnsi"/>
          <w:sz w:val="24"/>
          <w:szCs w:val="24"/>
        </w:rPr>
        <w:t xml:space="preserve">ost </w:t>
      </w:r>
      <w:r w:rsidR="00903781" w:rsidRPr="00685F3A">
        <w:rPr>
          <w:rFonts w:cstheme="minorHAnsi"/>
          <w:sz w:val="24"/>
          <w:szCs w:val="24"/>
        </w:rPr>
        <w:t>l</w:t>
      </w:r>
      <w:r w:rsidR="007B23DC" w:rsidRPr="00685F3A">
        <w:rPr>
          <w:rFonts w:cstheme="minorHAnsi"/>
          <w:sz w:val="24"/>
          <w:szCs w:val="24"/>
        </w:rPr>
        <w:t>eadership</w:t>
      </w:r>
      <w:r w:rsidR="00903781" w:rsidRPr="00685F3A">
        <w:rPr>
          <w:rFonts w:cstheme="minorHAnsi"/>
          <w:sz w:val="24"/>
          <w:szCs w:val="24"/>
        </w:rPr>
        <w:t xml:space="preserve">, differentiation and focus. </w:t>
      </w:r>
    </w:p>
    <w:p w14:paraId="3494243F" w14:textId="31CB85CB" w:rsidR="00C61410" w:rsidRPr="00685F3A" w:rsidRDefault="00F72695" w:rsidP="00184833">
      <w:pPr>
        <w:spacing w:after="0"/>
        <w:ind w:firstLine="720"/>
        <w:jc w:val="both"/>
        <w:rPr>
          <w:rFonts w:cstheme="minorHAnsi"/>
          <w:sz w:val="24"/>
          <w:szCs w:val="24"/>
        </w:rPr>
      </w:pPr>
      <w:r w:rsidRPr="00685F3A">
        <w:rPr>
          <w:rFonts w:cstheme="minorHAnsi"/>
          <w:sz w:val="24"/>
          <w:szCs w:val="24"/>
        </w:rPr>
        <w:t>According to</w:t>
      </w:r>
      <w:r w:rsidR="0017500D" w:rsidRPr="00685F3A">
        <w:rPr>
          <w:rFonts w:cstheme="minorHAnsi"/>
          <w:sz w:val="24"/>
          <w:szCs w:val="24"/>
        </w:rPr>
        <w:t xml:space="preserve"> Guo and Wen (2021), d</w:t>
      </w:r>
      <w:r w:rsidRPr="00685F3A">
        <w:rPr>
          <w:rFonts w:cstheme="minorHAnsi"/>
          <w:sz w:val="24"/>
          <w:szCs w:val="24"/>
        </w:rPr>
        <w:t xml:space="preserve">ifferentiation strategy involves a company's efforts to stand out in the industry by offering unique qualities or features that are highly valued by customers. This strategy can be </w:t>
      </w:r>
      <w:r w:rsidR="00813F2D" w:rsidRPr="00685F3A">
        <w:rPr>
          <w:rFonts w:cstheme="minorHAnsi"/>
          <w:sz w:val="24"/>
          <w:szCs w:val="24"/>
        </w:rPr>
        <w:t>initiative-taking</w:t>
      </w:r>
      <w:r w:rsidRPr="00685F3A">
        <w:rPr>
          <w:rFonts w:cstheme="minorHAnsi"/>
          <w:sz w:val="24"/>
          <w:szCs w:val="24"/>
        </w:rPr>
        <w:t>, aiming to establish uniqueness before competitors, or reactive, responding to competitive actions.</w:t>
      </w:r>
      <w:r w:rsidR="00EC0030" w:rsidRPr="00685F3A">
        <w:rPr>
          <w:rFonts w:cstheme="minorHAnsi"/>
          <w:sz w:val="24"/>
          <w:szCs w:val="24"/>
        </w:rPr>
        <w:t xml:space="preserve"> </w:t>
      </w:r>
    </w:p>
    <w:p w14:paraId="61777B95" w14:textId="5B4516F1" w:rsidR="00110FA6" w:rsidRPr="00685F3A" w:rsidRDefault="00235AEA" w:rsidP="00184833">
      <w:pPr>
        <w:ind w:firstLine="720"/>
        <w:jc w:val="both"/>
        <w:rPr>
          <w:rFonts w:cstheme="minorHAnsi"/>
          <w:sz w:val="24"/>
          <w:szCs w:val="24"/>
        </w:rPr>
      </w:pPr>
      <w:r w:rsidRPr="00685F3A">
        <w:rPr>
          <w:rFonts w:cstheme="minorHAnsi"/>
          <w:sz w:val="24"/>
          <w:szCs w:val="24"/>
        </w:rPr>
        <w:t>Based on the SWO</w:t>
      </w:r>
      <w:r w:rsidR="002E55BF" w:rsidRPr="00685F3A">
        <w:rPr>
          <w:rFonts w:cstheme="minorHAnsi"/>
          <w:sz w:val="24"/>
          <w:szCs w:val="24"/>
        </w:rPr>
        <w:t>T and BCG</w:t>
      </w:r>
      <w:r w:rsidRPr="00685F3A">
        <w:rPr>
          <w:rFonts w:cstheme="minorHAnsi"/>
          <w:sz w:val="24"/>
          <w:szCs w:val="24"/>
        </w:rPr>
        <w:t xml:space="preserve"> analysis, emerged that Coca-Cola have a </w:t>
      </w:r>
      <w:r w:rsidR="00397A73" w:rsidRPr="00685F3A">
        <w:rPr>
          <w:rFonts w:cstheme="minorHAnsi"/>
          <w:sz w:val="24"/>
          <w:szCs w:val="24"/>
        </w:rPr>
        <w:t xml:space="preserve">broad </w:t>
      </w:r>
      <w:r w:rsidR="00B235B9" w:rsidRPr="00685F3A">
        <w:rPr>
          <w:rFonts w:cstheme="minorHAnsi"/>
          <w:sz w:val="24"/>
          <w:szCs w:val="24"/>
        </w:rPr>
        <w:t>differentiation</w:t>
      </w:r>
      <w:r w:rsidRPr="00685F3A">
        <w:rPr>
          <w:rFonts w:cstheme="minorHAnsi"/>
          <w:sz w:val="24"/>
          <w:szCs w:val="24"/>
        </w:rPr>
        <w:t xml:space="preserve"> </w:t>
      </w:r>
      <w:r w:rsidR="00B235B9" w:rsidRPr="00685F3A">
        <w:rPr>
          <w:rFonts w:cstheme="minorHAnsi"/>
          <w:sz w:val="24"/>
          <w:szCs w:val="24"/>
        </w:rPr>
        <w:t xml:space="preserve">strategy and </w:t>
      </w:r>
      <w:r w:rsidR="00397A73" w:rsidRPr="00685F3A">
        <w:rPr>
          <w:rFonts w:cstheme="minorHAnsi"/>
          <w:sz w:val="24"/>
          <w:szCs w:val="24"/>
        </w:rPr>
        <w:t xml:space="preserve">a narrow </w:t>
      </w:r>
      <w:r w:rsidR="00B235B9" w:rsidRPr="00685F3A">
        <w:rPr>
          <w:rFonts w:cstheme="minorHAnsi"/>
          <w:sz w:val="24"/>
          <w:szCs w:val="24"/>
        </w:rPr>
        <w:t xml:space="preserve">focus </w:t>
      </w:r>
      <w:r w:rsidR="00410EFB" w:rsidRPr="00685F3A">
        <w:rPr>
          <w:rFonts w:cstheme="minorHAnsi"/>
          <w:sz w:val="24"/>
          <w:szCs w:val="24"/>
        </w:rPr>
        <w:t>differentiation</w:t>
      </w:r>
      <w:r w:rsidR="00B235B9" w:rsidRPr="00685F3A">
        <w:rPr>
          <w:rFonts w:cstheme="minorHAnsi"/>
          <w:sz w:val="24"/>
          <w:szCs w:val="24"/>
        </w:rPr>
        <w:t>.</w:t>
      </w:r>
      <w:r w:rsidR="00EC0030" w:rsidRPr="00685F3A">
        <w:rPr>
          <w:rFonts w:cstheme="minorHAnsi"/>
          <w:sz w:val="24"/>
          <w:szCs w:val="24"/>
        </w:rPr>
        <w:t xml:space="preserve"> </w:t>
      </w:r>
      <w:r w:rsidR="0005540E" w:rsidRPr="00685F3A">
        <w:rPr>
          <w:rFonts w:cstheme="minorHAnsi"/>
          <w:sz w:val="24"/>
          <w:szCs w:val="24"/>
        </w:rPr>
        <w:t xml:space="preserve">Coca-Cola development strategy focuses on introducing new products to its lineup. </w:t>
      </w:r>
      <w:r w:rsidR="00DA1E17" w:rsidRPr="00685F3A">
        <w:rPr>
          <w:rFonts w:cstheme="minorHAnsi"/>
          <w:sz w:val="24"/>
          <w:szCs w:val="24"/>
        </w:rPr>
        <w:t>This</w:t>
      </w:r>
      <w:r w:rsidR="00601051" w:rsidRPr="00685F3A">
        <w:rPr>
          <w:rFonts w:cstheme="minorHAnsi"/>
          <w:sz w:val="24"/>
          <w:szCs w:val="24"/>
        </w:rPr>
        <w:t xml:space="preserve"> strategy of introducing new products contribute to diversify its offering </w:t>
      </w:r>
      <w:r w:rsidR="000E5B87" w:rsidRPr="00685F3A">
        <w:rPr>
          <w:rFonts w:cstheme="minorHAnsi"/>
          <w:sz w:val="24"/>
          <w:szCs w:val="24"/>
        </w:rPr>
        <w:t xml:space="preserve">and </w:t>
      </w:r>
      <w:r w:rsidR="0032395A" w:rsidRPr="00685F3A">
        <w:rPr>
          <w:rFonts w:cstheme="minorHAnsi"/>
          <w:sz w:val="24"/>
          <w:szCs w:val="24"/>
        </w:rPr>
        <w:t>satisfy its</w:t>
      </w:r>
      <w:r w:rsidR="000E5B87" w:rsidRPr="00685F3A">
        <w:rPr>
          <w:rFonts w:cstheme="minorHAnsi"/>
          <w:sz w:val="24"/>
          <w:szCs w:val="24"/>
        </w:rPr>
        <w:t xml:space="preserve"> </w:t>
      </w:r>
      <w:r w:rsidR="0032395A" w:rsidRPr="00685F3A">
        <w:rPr>
          <w:rFonts w:cstheme="minorHAnsi"/>
          <w:sz w:val="24"/>
          <w:szCs w:val="24"/>
        </w:rPr>
        <w:t>consumer preferences for healthier options. Furthermore, its</w:t>
      </w:r>
      <w:r w:rsidR="002374D7" w:rsidRPr="00685F3A">
        <w:rPr>
          <w:rFonts w:cstheme="minorHAnsi"/>
          <w:sz w:val="24"/>
          <w:szCs w:val="24"/>
        </w:rPr>
        <w:t xml:space="preserve"> </w:t>
      </w:r>
      <w:r w:rsidR="00C33651" w:rsidRPr="00685F3A">
        <w:rPr>
          <w:rFonts w:cstheme="minorHAnsi"/>
          <w:sz w:val="24"/>
          <w:szCs w:val="24"/>
        </w:rPr>
        <w:t xml:space="preserve">global distribution system allows the company to negotiate its price when gathering the raw material </w:t>
      </w:r>
      <w:r w:rsidR="0052796E" w:rsidRPr="00685F3A">
        <w:rPr>
          <w:rFonts w:cstheme="minorHAnsi"/>
          <w:sz w:val="24"/>
          <w:szCs w:val="24"/>
        </w:rPr>
        <w:t xml:space="preserve">or when implementing its product price. </w:t>
      </w:r>
      <w:r w:rsidR="00EB28C9" w:rsidRPr="00685F3A">
        <w:rPr>
          <w:rFonts w:cstheme="minorHAnsi"/>
          <w:sz w:val="24"/>
          <w:szCs w:val="24"/>
        </w:rPr>
        <w:t>Additionally,</w:t>
      </w:r>
      <w:r w:rsidR="00010B55" w:rsidRPr="00685F3A">
        <w:rPr>
          <w:rFonts w:cstheme="minorHAnsi"/>
          <w:sz w:val="24"/>
          <w:szCs w:val="24"/>
        </w:rPr>
        <w:t xml:space="preserve"> </w:t>
      </w:r>
      <w:r w:rsidR="00131EA4" w:rsidRPr="00685F3A">
        <w:rPr>
          <w:rFonts w:cstheme="minorHAnsi"/>
          <w:sz w:val="24"/>
          <w:szCs w:val="24"/>
        </w:rPr>
        <w:t>Guo and Wen(2021) states that</w:t>
      </w:r>
      <w:r w:rsidR="00EB28C9" w:rsidRPr="00685F3A">
        <w:rPr>
          <w:rFonts w:cstheme="minorHAnsi"/>
          <w:sz w:val="24"/>
          <w:szCs w:val="24"/>
        </w:rPr>
        <w:t xml:space="preserve"> Coca-Cola </w:t>
      </w:r>
      <w:r w:rsidR="00131EA4" w:rsidRPr="00685F3A">
        <w:rPr>
          <w:rFonts w:cstheme="minorHAnsi"/>
          <w:sz w:val="24"/>
          <w:szCs w:val="24"/>
        </w:rPr>
        <w:t xml:space="preserve">uses celebrity to reach its consumers, </w:t>
      </w:r>
      <w:r w:rsidR="000D1E1F" w:rsidRPr="00685F3A">
        <w:rPr>
          <w:rFonts w:cstheme="minorHAnsi"/>
          <w:sz w:val="24"/>
          <w:szCs w:val="24"/>
        </w:rPr>
        <w:t>as the celebrity already have consumer attention, they can</w:t>
      </w:r>
      <w:r w:rsidR="00BF02D6" w:rsidRPr="00685F3A">
        <w:rPr>
          <w:rFonts w:cstheme="minorHAnsi"/>
          <w:sz w:val="24"/>
          <w:szCs w:val="24"/>
        </w:rPr>
        <w:t xml:space="preserve"> </w:t>
      </w:r>
      <w:r w:rsidR="00863B8B" w:rsidRPr="00685F3A">
        <w:rPr>
          <w:rFonts w:cstheme="minorHAnsi"/>
          <w:sz w:val="24"/>
          <w:szCs w:val="24"/>
        </w:rPr>
        <w:t>have a favorable impression of the brand and increase target consumers. However,</w:t>
      </w:r>
      <w:r w:rsidR="00310334" w:rsidRPr="00685F3A">
        <w:rPr>
          <w:rFonts w:cstheme="minorHAnsi"/>
          <w:sz w:val="24"/>
          <w:szCs w:val="24"/>
        </w:rPr>
        <w:t xml:space="preserve"> </w:t>
      </w:r>
      <w:r w:rsidR="000F78F5" w:rsidRPr="00685F3A">
        <w:rPr>
          <w:rFonts w:cstheme="minorHAnsi"/>
          <w:sz w:val="24"/>
          <w:szCs w:val="24"/>
        </w:rPr>
        <w:t>Sweney (2021)</w:t>
      </w:r>
      <w:r w:rsidR="00310334" w:rsidRPr="00685F3A">
        <w:rPr>
          <w:rFonts w:cstheme="minorHAnsi"/>
          <w:sz w:val="24"/>
          <w:szCs w:val="24"/>
        </w:rPr>
        <w:t xml:space="preserve"> states</w:t>
      </w:r>
      <w:r w:rsidR="000F78F5" w:rsidRPr="00685F3A">
        <w:rPr>
          <w:rFonts w:cstheme="minorHAnsi"/>
          <w:sz w:val="24"/>
          <w:szCs w:val="24"/>
        </w:rPr>
        <w:t xml:space="preserve"> Cristiano Ronaldo's decision to remove two Coca-Cola bottles from a press conference and promote water instead has highlighted the risks faced by brands associating with influential sports stars in the social media era. However, such associations always carry risks, as demonstrated by Ronaldo's actions.</w:t>
      </w:r>
    </w:p>
    <w:p w14:paraId="4A5961A6" w14:textId="3A8CCA41" w:rsidR="007D1560" w:rsidRPr="00685F3A" w:rsidRDefault="00437D7A" w:rsidP="009D0244">
      <w:pPr>
        <w:ind w:firstLine="720"/>
        <w:jc w:val="both"/>
        <w:rPr>
          <w:rFonts w:cstheme="minorHAnsi"/>
          <w:sz w:val="24"/>
          <w:szCs w:val="24"/>
        </w:rPr>
      </w:pPr>
      <w:r w:rsidRPr="00685F3A">
        <w:rPr>
          <w:rFonts w:cstheme="minorHAnsi"/>
          <w:sz w:val="24"/>
          <w:szCs w:val="24"/>
        </w:rPr>
        <w:t>Therefore, Guo and Wen(2021) states that by implementing differentiation strategy can foster customer loyalty towards the brand, leading to higher profits for the enterprise that surpass the industry's average level.</w:t>
      </w:r>
      <w:r w:rsidR="00FE2B53" w:rsidRPr="00685F3A">
        <w:rPr>
          <w:rFonts w:cstheme="minorHAnsi"/>
          <w:sz w:val="24"/>
          <w:szCs w:val="24"/>
        </w:rPr>
        <w:t xml:space="preserve"> </w:t>
      </w:r>
      <w:r w:rsidR="00152505" w:rsidRPr="00685F3A">
        <w:rPr>
          <w:rFonts w:cstheme="minorHAnsi"/>
          <w:sz w:val="24"/>
          <w:szCs w:val="24"/>
        </w:rPr>
        <w:t xml:space="preserve">However, B. (2018) suggests that competitors can easily </w:t>
      </w:r>
      <w:r w:rsidR="00152505" w:rsidRPr="00685F3A">
        <w:rPr>
          <w:rFonts w:cstheme="minorHAnsi"/>
          <w:sz w:val="24"/>
          <w:szCs w:val="24"/>
        </w:rPr>
        <w:lastRenderedPageBreak/>
        <w:t>replicate a differentiation strategy by introducing their own unique products, making it challenging to sustain a higher price for the differentiated offering.</w:t>
      </w:r>
      <w:r w:rsidR="000A5374" w:rsidRPr="00685F3A">
        <w:rPr>
          <w:rFonts w:cstheme="minorHAnsi"/>
          <w:sz w:val="24"/>
          <w:szCs w:val="24"/>
        </w:rPr>
        <w:t xml:space="preserve"> On the other hand, </w:t>
      </w:r>
      <w:r w:rsidR="00154CD5" w:rsidRPr="00685F3A">
        <w:rPr>
          <w:rFonts w:cstheme="minorHAnsi"/>
          <w:sz w:val="24"/>
          <w:szCs w:val="24"/>
        </w:rPr>
        <w:t xml:space="preserve">Widuri and Sutanto (2019) argue that </w:t>
      </w:r>
      <w:r w:rsidR="00386469" w:rsidRPr="00685F3A">
        <w:rPr>
          <w:rFonts w:cstheme="minorHAnsi"/>
          <w:sz w:val="24"/>
          <w:szCs w:val="24"/>
        </w:rPr>
        <w:t>differentiation strategy can be described as a crucial factor for maintaining long-term success in the market by increasing the likelihood of sustainable performance over time.</w:t>
      </w:r>
      <w:r w:rsidR="009D0244" w:rsidRPr="00685F3A">
        <w:rPr>
          <w:rFonts w:cstheme="minorHAnsi"/>
          <w:sz w:val="24"/>
          <w:szCs w:val="24"/>
        </w:rPr>
        <w:t xml:space="preserve"> </w:t>
      </w:r>
      <w:r w:rsidR="001B4745" w:rsidRPr="00685F3A">
        <w:rPr>
          <w:rFonts w:cstheme="minorHAnsi"/>
          <w:sz w:val="24"/>
          <w:szCs w:val="24"/>
        </w:rPr>
        <w:t xml:space="preserve">According to Kennedy(2020) differentiation offers a significant benefit as it allows a company to charge premium prices from customers, resulting in strong profit margins. For </w:t>
      </w:r>
      <w:r w:rsidR="00333CF8" w:rsidRPr="00685F3A">
        <w:rPr>
          <w:rFonts w:cstheme="minorHAnsi"/>
          <w:sz w:val="24"/>
          <w:szCs w:val="24"/>
        </w:rPr>
        <w:t>instance,</w:t>
      </w:r>
      <w:r w:rsidR="001B4745" w:rsidRPr="00685F3A">
        <w:rPr>
          <w:rFonts w:cstheme="minorHAnsi"/>
          <w:sz w:val="24"/>
          <w:szCs w:val="24"/>
        </w:rPr>
        <w:t xml:space="preserve"> Coca-Cola, which </w:t>
      </w:r>
      <w:r w:rsidR="00853907" w:rsidRPr="00685F3A">
        <w:rPr>
          <w:rFonts w:cstheme="minorHAnsi"/>
          <w:sz w:val="24"/>
          <w:szCs w:val="24"/>
        </w:rPr>
        <w:t>currently</w:t>
      </w:r>
      <w:r w:rsidR="00333CF8" w:rsidRPr="00685F3A">
        <w:rPr>
          <w:rFonts w:cstheme="minorHAnsi"/>
          <w:sz w:val="24"/>
          <w:szCs w:val="24"/>
        </w:rPr>
        <w:t xml:space="preserve"> in 2023</w:t>
      </w:r>
      <w:r w:rsidR="00853907" w:rsidRPr="00685F3A">
        <w:rPr>
          <w:rFonts w:cstheme="minorHAnsi"/>
          <w:sz w:val="24"/>
          <w:szCs w:val="24"/>
        </w:rPr>
        <w:t xml:space="preserve"> </w:t>
      </w:r>
      <w:r w:rsidR="00333CF8" w:rsidRPr="00685F3A">
        <w:rPr>
          <w:rFonts w:cstheme="minorHAnsi"/>
          <w:sz w:val="24"/>
          <w:szCs w:val="24"/>
        </w:rPr>
        <w:t>maintains</w:t>
      </w:r>
      <w:r w:rsidR="001B4745" w:rsidRPr="00685F3A">
        <w:rPr>
          <w:rFonts w:cstheme="minorHAnsi"/>
          <w:sz w:val="24"/>
          <w:szCs w:val="24"/>
        </w:rPr>
        <w:t xml:space="preserve"> a profit margin of around 3</w:t>
      </w:r>
      <w:r w:rsidR="00853907" w:rsidRPr="00685F3A">
        <w:rPr>
          <w:rFonts w:cstheme="minorHAnsi"/>
          <w:sz w:val="24"/>
          <w:szCs w:val="24"/>
        </w:rPr>
        <w:t>9</w:t>
      </w:r>
      <w:r w:rsidR="00333CF8" w:rsidRPr="00685F3A">
        <w:rPr>
          <w:rFonts w:cstheme="minorHAnsi"/>
          <w:sz w:val="24"/>
          <w:szCs w:val="24"/>
        </w:rPr>
        <w:t>,7</w:t>
      </w:r>
      <w:r w:rsidR="001B4745" w:rsidRPr="00685F3A">
        <w:rPr>
          <w:rFonts w:cstheme="minorHAnsi"/>
          <w:sz w:val="24"/>
          <w:szCs w:val="24"/>
        </w:rPr>
        <w:t xml:space="preserve">%. This means that approximately </w:t>
      </w:r>
      <w:r w:rsidR="0053596C" w:rsidRPr="00685F3A">
        <w:rPr>
          <w:rFonts w:cstheme="minorHAnsi"/>
          <w:sz w:val="24"/>
          <w:szCs w:val="24"/>
        </w:rPr>
        <w:t>thirty-nine</w:t>
      </w:r>
      <w:r w:rsidR="001B4745" w:rsidRPr="00685F3A">
        <w:rPr>
          <w:rFonts w:cstheme="minorHAnsi"/>
          <w:sz w:val="24"/>
          <w:szCs w:val="24"/>
        </w:rPr>
        <w:t xml:space="preserve"> cents of every dollar received from customers contributes to the company's profit.</w:t>
      </w:r>
      <w:r w:rsidR="002D69E3" w:rsidRPr="00685F3A">
        <w:rPr>
          <w:rFonts w:cstheme="minorHAnsi"/>
          <w:sz w:val="24"/>
          <w:szCs w:val="24"/>
        </w:rPr>
        <w:t xml:space="preserve"> Please see </w:t>
      </w:r>
      <w:r w:rsidR="002D69E3" w:rsidRPr="00685F3A">
        <w:rPr>
          <w:rFonts w:cstheme="minorHAnsi"/>
          <w:b/>
          <w:bCs/>
          <w:sz w:val="24"/>
          <w:szCs w:val="24"/>
        </w:rPr>
        <w:t>Appendix</w:t>
      </w:r>
      <w:r w:rsidR="002D69E3" w:rsidRPr="00685F3A">
        <w:rPr>
          <w:rFonts w:cstheme="minorHAnsi"/>
          <w:sz w:val="24"/>
          <w:szCs w:val="24"/>
        </w:rPr>
        <w:t xml:space="preserve"> </w:t>
      </w:r>
      <w:r w:rsidR="002D69E3" w:rsidRPr="00685F3A">
        <w:rPr>
          <w:rFonts w:cstheme="minorHAnsi"/>
          <w:b/>
          <w:bCs/>
          <w:sz w:val="24"/>
          <w:szCs w:val="24"/>
        </w:rPr>
        <w:t>E</w:t>
      </w:r>
      <w:r w:rsidR="002D69E3" w:rsidRPr="00685F3A">
        <w:rPr>
          <w:rFonts w:cstheme="minorHAnsi"/>
          <w:sz w:val="24"/>
          <w:szCs w:val="24"/>
        </w:rPr>
        <w:t xml:space="preserve"> for further information on Porter Generic.</w:t>
      </w:r>
    </w:p>
    <w:p w14:paraId="736CC2AC" w14:textId="77777777" w:rsidR="007D1560" w:rsidRPr="00685F3A" w:rsidRDefault="007D1560" w:rsidP="00B37E39">
      <w:pPr>
        <w:pStyle w:val="Heading2"/>
        <w:jc w:val="both"/>
        <w:rPr>
          <w:rFonts w:asciiTheme="minorHAnsi" w:hAnsiTheme="minorHAnsi" w:cstheme="minorHAnsi"/>
          <w:i/>
          <w:iCs/>
          <w:sz w:val="24"/>
          <w:szCs w:val="24"/>
        </w:rPr>
      </w:pPr>
      <w:bookmarkStart w:id="11" w:name="_Toc139411112"/>
      <w:r w:rsidRPr="00685F3A">
        <w:rPr>
          <w:rFonts w:asciiTheme="minorHAnsi" w:hAnsiTheme="minorHAnsi" w:cstheme="minorHAnsi"/>
          <w:sz w:val="24"/>
          <w:szCs w:val="24"/>
        </w:rPr>
        <w:t xml:space="preserve">2.7 </w:t>
      </w:r>
      <w:r w:rsidRPr="00685F3A">
        <w:rPr>
          <w:rFonts w:asciiTheme="minorHAnsi" w:hAnsiTheme="minorHAnsi" w:cstheme="minorHAnsi"/>
          <w:i/>
          <w:iCs/>
          <w:sz w:val="24"/>
          <w:szCs w:val="24"/>
        </w:rPr>
        <w:t>Stakeholder Analysis</w:t>
      </w:r>
      <w:bookmarkEnd w:id="11"/>
    </w:p>
    <w:p w14:paraId="44CD26A6" w14:textId="55AE8433" w:rsidR="00624DDE" w:rsidRPr="00685F3A" w:rsidRDefault="003B4FA7" w:rsidP="00882808">
      <w:pPr>
        <w:spacing w:after="0"/>
        <w:ind w:firstLine="720"/>
        <w:jc w:val="both"/>
        <w:rPr>
          <w:rFonts w:cstheme="minorHAnsi"/>
          <w:sz w:val="24"/>
          <w:szCs w:val="24"/>
        </w:rPr>
      </w:pPr>
      <w:r w:rsidRPr="00685F3A">
        <w:rPr>
          <w:rFonts w:cstheme="minorHAnsi"/>
          <w:sz w:val="24"/>
          <w:szCs w:val="24"/>
        </w:rPr>
        <w:t xml:space="preserve">The Coca-Cola Company (2023) states that </w:t>
      </w:r>
      <w:r w:rsidR="001213F1" w:rsidRPr="00685F3A">
        <w:rPr>
          <w:rFonts w:cstheme="minorHAnsi"/>
          <w:sz w:val="24"/>
          <w:szCs w:val="24"/>
        </w:rPr>
        <w:t>Coca-Cola aim is to incorporate the value of openness, inclusivity</w:t>
      </w:r>
      <w:r w:rsidR="00E751BE" w:rsidRPr="00685F3A">
        <w:rPr>
          <w:rFonts w:cstheme="minorHAnsi"/>
          <w:sz w:val="24"/>
          <w:szCs w:val="24"/>
        </w:rPr>
        <w:t xml:space="preserve">, reliability, and to encourage positive outcomes and foster a culture of cooperation and mutual benefits. The company </w:t>
      </w:r>
      <w:r w:rsidR="004E6451" w:rsidRPr="00685F3A">
        <w:rPr>
          <w:rFonts w:cstheme="minorHAnsi"/>
          <w:sz w:val="24"/>
          <w:szCs w:val="24"/>
        </w:rPr>
        <w:t>actively interact with stakeholders through various channels such as meetings, conferences, briefings, events, discussions, interviews, and public interactions.</w:t>
      </w:r>
      <w:r w:rsidR="00EE651B" w:rsidRPr="00685F3A">
        <w:rPr>
          <w:rFonts w:cstheme="minorHAnsi"/>
          <w:sz w:val="24"/>
          <w:szCs w:val="24"/>
        </w:rPr>
        <w:t xml:space="preserve"> </w:t>
      </w:r>
      <w:r w:rsidR="00EE45F5" w:rsidRPr="00685F3A">
        <w:rPr>
          <w:rFonts w:cstheme="minorHAnsi"/>
          <w:sz w:val="24"/>
          <w:szCs w:val="24"/>
        </w:rPr>
        <w:t>Moreover, The Coca-Cola Company (2023</w:t>
      </w:r>
      <w:r w:rsidR="002B4C2E">
        <w:rPr>
          <w:rFonts w:cstheme="minorHAnsi"/>
          <w:sz w:val="24"/>
          <w:szCs w:val="24"/>
        </w:rPr>
        <w:t>a</w:t>
      </w:r>
      <w:r w:rsidR="00EE45F5" w:rsidRPr="00685F3A">
        <w:rPr>
          <w:rFonts w:cstheme="minorHAnsi"/>
          <w:sz w:val="24"/>
          <w:szCs w:val="24"/>
        </w:rPr>
        <w:t>) says that the collaboration with its stakeholders it is essential for achiev</w:t>
      </w:r>
      <w:r w:rsidR="00164CD6" w:rsidRPr="00685F3A">
        <w:rPr>
          <w:rFonts w:cstheme="minorHAnsi"/>
          <w:sz w:val="24"/>
          <w:szCs w:val="24"/>
        </w:rPr>
        <w:t>ing</w:t>
      </w:r>
      <w:r w:rsidR="00EE45F5" w:rsidRPr="00685F3A">
        <w:rPr>
          <w:rFonts w:cstheme="minorHAnsi"/>
          <w:sz w:val="24"/>
          <w:szCs w:val="24"/>
        </w:rPr>
        <w:t xml:space="preserve"> their purpose. </w:t>
      </w:r>
    </w:p>
    <w:p w14:paraId="0A664C57" w14:textId="21D7FC8D" w:rsidR="00861E60" w:rsidRPr="00685F3A" w:rsidRDefault="00624DDE" w:rsidP="00882808">
      <w:pPr>
        <w:spacing w:after="0"/>
        <w:ind w:firstLine="720"/>
        <w:jc w:val="both"/>
        <w:rPr>
          <w:rFonts w:cstheme="minorHAnsi"/>
          <w:sz w:val="24"/>
          <w:szCs w:val="24"/>
        </w:rPr>
      </w:pPr>
      <w:r w:rsidRPr="00685F3A">
        <w:rPr>
          <w:rFonts w:cstheme="minorHAnsi"/>
          <w:sz w:val="24"/>
          <w:szCs w:val="24"/>
        </w:rPr>
        <w:t xml:space="preserve">Walters and Helman (2019) </w:t>
      </w:r>
      <w:r w:rsidR="00BE46B4" w:rsidRPr="00685F3A">
        <w:rPr>
          <w:rFonts w:cstheme="minorHAnsi"/>
          <w:sz w:val="24"/>
          <w:szCs w:val="24"/>
        </w:rPr>
        <w:t>states that, t</w:t>
      </w:r>
      <w:r w:rsidR="00861E60" w:rsidRPr="00685F3A">
        <w:rPr>
          <w:rFonts w:cstheme="minorHAnsi"/>
          <w:sz w:val="24"/>
          <w:szCs w:val="24"/>
        </w:rPr>
        <w:t xml:space="preserve">he primary stakeholders of the company </w:t>
      </w:r>
      <w:r w:rsidR="00BE46B4" w:rsidRPr="00685F3A">
        <w:rPr>
          <w:rFonts w:cstheme="minorHAnsi"/>
          <w:sz w:val="24"/>
          <w:szCs w:val="24"/>
        </w:rPr>
        <w:t>involve</w:t>
      </w:r>
      <w:r w:rsidR="00861E60" w:rsidRPr="00685F3A">
        <w:rPr>
          <w:rFonts w:cstheme="minorHAnsi"/>
          <w:sz w:val="24"/>
          <w:szCs w:val="24"/>
        </w:rPr>
        <w:t xml:space="preserve"> customers, employees, management, shareholders, investors, partners, suppliers, and distributors. These stakeholders are actively encouraged to engage in open, ongoing relationships that involve the exchange of innovative ideas, management approaches for change, and performance enhancements.</w:t>
      </w:r>
    </w:p>
    <w:p w14:paraId="1C8F9A7E" w14:textId="68F10D9F" w:rsidR="00861E60" w:rsidRPr="00685F3A" w:rsidRDefault="00C50769" w:rsidP="00882808">
      <w:pPr>
        <w:spacing w:after="0"/>
        <w:ind w:firstLine="720"/>
        <w:jc w:val="both"/>
        <w:rPr>
          <w:rFonts w:cstheme="minorHAnsi"/>
          <w:sz w:val="24"/>
          <w:szCs w:val="24"/>
        </w:rPr>
      </w:pPr>
      <w:r w:rsidRPr="00685F3A">
        <w:rPr>
          <w:rFonts w:cstheme="minorHAnsi"/>
          <w:sz w:val="24"/>
          <w:szCs w:val="24"/>
        </w:rPr>
        <w:t xml:space="preserve">Furthermore, </w:t>
      </w:r>
      <w:r w:rsidR="00861E60" w:rsidRPr="00685F3A">
        <w:rPr>
          <w:rFonts w:cstheme="minorHAnsi"/>
          <w:sz w:val="24"/>
          <w:szCs w:val="24"/>
        </w:rPr>
        <w:t xml:space="preserve"> </w:t>
      </w:r>
      <w:r w:rsidR="00305359" w:rsidRPr="00685F3A">
        <w:rPr>
          <w:rFonts w:cstheme="minorHAnsi"/>
          <w:sz w:val="24"/>
          <w:szCs w:val="24"/>
        </w:rPr>
        <w:t xml:space="preserve">Walters and Helman (2019) </w:t>
      </w:r>
      <w:r w:rsidR="006F6AFA" w:rsidRPr="00685F3A">
        <w:rPr>
          <w:rFonts w:cstheme="minorHAnsi"/>
          <w:sz w:val="24"/>
          <w:szCs w:val="24"/>
        </w:rPr>
        <w:t xml:space="preserve">specified </w:t>
      </w:r>
      <w:r w:rsidRPr="00685F3A">
        <w:rPr>
          <w:rFonts w:cstheme="minorHAnsi"/>
          <w:sz w:val="24"/>
          <w:szCs w:val="24"/>
        </w:rPr>
        <w:t xml:space="preserve">that </w:t>
      </w:r>
      <w:r w:rsidR="00861E60" w:rsidRPr="00685F3A">
        <w:rPr>
          <w:rFonts w:cstheme="minorHAnsi"/>
          <w:sz w:val="24"/>
          <w:szCs w:val="24"/>
        </w:rPr>
        <w:t xml:space="preserve">secondary stakeholders consist of competitors, the community, and government. Competitors primarily monitor progress and show interest in potential collaboration opportunities, such as co-opetition. The community is primarily </w:t>
      </w:r>
      <w:r w:rsidR="00162B32" w:rsidRPr="00685F3A">
        <w:rPr>
          <w:rFonts w:cstheme="minorHAnsi"/>
          <w:sz w:val="24"/>
          <w:szCs w:val="24"/>
        </w:rPr>
        <w:t>interested</w:t>
      </w:r>
      <w:r w:rsidR="00861E60" w:rsidRPr="00685F3A">
        <w:rPr>
          <w:rFonts w:cstheme="minorHAnsi"/>
          <w:sz w:val="24"/>
          <w:szCs w:val="24"/>
        </w:rPr>
        <w:t xml:space="preserve"> with employment </w:t>
      </w:r>
      <w:r w:rsidR="00646503" w:rsidRPr="00685F3A">
        <w:rPr>
          <w:rFonts w:cstheme="minorHAnsi"/>
          <w:sz w:val="24"/>
          <w:szCs w:val="24"/>
        </w:rPr>
        <w:t>opportunities</w:t>
      </w:r>
      <w:r w:rsidR="00861E60" w:rsidRPr="00685F3A">
        <w:rPr>
          <w:rFonts w:cstheme="minorHAnsi"/>
          <w:sz w:val="24"/>
          <w:szCs w:val="24"/>
        </w:rPr>
        <w:t xml:space="preserve"> and the generation of revenue, which subsequently leads to local tax contributions. The government has a vested interest in aspects such as employment, innovation, exporting activities, and the company's contribution to the national Gross Domestic Product (GDP).</w:t>
      </w:r>
    </w:p>
    <w:p w14:paraId="3CA05716" w14:textId="16BCFCFA" w:rsidR="006429A9" w:rsidRPr="00685F3A" w:rsidRDefault="00607A2B" w:rsidP="00754D85">
      <w:pPr>
        <w:spacing w:after="0"/>
        <w:ind w:firstLine="720"/>
        <w:jc w:val="both"/>
        <w:rPr>
          <w:rFonts w:cstheme="minorHAnsi"/>
          <w:sz w:val="24"/>
          <w:szCs w:val="24"/>
        </w:rPr>
      </w:pPr>
      <w:r w:rsidRPr="00685F3A">
        <w:rPr>
          <w:rFonts w:cstheme="minorHAnsi"/>
          <w:sz w:val="24"/>
          <w:szCs w:val="24"/>
        </w:rPr>
        <w:t xml:space="preserve">Suppliers, bottling partners, franchisors, investors, and customers hold </w:t>
      </w:r>
      <w:r w:rsidR="000443D5" w:rsidRPr="00685F3A">
        <w:rPr>
          <w:rFonts w:cstheme="minorHAnsi"/>
          <w:sz w:val="24"/>
          <w:szCs w:val="24"/>
        </w:rPr>
        <w:t>major influence</w:t>
      </w:r>
      <w:r w:rsidRPr="00685F3A">
        <w:rPr>
          <w:rFonts w:cstheme="minorHAnsi"/>
          <w:sz w:val="24"/>
          <w:szCs w:val="24"/>
        </w:rPr>
        <w:t xml:space="preserve"> and have a strong interest in the company. According to the CCEP Integrated Report (2022), these stakeholders play a crucial role in creating value for the company through their involvement in manufacturing, selling, and distributing Coca-Cola products. Shareholders have both high influence and high interest in the company. They invest their money in Coca-Cola Enterprises and hold the management accountable for financial performance and key environmental, social, and governance (ESG) issues. Similarly, franchisors have high influence and high interest as they are </w:t>
      </w:r>
      <w:r w:rsidR="00600CFD">
        <w:rPr>
          <w:rFonts w:cstheme="minorHAnsi"/>
          <w:sz w:val="24"/>
          <w:szCs w:val="24"/>
        </w:rPr>
        <w:t>accountable</w:t>
      </w:r>
      <w:r w:rsidR="0030043B" w:rsidRPr="00685F3A">
        <w:rPr>
          <w:rFonts w:cstheme="minorHAnsi"/>
          <w:sz w:val="24"/>
          <w:szCs w:val="24"/>
        </w:rPr>
        <w:t xml:space="preserve"> </w:t>
      </w:r>
      <w:r w:rsidR="00600CFD">
        <w:rPr>
          <w:rFonts w:cstheme="minorHAnsi"/>
          <w:sz w:val="24"/>
          <w:szCs w:val="24"/>
        </w:rPr>
        <w:t xml:space="preserve">for </w:t>
      </w:r>
      <w:r w:rsidR="00620B61" w:rsidRPr="00685F3A">
        <w:rPr>
          <w:rFonts w:cstheme="minorHAnsi"/>
          <w:sz w:val="24"/>
          <w:szCs w:val="24"/>
        </w:rPr>
        <w:t>selling and</w:t>
      </w:r>
      <w:r w:rsidRPr="00685F3A">
        <w:rPr>
          <w:rFonts w:cstheme="minorHAnsi"/>
          <w:sz w:val="24"/>
          <w:szCs w:val="24"/>
        </w:rPr>
        <w:t xml:space="preserve"> distributing Coca-Cola products. Customers also hold high influence and high interest as they are the ones who sell Coca-Cola products to consumers. Furthermore, suppliers play a vital role with their high influence and high interest in providing various commodities and services, including ingredients, packaging, utilities, equipment, facilities management, fleet, logistics, and information technology.</w:t>
      </w:r>
      <w:r w:rsidR="000E20B5" w:rsidRPr="00685F3A">
        <w:rPr>
          <w:rFonts w:cstheme="minorHAnsi"/>
          <w:sz w:val="24"/>
          <w:szCs w:val="24"/>
        </w:rPr>
        <w:t xml:space="preserve"> On the other hand, employees, could have high influence and high interest </w:t>
      </w:r>
      <w:r w:rsidR="00773B26" w:rsidRPr="00685F3A">
        <w:rPr>
          <w:rFonts w:cstheme="minorHAnsi"/>
          <w:sz w:val="24"/>
          <w:szCs w:val="24"/>
        </w:rPr>
        <w:t xml:space="preserve">according </w:t>
      </w:r>
      <w:r w:rsidR="00620B61" w:rsidRPr="00685F3A">
        <w:rPr>
          <w:rFonts w:cstheme="minorHAnsi"/>
          <w:sz w:val="24"/>
          <w:szCs w:val="24"/>
        </w:rPr>
        <w:t>to</w:t>
      </w:r>
      <w:r w:rsidR="00074D4B">
        <w:rPr>
          <w:rFonts w:cstheme="minorHAnsi"/>
          <w:sz w:val="24"/>
          <w:szCs w:val="24"/>
        </w:rPr>
        <w:t xml:space="preserve"> </w:t>
      </w:r>
      <w:r w:rsidR="00074D4B" w:rsidRPr="00074D4B">
        <w:rPr>
          <w:rFonts w:cstheme="minorHAnsi"/>
          <w:sz w:val="24"/>
          <w:szCs w:val="24"/>
        </w:rPr>
        <w:t>Brondoni (2020)</w:t>
      </w:r>
      <w:r w:rsidR="00773B26" w:rsidRPr="00685F3A">
        <w:rPr>
          <w:rFonts w:cstheme="minorHAnsi"/>
          <w:sz w:val="24"/>
          <w:szCs w:val="24"/>
        </w:rPr>
        <w:t xml:space="preserve"> </w:t>
      </w:r>
      <w:r w:rsidR="00AC4BC7" w:rsidRPr="00685F3A">
        <w:rPr>
          <w:rFonts w:cstheme="minorHAnsi"/>
          <w:sz w:val="24"/>
          <w:szCs w:val="24"/>
        </w:rPr>
        <w:t xml:space="preserve">that </w:t>
      </w:r>
      <w:r w:rsidR="00773B26" w:rsidRPr="00685F3A">
        <w:rPr>
          <w:rFonts w:cstheme="minorHAnsi"/>
          <w:sz w:val="24"/>
          <w:szCs w:val="24"/>
        </w:rPr>
        <w:t>depend</w:t>
      </w:r>
      <w:r w:rsidR="00AC4BC7" w:rsidRPr="00685F3A">
        <w:rPr>
          <w:rFonts w:cstheme="minorHAnsi"/>
          <w:sz w:val="24"/>
          <w:szCs w:val="24"/>
        </w:rPr>
        <w:t>s</w:t>
      </w:r>
      <w:r w:rsidR="00773B26" w:rsidRPr="00685F3A">
        <w:rPr>
          <w:rFonts w:cstheme="minorHAnsi"/>
          <w:sz w:val="24"/>
          <w:szCs w:val="24"/>
        </w:rPr>
        <w:t xml:space="preserve"> on its position in the business, for example the board directors</w:t>
      </w:r>
      <w:r w:rsidR="001711A4" w:rsidRPr="00685F3A">
        <w:rPr>
          <w:rFonts w:cstheme="minorHAnsi"/>
          <w:sz w:val="24"/>
          <w:szCs w:val="24"/>
        </w:rPr>
        <w:t xml:space="preserve"> would have high influence and high interest due to </w:t>
      </w:r>
      <w:r w:rsidR="00AC4BC7" w:rsidRPr="00685F3A">
        <w:rPr>
          <w:rFonts w:cstheme="minorHAnsi"/>
          <w:sz w:val="24"/>
          <w:szCs w:val="24"/>
        </w:rPr>
        <w:t xml:space="preserve">their investment in the company. </w:t>
      </w:r>
    </w:p>
    <w:p w14:paraId="22B8C793" w14:textId="6540552F" w:rsidR="00675A5E" w:rsidRPr="00685F3A" w:rsidRDefault="00675A5E" w:rsidP="00A56B82">
      <w:pPr>
        <w:spacing w:after="0"/>
        <w:jc w:val="both"/>
        <w:rPr>
          <w:rFonts w:cstheme="minorHAnsi"/>
          <w:sz w:val="24"/>
          <w:szCs w:val="24"/>
        </w:rPr>
      </w:pPr>
      <w:r w:rsidRPr="00685F3A">
        <w:rPr>
          <w:rFonts w:cstheme="minorHAnsi"/>
          <w:sz w:val="24"/>
          <w:szCs w:val="24"/>
        </w:rPr>
        <w:t xml:space="preserve">Please see </w:t>
      </w:r>
      <w:r w:rsidR="00E6415C" w:rsidRPr="00685F3A">
        <w:rPr>
          <w:rFonts w:cstheme="minorHAnsi"/>
          <w:b/>
          <w:bCs/>
          <w:sz w:val="24"/>
          <w:szCs w:val="24"/>
        </w:rPr>
        <w:t>A</w:t>
      </w:r>
      <w:r w:rsidRPr="00685F3A">
        <w:rPr>
          <w:rFonts w:cstheme="minorHAnsi"/>
          <w:b/>
          <w:bCs/>
          <w:sz w:val="24"/>
          <w:szCs w:val="24"/>
        </w:rPr>
        <w:t>ppendix F</w:t>
      </w:r>
      <w:r w:rsidRPr="00685F3A">
        <w:rPr>
          <w:rFonts w:cstheme="minorHAnsi"/>
          <w:sz w:val="24"/>
          <w:szCs w:val="24"/>
        </w:rPr>
        <w:t xml:space="preserve"> for further information on stakeholder analysis</w:t>
      </w:r>
      <w:r w:rsidR="00A859CE" w:rsidRPr="00685F3A">
        <w:rPr>
          <w:rFonts w:cstheme="minorHAnsi"/>
          <w:sz w:val="24"/>
          <w:szCs w:val="24"/>
        </w:rPr>
        <w:t>.</w:t>
      </w:r>
    </w:p>
    <w:p w14:paraId="5106778F" w14:textId="77777777" w:rsidR="003448E2" w:rsidRDefault="007D1560" w:rsidP="00B37E39">
      <w:pPr>
        <w:pStyle w:val="Heading2"/>
        <w:jc w:val="both"/>
        <w:rPr>
          <w:rFonts w:asciiTheme="minorHAnsi" w:hAnsiTheme="minorHAnsi" w:cstheme="minorHAnsi"/>
          <w:i/>
          <w:iCs/>
          <w:sz w:val="24"/>
          <w:szCs w:val="24"/>
        </w:rPr>
      </w:pPr>
      <w:bookmarkStart w:id="12" w:name="_Toc139411113"/>
      <w:r w:rsidRPr="00685F3A">
        <w:rPr>
          <w:rFonts w:asciiTheme="minorHAnsi" w:hAnsiTheme="minorHAnsi" w:cstheme="minorHAnsi"/>
          <w:sz w:val="24"/>
          <w:szCs w:val="24"/>
        </w:rPr>
        <w:lastRenderedPageBreak/>
        <w:t xml:space="preserve">2.8 </w:t>
      </w:r>
      <w:r w:rsidRPr="00685F3A">
        <w:rPr>
          <w:rFonts w:asciiTheme="minorHAnsi" w:hAnsiTheme="minorHAnsi" w:cstheme="minorHAnsi"/>
          <w:i/>
          <w:iCs/>
          <w:sz w:val="24"/>
          <w:szCs w:val="24"/>
        </w:rPr>
        <w:t>Market Forces</w:t>
      </w:r>
      <w:bookmarkEnd w:id="12"/>
    </w:p>
    <w:p w14:paraId="648CEBBA" w14:textId="77777777" w:rsidR="002E1133" w:rsidRDefault="007D1560" w:rsidP="002E1133">
      <w:pPr>
        <w:ind w:firstLine="720"/>
        <w:jc w:val="both"/>
        <w:rPr>
          <w:rFonts w:cstheme="minorHAnsi"/>
          <w:sz w:val="24"/>
          <w:szCs w:val="24"/>
        </w:rPr>
      </w:pPr>
      <w:r w:rsidRPr="00685F3A">
        <w:rPr>
          <w:rFonts w:cstheme="minorHAnsi"/>
          <w:sz w:val="24"/>
          <w:szCs w:val="24"/>
        </w:rPr>
        <w:t xml:space="preserve"> </w:t>
      </w:r>
      <w:r w:rsidR="003448E2" w:rsidRPr="003448E2">
        <w:rPr>
          <w:rFonts w:cstheme="minorHAnsi"/>
          <w:sz w:val="24"/>
          <w:szCs w:val="24"/>
        </w:rPr>
        <w:t>Based on an analysis of various models including SWOT, PESTLE, BCG, Five Forces, and stakeholder analysis, Coca-Cola is influenced by a range of factors that impact its strategic decisions. These factors include market trends, consumer preferences, competition, regulations, technological advancements, and sustainability goals.</w:t>
      </w:r>
      <w:r w:rsidR="003448E2">
        <w:rPr>
          <w:rFonts w:cstheme="minorHAnsi"/>
          <w:sz w:val="24"/>
          <w:szCs w:val="24"/>
        </w:rPr>
        <w:t xml:space="preserve"> </w:t>
      </w:r>
      <w:r w:rsidR="003448E2" w:rsidRPr="003448E2">
        <w:rPr>
          <w:rFonts w:cstheme="minorHAnsi"/>
          <w:sz w:val="24"/>
          <w:szCs w:val="24"/>
        </w:rPr>
        <w:t xml:space="preserve">Coca-Cola strives to align its strategies with evolving consumer demands, ensuring it stays competitive in the market, complies with regulations, embraces emerging technologies, adopts sustainable practices, and achieves financial growth and profitability. </w:t>
      </w:r>
    </w:p>
    <w:p w14:paraId="4BF1C6C0" w14:textId="03FEE467" w:rsidR="007D1560" w:rsidRPr="00685F3A" w:rsidRDefault="003448E2" w:rsidP="002E1133">
      <w:pPr>
        <w:ind w:firstLine="720"/>
        <w:jc w:val="both"/>
        <w:rPr>
          <w:rFonts w:cstheme="minorHAnsi"/>
          <w:sz w:val="24"/>
          <w:szCs w:val="24"/>
        </w:rPr>
      </w:pPr>
      <w:r w:rsidRPr="003448E2">
        <w:rPr>
          <w:rFonts w:cstheme="minorHAnsi"/>
          <w:sz w:val="24"/>
          <w:szCs w:val="24"/>
        </w:rPr>
        <w:t>As the market leader, Coca-Cola is driven by its strong market position, the growing demand for healthier beverage options, the impact of environmental climate change, and the goal of reaching a wider consumer base.</w:t>
      </w:r>
      <w:r>
        <w:rPr>
          <w:rFonts w:cstheme="minorHAnsi"/>
          <w:sz w:val="24"/>
          <w:szCs w:val="24"/>
        </w:rPr>
        <w:t xml:space="preserve"> </w:t>
      </w:r>
      <w:r w:rsidRPr="003448E2">
        <w:rPr>
          <w:rFonts w:cstheme="minorHAnsi"/>
          <w:sz w:val="24"/>
          <w:szCs w:val="24"/>
        </w:rPr>
        <w:t>The company could leverage its weakness regarding health concerns and transform it into an advantage, considering the high demand for healthier drinks. By addressing these concerns and offering healthier beverage options, Coca-Cola can tap into this market demand and enhance its competitive position.</w:t>
      </w:r>
      <w:r w:rsidR="00686591">
        <w:rPr>
          <w:rFonts w:cstheme="minorHAnsi"/>
          <w:sz w:val="24"/>
          <w:szCs w:val="24"/>
        </w:rPr>
        <w:t xml:space="preserve"> </w:t>
      </w:r>
      <w:r w:rsidRPr="003448E2">
        <w:rPr>
          <w:rFonts w:cstheme="minorHAnsi"/>
          <w:sz w:val="24"/>
          <w:szCs w:val="24"/>
        </w:rPr>
        <w:t>Coca-Cola's strategic approach is guided by a comprehensive analysis of multiple factors, allowing the company to adapt to changing market dynamics, meet consumer expectations, and achieve sustainable growth in a highly competitive industry.</w:t>
      </w:r>
    </w:p>
    <w:p w14:paraId="47BF18F2" w14:textId="7A7B8AEA" w:rsidR="007D1560" w:rsidRPr="00685F3A" w:rsidRDefault="007D1560" w:rsidP="00B37E39">
      <w:pPr>
        <w:pStyle w:val="Heading2"/>
        <w:jc w:val="both"/>
        <w:rPr>
          <w:rFonts w:asciiTheme="minorHAnsi" w:hAnsiTheme="minorHAnsi" w:cstheme="minorHAnsi"/>
          <w:i/>
          <w:iCs/>
          <w:sz w:val="24"/>
          <w:szCs w:val="24"/>
        </w:rPr>
      </w:pPr>
      <w:bookmarkStart w:id="13" w:name="_Toc139411114"/>
      <w:r w:rsidRPr="00685F3A">
        <w:rPr>
          <w:rFonts w:asciiTheme="minorHAnsi" w:hAnsiTheme="minorHAnsi" w:cstheme="minorHAnsi"/>
          <w:sz w:val="24"/>
          <w:szCs w:val="24"/>
        </w:rPr>
        <w:t xml:space="preserve">2.9 </w:t>
      </w:r>
      <w:r w:rsidRPr="00685F3A">
        <w:rPr>
          <w:rFonts w:asciiTheme="minorHAnsi" w:hAnsiTheme="minorHAnsi" w:cstheme="minorHAnsi"/>
          <w:i/>
          <w:iCs/>
          <w:sz w:val="24"/>
          <w:szCs w:val="24"/>
        </w:rPr>
        <w:t>Coca-Cola Strategy</w:t>
      </w:r>
      <w:bookmarkEnd w:id="13"/>
    </w:p>
    <w:p w14:paraId="315024A6" w14:textId="77777777" w:rsidR="00CE3BC9" w:rsidRDefault="00791AEA" w:rsidP="00CE3BC9">
      <w:pPr>
        <w:ind w:firstLine="720"/>
        <w:jc w:val="both"/>
        <w:rPr>
          <w:rFonts w:cstheme="minorHAnsi"/>
          <w:sz w:val="24"/>
          <w:szCs w:val="24"/>
        </w:rPr>
      </w:pPr>
      <w:r w:rsidRPr="00791AEA">
        <w:rPr>
          <w:rFonts w:cstheme="minorHAnsi"/>
          <w:sz w:val="24"/>
          <w:szCs w:val="24"/>
        </w:rPr>
        <w:t>According to</w:t>
      </w:r>
      <w:r w:rsidR="00AF67D3" w:rsidRPr="00AF67D3">
        <w:t xml:space="preserve"> </w:t>
      </w:r>
      <w:r w:rsidR="00AF67D3" w:rsidRPr="00AF67D3">
        <w:rPr>
          <w:rFonts w:cstheme="minorHAnsi"/>
          <w:sz w:val="24"/>
          <w:szCs w:val="24"/>
        </w:rPr>
        <w:t>The Coca-Cola Company (2023b)</w:t>
      </w:r>
      <w:r w:rsidR="000E7A8A">
        <w:rPr>
          <w:rFonts w:cstheme="minorHAnsi"/>
          <w:sz w:val="24"/>
          <w:szCs w:val="24"/>
        </w:rPr>
        <w:t>, t</w:t>
      </w:r>
      <w:r w:rsidRPr="00791AEA">
        <w:rPr>
          <w:rFonts w:cstheme="minorHAnsi"/>
          <w:sz w:val="24"/>
          <w:szCs w:val="24"/>
        </w:rPr>
        <w:t>he main objective is to utili</w:t>
      </w:r>
      <w:r w:rsidR="001E7716">
        <w:rPr>
          <w:rFonts w:cstheme="minorHAnsi"/>
          <w:sz w:val="24"/>
          <w:szCs w:val="24"/>
        </w:rPr>
        <w:t>s</w:t>
      </w:r>
      <w:r w:rsidRPr="00791AEA">
        <w:rPr>
          <w:rFonts w:cstheme="minorHAnsi"/>
          <w:sz w:val="24"/>
          <w:szCs w:val="24"/>
        </w:rPr>
        <w:t>e the growth strategy effectively to enhance profitability and achieve maximum returns. This involves allocating resources, expanding margins, and optimi</w:t>
      </w:r>
      <w:r w:rsidR="000E7A8A">
        <w:rPr>
          <w:rFonts w:cstheme="minorHAnsi"/>
          <w:sz w:val="24"/>
          <w:szCs w:val="24"/>
        </w:rPr>
        <w:t>s</w:t>
      </w:r>
      <w:r w:rsidRPr="00791AEA">
        <w:rPr>
          <w:rFonts w:cstheme="minorHAnsi"/>
          <w:sz w:val="24"/>
          <w:szCs w:val="24"/>
        </w:rPr>
        <w:t>ing assets to generate strong cash flow. The focus is on balancing short-term profitability with long-term growth by making strategic investments.</w:t>
      </w:r>
      <w:r w:rsidR="00414FEC">
        <w:rPr>
          <w:rFonts w:cstheme="minorHAnsi"/>
          <w:sz w:val="24"/>
          <w:szCs w:val="24"/>
        </w:rPr>
        <w:t xml:space="preserve"> </w:t>
      </w:r>
      <w:r w:rsidR="00203A2C" w:rsidRPr="00203A2C">
        <w:rPr>
          <w:rFonts w:cstheme="minorHAnsi"/>
          <w:sz w:val="24"/>
          <w:szCs w:val="24"/>
        </w:rPr>
        <w:t xml:space="preserve">Hence, Coca-Cola employs a deliberate strategy, leveraging its established market position to enhance its products, brand, and services for consumers. This includes introducing new products and implementing a comprehensive marketing strategy to promote all its </w:t>
      </w:r>
      <w:r w:rsidR="00CE3BC9" w:rsidRPr="00203A2C">
        <w:rPr>
          <w:rFonts w:cstheme="minorHAnsi"/>
          <w:sz w:val="24"/>
          <w:szCs w:val="24"/>
        </w:rPr>
        <w:t>offerings</w:t>
      </w:r>
      <w:r w:rsidR="00CE3BC9">
        <w:rPr>
          <w:rFonts w:cstheme="minorHAnsi"/>
          <w:sz w:val="24"/>
          <w:szCs w:val="24"/>
        </w:rPr>
        <w:t>. At</w:t>
      </w:r>
      <w:r w:rsidR="00802190">
        <w:rPr>
          <w:rFonts w:cstheme="minorHAnsi"/>
          <w:sz w:val="24"/>
          <w:szCs w:val="24"/>
        </w:rPr>
        <w:t xml:space="preserve"> the business level </w:t>
      </w:r>
      <w:r w:rsidR="00D80F0F">
        <w:rPr>
          <w:rFonts w:cstheme="minorHAnsi"/>
          <w:sz w:val="24"/>
          <w:szCs w:val="24"/>
        </w:rPr>
        <w:t xml:space="preserve">Coca-Cola </w:t>
      </w:r>
      <w:r w:rsidR="00203A2C" w:rsidRPr="00203A2C">
        <w:rPr>
          <w:rFonts w:cstheme="minorHAnsi"/>
          <w:sz w:val="24"/>
          <w:szCs w:val="24"/>
        </w:rPr>
        <w:t xml:space="preserve">adopts a broad differentiation strategy, </w:t>
      </w:r>
      <w:r w:rsidR="00F53D40">
        <w:rPr>
          <w:rFonts w:cstheme="minorHAnsi"/>
          <w:sz w:val="24"/>
          <w:szCs w:val="24"/>
        </w:rPr>
        <w:t xml:space="preserve">giving </w:t>
      </w:r>
      <w:r w:rsidR="00106406">
        <w:rPr>
          <w:rFonts w:cstheme="minorHAnsi"/>
          <w:sz w:val="24"/>
          <w:szCs w:val="24"/>
        </w:rPr>
        <w:t xml:space="preserve">the </w:t>
      </w:r>
      <w:r w:rsidR="00D80F0F">
        <w:rPr>
          <w:rFonts w:cstheme="minorHAnsi"/>
          <w:sz w:val="24"/>
          <w:szCs w:val="24"/>
        </w:rPr>
        <w:t>company</w:t>
      </w:r>
      <w:r w:rsidR="00203A2C" w:rsidRPr="00203A2C">
        <w:rPr>
          <w:rFonts w:cstheme="minorHAnsi"/>
          <w:sz w:val="24"/>
          <w:szCs w:val="24"/>
        </w:rPr>
        <w:t xml:space="preserve"> competitive </w:t>
      </w:r>
      <w:r w:rsidR="00DC5A37" w:rsidRPr="00203A2C">
        <w:rPr>
          <w:rFonts w:cstheme="minorHAnsi"/>
          <w:sz w:val="24"/>
          <w:szCs w:val="24"/>
        </w:rPr>
        <w:t>edge</w:t>
      </w:r>
      <w:r w:rsidR="00CE3BC9" w:rsidRPr="00203A2C">
        <w:rPr>
          <w:rFonts w:cstheme="minorHAnsi"/>
          <w:sz w:val="24"/>
          <w:szCs w:val="24"/>
        </w:rPr>
        <w:t xml:space="preserve">. </w:t>
      </w:r>
    </w:p>
    <w:p w14:paraId="17EE5758" w14:textId="65E585F0" w:rsidR="00C43223" w:rsidRPr="00685F3A" w:rsidRDefault="00CE3BC9" w:rsidP="00CE3BC9">
      <w:pPr>
        <w:ind w:firstLine="720"/>
        <w:jc w:val="both"/>
        <w:rPr>
          <w:rFonts w:cstheme="minorHAnsi"/>
          <w:sz w:val="24"/>
          <w:szCs w:val="24"/>
        </w:rPr>
      </w:pPr>
      <w:r>
        <w:rPr>
          <w:rFonts w:cstheme="minorHAnsi"/>
          <w:sz w:val="24"/>
          <w:szCs w:val="24"/>
        </w:rPr>
        <w:t>Furthermore,</w:t>
      </w:r>
      <w:r w:rsidRPr="0050015C">
        <w:t xml:space="preserve"> </w:t>
      </w:r>
      <w:r w:rsidRPr="0050015C">
        <w:rPr>
          <w:rFonts w:cstheme="minorHAnsi"/>
          <w:sz w:val="24"/>
          <w:szCs w:val="24"/>
        </w:rPr>
        <w:t>Dieffenbacher (2023)</w:t>
      </w:r>
      <w:r>
        <w:rPr>
          <w:rFonts w:cstheme="minorHAnsi"/>
          <w:sz w:val="24"/>
          <w:szCs w:val="24"/>
        </w:rPr>
        <w:t xml:space="preserve">states that </w:t>
      </w:r>
      <w:r w:rsidRPr="0069298C">
        <w:rPr>
          <w:rFonts w:cstheme="minorHAnsi"/>
          <w:sz w:val="24"/>
          <w:szCs w:val="24"/>
        </w:rPr>
        <w:t>Business Level Strategy refers to the strategic planning undertaken by a business unit to establish a framework for generating value for its customers in a way that sets it apart from competitors. The primary aim of Business Level Strategy is to attain a durable competitive advantage and thrive in the market by executing the devised plan effectively.</w:t>
      </w:r>
    </w:p>
    <w:p w14:paraId="230D781D" w14:textId="29B76054" w:rsidR="00F44519" w:rsidRPr="00685F3A" w:rsidRDefault="007D1560" w:rsidP="00B37E39">
      <w:pPr>
        <w:pStyle w:val="Heading3"/>
        <w:jc w:val="both"/>
        <w:rPr>
          <w:rFonts w:asciiTheme="minorHAnsi" w:hAnsiTheme="minorHAnsi" w:cstheme="minorHAnsi"/>
          <w:i/>
          <w:iCs/>
        </w:rPr>
      </w:pPr>
      <w:bookmarkStart w:id="14" w:name="_Toc139411115"/>
      <w:r w:rsidRPr="00685F3A">
        <w:rPr>
          <w:rFonts w:asciiTheme="minorHAnsi" w:hAnsiTheme="minorHAnsi" w:cstheme="minorHAnsi"/>
        </w:rPr>
        <w:t xml:space="preserve">2.9.1 </w:t>
      </w:r>
      <w:r w:rsidRPr="00685F3A">
        <w:rPr>
          <w:rFonts w:asciiTheme="minorHAnsi" w:hAnsiTheme="minorHAnsi" w:cstheme="minorHAnsi"/>
          <w:i/>
          <w:iCs/>
        </w:rPr>
        <w:t>Advantages and disadvantages of Coca-Cola current strategy</w:t>
      </w:r>
      <w:bookmarkEnd w:id="14"/>
    </w:p>
    <w:p w14:paraId="6AF7A063" w14:textId="3E28CEC8" w:rsidR="00F54FA4" w:rsidRDefault="00545EB2" w:rsidP="00545EB2">
      <w:pPr>
        <w:jc w:val="both"/>
        <w:rPr>
          <w:rFonts w:cstheme="minorHAnsi"/>
          <w:sz w:val="24"/>
          <w:szCs w:val="24"/>
        </w:rPr>
      </w:pPr>
      <w:r w:rsidRPr="00203A2C">
        <w:rPr>
          <w:rFonts w:cstheme="minorHAnsi"/>
          <w:sz w:val="24"/>
          <w:szCs w:val="24"/>
        </w:rPr>
        <w:t xml:space="preserve">Stobierski (2020) </w:t>
      </w:r>
      <w:r>
        <w:rPr>
          <w:rFonts w:cstheme="minorHAnsi"/>
          <w:sz w:val="24"/>
          <w:szCs w:val="24"/>
        </w:rPr>
        <w:t>states that an advantage of</w:t>
      </w:r>
      <w:r w:rsidRPr="00203A2C">
        <w:rPr>
          <w:rFonts w:cstheme="minorHAnsi"/>
          <w:sz w:val="24"/>
          <w:szCs w:val="24"/>
        </w:rPr>
        <w:t xml:space="preserve"> the use of deliberate strategy </w:t>
      </w:r>
      <w:r w:rsidR="00FA449A">
        <w:rPr>
          <w:rFonts w:cstheme="minorHAnsi"/>
          <w:sz w:val="24"/>
          <w:szCs w:val="24"/>
        </w:rPr>
        <w:t>is that</w:t>
      </w:r>
      <w:r w:rsidRPr="00203A2C">
        <w:rPr>
          <w:rFonts w:cstheme="minorHAnsi"/>
          <w:sz w:val="24"/>
          <w:szCs w:val="24"/>
        </w:rPr>
        <w:t xml:space="preserve"> allows the company to plan</w:t>
      </w:r>
      <w:r>
        <w:rPr>
          <w:rFonts w:cstheme="minorHAnsi"/>
          <w:sz w:val="24"/>
          <w:szCs w:val="24"/>
        </w:rPr>
        <w:t xml:space="preserve"> its strategy</w:t>
      </w:r>
      <w:r w:rsidRPr="00203A2C">
        <w:rPr>
          <w:rFonts w:cstheme="minorHAnsi"/>
          <w:sz w:val="24"/>
          <w:szCs w:val="24"/>
        </w:rPr>
        <w:t>. According to The Coca-Cola Company (2023b), the company's long-term objectives encompass substantial revenue growth of 4% to 6%, optimi</w:t>
      </w:r>
      <w:r w:rsidR="00FA449A">
        <w:rPr>
          <w:rFonts w:cstheme="minorHAnsi"/>
          <w:sz w:val="24"/>
          <w:szCs w:val="24"/>
        </w:rPr>
        <w:t>s</w:t>
      </w:r>
      <w:r w:rsidRPr="00203A2C">
        <w:rPr>
          <w:rFonts w:cstheme="minorHAnsi"/>
          <w:sz w:val="24"/>
          <w:szCs w:val="24"/>
        </w:rPr>
        <w:t>ing operational efficiency to achieve 6% to 8% growth in operating income, driving significant EPS growth, and enhancing free cash flow conversion.</w:t>
      </w:r>
      <w:r>
        <w:rPr>
          <w:rFonts w:cstheme="minorHAnsi"/>
          <w:sz w:val="24"/>
          <w:szCs w:val="24"/>
        </w:rPr>
        <w:t xml:space="preserve"> </w:t>
      </w:r>
      <w:r w:rsidRPr="0051188F">
        <w:rPr>
          <w:rFonts w:cstheme="minorHAnsi"/>
          <w:sz w:val="24"/>
          <w:szCs w:val="24"/>
        </w:rPr>
        <w:t>Additionally, Stobierski (2020) suggests that this strategy is more suitable for a company that has attained a certain level of maturity and stability. At this stage, the company can transition from a focus on survival to a focus on growth.</w:t>
      </w:r>
      <w:r w:rsidR="00686591">
        <w:rPr>
          <w:rFonts w:cstheme="minorHAnsi"/>
          <w:sz w:val="24"/>
          <w:szCs w:val="24"/>
        </w:rPr>
        <w:t xml:space="preserve"> </w:t>
      </w:r>
      <w:r w:rsidR="00744388">
        <w:rPr>
          <w:rFonts w:cstheme="minorHAnsi"/>
          <w:sz w:val="24"/>
          <w:szCs w:val="24"/>
        </w:rPr>
        <w:t>For instance , Coca-Cola is well established on the market</w:t>
      </w:r>
      <w:r w:rsidR="00D10F5D">
        <w:rPr>
          <w:rFonts w:cstheme="minorHAnsi"/>
          <w:sz w:val="24"/>
          <w:szCs w:val="24"/>
        </w:rPr>
        <w:t xml:space="preserve">. However, due to economy and political environment uncertainty </w:t>
      </w:r>
      <w:r w:rsidR="009801BB">
        <w:rPr>
          <w:rFonts w:cstheme="minorHAnsi"/>
          <w:sz w:val="24"/>
          <w:szCs w:val="24"/>
        </w:rPr>
        <w:t xml:space="preserve">Coca-Cola could face a market decline in the future. </w:t>
      </w:r>
    </w:p>
    <w:p w14:paraId="6196BE98" w14:textId="6F1AB0DF" w:rsidR="008249F3" w:rsidRDefault="008249F3">
      <w:pPr>
        <w:rPr>
          <w:rFonts w:cstheme="minorHAnsi"/>
          <w:sz w:val="24"/>
          <w:szCs w:val="24"/>
        </w:rPr>
      </w:pPr>
      <w:r>
        <w:rPr>
          <w:rFonts w:cstheme="minorHAnsi"/>
          <w:sz w:val="24"/>
          <w:szCs w:val="24"/>
        </w:rPr>
        <w:br w:type="page"/>
      </w:r>
    </w:p>
    <w:p w14:paraId="6E004B2D" w14:textId="77777777" w:rsidR="008249F3" w:rsidRPr="00685F3A" w:rsidRDefault="008249F3" w:rsidP="00545EB2">
      <w:pPr>
        <w:jc w:val="both"/>
        <w:rPr>
          <w:rFonts w:cstheme="minorHAnsi"/>
          <w:sz w:val="24"/>
          <w:szCs w:val="24"/>
        </w:rPr>
      </w:pPr>
    </w:p>
    <w:p w14:paraId="464DE9D9" w14:textId="70362A59" w:rsidR="007D1560" w:rsidRPr="00685F3A" w:rsidRDefault="007D1560" w:rsidP="00B37E39">
      <w:pPr>
        <w:pStyle w:val="Heading1"/>
        <w:jc w:val="both"/>
        <w:rPr>
          <w:rFonts w:asciiTheme="minorHAnsi" w:hAnsiTheme="minorHAnsi" w:cstheme="minorHAnsi"/>
          <w:sz w:val="24"/>
          <w:szCs w:val="24"/>
        </w:rPr>
      </w:pPr>
      <w:bookmarkStart w:id="15" w:name="_Toc139411116"/>
      <w:r w:rsidRPr="00685F3A">
        <w:rPr>
          <w:rFonts w:asciiTheme="minorHAnsi" w:hAnsiTheme="minorHAnsi" w:cstheme="minorHAnsi"/>
          <w:sz w:val="24"/>
          <w:szCs w:val="24"/>
        </w:rPr>
        <w:t>3.0 Conclusion</w:t>
      </w:r>
      <w:bookmarkEnd w:id="15"/>
    </w:p>
    <w:p w14:paraId="1FE8F247" w14:textId="77777777" w:rsidR="00223311" w:rsidRDefault="00BB3B9C" w:rsidP="006C07B4">
      <w:pPr>
        <w:jc w:val="both"/>
        <w:rPr>
          <w:rFonts w:ascii="Segoe UI" w:hAnsi="Segoe UI" w:cs="Segoe UI"/>
          <w:color w:val="D1D5DB"/>
          <w:shd w:val="clear" w:color="auto" w:fill="444654"/>
        </w:rPr>
      </w:pPr>
      <w:r w:rsidRPr="00BB3B9C">
        <w:rPr>
          <w:rFonts w:cstheme="minorHAnsi"/>
          <w:sz w:val="24"/>
          <w:szCs w:val="24"/>
        </w:rPr>
        <w:t>Coca-Cola successful strategy in today’s environmen</w:t>
      </w:r>
      <w:r>
        <w:rPr>
          <w:rFonts w:cstheme="minorHAnsi"/>
          <w:sz w:val="24"/>
          <w:szCs w:val="24"/>
        </w:rPr>
        <w:t>t could be attributed to the effective use of two key models, SWOT analysis and the BCG</w:t>
      </w:r>
      <w:r w:rsidR="00AC6B8D">
        <w:rPr>
          <w:rFonts w:cstheme="minorHAnsi"/>
          <w:sz w:val="24"/>
          <w:szCs w:val="24"/>
        </w:rPr>
        <w:t>(Boston Consulting Group) model, to analyse its internal and external environments. The SWOT ana</w:t>
      </w:r>
      <w:r w:rsidR="00042119">
        <w:rPr>
          <w:rFonts w:cstheme="minorHAnsi"/>
          <w:sz w:val="24"/>
          <w:szCs w:val="24"/>
        </w:rPr>
        <w:t>lysis has played a significant role in identifying Coca-Cola strength</w:t>
      </w:r>
      <w:r w:rsidR="00AD4224">
        <w:rPr>
          <w:rFonts w:cstheme="minorHAnsi"/>
          <w:sz w:val="24"/>
          <w:szCs w:val="24"/>
        </w:rPr>
        <w:t>s</w:t>
      </w:r>
      <w:r w:rsidR="00BC4FC6">
        <w:rPr>
          <w:rFonts w:cstheme="minorHAnsi"/>
          <w:sz w:val="24"/>
          <w:szCs w:val="24"/>
        </w:rPr>
        <w:t xml:space="preserve"> and </w:t>
      </w:r>
      <w:r w:rsidR="00C83E73">
        <w:rPr>
          <w:rFonts w:cstheme="minorHAnsi"/>
          <w:sz w:val="24"/>
          <w:szCs w:val="24"/>
        </w:rPr>
        <w:t>weaknesses</w:t>
      </w:r>
      <w:r w:rsidR="00BC4FC6">
        <w:rPr>
          <w:rFonts w:cstheme="minorHAnsi"/>
          <w:sz w:val="24"/>
          <w:szCs w:val="24"/>
        </w:rPr>
        <w:t>, allowing them to capitalise on their advantage and address area of improvement</w:t>
      </w:r>
      <w:r w:rsidR="00C83E73">
        <w:rPr>
          <w:rFonts w:cstheme="minorHAnsi"/>
          <w:sz w:val="24"/>
          <w:szCs w:val="24"/>
        </w:rPr>
        <w:t>. by leveraging their strengths, such as</w:t>
      </w:r>
      <w:r w:rsidR="00042119">
        <w:rPr>
          <w:rFonts w:cstheme="minorHAnsi"/>
          <w:sz w:val="24"/>
          <w:szCs w:val="24"/>
        </w:rPr>
        <w:t xml:space="preserve"> </w:t>
      </w:r>
      <w:r w:rsidR="004549FB">
        <w:rPr>
          <w:rFonts w:cstheme="minorHAnsi"/>
          <w:sz w:val="24"/>
          <w:szCs w:val="24"/>
        </w:rPr>
        <w:t>brand reputation and a wide distrib</w:t>
      </w:r>
      <w:r w:rsidR="002046BA">
        <w:rPr>
          <w:rFonts w:cstheme="minorHAnsi"/>
          <w:sz w:val="24"/>
          <w:szCs w:val="24"/>
        </w:rPr>
        <w:t>ution</w:t>
      </w:r>
      <w:r w:rsidR="00004376">
        <w:rPr>
          <w:rFonts w:cstheme="minorHAnsi"/>
          <w:sz w:val="24"/>
          <w:szCs w:val="24"/>
        </w:rPr>
        <w:t xml:space="preserve"> channel</w:t>
      </w:r>
      <w:r w:rsidR="002046BA">
        <w:rPr>
          <w:rFonts w:cstheme="minorHAnsi"/>
          <w:sz w:val="24"/>
          <w:szCs w:val="24"/>
        </w:rPr>
        <w:t>. Simultaneously</w:t>
      </w:r>
      <w:r w:rsidR="00080762">
        <w:rPr>
          <w:rFonts w:cstheme="minorHAnsi"/>
          <w:sz w:val="24"/>
          <w:szCs w:val="24"/>
        </w:rPr>
        <w:t xml:space="preserve">, the identification of weaknesses, such as health concerns and </w:t>
      </w:r>
      <w:r w:rsidR="00DC2C8C">
        <w:rPr>
          <w:rFonts w:cstheme="minorHAnsi"/>
          <w:sz w:val="24"/>
          <w:szCs w:val="24"/>
        </w:rPr>
        <w:t xml:space="preserve">lawsuits. </w:t>
      </w:r>
      <w:r w:rsidR="006C07B4" w:rsidRPr="006C07B4">
        <w:rPr>
          <w:rFonts w:cstheme="minorHAnsi"/>
          <w:sz w:val="24"/>
          <w:szCs w:val="24"/>
        </w:rPr>
        <w:t>Moreover, the SWOT analysis has provided insights into the organization's opportunities and threats in the external environment. By identifying emerging market trends, evolving customer preferences, and new market segments, the organi</w:t>
      </w:r>
      <w:r w:rsidR="00004376">
        <w:rPr>
          <w:rFonts w:cstheme="minorHAnsi"/>
          <w:sz w:val="24"/>
          <w:szCs w:val="24"/>
        </w:rPr>
        <w:t>s</w:t>
      </w:r>
      <w:r w:rsidR="006C07B4" w:rsidRPr="006C07B4">
        <w:rPr>
          <w:rFonts w:cstheme="minorHAnsi"/>
          <w:sz w:val="24"/>
          <w:szCs w:val="24"/>
        </w:rPr>
        <w:t xml:space="preserve">ation has been able to </w:t>
      </w:r>
      <w:r w:rsidR="0035495E" w:rsidRPr="006C07B4">
        <w:rPr>
          <w:rFonts w:cstheme="minorHAnsi"/>
          <w:sz w:val="24"/>
          <w:szCs w:val="24"/>
        </w:rPr>
        <w:t>sei</w:t>
      </w:r>
      <w:r w:rsidR="0035495E">
        <w:rPr>
          <w:rFonts w:cstheme="minorHAnsi"/>
          <w:sz w:val="24"/>
          <w:szCs w:val="24"/>
        </w:rPr>
        <w:t>z</w:t>
      </w:r>
      <w:r w:rsidR="0035495E" w:rsidRPr="006C07B4">
        <w:rPr>
          <w:rFonts w:cstheme="minorHAnsi"/>
          <w:sz w:val="24"/>
          <w:szCs w:val="24"/>
        </w:rPr>
        <w:t>e</w:t>
      </w:r>
      <w:r w:rsidR="006C07B4" w:rsidRPr="006C07B4">
        <w:rPr>
          <w:rFonts w:cstheme="minorHAnsi"/>
          <w:sz w:val="24"/>
          <w:szCs w:val="24"/>
        </w:rPr>
        <w:t xml:space="preserve"> opportunities and tailor their strategies to capitali</w:t>
      </w:r>
      <w:r w:rsidR="00004376">
        <w:rPr>
          <w:rFonts w:cstheme="minorHAnsi"/>
          <w:sz w:val="24"/>
          <w:szCs w:val="24"/>
        </w:rPr>
        <w:t>s</w:t>
      </w:r>
      <w:r w:rsidR="006C07B4" w:rsidRPr="006C07B4">
        <w:rPr>
          <w:rFonts w:cstheme="minorHAnsi"/>
          <w:sz w:val="24"/>
          <w:szCs w:val="24"/>
        </w:rPr>
        <w:t>e on them. Additionally, by recogni</w:t>
      </w:r>
      <w:r w:rsidR="00004376">
        <w:rPr>
          <w:rFonts w:cstheme="minorHAnsi"/>
          <w:sz w:val="24"/>
          <w:szCs w:val="24"/>
        </w:rPr>
        <w:t>s</w:t>
      </w:r>
      <w:r w:rsidR="006C07B4" w:rsidRPr="006C07B4">
        <w:rPr>
          <w:rFonts w:cstheme="minorHAnsi"/>
          <w:sz w:val="24"/>
          <w:szCs w:val="24"/>
        </w:rPr>
        <w:t>ing potential threats, such as intense competition or changing regulatory landscapes, the organi</w:t>
      </w:r>
      <w:r w:rsidR="00004376">
        <w:rPr>
          <w:rFonts w:cstheme="minorHAnsi"/>
          <w:sz w:val="24"/>
          <w:szCs w:val="24"/>
        </w:rPr>
        <w:t>s</w:t>
      </w:r>
      <w:r w:rsidR="006C07B4" w:rsidRPr="006C07B4">
        <w:rPr>
          <w:rFonts w:cstheme="minorHAnsi"/>
          <w:sz w:val="24"/>
          <w:szCs w:val="24"/>
        </w:rPr>
        <w:t>ation has proactively devised contingency plans to mitigate risks and maintain a resilient position.</w:t>
      </w:r>
      <w:r w:rsidR="00004376">
        <w:rPr>
          <w:rFonts w:cstheme="minorHAnsi"/>
          <w:sz w:val="24"/>
          <w:szCs w:val="24"/>
        </w:rPr>
        <w:t xml:space="preserve"> </w:t>
      </w:r>
      <w:r w:rsidR="006C07B4" w:rsidRPr="006C07B4">
        <w:rPr>
          <w:rFonts w:cstheme="minorHAnsi"/>
          <w:sz w:val="24"/>
          <w:szCs w:val="24"/>
        </w:rPr>
        <w:t>By leveraging the insights gained from both the SWOT analysis and the BCG model, the organi</w:t>
      </w:r>
      <w:r w:rsidR="003867F9">
        <w:rPr>
          <w:rFonts w:cstheme="minorHAnsi"/>
          <w:sz w:val="24"/>
          <w:szCs w:val="24"/>
        </w:rPr>
        <w:t>s</w:t>
      </w:r>
      <w:r w:rsidR="006C07B4" w:rsidRPr="006C07B4">
        <w:rPr>
          <w:rFonts w:cstheme="minorHAnsi"/>
          <w:sz w:val="24"/>
          <w:szCs w:val="24"/>
        </w:rPr>
        <w:t>ation has been able to align its internal capabilities with external opportunities, address weaknesses and threats, capitali</w:t>
      </w:r>
      <w:r w:rsidR="003867F9">
        <w:rPr>
          <w:rFonts w:cstheme="minorHAnsi"/>
          <w:sz w:val="24"/>
          <w:szCs w:val="24"/>
        </w:rPr>
        <w:t>s</w:t>
      </w:r>
      <w:r w:rsidR="006C07B4" w:rsidRPr="006C07B4">
        <w:rPr>
          <w:rFonts w:cstheme="minorHAnsi"/>
          <w:sz w:val="24"/>
          <w:szCs w:val="24"/>
        </w:rPr>
        <w:t>e on strengths, and make strategic decisions to drive success in today's dynamic business landscape.</w:t>
      </w:r>
      <w:r w:rsidR="006A4714" w:rsidRPr="006A4714">
        <w:rPr>
          <w:rFonts w:cstheme="minorHAnsi"/>
          <w:sz w:val="24"/>
          <w:szCs w:val="24"/>
        </w:rPr>
        <w:t xml:space="preserve"> </w:t>
      </w:r>
      <w:r w:rsidR="006A4714" w:rsidRPr="006C07B4">
        <w:rPr>
          <w:rFonts w:cstheme="minorHAnsi"/>
          <w:sz w:val="24"/>
          <w:szCs w:val="24"/>
        </w:rPr>
        <w:t>This model has helped categori</w:t>
      </w:r>
      <w:r w:rsidR="006A4714">
        <w:rPr>
          <w:rFonts w:cstheme="minorHAnsi"/>
          <w:sz w:val="24"/>
          <w:szCs w:val="24"/>
        </w:rPr>
        <w:t>s</w:t>
      </w:r>
      <w:r w:rsidR="006A4714" w:rsidRPr="006C07B4">
        <w:rPr>
          <w:rFonts w:cstheme="minorHAnsi"/>
          <w:sz w:val="24"/>
          <w:szCs w:val="24"/>
        </w:rPr>
        <w:t xml:space="preserve">e products </w:t>
      </w:r>
      <w:r w:rsidR="006A4714">
        <w:rPr>
          <w:rFonts w:cstheme="minorHAnsi"/>
          <w:sz w:val="24"/>
          <w:szCs w:val="24"/>
        </w:rPr>
        <w:t xml:space="preserve">into the BCG matrix, </w:t>
      </w:r>
      <w:r w:rsidR="006A4714" w:rsidRPr="006C07B4">
        <w:rPr>
          <w:rFonts w:cstheme="minorHAnsi"/>
          <w:sz w:val="24"/>
          <w:szCs w:val="24"/>
        </w:rPr>
        <w:t>enabling the organization to prioriti</w:t>
      </w:r>
      <w:r w:rsidR="006A4714">
        <w:rPr>
          <w:rFonts w:cstheme="minorHAnsi"/>
          <w:sz w:val="24"/>
          <w:szCs w:val="24"/>
        </w:rPr>
        <w:t>s</w:t>
      </w:r>
      <w:r w:rsidR="006A4714" w:rsidRPr="006C07B4">
        <w:rPr>
          <w:rFonts w:cstheme="minorHAnsi"/>
          <w:sz w:val="24"/>
          <w:szCs w:val="24"/>
        </w:rPr>
        <w:t>e investments, allocate resources effectively, and optimi</w:t>
      </w:r>
      <w:r w:rsidR="006A4714">
        <w:rPr>
          <w:rFonts w:cstheme="minorHAnsi"/>
          <w:sz w:val="24"/>
          <w:szCs w:val="24"/>
        </w:rPr>
        <w:t>s</w:t>
      </w:r>
      <w:r w:rsidR="006A4714" w:rsidRPr="006C07B4">
        <w:rPr>
          <w:rFonts w:cstheme="minorHAnsi"/>
          <w:sz w:val="24"/>
          <w:szCs w:val="24"/>
        </w:rPr>
        <w:t>e its product mix. By focusing on star products, investing in question mark products, capitali</w:t>
      </w:r>
      <w:r w:rsidR="006A4714">
        <w:rPr>
          <w:rFonts w:cstheme="minorHAnsi"/>
          <w:sz w:val="24"/>
          <w:szCs w:val="24"/>
        </w:rPr>
        <w:t>s</w:t>
      </w:r>
      <w:r w:rsidR="006A4714" w:rsidRPr="006C07B4">
        <w:rPr>
          <w:rFonts w:cstheme="minorHAnsi"/>
          <w:sz w:val="24"/>
          <w:szCs w:val="24"/>
        </w:rPr>
        <w:t xml:space="preserve">ing on cash cow products, and making informed decisions about underperforming </w:t>
      </w:r>
      <w:r w:rsidR="006A4714">
        <w:rPr>
          <w:rFonts w:cstheme="minorHAnsi"/>
          <w:sz w:val="24"/>
          <w:szCs w:val="24"/>
        </w:rPr>
        <w:t>products</w:t>
      </w:r>
      <w:r w:rsidR="006A4714" w:rsidRPr="006C07B4">
        <w:rPr>
          <w:rFonts w:cstheme="minorHAnsi"/>
          <w:sz w:val="24"/>
          <w:szCs w:val="24"/>
        </w:rPr>
        <w:t>(dogs), the organi</w:t>
      </w:r>
      <w:r w:rsidR="006A4714">
        <w:rPr>
          <w:rFonts w:cstheme="minorHAnsi"/>
          <w:sz w:val="24"/>
          <w:szCs w:val="24"/>
        </w:rPr>
        <w:t>s</w:t>
      </w:r>
      <w:r w:rsidR="006A4714" w:rsidRPr="006C07B4">
        <w:rPr>
          <w:rFonts w:cstheme="minorHAnsi"/>
          <w:sz w:val="24"/>
          <w:szCs w:val="24"/>
        </w:rPr>
        <w:t xml:space="preserve">ation has been able to drive growth, profitability, and competitive </w:t>
      </w:r>
      <w:r w:rsidR="006A4714" w:rsidRPr="00C82D4F">
        <w:rPr>
          <w:rFonts w:cstheme="minorHAnsi"/>
          <w:sz w:val="24"/>
          <w:szCs w:val="24"/>
        </w:rPr>
        <w:t>advantage</w:t>
      </w:r>
      <w:r w:rsidR="00223311">
        <w:rPr>
          <w:rFonts w:cstheme="minorHAnsi"/>
          <w:sz w:val="24"/>
          <w:szCs w:val="24"/>
        </w:rPr>
        <w:t>.</w:t>
      </w:r>
    </w:p>
    <w:p w14:paraId="7F68BD61" w14:textId="2F1A52D8" w:rsidR="007D1560" w:rsidRPr="00223311" w:rsidRDefault="00970669" w:rsidP="006C07B4">
      <w:pPr>
        <w:jc w:val="both"/>
        <w:rPr>
          <w:rFonts w:ascii="Segoe UI" w:hAnsi="Segoe UI" w:cs="Segoe UI"/>
          <w:color w:val="D1D5DB"/>
          <w:shd w:val="clear" w:color="auto" w:fill="444654"/>
        </w:rPr>
      </w:pPr>
      <w:r w:rsidRPr="00C82D4F">
        <w:rPr>
          <w:rFonts w:cstheme="minorHAnsi"/>
          <w:sz w:val="24"/>
          <w:szCs w:val="24"/>
        </w:rPr>
        <w:t>Coca-</w:t>
      </w:r>
      <w:r w:rsidRPr="00970669">
        <w:rPr>
          <w:rFonts w:cstheme="minorHAnsi"/>
          <w:sz w:val="24"/>
          <w:szCs w:val="24"/>
        </w:rPr>
        <w:t>Cola has successfully implemented strategies that align with changing industry trends and societal expectations. The company's historical development, including its franchise distribution model and use of Strategic Business Units (SBUs), has contributed to its global success. Coca-Cola has achieved significant profits and market share, attracting major stakeholders. However, there are areas for improvement, such as addressing health concerns, improving the relationship with bottling partners, and continuing to innovate. These improvements will be important for Coca-Cola's future strategy.</w:t>
      </w:r>
    </w:p>
    <w:p w14:paraId="53BB67A9" w14:textId="77777777" w:rsidR="006A4714" w:rsidRPr="00BB3B9C" w:rsidRDefault="006A4714" w:rsidP="006C07B4">
      <w:pPr>
        <w:jc w:val="both"/>
        <w:rPr>
          <w:rFonts w:cstheme="minorHAnsi"/>
          <w:sz w:val="24"/>
          <w:szCs w:val="24"/>
        </w:rPr>
      </w:pPr>
    </w:p>
    <w:p w14:paraId="24FD761A" w14:textId="20CCDC5A" w:rsidR="00BF61AF" w:rsidRPr="00042119" w:rsidRDefault="007D1560" w:rsidP="00B37E39">
      <w:pPr>
        <w:pStyle w:val="Heading1"/>
        <w:jc w:val="both"/>
        <w:rPr>
          <w:rFonts w:asciiTheme="minorHAnsi" w:hAnsiTheme="minorHAnsi" w:cstheme="minorHAnsi"/>
          <w:sz w:val="24"/>
          <w:szCs w:val="24"/>
        </w:rPr>
      </w:pPr>
      <w:bookmarkStart w:id="16" w:name="_Toc139411117"/>
      <w:r w:rsidRPr="00042119">
        <w:rPr>
          <w:rFonts w:asciiTheme="minorHAnsi" w:hAnsiTheme="minorHAnsi" w:cstheme="minorHAnsi"/>
          <w:sz w:val="24"/>
          <w:szCs w:val="24"/>
        </w:rPr>
        <w:lastRenderedPageBreak/>
        <w:t>Appendices</w:t>
      </w:r>
      <w:bookmarkEnd w:id="16"/>
    </w:p>
    <w:p w14:paraId="2A3CD8C5" w14:textId="7C711955" w:rsidR="007D1560" w:rsidRPr="00685F3A" w:rsidRDefault="00BF61AF" w:rsidP="002871BC">
      <w:pPr>
        <w:pStyle w:val="Heading1"/>
        <w:rPr>
          <w:rFonts w:asciiTheme="minorHAnsi" w:hAnsiTheme="minorHAnsi" w:cstheme="minorHAnsi"/>
          <w:sz w:val="24"/>
          <w:szCs w:val="24"/>
        </w:rPr>
      </w:pPr>
      <w:bookmarkStart w:id="17" w:name="_Toc139411118"/>
      <w:r w:rsidRPr="00685F3A">
        <w:rPr>
          <w:rFonts w:asciiTheme="minorHAnsi" w:hAnsiTheme="minorHAnsi" w:cstheme="minorHAnsi"/>
          <w:noProof/>
          <w:sz w:val="24"/>
          <w:szCs w:val="24"/>
        </w:rPr>
        <w:drawing>
          <wp:anchor distT="0" distB="0" distL="114300" distR="114300" simplePos="0" relativeHeight="251663360" behindDoc="1" locked="1" layoutInCell="1" allowOverlap="1" wp14:anchorId="1C256AB4" wp14:editId="26424287">
            <wp:simplePos x="0" y="0"/>
            <wp:positionH relativeFrom="column">
              <wp:posOffset>0</wp:posOffset>
            </wp:positionH>
            <wp:positionV relativeFrom="page">
              <wp:posOffset>1743075</wp:posOffset>
            </wp:positionV>
            <wp:extent cx="5731200" cy="6080400"/>
            <wp:effectExtent l="0" t="0" r="3175" b="0"/>
            <wp:wrapSquare wrapText="bothSides"/>
            <wp:docPr id="1031507240"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507240" name="Picture 1" descr="A close-up of a documen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200" cy="6080400"/>
                    </a:xfrm>
                    <a:prstGeom prst="rect">
                      <a:avLst/>
                    </a:prstGeom>
                  </pic:spPr>
                </pic:pic>
              </a:graphicData>
            </a:graphic>
            <wp14:sizeRelH relativeFrom="margin">
              <wp14:pctWidth>0</wp14:pctWidth>
            </wp14:sizeRelH>
            <wp14:sizeRelV relativeFrom="margin">
              <wp14:pctHeight>0</wp14:pctHeight>
            </wp14:sizeRelV>
          </wp:anchor>
        </w:drawing>
      </w:r>
      <w:r w:rsidRPr="00042119">
        <w:rPr>
          <w:rFonts w:asciiTheme="minorHAnsi" w:hAnsiTheme="minorHAnsi" w:cstheme="minorHAnsi"/>
          <w:sz w:val="24"/>
          <w:szCs w:val="24"/>
        </w:rPr>
        <w:t xml:space="preserve"> </w:t>
      </w:r>
      <w:r w:rsidRPr="00685F3A">
        <w:rPr>
          <w:rFonts w:asciiTheme="minorHAnsi" w:hAnsiTheme="minorHAnsi" w:cstheme="minorHAnsi"/>
          <w:sz w:val="24"/>
          <w:szCs w:val="24"/>
        </w:rPr>
        <w:t>Appendix</w:t>
      </w:r>
      <w:r w:rsidRPr="00685F3A">
        <w:rPr>
          <w:rFonts w:asciiTheme="minorHAnsi" w:hAnsiTheme="minorHAnsi" w:cstheme="minorHAnsi"/>
          <w:noProof/>
          <w:sz w:val="24"/>
          <w:szCs w:val="24"/>
        </w:rPr>
        <w:t xml:space="preserve"> A</w:t>
      </w:r>
      <w:bookmarkEnd w:id="17"/>
    </w:p>
    <w:p w14:paraId="70A62F02" w14:textId="00F4B761" w:rsidR="00B37E39" w:rsidRPr="00685F3A" w:rsidRDefault="00C9044C" w:rsidP="00B37E39">
      <w:pPr>
        <w:jc w:val="both"/>
        <w:rPr>
          <w:rFonts w:cstheme="minorHAnsi"/>
          <w:sz w:val="24"/>
          <w:szCs w:val="24"/>
        </w:rPr>
      </w:pPr>
      <w:r w:rsidRPr="00685F3A">
        <w:rPr>
          <w:rFonts w:cstheme="minorHAnsi"/>
          <w:noProof/>
          <w:sz w:val="24"/>
          <w:szCs w:val="24"/>
        </w:rPr>
        <w:lastRenderedPageBreak/>
        <w:drawing>
          <wp:inline distT="0" distB="0" distL="0" distR="0" wp14:anchorId="0413E2C9" wp14:editId="36B22FF8">
            <wp:extent cx="5731510" cy="6835295"/>
            <wp:effectExtent l="0" t="0" r="2540" b="3810"/>
            <wp:docPr id="9258416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41697" name="Picture 12"/>
                    <pic:cNvPicPr/>
                  </pic:nvPicPr>
                  <pic:blipFill>
                    <a:blip r:embed="rId11">
                      <a:extLst>
                        <a:ext uri="{28A0092B-C50C-407E-A947-70E740481C1C}">
                          <a14:useLocalDpi xmlns:a14="http://schemas.microsoft.com/office/drawing/2010/main" val="0"/>
                        </a:ext>
                      </a:extLst>
                    </a:blip>
                    <a:stretch>
                      <a:fillRect/>
                    </a:stretch>
                  </pic:blipFill>
                  <pic:spPr>
                    <a:xfrm>
                      <a:off x="0" y="0"/>
                      <a:ext cx="5731510" cy="6835295"/>
                    </a:xfrm>
                    <a:prstGeom prst="rect">
                      <a:avLst/>
                    </a:prstGeom>
                  </pic:spPr>
                </pic:pic>
              </a:graphicData>
            </a:graphic>
          </wp:inline>
        </w:drawing>
      </w:r>
    </w:p>
    <w:p w14:paraId="20573076" w14:textId="5D53C938" w:rsidR="00B37E39" w:rsidRPr="00685F3A" w:rsidRDefault="00B37E39" w:rsidP="00B37E39">
      <w:pPr>
        <w:jc w:val="both"/>
        <w:rPr>
          <w:rFonts w:cstheme="minorHAnsi"/>
          <w:sz w:val="24"/>
          <w:szCs w:val="24"/>
        </w:rPr>
      </w:pPr>
    </w:p>
    <w:p w14:paraId="78FC6707" w14:textId="08CDA6E7" w:rsidR="001536BE" w:rsidRPr="00685F3A" w:rsidRDefault="001536BE">
      <w:pPr>
        <w:rPr>
          <w:rFonts w:cstheme="minorHAnsi"/>
          <w:sz w:val="24"/>
          <w:szCs w:val="24"/>
        </w:rPr>
      </w:pPr>
      <w:r w:rsidRPr="00685F3A">
        <w:rPr>
          <w:rFonts w:cstheme="minorHAnsi"/>
          <w:sz w:val="24"/>
          <w:szCs w:val="24"/>
        </w:rPr>
        <w:br w:type="page"/>
      </w:r>
    </w:p>
    <w:p w14:paraId="4A21F3A0" w14:textId="15A16348" w:rsidR="001536BE" w:rsidRPr="00685F3A" w:rsidRDefault="002871BC" w:rsidP="002871BC">
      <w:pPr>
        <w:pStyle w:val="Heading1"/>
        <w:rPr>
          <w:rFonts w:asciiTheme="minorHAnsi" w:hAnsiTheme="minorHAnsi" w:cstheme="minorHAnsi"/>
          <w:sz w:val="24"/>
          <w:szCs w:val="24"/>
        </w:rPr>
      </w:pPr>
      <w:bookmarkStart w:id="18" w:name="_Toc139411119"/>
      <w:r w:rsidRPr="00685F3A">
        <w:rPr>
          <w:rFonts w:asciiTheme="minorHAnsi" w:hAnsiTheme="minorHAnsi" w:cstheme="minorHAnsi"/>
          <w:noProof/>
          <w:sz w:val="24"/>
          <w:szCs w:val="24"/>
        </w:rPr>
        <w:lastRenderedPageBreak/>
        <w:drawing>
          <wp:anchor distT="0" distB="0" distL="114300" distR="114300" simplePos="0" relativeHeight="251664384" behindDoc="0" locked="1" layoutInCell="1" allowOverlap="1" wp14:anchorId="18630A54" wp14:editId="29DA84FF">
            <wp:simplePos x="0" y="0"/>
            <wp:positionH relativeFrom="column">
              <wp:posOffset>121285</wp:posOffset>
            </wp:positionH>
            <wp:positionV relativeFrom="paragraph">
              <wp:posOffset>295275</wp:posOffset>
            </wp:positionV>
            <wp:extent cx="6138545" cy="7294245"/>
            <wp:effectExtent l="0" t="0" r="0" b="1905"/>
            <wp:wrapTopAndBottom/>
            <wp:docPr id="1125958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5899"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6138545" cy="7294245"/>
                    </a:xfrm>
                    <a:prstGeom prst="rect">
                      <a:avLst/>
                    </a:prstGeom>
                  </pic:spPr>
                </pic:pic>
              </a:graphicData>
            </a:graphic>
            <wp14:sizeRelH relativeFrom="margin">
              <wp14:pctWidth>0</wp14:pctWidth>
            </wp14:sizeRelH>
            <wp14:sizeRelV relativeFrom="margin">
              <wp14:pctHeight>0</wp14:pctHeight>
            </wp14:sizeRelV>
          </wp:anchor>
        </w:drawing>
      </w:r>
      <w:r w:rsidR="006C4F5F" w:rsidRPr="00685F3A">
        <w:rPr>
          <w:rFonts w:asciiTheme="minorHAnsi" w:hAnsiTheme="minorHAnsi" w:cstheme="minorHAnsi"/>
          <w:sz w:val="24"/>
          <w:szCs w:val="24"/>
        </w:rPr>
        <w:t>Appendix B</w:t>
      </w:r>
      <w:bookmarkEnd w:id="18"/>
    </w:p>
    <w:p w14:paraId="61A6FA72" w14:textId="2783A5DE" w:rsidR="00B823D6" w:rsidRPr="00685F3A" w:rsidRDefault="001536BE">
      <w:pPr>
        <w:rPr>
          <w:rFonts w:cstheme="minorHAnsi"/>
          <w:sz w:val="24"/>
          <w:szCs w:val="24"/>
        </w:rPr>
      </w:pPr>
      <w:r w:rsidRPr="00685F3A">
        <w:rPr>
          <w:rFonts w:cstheme="minorHAnsi"/>
          <w:sz w:val="24"/>
          <w:szCs w:val="24"/>
        </w:rPr>
        <w:br w:type="page"/>
      </w:r>
      <w:r w:rsidR="00B823D6" w:rsidRPr="00685F3A">
        <w:rPr>
          <w:rFonts w:cstheme="minorHAnsi"/>
          <w:noProof/>
          <w:sz w:val="24"/>
          <w:szCs w:val="24"/>
        </w:rPr>
        <w:lastRenderedPageBreak/>
        <w:drawing>
          <wp:inline distT="0" distB="0" distL="0" distR="0" wp14:anchorId="7ADC7D3B" wp14:editId="5C68E1B3">
            <wp:extent cx="6292784" cy="6496050"/>
            <wp:effectExtent l="0" t="0" r="0" b="0"/>
            <wp:docPr id="1428675957" name="Picture 5"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75957" name="Picture 5" descr="A close-up of a document&#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6309757" cy="6513571"/>
                    </a:xfrm>
                    <a:prstGeom prst="rect">
                      <a:avLst/>
                    </a:prstGeom>
                  </pic:spPr>
                </pic:pic>
              </a:graphicData>
            </a:graphic>
          </wp:inline>
        </w:drawing>
      </w:r>
    </w:p>
    <w:p w14:paraId="7EC9F6E1" w14:textId="1B77C34F" w:rsidR="00B823D6" w:rsidRPr="00685F3A" w:rsidRDefault="00B823D6">
      <w:pPr>
        <w:rPr>
          <w:rFonts w:cstheme="minorHAnsi"/>
          <w:sz w:val="24"/>
          <w:szCs w:val="24"/>
        </w:rPr>
      </w:pPr>
      <w:r w:rsidRPr="00685F3A">
        <w:rPr>
          <w:rFonts w:cstheme="minorHAnsi"/>
          <w:sz w:val="24"/>
          <w:szCs w:val="24"/>
        </w:rPr>
        <w:br w:type="page"/>
      </w:r>
      <w:r w:rsidRPr="00685F3A">
        <w:rPr>
          <w:rFonts w:cstheme="minorHAnsi"/>
          <w:noProof/>
          <w:sz w:val="24"/>
          <w:szCs w:val="24"/>
        </w:rPr>
        <w:lastRenderedPageBreak/>
        <w:drawing>
          <wp:inline distT="0" distB="0" distL="0" distR="0" wp14:anchorId="5C8C7FAB" wp14:editId="27DF269E">
            <wp:extent cx="5731510" cy="3394710"/>
            <wp:effectExtent l="0" t="0" r="2540" b="0"/>
            <wp:docPr id="620424299" name="Picture 4"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424299" name="Picture 4" descr="A close-up of a document&#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394710"/>
                    </a:xfrm>
                    <a:prstGeom prst="rect">
                      <a:avLst/>
                    </a:prstGeom>
                  </pic:spPr>
                </pic:pic>
              </a:graphicData>
            </a:graphic>
          </wp:inline>
        </w:drawing>
      </w:r>
      <w:r w:rsidRPr="00685F3A">
        <w:rPr>
          <w:rFonts w:cstheme="minorHAnsi"/>
          <w:sz w:val="24"/>
          <w:szCs w:val="24"/>
        </w:rPr>
        <w:br w:type="page"/>
      </w:r>
    </w:p>
    <w:p w14:paraId="1EC30402" w14:textId="36D95696" w:rsidR="00B823D6" w:rsidRPr="00685F3A" w:rsidRDefault="00B823D6">
      <w:pPr>
        <w:rPr>
          <w:rFonts w:cstheme="minorHAnsi"/>
          <w:sz w:val="24"/>
          <w:szCs w:val="24"/>
        </w:rPr>
      </w:pPr>
    </w:p>
    <w:p w14:paraId="15932453" w14:textId="77777777" w:rsidR="001536BE" w:rsidRPr="00685F3A" w:rsidRDefault="001536BE">
      <w:pPr>
        <w:rPr>
          <w:rFonts w:cstheme="minorHAnsi"/>
          <w:sz w:val="24"/>
          <w:szCs w:val="24"/>
        </w:rPr>
      </w:pPr>
    </w:p>
    <w:p w14:paraId="64541977" w14:textId="15726C07" w:rsidR="001536BE" w:rsidRPr="00685F3A" w:rsidRDefault="001536BE" w:rsidP="00845965">
      <w:pPr>
        <w:pStyle w:val="Heading1"/>
        <w:rPr>
          <w:rFonts w:asciiTheme="minorHAnsi" w:hAnsiTheme="minorHAnsi" w:cstheme="minorHAnsi"/>
          <w:sz w:val="24"/>
          <w:szCs w:val="24"/>
        </w:rPr>
      </w:pPr>
      <w:bookmarkStart w:id="19" w:name="_Toc139411120"/>
      <w:r w:rsidRPr="00685F3A">
        <w:rPr>
          <w:rFonts w:asciiTheme="minorHAnsi" w:hAnsiTheme="minorHAnsi" w:cstheme="minorHAnsi"/>
          <w:sz w:val="24"/>
          <w:szCs w:val="24"/>
        </w:rPr>
        <w:t>Appendix C</w:t>
      </w:r>
      <w:bookmarkEnd w:id="19"/>
    </w:p>
    <w:p w14:paraId="0BA2154E" w14:textId="77777777" w:rsidR="001536BE" w:rsidRPr="00685F3A" w:rsidRDefault="001536BE" w:rsidP="00B37E39">
      <w:pPr>
        <w:jc w:val="both"/>
        <w:rPr>
          <w:rFonts w:cstheme="minorHAnsi"/>
          <w:sz w:val="24"/>
          <w:szCs w:val="24"/>
        </w:rPr>
      </w:pPr>
      <w:r w:rsidRPr="00685F3A">
        <w:rPr>
          <w:rFonts w:cstheme="minorHAnsi"/>
          <w:noProof/>
          <w:sz w:val="24"/>
          <w:szCs w:val="24"/>
        </w:rPr>
        <w:drawing>
          <wp:inline distT="0" distB="0" distL="0" distR="0" wp14:anchorId="56E306E6" wp14:editId="4EFC14CD">
            <wp:extent cx="5731510" cy="3644265"/>
            <wp:effectExtent l="0" t="0" r="2540" b="0"/>
            <wp:docPr id="1356331489" name="Picture 6"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331489" name="Picture 6" descr="A picture containing text, screenshot, font, numb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644265"/>
                    </a:xfrm>
                    <a:prstGeom prst="rect">
                      <a:avLst/>
                    </a:prstGeom>
                  </pic:spPr>
                </pic:pic>
              </a:graphicData>
            </a:graphic>
          </wp:inline>
        </w:drawing>
      </w:r>
      <w:r w:rsidRPr="00685F3A">
        <w:rPr>
          <w:rFonts w:cstheme="minorHAnsi"/>
          <w:noProof/>
          <w:sz w:val="24"/>
          <w:szCs w:val="24"/>
        </w:rPr>
        <w:drawing>
          <wp:inline distT="0" distB="0" distL="0" distR="0" wp14:anchorId="05FF37DD" wp14:editId="21214C22">
            <wp:extent cx="5731510" cy="3216910"/>
            <wp:effectExtent l="0" t="0" r="2540" b="2540"/>
            <wp:docPr id="1562009002" name="Picture 7"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09002" name="Picture 7" descr="A picture containing text, screenshot, font, numb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62DE7E33" w14:textId="77777777" w:rsidR="00845965" w:rsidRPr="00685F3A" w:rsidRDefault="00845965">
      <w:pPr>
        <w:rPr>
          <w:rFonts w:cstheme="minorHAnsi"/>
          <w:sz w:val="24"/>
          <w:szCs w:val="24"/>
        </w:rPr>
      </w:pPr>
      <w:r w:rsidRPr="00685F3A">
        <w:rPr>
          <w:rFonts w:cstheme="minorHAnsi"/>
          <w:sz w:val="24"/>
          <w:szCs w:val="24"/>
        </w:rPr>
        <w:br w:type="page"/>
      </w:r>
    </w:p>
    <w:p w14:paraId="237C8041" w14:textId="734B2642" w:rsidR="0009575D" w:rsidRPr="00685F3A" w:rsidRDefault="00845965" w:rsidP="00845965">
      <w:pPr>
        <w:pStyle w:val="Heading1"/>
        <w:rPr>
          <w:rFonts w:asciiTheme="minorHAnsi" w:hAnsiTheme="minorHAnsi" w:cstheme="minorHAnsi"/>
          <w:sz w:val="24"/>
          <w:szCs w:val="24"/>
        </w:rPr>
      </w:pPr>
      <w:bookmarkStart w:id="20" w:name="_Toc139411121"/>
      <w:r w:rsidRPr="00685F3A">
        <w:rPr>
          <w:rFonts w:asciiTheme="minorHAnsi" w:hAnsiTheme="minorHAnsi" w:cstheme="minorHAnsi"/>
          <w:noProof/>
          <w:sz w:val="24"/>
          <w:szCs w:val="24"/>
        </w:rPr>
        <w:lastRenderedPageBreak/>
        <w:drawing>
          <wp:anchor distT="0" distB="0" distL="114300" distR="114300" simplePos="0" relativeHeight="251668480" behindDoc="1" locked="0" layoutInCell="1" allowOverlap="1" wp14:anchorId="26F4B94C" wp14:editId="4A1679B7">
            <wp:simplePos x="0" y="0"/>
            <wp:positionH relativeFrom="column">
              <wp:posOffset>-142875</wp:posOffset>
            </wp:positionH>
            <wp:positionV relativeFrom="page">
              <wp:posOffset>5524500</wp:posOffset>
            </wp:positionV>
            <wp:extent cx="5779135" cy="4720590"/>
            <wp:effectExtent l="0" t="0" r="0" b="3810"/>
            <wp:wrapNone/>
            <wp:docPr id="1109945530" name="Picture 2"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945530" name="Picture 2" descr="A close-up of a document&#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79135" cy="4720590"/>
                    </a:xfrm>
                    <a:prstGeom prst="rect">
                      <a:avLst/>
                    </a:prstGeom>
                  </pic:spPr>
                </pic:pic>
              </a:graphicData>
            </a:graphic>
            <wp14:sizeRelH relativeFrom="margin">
              <wp14:pctWidth>0</wp14:pctWidth>
            </wp14:sizeRelH>
          </wp:anchor>
        </w:drawing>
      </w:r>
      <w:r w:rsidRPr="00685F3A">
        <w:rPr>
          <w:rFonts w:asciiTheme="minorHAnsi" w:hAnsiTheme="minorHAnsi" w:cstheme="minorHAnsi"/>
          <w:noProof/>
          <w:sz w:val="24"/>
          <w:szCs w:val="24"/>
        </w:rPr>
        <w:drawing>
          <wp:anchor distT="0" distB="0" distL="114300" distR="114300" simplePos="0" relativeHeight="251665408" behindDoc="0" locked="1" layoutInCell="1" allowOverlap="1" wp14:anchorId="6E7E92EE" wp14:editId="67087156">
            <wp:simplePos x="0" y="0"/>
            <wp:positionH relativeFrom="column">
              <wp:posOffset>-85725</wp:posOffset>
            </wp:positionH>
            <wp:positionV relativeFrom="page">
              <wp:posOffset>1190625</wp:posOffset>
            </wp:positionV>
            <wp:extent cx="5942330" cy="4542790"/>
            <wp:effectExtent l="0" t="0" r="1270" b="0"/>
            <wp:wrapSquare wrapText="bothSides"/>
            <wp:docPr id="966905280" name="Picture 8" descr="A picture containing text, font, screenshot, black an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05280" name="Picture 8" descr="A picture containing text, font, screenshot, black and whit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2330" cy="4542790"/>
                    </a:xfrm>
                    <a:prstGeom prst="rect">
                      <a:avLst/>
                    </a:prstGeom>
                  </pic:spPr>
                </pic:pic>
              </a:graphicData>
            </a:graphic>
            <wp14:sizeRelH relativeFrom="margin">
              <wp14:pctWidth>0</wp14:pctWidth>
            </wp14:sizeRelH>
            <wp14:sizeRelV relativeFrom="margin">
              <wp14:pctHeight>0</wp14:pctHeight>
            </wp14:sizeRelV>
          </wp:anchor>
        </w:drawing>
      </w:r>
      <w:r w:rsidR="001536BE" w:rsidRPr="00685F3A">
        <w:rPr>
          <w:rFonts w:asciiTheme="minorHAnsi" w:hAnsiTheme="minorHAnsi" w:cstheme="minorHAnsi"/>
          <w:sz w:val="24"/>
          <w:szCs w:val="24"/>
        </w:rPr>
        <w:t>Appendix D</w:t>
      </w:r>
      <w:bookmarkEnd w:id="20"/>
      <w:r w:rsidR="0009575D" w:rsidRPr="00685F3A">
        <w:rPr>
          <w:rFonts w:asciiTheme="minorHAnsi" w:hAnsiTheme="minorHAnsi" w:cstheme="minorHAnsi"/>
          <w:sz w:val="24"/>
          <w:szCs w:val="24"/>
        </w:rPr>
        <w:t xml:space="preserve"> </w:t>
      </w:r>
    </w:p>
    <w:p w14:paraId="442F0F9D" w14:textId="49148A15" w:rsidR="00845965" w:rsidRPr="00685F3A" w:rsidRDefault="00845965" w:rsidP="00845965">
      <w:pPr>
        <w:rPr>
          <w:rFonts w:cstheme="minorHAnsi"/>
          <w:sz w:val="24"/>
          <w:szCs w:val="24"/>
        </w:rPr>
      </w:pPr>
    </w:p>
    <w:p w14:paraId="591CD8CF" w14:textId="6D782F8E" w:rsidR="007D1560" w:rsidRPr="00685F3A" w:rsidRDefault="007D1560" w:rsidP="00B37E39">
      <w:pPr>
        <w:jc w:val="both"/>
        <w:rPr>
          <w:rFonts w:cstheme="minorHAnsi"/>
          <w:sz w:val="24"/>
          <w:szCs w:val="24"/>
        </w:rPr>
      </w:pPr>
      <w:r w:rsidRPr="00685F3A">
        <w:rPr>
          <w:rFonts w:cstheme="minorHAnsi"/>
          <w:sz w:val="24"/>
          <w:szCs w:val="24"/>
        </w:rPr>
        <w:br w:type="page"/>
      </w:r>
    </w:p>
    <w:p w14:paraId="0DBEF743" w14:textId="77777777" w:rsidR="00EA02BF" w:rsidRPr="00685F3A" w:rsidRDefault="00845965" w:rsidP="00EA02BF">
      <w:pPr>
        <w:pStyle w:val="Heading1"/>
        <w:rPr>
          <w:rFonts w:asciiTheme="minorHAnsi" w:hAnsiTheme="minorHAnsi" w:cstheme="minorHAnsi"/>
          <w:sz w:val="24"/>
          <w:szCs w:val="24"/>
        </w:rPr>
      </w:pPr>
      <w:bookmarkStart w:id="21" w:name="_Toc139411122"/>
      <w:r w:rsidRPr="00685F3A">
        <w:rPr>
          <w:rFonts w:asciiTheme="minorHAnsi" w:hAnsiTheme="minorHAnsi" w:cstheme="minorHAnsi"/>
          <w:noProof/>
          <w:sz w:val="24"/>
          <w:szCs w:val="24"/>
        </w:rPr>
        <w:lastRenderedPageBreak/>
        <w:drawing>
          <wp:anchor distT="0" distB="0" distL="114300" distR="114300" simplePos="0" relativeHeight="251669504" behindDoc="0" locked="0" layoutInCell="1" allowOverlap="1" wp14:anchorId="1012E836" wp14:editId="0C6FF7ED">
            <wp:simplePos x="0" y="0"/>
            <wp:positionH relativeFrom="column">
              <wp:posOffset>200025</wp:posOffset>
            </wp:positionH>
            <wp:positionV relativeFrom="page">
              <wp:posOffset>914400</wp:posOffset>
            </wp:positionV>
            <wp:extent cx="5374640" cy="5443220"/>
            <wp:effectExtent l="0" t="0" r="0" b="5080"/>
            <wp:wrapThrough wrapText="bothSides">
              <wp:wrapPolygon edited="0">
                <wp:start x="0" y="0"/>
                <wp:lineTo x="0" y="21545"/>
                <wp:lineTo x="21513" y="21545"/>
                <wp:lineTo x="21513" y="0"/>
                <wp:lineTo x="0" y="0"/>
              </wp:wrapPolygon>
            </wp:wrapThrough>
            <wp:docPr id="12931272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27225" name="Picture 3"/>
                    <pic:cNvPicPr/>
                  </pic:nvPicPr>
                  <pic:blipFill>
                    <a:blip r:embed="rId19">
                      <a:extLst>
                        <a:ext uri="{28A0092B-C50C-407E-A947-70E740481C1C}">
                          <a14:useLocalDpi xmlns:a14="http://schemas.microsoft.com/office/drawing/2010/main" val="0"/>
                        </a:ext>
                      </a:extLst>
                    </a:blip>
                    <a:stretch>
                      <a:fillRect/>
                    </a:stretch>
                  </pic:blipFill>
                  <pic:spPr>
                    <a:xfrm>
                      <a:off x="0" y="0"/>
                      <a:ext cx="5374640" cy="5443220"/>
                    </a:xfrm>
                    <a:prstGeom prst="rect">
                      <a:avLst/>
                    </a:prstGeom>
                  </pic:spPr>
                </pic:pic>
              </a:graphicData>
            </a:graphic>
            <wp14:sizeRelH relativeFrom="margin">
              <wp14:pctWidth>0</wp14:pctWidth>
            </wp14:sizeRelH>
          </wp:anchor>
        </w:drawing>
      </w:r>
      <w:r w:rsidRPr="00685F3A">
        <w:rPr>
          <w:rFonts w:asciiTheme="minorHAnsi" w:hAnsiTheme="minorHAnsi" w:cstheme="minorHAnsi"/>
          <w:sz w:val="24"/>
          <w:szCs w:val="24"/>
        </w:rPr>
        <w:br w:type="page"/>
      </w:r>
      <w:r w:rsidR="00EA02BF" w:rsidRPr="00685F3A">
        <w:rPr>
          <w:rFonts w:asciiTheme="minorHAnsi" w:hAnsiTheme="minorHAnsi" w:cstheme="minorHAnsi"/>
          <w:sz w:val="24"/>
          <w:szCs w:val="24"/>
        </w:rPr>
        <w:lastRenderedPageBreak/>
        <w:t>Appendix E</w:t>
      </w:r>
      <w:bookmarkEnd w:id="21"/>
    </w:p>
    <w:p w14:paraId="08270CDA" w14:textId="77777777" w:rsidR="007415AB" w:rsidRPr="00685F3A" w:rsidRDefault="007415AB" w:rsidP="00E34BF2">
      <w:pPr>
        <w:rPr>
          <w:rFonts w:cstheme="minorHAnsi"/>
          <w:sz w:val="24"/>
          <w:szCs w:val="24"/>
        </w:rPr>
      </w:pPr>
      <w:r w:rsidRPr="00685F3A">
        <w:rPr>
          <w:rFonts w:cstheme="minorHAnsi"/>
          <w:noProof/>
          <w:sz w:val="24"/>
          <w:szCs w:val="24"/>
        </w:rPr>
        <w:drawing>
          <wp:inline distT="0" distB="0" distL="0" distR="0" wp14:anchorId="70AE19F9" wp14:editId="3B339541">
            <wp:extent cx="5731510" cy="3735705"/>
            <wp:effectExtent l="0" t="0" r="2540" b="0"/>
            <wp:docPr id="324043591" name="Picture 5"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043591" name="Picture 5" descr="A picture containing text, screenshot, fo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735705"/>
                    </a:xfrm>
                    <a:prstGeom prst="rect">
                      <a:avLst/>
                    </a:prstGeom>
                  </pic:spPr>
                </pic:pic>
              </a:graphicData>
            </a:graphic>
          </wp:inline>
        </w:drawing>
      </w:r>
    </w:p>
    <w:p w14:paraId="58E7CE04" w14:textId="1E144BD5" w:rsidR="007415AB" w:rsidRPr="00685F3A" w:rsidRDefault="007415AB" w:rsidP="00E34BF2">
      <w:pPr>
        <w:rPr>
          <w:rFonts w:cstheme="minorHAnsi"/>
          <w:sz w:val="24"/>
          <w:szCs w:val="24"/>
        </w:rPr>
      </w:pPr>
      <w:r w:rsidRPr="00685F3A">
        <w:rPr>
          <w:rFonts w:cstheme="minorHAnsi"/>
          <w:sz w:val="24"/>
          <w:szCs w:val="24"/>
        </w:rPr>
        <w:br w:type="page"/>
      </w:r>
    </w:p>
    <w:p w14:paraId="6C0F8B76" w14:textId="77777777" w:rsidR="007415AB" w:rsidRPr="00685F3A" w:rsidRDefault="007415AB" w:rsidP="00EA02BF">
      <w:pPr>
        <w:pStyle w:val="Heading1"/>
        <w:rPr>
          <w:rFonts w:asciiTheme="minorHAnsi" w:hAnsiTheme="minorHAnsi" w:cstheme="minorHAnsi"/>
          <w:sz w:val="24"/>
          <w:szCs w:val="24"/>
        </w:rPr>
      </w:pPr>
      <w:bookmarkStart w:id="22" w:name="_Toc139411123"/>
      <w:r w:rsidRPr="00685F3A">
        <w:rPr>
          <w:rFonts w:asciiTheme="minorHAnsi" w:hAnsiTheme="minorHAnsi" w:cstheme="minorHAnsi"/>
          <w:sz w:val="24"/>
          <w:szCs w:val="24"/>
        </w:rPr>
        <w:lastRenderedPageBreak/>
        <w:t>Appendix F</w:t>
      </w:r>
      <w:bookmarkEnd w:id="22"/>
    </w:p>
    <w:p w14:paraId="17959331" w14:textId="77777777" w:rsidR="007415AB" w:rsidRPr="00685F3A" w:rsidRDefault="007415AB" w:rsidP="00E34BF2">
      <w:pPr>
        <w:rPr>
          <w:rFonts w:cstheme="minorHAnsi"/>
          <w:sz w:val="24"/>
          <w:szCs w:val="24"/>
        </w:rPr>
      </w:pPr>
      <w:r w:rsidRPr="00685F3A">
        <w:rPr>
          <w:rFonts w:cstheme="minorHAnsi"/>
          <w:noProof/>
          <w:sz w:val="24"/>
          <w:szCs w:val="24"/>
        </w:rPr>
        <w:drawing>
          <wp:inline distT="0" distB="0" distL="0" distR="0" wp14:anchorId="55AAC800" wp14:editId="38D73040">
            <wp:extent cx="5731510" cy="4140835"/>
            <wp:effectExtent l="0" t="0" r="2540" b="0"/>
            <wp:docPr id="1406277536" name="Picture 6"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277536" name="Picture 6" descr="A picture containing text, screenshot, diagram, fon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140835"/>
                    </a:xfrm>
                    <a:prstGeom prst="rect">
                      <a:avLst/>
                    </a:prstGeom>
                  </pic:spPr>
                </pic:pic>
              </a:graphicData>
            </a:graphic>
          </wp:inline>
        </w:drawing>
      </w:r>
    </w:p>
    <w:p w14:paraId="10CE1FE3" w14:textId="77777777" w:rsidR="005B0E6D" w:rsidRPr="00685F3A" w:rsidRDefault="005B0E6D" w:rsidP="00E34BF2">
      <w:pPr>
        <w:rPr>
          <w:rFonts w:cstheme="minorHAnsi"/>
          <w:sz w:val="24"/>
          <w:szCs w:val="24"/>
        </w:rPr>
      </w:pPr>
      <w:r w:rsidRPr="00685F3A">
        <w:rPr>
          <w:rFonts w:cstheme="minorHAnsi"/>
          <w:noProof/>
          <w:sz w:val="24"/>
          <w:szCs w:val="24"/>
        </w:rPr>
        <w:lastRenderedPageBreak/>
        <w:drawing>
          <wp:inline distT="0" distB="0" distL="0" distR="0" wp14:anchorId="55E0C613" wp14:editId="6EFE0672">
            <wp:extent cx="5731510" cy="4939030"/>
            <wp:effectExtent l="0" t="0" r="2540" b="0"/>
            <wp:docPr id="255502959" name="Picture 8"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502959" name="Picture 8" descr="A close-up of a document&#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4939030"/>
                    </a:xfrm>
                    <a:prstGeom prst="rect">
                      <a:avLst/>
                    </a:prstGeom>
                  </pic:spPr>
                </pic:pic>
              </a:graphicData>
            </a:graphic>
          </wp:inline>
        </w:drawing>
      </w:r>
      <w:r w:rsidRPr="00685F3A">
        <w:rPr>
          <w:rFonts w:cstheme="minorHAnsi"/>
          <w:noProof/>
          <w:sz w:val="24"/>
          <w:szCs w:val="24"/>
        </w:rPr>
        <w:lastRenderedPageBreak/>
        <w:drawing>
          <wp:inline distT="0" distB="0" distL="0" distR="0" wp14:anchorId="71C04F0B" wp14:editId="0F4C58FE">
            <wp:extent cx="5731510" cy="6946900"/>
            <wp:effectExtent l="0" t="0" r="2540" b="6350"/>
            <wp:docPr id="857888685" name="Picture 9"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88685" name="Picture 9" descr="A close-up of a documen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6946900"/>
                    </a:xfrm>
                    <a:prstGeom prst="rect">
                      <a:avLst/>
                    </a:prstGeom>
                  </pic:spPr>
                </pic:pic>
              </a:graphicData>
            </a:graphic>
          </wp:inline>
        </w:drawing>
      </w:r>
    </w:p>
    <w:p w14:paraId="69106279" w14:textId="69EA42C6" w:rsidR="00EA02BF" w:rsidRPr="00685F3A" w:rsidRDefault="005B0E6D" w:rsidP="00E34BF2">
      <w:pPr>
        <w:rPr>
          <w:rFonts w:cstheme="minorHAnsi"/>
          <w:sz w:val="24"/>
          <w:szCs w:val="24"/>
        </w:rPr>
      </w:pPr>
      <w:r w:rsidRPr="00685F3A">
        <w:rPr>
          <w:rFonts w:cstheme="minorHAnsi"/>
          <w:noProof/>
          <w:sz w:val="24"/>
          <w:szCs w:val="24"/>
        </w:rPr>
        <w:lastRenderedPageBreak/>
        <w:drawing>
          <wp:inline distT="0" distB="0" distL="0" distR="0" wp14:anchorId="5B108A68" wp14:editId="1B1B286B">
            <wp:extent cx="5731510" cy="7256780"/>
            <wp:effectExtent l="0" t="0" r="2540" b="1270"/>
            <wp:docPr id="1384676116" name="Picture 10"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676116" name="Picture 10" descr="A close-up of a document&#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731510" cy="7256780"/>
                    </a:xfrm>
                    <a:prstGeom prst="rect">
                      <a:avLst/>
                    </a:prstGeom>
                  </pic:spPr>
                </pic:pic>
              </a:graphicData>
            </a:graphic>
          </wp:inline>
        </w:drawing>
      </w:r>
      <w:r w:rsidR="00EA02BF" w:rsidRPr="00685F3A">
        <w:rPr>
          <w:rFonts w:cstheme="minorHAnsi"/>
          <w:sz w:val="24"/>
          <w:szCs w:val="24"/>
        </w:rPr>
        <w:br w:type="page"/>
      </w:r>
    </w:p>
    <w:p w14:paraId="5BCC8F49" w14:textId="77777777" w:rsidR="00845965" w:rsidRPr="00685F3A" w:rsidRDefault="00845965" w:rsidP="00E34BF2">
      <w:pPr>
        <w:rPr>
          <w:rFonts w:cstheme="minorHAnsi"/>
          <w:sz w:val="24"/>
          <w:szCs w:val="24"/>
        </w:rPr>
      </w:pPr>
    </w:p>
    <w:p w14:paraId="317115DF" w14:textId="77777777" w:rsidR="007D1560" w:rsidRPr="00685F3A" w:rsidRDefault="007D1560" w:rsidP="00E34BF2">
      <w:pPr>
        <w:rPr>
          <w:rFonts w:cstheme="minorHAnsi"/>
          <w:sz w:val="24"/>
          <w:szCs w:val="24"/>
        </w:rPr>
      </w:pPr>
    </w:p>
    <w:p w14:paraId="499DB0ED" w14:textId="77777777" w:rsidR="007D1560" w:rsidRPr="00685F3A" w:rsidRDefault="007D1560" w:rsidP="00B37E39">
      <w:pPr>
        <w:pStyle w:val="Heading1"/>
        <w:jc w:val="both"/>
        <w:rPr>
          <w:rFonts w:asciiTheme="minorHAnsi" w:hAnsiTheme="minorHAnsi" w:cstheme="minorHAnsi"/>
          <w:sz w:val="24"/>
          <w:szCs w:val="24"/>
        </w:rPr>
      </w:pPr>
      <w:bookmarkStart w:id="23" w:name="_Toc137714063"/>
      <w:bookmarkStart w:id="24" w:name="_Toc138408863"/>
      <w:bookmarkStart w:id="25" w:name="_Toc139411124"/>
      <w:r w:rsidRPr="00685F3A">
        <w:rPr>
          <w:rFonts w:asciiTheme="minorHAnsi" w:hAnsiTheme="minorHAnsi" w:cstheme="minorHAnsi"/>
          <w:sz w:val="24"/>
          <w:szCs w:val="24"/>
        </w:rPr>
        <w:t>Reference</w:t>
      </w:r>
      <w:bookmarkEnd w:id="23"/>
      <w:bookmarkEnd w:id="24"/>
      <w:bookmarkEnd w:id="25"/>
      <w:r w:rsidRPr="00685F3A">
        <w:rPr>
          <w:rFonts w:asciiTheme="minorHAnsi" w:hAnsiTheme="minorHAnsi" w:cstheme="minorHAnsi"/>
          <w:sz w:val="24"/>
          <w:szCs w:val="24"/>
        </w:rPr>
        <w:t xml:space="preserve"> </w:t>
      </w:r>
    </w:p>
    <w:p w14:paraId="65E64C74" w14:textId="77777777" w:rsidR="00157D04" w:rsidRPr="00A40D51" w:rsidRDefault="009C774D" w:rsidP="00A40D51">
      <w:pPr>
        <w:rPr>
          <w:rFonts w:cstheme="minorHAnsi"/>
          <w:sz w:val="24"/>
          <w:szCs w:val="24"/>
        </w:rPr>
      </w:pPr>
      <w:r w:rsidRPr="00A40D51">
        <w:rPr>
          <w:rFonts w:cstheme="minorHAnsi"/>
          <w:sz w:val="24"/>
          <w:szCs w:val="24"/>
        </w:rPr>
        <w:t xml:space="preserve">Alahi, A. and Bass, E. (2018). </w:t>
      </w:r>
      <w:r w:rsidR="00157D04" w:rsidRPr="00A40D51">
        <w:rPr>
          <w:rFonts w:cstheme="minorHAnsi"/>
          <w:i/>
          <w:iCs/>
          <w:sz w:val="24"/>
          <w:szCs w:val="24"/>
        </w:rPr>
        <w:t>Coca-Cola’s Future Growth Strategy: Diversificatio</w:t>
      </w:r>
      <w:r w:rsidR="00157D04" w:rsidRPr="00A40D51">
        <w:rPr>
          <w:rFonts w:cstheme="minorHAnsi"/>
          <w:sz w:val="24"/>
          <w:szCs w:val="24"/>
        </w:rPr>
        <w:t xml:space="preserve">n? </w:t>
      </w:r>
    </w:p>
    <w:p w14:paraId="50F203B9" w14:textId="74D024B0" w:rsidR="009C774D" w:rsidRPr="00A40D51" w:rsidRDefault="009C774D" w:rsidP="00A40D51">
      <w:pPr>
        <w:rPr>
          <w:rFonts w:cstheme="minorHAnsi"/>
          <w:sz w:val="24"/>
          <w:szCs w:val="24"/>
        </w:rPr>
      </w:pPr>
      <w:r w:rsidRPr="00A40D51">
        <w:rPr>
          <w:rFonts w:cstheme="minorHAnsi"/>
          <w:sz w:val="24"/>
          <w:szCs w:val="24"/>
        </w:rPr>
        <w:t>Available at:</w:t>
      </w:r>
      <w:r w:rsidR="00157D04" w:rsidRPr="00A40D51">
        <w:rPr>
          <w:rFonts w:cstheme="minorHAnsi"/>
          <w:sz w:val="24"/>
          <w:szCs w:val="24"/>
        </w:rPr>
        <w:t xml:space="preserve"> </w:t>
      </w:r>
      <w:hyperlink r:id="rId25" w:history="1">
        <w:r w:rsidR="00157D04" w:rsidRPr="00A40D51">
          <w:rPr>
            <w:rStyle w:val="Hyperlink"/>
            <w:rFonts w:cstheme="minorHAnsi"/>
            <w:sz w:val="24"/>
            <w:szCs w:val="24"/>
          </w:rPr>
          <w:t>https://digitalcommons.unomaha.edu/cgi/viewcontent.cgi?article=1038&amp;context=university_honors_program</w:t>
        </w:r>
      </w:hyperlink>
      <w:r w:rsidRPr="00A40D51">
        <w:rPr>
          <w:rFonts w:cstheme="minorHAnsi"/>
          <w:sz w:val="24"/>
          <w:szCs w:val="24"/>
        </w:rPr>
        <w:t>.</w:t>
      </w:r>
    </w:p>
    <w:p w14:paraId="1B50769C" w14:textId="51268E76" w:rsidR="009C774D" w:rsidRPr="00A40D51" w:rsidRDefault="009C774D" w:rsidP="00A40D51">
      <w:pPr>
        <w:rPr>
          <w:rFonts w:cstheme="minorHAnsi"/>
          <w:sz w:val="24"/>
          <w:szCs w:val="24"/>
        </w:rPr>
      </w:pPr>
      <w:r w:rsidRPr="00A40D51">
        <w:rPr>
          <w:rFonts w:cstheme="minorHAnsi"/>
          <w:sz w:val="24"/>
          <w:szCs w:val="24"/>
        </w:rPr>
        <w:t>(Accessed: 28 June 2028)</w:t>
      </w:r>
    </w:p>
    <w:p w14:paraId="41995129" w14:textId="46D099B5" w:rsidR="007D1560" w:rsidRPr="00A40D51" w:rsidRDefault="007D1560" w:rsidP="00A40D51">
      <w:pPr>
        <w:jc w:val="both"/>
        <w:rPr>
          <w:rFonts w:cstheme="minorHAnsi"/>
          <w:sz w:val="24"/>
          <w:szCs w:val="24"/>
        </w:rPr>
      </w:pPr>
      <w:r w:rsidRPr="00A40D51">
        <w:rPr>
          <w:rFonts w:cstheme="minorHAnsi"/>
          <w:sz w:val="24"/>
          <w:szCs w:val="24"/>
        </w:rPr>
        <w:t xml:space="preserve">Alonso, T.A. (2023). </w:t>
      </w:r>
      <w:r w:rsidRPr="00A40D51">
        <w:rPr>
          <w:rFonts w:cstheme="minorHAnsi"/>
          <w:i/>
          <w:iCs/>
          <w:sz w:val="24"/>
          <w:szCs w:val="24"/>
        </w:rPr>
        <w:t>Strategy Study: How Coca-Cola became one of the most successful brands in history</w:t>
      </w:r>
      <w:r w:rsidRPr="00A40D51">
        <w:rPr>
          <w:rFonts w:cstheme="minorHAnsi"/>
          <w:sz w:val="24"/>
          <w:szCs w:val="24"/>
        </w:rPr>
        <w:t>.</w:t>
      </w:r>
    </w:p>
    <w:p w14:paraId="31CB5C4D" w14:textId="77777777" w:rsidR="007D1560" w:rsidRPr="00A40D51" w:rsidRDefault="007D1560" w:rsidP="00A40D51">
      <w:pPr>
        <w:rPr>
          <w:rFonts w:cstheme="minorHAnsi"/>
          <w:sz w:val="24"/>
          <w:szCs w:val="24"/>
        </w:rPr>
      </w:pPr>
      <w:r w:rsidRPr="00A40D51">
        <w:rPr>
          <w:rFonts w:cstheme="minorHAnsi"/>
          <w:sz w:val="24"/>
          <w:szCs w:val="24"/>
        </w:rPr>
        <w:t xml:space="preserve">Available at: </w:t>
      </w:r>
      <w:hyperlink r:id="rId26" w:anchor=":~:text=and%20other%20advertising" w:history="1">
        <w:r w:rsidRPr="00A40D51">
          <w:rPr>
            <w:rStyle w:val="Hyperlink"/>
            <w:rFonts w:cstheme="minorHAnsi"/>
            <w:sz w:val="24"/>
            <w:szCs w:val="24"/>
          </w:rPr>
          <w:t>https://www.cascade.app/studies/how-coca-cola-became-successful#:~:text=and%20other%20advertising</w:t>
        </w:r>
      </w:hyperlink>
      <w:r w:rsidRPr="00A40D51">
        <w:rPr>
          <w:rFonts w:cstheme="minorHAnsi"/>
          <w:sz w:val="24"/>
          <w:szCs w:val="24"/>
        </w:rPr>
        <w:t>.</w:t>
      </w:r>
    </w:p>
    <w:p w14:paraId="61A0B79C" w14:textId="392BCFFF" w:rsidR="007D1560" w:rsidRPr="00A40D51" w:rsidRDefault="007D1560" w:rsidP="00A40D51">
      <w:pPr>
        <w:jc w:val="both"/>
        <w:rPr>
          <w:rFonts w:cstheme="minorHAnsi"/>
          <w:sz w:val="24"/>
          <w:szCs w:val="24"/>
        </w:rPr>
      </w:pPr>
      <w:r w:rsidRPr="00A40D51">
        <w:rPr>
          <w:rFonts w:cstheme="minorHAnsi"/>
          <w:sz w:val="24"/>
          <w:szCs w:val="24"/>
        </w:rPr>
        <w:t>(Accessed: 13 June 2023).</w:t>
      </w:r>
    </w:p>
    <w:p w14:paraId="6DB0BA01" w14:textId="77777777" w:rsidR="007D1560" w:rsidRPr="00A40D51" w:rsidRDefault="007D1560" w:rsidP="00A40D51">
      <w:pPr>
        <w:jc w:val="both"/>
        <w:rPr>
          <w:rFonts w:cstheme="minorHAnsi"/>
          <w:sz w:val="24"/>
          <w:szCs w:val="24"/>
        </w:rPr>
      </w:pPr>
      <w:r w:rsidRPr="00A40D51">
        <w:rPr>
          <w:rFonts w:cstheme="minorHAnsi"/>
          <w:sz w:val="24"/>
          <w:szCs w:val="24"/>
        </w:rPr>
        <w:t xml:space="preserve">The Business Show. (2022). </w:t>
      </w:r>
      <w:r w:rsidRPr="00A40D51">
        <w:rPr>
          <w:rFonts w:cstheme="minorHAnsi"/>
          <w:i/>
          <w:iCs/>
          <w:sz w:val="24"/>
          <w:szCs w:val="24"/>
        </w:rPr>
        <w:t>Coca-Cola UK business doubles profits for year</w:t>
      </w:r>
      <w:r w:rsidRPr="00A40D51">
        <w:rPr>
          <w:rFonts w:cstheme="minorHAnsi"/>
          <w:sz w:val="24"/>
          <w:szCs w:val="24"/>
        </w:rPr>
        <w:t>.</w:t>
      </w:r>
    </w:p>
    <w:p w14:paraId="2FDCAC81" w14:textId="77777777" w:rsidR="007D1560" w:rsidRPr="00A40D51" w:rsidRDefault="007D1560" w:rsidP="00A40D51">
      <w:pPr>
        <w:rPr>
          <w:rFonts w:cstheme="minorHAnsi"/>
          <w:sz w:val="24"/>
          <w:szCs w:val="24"/>
        </w:rPr>
      </w:pPr>
      <w:r w:rsidRPr="00A40D51">
        <w:rPr>
          <w:rFonts w:cstheme="minorHAnsi"/>
          <w:sz w:val="24"/>
          <w:szCs w:val="24"/>
        </w:rPr>
        <w:t xml:space="preserve">Available at: </w:t>
      </w:r>
      <w:hyperlink r:id="rId27" w:history="1">
        <w:r w:rsidRPr="00A40D51">
          <w:rPr>
            <w:rStyle w:val="Hyperlink"/>
            <w:rFonts w:cstheme="minorHAnsi"/>
            <w:sz w:val="24"/>
            <w:szCs w:val="24"/>
          </w:rPr>
          <w:t>https://www.greatbritishbusinessshow.co.uk/blog-library/coca-cola-uk-business-doubles-profits-for-year</w:t>
        </w:r>
      </w:hyperlink>
      <w:r w:rsidRPr="00A40D51">
        <w:rPr>
          <w:rFonts w:cstheme="minorHAnsi"/>
          <w:sz w:val="24"/>
          <w:szCs w:val="24"/>
        </w:rPr>
        <w:t xml:space="preserve">. </w:t>
      </w:r>
    </w:p>
    <w:p w14:paraId="3FD29952" w14:textId="77777777" w:rsidR="007D1560" w:rsidRPr="00A40D51" w:rsidRDefault="007D1560" w:rsidP="00A40D51">
      <w:pPr>
        <w:jc w:val="both"/>
        <w:rPr>
          <w:rFonts w:cstheme="minorHAnsi"/>
          <w:sz w:val="24"/>
          <w:szCs w:val="24"/>
        </w:rPr>
      </w:pPr>
      <w:r w:rsidRPr="00A40D51">
        <w:rPr>
          <w:rFonts w:cstheme="minorHAnsi"/>
          <w:sz w:val="24"/>
          <w:szCs w:val="24"/>
        </w:rPr>
        <w:t>(Accessed: 13 June 2023)</w:t>
      </w:r>
    </w:p>
    <w:p w14:paraId="0D50AB12" w14:textId="77777777" w:rsidR="007D1560" w:rsidRPr="00A40D51" w:rsidRDefault="007D1560" w:rsidP="00A40D51">
      <w:pPr>
        <w:jc w:val="both"/>
        <w:rPr>
          <w:rFonts w:cstheme="minorHAnsi"/>
          <w:sz w:val="24"/>
          <w:szCs w:val="24"/>
        </w:rPr>
      </w:pPr>
      <w:r w:rsidRPr="00A40D51">
        <w:rPr>
          <w:rFonts w:cstheme="minorHAnsi"/>
          <w:sz w:val="24"/>
          <w:szCs w:val="24"/>
        </w:rPr>
        <w:t xml:space="preserve">Ciafone, A. (2019). Counter-Cola : </w:t>
      </w:r>
      <w:r w:rsidRPr="00A40D51">
        <w:rPr>
          <w:rFonts w:cstheme="minorHAnsi"/>
          <w:i/>
          <w:iCs/>
          <w:sz w:val="24"/>
          <w:szCs w:val="24"/>
        </w:rPr>
        <w:t>A multinational history of the global corporation</w:t>
      </w:r>
      <w:r w:rsidRPr="00A40D51">
        <w:rPr>
          <w:rFonts w:cstheme="minorHAnsi"/>
          <w:sz w:val="24"/>
          <w:szCs w:val="24"/>
        </w:rPr>
        <w:t xml:space="preserve">. </w:t>
      </w:r>
    </w:p>
    <w:p w14:paraId="6ABF8191" w14:textId="77777777" w:rsidR="007D1560" w:rsidRPr="00A40D51" w:rsidRDefault="007D1560" w:rsidP="00A40D51">
      <w:pPr>
        <w:jc w:val="both"/>
        <w:rPr>
          <w:rFonts w:cstheme="minorHAnsi"/>
          <w:sz w:val="24"/>
          <w:szCs w:val="24"/>
        </w:rPr>
      </w:pPr>
      <w:r w:rsidRPr="00A40D51">
        <w:rPr>
          <w:rFonts w:cstheme="minorHAnsi"/>
          <w:sz w:val="24"/>
          <w:szCs w:val="24"/>
        </w:rPr>
        <w:t>Oakland, California: University Of California Press.</w:t>
      </w:r>
    </w:p>
    <w:p w14:paraId="4FDA8213" w14:textId="77777777" w:rsidR="007D1560" w:rsidRPr="00A40D51" w:rsidRDefault="007D1560" w:rsidP="00A40D51">
      <w:pPr>
        <w:jc w:val="both"/>
        <w:rPr>
          <w:rFonts w:cstheme="minorHAnsi"/>
          <w:sz w:val="24"/>
          <w:szCs w:val="24"/>
        </w:rPr>
      </w:pPr>
      <w:r w:rsidRPr="00A40D51">
        <w:rPr>
          <w:rFonts w:cstheme="minorHAnsi"/>
          <w:sz w:val="24"/>
          <w:szCs w:val="24"/>
        </w:rPr>
        <w:t xml:space="preserve">Cuofano, G. (2020). </w:t>
      </w:r>
      <w:r w:rsidRPr="00A40D51">
        <w:rPr>
          <w:rFonts w:cstheme="minorHAnsi"/>
          <w:i/>
          <w:iCs/>
          <w:sz w:val="24"/>
          <w:szCs w:val="24"/>
        </w:rPr>
        <w:t>Coca-Cola Mission Statement and Vision Statement In A Nutshell. FourWeekMBA</w:t>
      </w:r>
      <w:r w:rsidRPr="00A40D51">
        <w:rPr>
          <w:rFonts w:cstheme="minorHAnsi"/>
          <w:sz w:val="24"/>
          <w:szCs w:val="24"/>
        </w:rPr>
        <w:t xml:space="preserve">. </w:t>
      </w:r>
    </w:p>
    <w:p w14:paraId="0CBCEA0C" w14:textId="77777777" w:rsidR="007D1560" w:rsidRPr="00A40D51" w:rsidRDefault="007D1560" w:rsidP="00A40D51">
      <w:pPr>
        <w:jc w:val="both"/>
        <w:rPr>
          <w:rFonts w:cstheme="minorHAnsi"/>
          <w:sz w:val="24"/>
          <w:szCs w:val="24"/>
        </w:rPr>
      </w:pPr>
      <w:r w:rsidRPr="00A40D51">
        <w:rPr>
          <w:rFonts w:cstheme="minorHAnsi"/>
          <w:sz w:val="24"/>
          <w:szCs w:val="24"/>
        </w:rPr>
        <w:t xml:space="preserve">Available at: </w:t>
      </w:r>
      <w:hyperlink r:id="rId28" w:history="1">
        <w:r w:rsidRPr="00A40D51">
          <w:rPr>
            <w:rStyle w:val="Hyperlink"/>
            <w:rFonts w:cstheme="minorHAnsi"/>
            <w:sz w:val="24"/>
            <w:szCs w:val="24"/>
          </w:rPr>
          <w:t>https://fourweekmba.com/coca-cola-vision-statement-mission-statement/</w:t>
        </w:r>
      </w:hyperlink>
      <w:r w:rsidRPr="00A40D51">
        <w:rPr>
          <w:rFonts w:cstheme="minorHAnsi"/>
          <w:sz w:val="24"/>
          <w:szCs w:val="24"/>
        </w:rPr>
        <w:t>.</w:t>
      </w:r>
    </w:p>
    <w:p w14:paraId="466B8B5A" w14:textId="77777777" w:rsidR="007D1560" w:rsidRPr="00A40D51" w:rsidRDefault="007D1560" w:rsidP="00A40D51">
      <w:pPr>
        <w:jc w:val="both"/>
        <w:rPr>
          <w:rFonts w:cstheme="minorHAnsi"/>
          <w:sz w:val="24"/>
          <w:szCs w:val="24"/>
        </w:rPr>
      </w:pPr>
      <w:r w:rsidRPr="00A40D51">
        <w:rPr>
          <w:rFonts w:cstheme="minorHAnsi"/>
          <w:sz w:val="24"/>
          <w:szCs w:val="24"/>
        </w:rPr>
        <w:t>(Accessed: 15 June 2023)</w:t>
      </w:r>
    </w:p>
    <w:p w14:paraId="0F6F0043" w14:textId="77777777" w:rsidR="00226242" w:rsidRPr="00A40D51" w:rsidRDefault="00226242" w:rsidP="00A40D51">
      <w:pPr>
        <w:jc w:val="both"/>
        <w:rPr>
          <w:rFonts w:cstheme="minorHAnsi"/>
          <w:sz w:val="24"/>
          <w:szCs w:val="24"/>
        </w:rPr>
      </w:pPr>
      <w:r w:rsidRPr="00A40D51">
        <w:rPr>
          <w:rFonts w:cstheme="minorHAnsi"/>
          <w:sz w:val="24"/>
          <w:szCs w:val="24"/>
        </w:rPr>
        <w:t xml:space="preserve">Greenpeace (2016). The case against Coca-Cola. [online] </w:t>
      </w:r>
    </w:p>
    <w:p w14:paraId="2503B49D" w14:textId="37E50C41" w:rsidR="00226242" w:rsidRPr="00A40D51" w:rsidRDefault="00226242" w:rsidP="00A40D51">
      <w:pPr>
        <w:jc w:val="both"/>
        <w:rPr>
          <w:rFonts w:cstheme="minorHAnsi"/>
          <w:sz w:val="24"/>
          <w:szCs w:val="24"/>
        </w:rPr>
      </w:pPr>
      <w:r w:rsidRPr="00A40D51">
        <w:rPr>
          <w:rFonts w:cstheme="minorHAnsi"/>
          <w:sz w:val="24"/>
          <w:szCs w:val="24"/>
        </w:rPr>
        <w:t xml:space="preserve">Available at: </w:t>
      </w:r>
      <w:hyperlink r:id="rId29" w:history="1">
        <w:r w:rsidRPr="00A40D51">
          <w:rPr>
            <w:rStyle w:val="Hyperlink"/>
            <w:rFonts w:cstheme="minorHAnsi"/>
            <w:sz w:val="24"/>
            <w:szCs w:val="24"/>
          </w:rPr>
          <w:t>https://storage.googleapis.com/gpuk-static/legacy/the-case-against-coca-cola.pdf</w:t>
        </w:r>
      </w:hyperlink>
      <w:r w:rsidRPr="00A40D51">
        <w:rPr>
          <w:rFonts w:cstheme="minorHAnsi"/>
          <w:sz w:val="24"/>
          <w:szCs w:val="24"/>
        </w:rPr>
        <w:t xml:space="preserve">. </w:t>
      </w:r>
    </w:p>
    <w:p w14:paraId="120D4284" w14:textId="6913E643" w:rsidR="00226242" w:rsidRPr="00A40D51" w:rsidRDefault="00226242" w:rsidP="00A40D51">
      <w:pPr>
        <w:jc w:val="both"/>
        <w:rPr>
          <w:rFonts w:cstheme="minorHAnsi"/>
          <w:sz w:val="24"/>
          <w:szCs w:val="24"/>
        </w:rPr>
      </w:pPr>
      <w:r w:rsidRPr="00A40D51">
        <w:rPr>
          <w:rFonts w:cstheme="minorHAnsi"/>
          <w:sz w:val="24"/>
          <w:szCs w:val="24"/>
        </w:rPr>
        <w:t>(Accessed:</w:t>
      </w:r>
      <w:r w:rsidR="00E34BF2" w:rsidRPr="00A40D51">
        <w:rPr>
          <w:rFonts w:cstheme="minorHAnsi"/>
          <w:sz w:val="24"/>
          <w:szCs w:val="24"/>
        </w:rPr>
        <w:t xml:space="preserve"> 15 June 2023)</w:t>
      </w:r>
    </w:p>
    <w:p w14:paraId="26CDCFFE" w14:textId="78CADC9F" w:rsidR="007D1560" w:rsidRPr="00A40D51" w:rsidRDefault="007D1560" w:rsidP="00A40D51">
      <w:pPr>
        <w:jc w:val="both"/>
        <w:rPr>
          <w:rFonts w:cstheme="minorHAnsi"/>
          <w:sz w:val="24"/>
          <w:szCs w:val="24"/>
        </w:rPr>
      </w:pPr>
      <w:r w:rsidRPr="00A40D51">
        <w:rPr>
          <w:rFonts w:cstheme="minorHAnsi"/>
          <w:sz w:val="24"/>
          <w:szCs w:val="24"/>
        </w:rPr>
        <w:t xml:space="preserve">Jacobs, D. (2020). </w:t>
      </w:r>
      <w:r w:rsidRPr="00A40D51">
        <w:rPr>
          <w:rFonts w:cstheme="minorHAnsi"/>
          <w:i/>
          <w:iCs/>
          <w:sz w:val="24"/>
          <w:szCs w:val="24"/>
        </w:rPr>
        <w:t xml:space="preserve">KO vs. COKE: </w:t>
      </w:r>
      <w:r w:rsidR="0053596C" w:rsidRPr="00A40D51">
        <w:rPr>
          <w:rFonts w:cstheme="minorHAnsi"/>
          <w:i/>
          <w:iCs/>
          <w:sz w:val="24"/>
          <w:szCs w:val="24"/>
        </w:rPr>
        <w:t>What is</w:t>
      </w:r>
      <w:r w:rsidRPr="00A40D51">
        <w:rPr>
          <w:rFonts w:cstheme="minorHAnsi"/>
          <w:i/>
          <w:iCs/>
          <w:sz w:val="24"/>
          <w:szCs w:val="24"/>
        </w:rPr>
        <w:t xml:space="preserve"> the Difference?</w:t>
      </w:r>
      <w:r w:rsidRPr="00A40D51">
        <w:rPr>
          <w:rFonts w:cstheme="minorHAnsi"/>
          <w:sz w:val="24"/>
          <w:szCs w:val="24"/>
        </w:rPr>
        <w:t xml:space="preserve"> FinMasters. </w:t>
      </w:r>
    </w:p>
    <w:p w14:paraId="40B10403" w14:textId="77777777" w:rsidR="007D1560" w:rsidRPr="00A40D51" w:rsidRDefault="007D1560" w:rsidP="00A40D51">
      <w:pPr>
        <w:jc w:val="both"/>
        <w:rPr>
          <w:rFonts w:cstheme="minorHAnsi"/>
          <w:sz w:val="24"/>
          <w:szCs w:val="24"/>
        </w:rPr>
      </w:pPr>
      <w:r w:rsidRPr="00A40D51">
        <w:rPr>
          <w:rFonts w:cstheme="minorHAnsi"/>
          <w:sz w:val="24"/>
          <w:szCs w:val="24"/>
        </w:rPr>
        <w:t xml:space="preserve">Available at: </w:t>
      </w:r>
      <w:hyperlink r:id="rId30" w:anchor="gref" w:history="1">
        <w:r w:rsidRPr="00A40D51">
          <w:rPr>
            <w:rStyle w:val="Hyperlink"/>
            <w:rFonts w:cstheme="minorHAnsi"/>
            <w:sz w:val="24"/>
            <w:szCs w:val="24"/>
          </w:rPr>
          <w:t>https://finmasters.com/ko-vs-coke/#gref</w:t>
        </w:r>
      </w:hyperlink>
    </w:p>
    <w:p w14:paraId="61F3BE88" w14:textId="2714CE3C" w:rsidR="007D1560" w:rsidRPr="00A40D51" w:rsidRDefault="007D1560" w:rsidP="00A40D51">
      <w:pPr>
        <w:jc w:val="both"/>
        <w:rPr>
          <w:rFonts w:cstheme="minorHAnsi"/>
          <w:sz w:val="24"/>
          <w:szCs w:val="24"/>
        </w:rPr>
      </w:pPr>
      <w:r w:rsidRPr="00A40D51">
        <w:rPr>
          <w:rFonts w:cstheme="minorHAnsi"/>
          <w:sz w:val="24"/>
          <w:szCs w:val="24"/>
        </w:rPr>
        <w:t>(Accessed: 18 June 2023).</w:t>
      </w:r>
    </w:p>
    <w:p w14:paraId="5EE14045" w14:textId="48FB45F9" w:rsidR="007D1560" w:rsidRPr="00A40D51" w:rsidRDefault="007D1560" w:rsidP="00A40D51">
      <w:pPr>
        <w:jc w:val="both"/>
        <w:rPr>
          <w:rFonts w:cstheme="minorHAnsi"/>
          <w:sz w:val="24"/>
          <w:szCs w:val="24"/>
        </w:rPr>
      </w:pPr>
      <w:r w:rsidRPr="00A40D51">
        <w:rPr>
          <w:rFonts w:cstheme="minorHAnsi"/>
          <w:sz w:val="24"/>
          <w:szCs w:val="24"/>
        </w:rPr>
        <w:t>Annual Report (1998). The Coca Cola Compan</w:t>
      </w:r>
      <w:r w:rsidR="00893F1D" w:rsidRPr="00A40D51">
        <w:rPr>
          <w:rFonts w:cstheme="minorHAnsi"/>
          <w:sz w:val="24"/>
          <w:szCs w:val="24"/>
        </w:rPr>
        <w:t>y</w:t>
      </w:r>
      <w:r w:rsidRPr="00A40D51">
        <w:rPr>
          <w:rFonts w:cstheme="minorHAnsi"/>
          <w:i/>
          <w:iCs/>
          <w:sz w:val="24"/>
          <w:szCs w:val="24"/>
        </w:rPr>
        <w:t>. The Coca Cola Company</w:t>
      </w:r>
      <w:r w:rsidR="0053596C" w:rsidRPr="00A40D51">
        <w:rPr>
          <w:rFonts w:cstheme="minorHAnsi"/>
          <w:sz w:val="24"/>
          <w:szCs w:val="24"/>
        </w:rPr>
        <w:t xml:space="preserve">. </w:t>
      </w:r>
    </w:p>
    <w:p w14:paraId="026B813E" w14:textId="77777777" w:rsidR="007D1560" w:rsidRPr="00A40D51" w:rsidRDefault="007D1560" w:rsidP="00A40D51">
      <w:pPr>
        <w:jc w:val="both"/>
        <w:rPr>
          <w:rFonts w:cstheme="minorHAnsi"/>
          <w:sz w:val="24"/>
          <w:szCs w:val="24"/>
        </w:rPr>
      </w:pPr>
      <w:r w:rsidRPr="00A40D51">
        <w:rPr>
          <w:rFonts w:cstheme="minorHAnsi"/>
          <w:sz w:val="24"/>
          <w:szCs w:val="24"/>
        </w:rPr>
        <w:t xml:space="preserve">Available at: </w:t>
      </w:r>
      <w:hyperlink r:id="rId31" w:history="1">
        <w:r w:rsidRPr="00A40D51">
          <w:rPr>
            <w:rStyle w:val="Hyperlink"/>
            <w:rFonts w:cstheme="minorHAnsi"/>
            <w:sz w:val="24"/>
            <w:szCs w:val="24"/>
          </w:rPr>
          <w:t>https://investors.coca-colacompany.com/filings-reports/annual-reviews</w:t>
        </w:r>
      </w:hyperlink>
      <w:r w:rsidRPr="00A40D51">
        <w:rPr>
          <w:rFonts w:cstheme="minorHAnsi"/>
          <w:sz w:val="24"/>
          <w:szCs w:val="24"/>
        </w:rPr>
        <w:t xml:space="preserve">. </w:t>
      </w:r>
    </w:p>
    <w:p w14:paraId="7149E9C2" w14:textId="77777777" w:rsidR="007D1560" w:rsidRPr="00A40D51" w:rsidRDefault="007D1560" w:rsidP="00A40D51">
      <w:pPr>
        <w:jc w:val="both"/>
        <w:rPr>
          <w:rFonts w:cstheme="minorHAnsi"/>
          <w:sz w:val="24"/>
          <w:szCs w:val="24"/>
        </w:rPr>
      </w:pPr>
      <w:r w:rsidRPr="00A40D51">
        <w:rPr>
          <w:rFonts w:cstheme="minorHAnsi"/>
          <w:sz w:val="24"/>
          <w:szCs w:val="24"/>
        </w:rPr>
        <w:t>(Accessed: 20 June 2023)</w:t>
      </w:r>
    </w:p>
    <w:p w14:paraId="3B99A733" w14:textId="77777777" w:rsidR="007D1560" w:rsidRPr="00A40D51" w:rsidRDefault="007D1560" w:rsidP="00A40D51">
      <w:pPr>
        <w:jc w:val="both"/>
        <w:rPr>
          <w:rFonts w:cstheme="minorHAnsi"/>
          <w:sz w:val="24"/>
          <w:szCs w:val="24"/>
        </w:rPr>
      </w:pPr>
      <w:r w:rsidRPr="00A40D51">
        <w:rPr>
          <w:rFonts w:cstheme="minorHAnsi"/>
          <w:sz w:val="24"/>
          <w:szCs w:val="24"/>
        </w:rPr>
        <w:t xml:space="preserve">CNBC (2023). </w:t>
      </w:r>
      <w:r w:rsidRPr="00A40D51">
        <w:rPr>
          <w:rFonts w:cstheme="minorHAnsi"/>
          <w:i/>
          <w:iCs/>
          <w:sz w:val="24"/>
          <w:szCs w:val="24"/>
        </w:rPr>
        <w:t>Afternoon Session - 2023 Meeting</w:t>
      </w:r>
      <w:r w:rsidRPr="00A40D51">
        <w:rPr>
          <w:rFonts w:cstheme="minorHAnsi"/>
          <w:sz w:val="24"/>
          <w:szCs w:val="24"/>
        </w:rPr>
        <w:t xml:space="preserve">. </w:t>
      </w:r>
    </w:p>
    <w:p w14:paraId="10B01357" w14:textId="1FB14E5F" w:rsidR="007D1560" w:rsidRPr="00A40D51" w:rsidRDefault="007D1560" w:rsidP="00A40D51">
      <w:pPr>
        <w:jc w:val="both"/>
        <w:rPr>
          <w:rFonts w:cstheme="minorHAnsi"/>
          <w:sz w:val="24"/>
          <w:szCs w:val="24"/>
        </w:rPr>
      </w:pPr>
      <w:r w:rsidRPr="00A40D51">
        <w:rPr>
          <w:rFonts w:cstheme="minorHAnsi"/>
          <w:sz w:val="24"/>
          <w:szCs w:val="24"/>
        </w:rPr>
        <w:t xml:space="preserve">Available at: </w:t>
      </w:r>
      <w:hyperlink r:id="rId32" w:history="1">
        <w:r w:rsidRPr="00A40D51">
          <w:rPr>
            <w:rStyle w:val="Hyperlink"/>
            <w:rFonts w:cstheme="minorHAnsi"/>
            <w:sz w:val="24"/>
            <w:szCs w:val="24"/>
          </w:rPr>
          <w:t>https://buffett.cnbc.com/video/2023/05/08/afternoon-session---2023-meeting.html?&amp;start=2924.4</w:t>
        </w:r>
      </w:hyperlink>
    </w:p>
    <w:p w14:paraId="152374A8" w14:textId="1A7905C6" w:rsidR="00A71C81" w:rsidRPr="00A40D51" w:rsidRDefault="007D1560" w:rsidP="00A40D51">
      <w:pPr>
        <w:jc w:val="both"/>
        <w:rPr>
          <w:rFonts w:cstheme="minorHAnsi"/>
          <w:sz w:val="24"/>
          <w:szCs w:val="24"/>
        </w:rPr>
      </w:pPr>
      <w:r w:rsidRPr="00A40D51">
        <w:rPr>
          <w:rFonts w:cstheme="minorHAnsi"/>
          <w:sz w:val="24"/>
          <w:szCs w:val="24"/>
        </w:rPr>
        <w:t>(Accessed: 22 June 2023).</w:t>
      </w:r>
    </w:p>
    <w:p w14:paraId="0CF3D1D4" w14:textId="77777777" w:rsidR="007D1560" w:rsidRPr="00A40D51" w:rsidRDefault="007D1560" w:rsidP="00A40D51">
      <w:pPr>
        <w:jc w:val="both"/>
        <w:rPr>
          <w:rFonts w:cstheme="minorHAnsi"/>
          <w:sz w:val="24"/>
          <w:szCs w:val="24"/>
        </w:rPr>
      </w:pPr>
      <w:r w:rsidRPr="00A40D51">
        <w:rPr>
          <w:rFonts w:cstheme="minorHAnsi"/>
          <w:sz w:val="24"/>
          <w:szCs w:val="24"/>
        </w:rPr>
        <w:t>The Coca-Cola Company(2023) </w:t>
      </w:r>
      <w:r w:rsidRPr="00A40D51">
        <w:rPr>
          <w:rFonts w:cstheme="minorHAnsi"/>
          <w:i/>
          <w:iCs/>
          <w:sz w:val="24"/>
          <w:szCs w:val="24"/>
        </w:rPr>
        <w:t>Purpose&amp;Vision</w:t>
      </w:r>
      <w:r w:rsidRPr="00A40D51">
        <w:rPr>
          <w:rFonts w:cstheme="minorHAnsi"/>
          <w:sz w:val="24"/>
          <w:szCs w:val="24"/>
        </w:rPr>
        <w:t xml:space="preserve">. </w:t>
      </w:r>
    </w:p>
    <w:p w14:paraId="00C55ED4" w14:textId="77777777" w:rsidR="007D1560" w:rsidRPr="00A40D51" w:rsidRDefault="007D1560" w:rsidP="00A40D51">
      <w:pPr>
        <w:jc w:val="both"/>
        <w:rPr>
          <w:rFonts w:cstheme="minorHAnsi"/>
          <w:sz w:val="24"/>
          <w:szCs w:val="24"/>
        </w:rPr>
      </w:pPr>
      <w:r w:rsidRPr="00A40D51">
        <w:rPr>
          <w:rFonts w:cstheme="minorHAnsi"/>
          <w:sz w:val="24"/>
          <w:szCs w:val="24"/>
        </w:rPr>
        <w:t xml:space="preserve">Available at: </w:t>
      </w:r>
      <w:hyperlink r:id="rId33" w:history="1">
        <w:r w:rsidRPr="00A40D51">
          <w:rPr>
            <w:rStyle w:val="Hyperlink"/>
            <w:rFonts w:cstheme="minorHAnsi"/>
            <w:sz w:val="24"/>
            <w:szCs w:val="24"/>
          </w:rPr>
          <w:t>https://www.coca-colacompany.com/about-us/purpose-and-vision</w:t>
        </w:r>
      </w:hyperlink>
    </w:p>
    <w:p w14:paraId="2ED38FF5" w14:textId="3DDF3642" w:rsidR="007D1560" w:rsidRPr="00A40D51" w:rsidRDefault="007D1560" w:rsidP="00A40D51">
      <w:pPr>
        <w:jc w:val="both"/>
        <w:rPr>
          <w:rFonts w:cstheme="minorHAnsi"/>
          <w:sz w:val="24"/>
          <w:szCs w:val="24"/>
        </w:rPr>
      </w:pPr>
      <w:r w:rsidRPr="00A40D51">
        <w:rPr>
          <w:rFonts w:cstheme="minorHAnsi"/>
          <w:sz w:val="24"/>
          <w:szCs w:val="24"/>
        </w:rPr>
        <w:t>(Accessed: 18 June 2023).</w:t>
      </w:r>
    </w:p>
    <w:p w14:paraId="7EF5911A" w14:textId="77777777" w:rsidR="00157D04" w:rsidRPr="00A40D51" w:rsidRDefault="007D1560" w:rsidP="00A40D51">
      <w:pPr>
        <w:jc w:val="both"/>
        <w:rPr>
          <w:rFonts w:cstheme="minorHAnsi"/>
          <w:sz w:val="24"/>
          <w:szCs w:val="24"/>
        </w:rPr>
      </w:pPr>
      <w:r w:rsidRPr="00A40D51">
        <w:rPr>
          <w:rFonts w:cstheme="minorHAnsi"/>
          <w:sz w:val="24"/>
          <w:szCs w:val="24"/>
        </w:rPr>
        <w:t xml:space="preserve">Griffin, R.W. (2021). </w:t>
      </w:r>
      <w:r w:rsidRPr="00A40D51">
        <w:rPr>
          <w:rFonts w:cstheme="minorHAnsi"/>
          <w:i/>
          <w:iCs/>
          <w:sz w:val="24"/>
          <w:szCs w:val="24"/>
        </w:rPr>
        <w:t>Management.</w:t>
      </w:r>
      <w:r w:rsidRPr="00A40D51">
        <w:rPr>
          <w:rFonts w:cstheme="minorHAnsi"/>
          <w:sz w:val="24"/>
          <w:szCs w:val="24"/>
        </w:rPr>
        <w:t xml:space="preserve"> 13th ed. </w:t>
      </w:r>
    </w:p>
    <w:p w14:paraId="0546728A" w14:textId="1A31AE39" w:rsidR="007D1560" w:rsidRPr="00A40D51" w:rsidRDefault="007D1560" w:rsidP="00A40D51">
      <w:pPr>
        <w:jc w:val="both"/>
        <w:rPr>
          <w:rFonts w:cstheme="minorHAnsi"/>
          <w:sz w:val="24"/>
          <w:szCs w:val="24"/>
        </w:rPr>
      </w:pPr>
      <w:r w:rsidRPr="00A40D51">
        <w:rPr>
          <w:rFonts w:cstheme="minorHAnsi"/>
          <w:sz w:val="24"/>
          <w:szCs w:val="24"/>
        </w:rPr>
        <w:t>S.L.: Cengage Learning Custom P.</w:t>
      </w:r>
    </w:p>
    <w:p w14:paraId="09C4AC03" w14:textId="07E74F43" w:rsidR="008011BC" w:rsidRPr="00A40D51" w:rsidRDefault="008011BC" w:rsidP="00A40D51">
      <w:pPr>
        <w:jc w:val="both"/>
        <w:rPr>
          <w:rFonts w:cstheme="minorHAnsi"/>
          <w:sz w:val="24"/>
          <w:szCs w:val="24"/>
        </w:rPr>
      </w:pPr>
      <w:r w:rsidRPr="00A40D51">
        <w:rPr>
          <w:rFonts w:cstheme="minorHAnsi"/>
          <w:sz w:val="24"/>
          <w:szCs w:val="24"/>
        </w:rPr>
        <w:t xml:space="preserve">Henderson, B. (1970). </w:t>
      </w:r>
      <w:r w:rsidRPr="00A40D51">
        <w:rPr>
          <w:rFonts w:cstheme="minorHAnsi"/>
          <w:i/>
          <w:iCs/>
          <w:sz w:val="24"/>
          <w:szCs w:val="24"/>
        </w:rPr>
        <w:t>The Product Portfolio</w:t>
      </w:r>
      <w:r w:rsidRPr="00A40D51">
        <w:rPr>
          <w:rFonts w:cstheme="minorHAnsi"/>
          <w:sz w:val="24"/>
          <w:szCs w:val="24"/>
        </w:rPr>
        <w:t xml:space="preserve">. </w:t>
      </w:r>
      <w:r w:rsidRPr="00A40D51">
        <w:rPr>
          <w:rFonts w:cstheme="minorHAnsi"/>
          <w:i/>
          <w:iCs/>
          <w:sz w:val="24"/>
          <w:szCs w:val="24"/>
        </w:rPr>
        <w:t>BCG Global.</w:t>
      </w:r>
    </w:p>
    <w:p w14:paraId="630D068F" w14:textId="2EEDEA05" w:rsidR="007D1560" w:rsidRPr="00A40D51" w:rsidRDefault="008011BC" w:rsidP="00A40D51">
      <w:pPr>
        <w:jc w:val="both"/>
        <w:rPr>
          <w:rFonts w:cstheme="minorHAnsi"/>
          <w:sz w:val="24"/>
          <w:szCs w:val="24"/>
        </w:rPr>
      </w:pPr>
      <w:r w:rsidRPr="00A40D51">
        <w:rPr>
          <w:rFonts w:cstheme="minorHAnsi"/>
          <w:sz w:val="24"/>
          <w:szCs w:val="24"/>
        </w:rPr>
        <w:t xml:space="preserve">Available at: </w:t>
      </w:r>
      <w:hyperlink r:id="rId34" w:history="1">
        <w:r w:rsidRPr="00A40D51">
          <w:rPr>
            <w:rStyle w:val="Hyperlink"/>
            <w:rFonts w:cstheme="minorHAnsi"/>
            <w:sz w:val="24"/>
            <w:szCs w:val="24"/>
          </w:rPr>
          <w:t>https://www.bcg.com/publications/1970/strategy-the-product-portfolio</w:t>
        </w:r>
      </w:hyperlink>
      <w:r w:rsidRPr="00A40D51">
        <w:rPr>
          <w:rFonts w:cstheme="minorHAnsi"/>
          <w:sz w:val="24"/>
          <w:szCs w:val="24"/>
        </w:rPr>
        <w:t xml:space="preserve">. </w:t>
      </w:r>
    </w:p>
    <w:p w14:paraId="7167E302" w14:textId="706B5CC3" w:rsidR="008011BC" w:rsidRPr="00A40D51" w:rsidRDefault="008011BC" w:rsidP="00A40D51">
      <w:pPr>
        <w:jc w:val="both"/>
        <w:rPr>
          <w:rFonts w:cstheme="minorHAnsi"/>
          <w:sz w:val="24"/>
          <w:szCs w:val="24"/>
        </w:rPr>
      </w:pPr>
      <w:r w:rsidRPr="00A40D51">
        <w:rPr>
          <w:rFonts w:cstheme="minorHAnsi"/>
          <w:sz w:val="24"/>
          <w:szCs w:val="24"/>
        </w:rPr>
        <w:t>(Accessed: 27 June 2023)</w:t>
      </w:r>
    </w:p>
    <w:p w14:paraId="5DE1A8A4" w14:textId="70C6EAFC" w:rsidR="00031E8D" w:rsidRPr="00A40D51" w:rsidRDefault="00031E8D" w:rsidP="00A40D51">
      <w:pPr>
        <w:jc w:val="both"/>
        <w:rPr>
          <w:rFonts w:cstheme="minorHAnsi"/>
          <w:sz w:val="24"/>
          <w:szCs w:val="24"/>
        </w:rPr>
      </w:pPr>
      <w:r w:rsidRPr="00A40D51">
        <w:rPr>
          <w:rFonts w:cstheme="minorHAnsi"/>
          <w:sz w:val="24"/>
          <w:szCs w:val="24"/>
        </w:rPr>
        <w:t xml:space="preserve">Mohajan, H. (2017). </w:t>
      </w:r>
      <w:r w:rsidRPr="00A40D51">
        <w:rPr>
          <w:rFonts w:cstheme="minorHAnsi"/>
          <w:i/>
          <w:iCs/>
          <w:sz w:val="24"/>
          <w:szCs w:val="24"/>
        </w:rPr>
        <w:t>An Analysis on BCG Growth Sharing Matrix</w:t>
      </w:r>
      <w:r w:rsidRPr="00A40D51">
        <w:rPr>
          <w:rFonts w:cstheme="minorHAnsi"/>
          <w:sz w:val="24"/>
          <w:szCs w:val="24"/>
        </w:rPr>
        <w:t>.</w:t>
      </w:r>
    </w:p>
    <w:p w14:paraId="69154889" w14:textId="0F812836" w:rsidR="008011BC" w:rsidRPr="00A40D51" w:rsidRDefault="00031E8D" w:rsidP="00A40D51">
      <w:pPr>
        <w:jc w:val="both"/>
        <w:rPr>
          <w:rFonts w:cstheme="minorHAnsi"/>
          <w:sz w:val="24"/>
          <w:szCs w:val="24"/>
        </w:rPr>
      </w:pPr>
      <w:r w:rsidRPr="00A40D51">
        <w:rPr>
          <w:rFonts w:cstheme="minorHAnsi"/>
          <w:sz w:val="24"/>
          <w:szCs w:val="24"/>
        </w:rPr>
        <w:t xml:space="preserve">Available at: </w:t>
      </w:r>
      <w:hyperlink r:id="rId35" w:history="1">
        <w:r w:rsidRPr="00A40D51">
          <w:rPr>
            <w:rStyle w:val="Hyperlink"/>
            <w:rFonts w:cstheme="minorHAnsi"/>
            <w:sz w:val="24"/>
            <w:szCs w:val="24"/>
          </w:rPr>
          <w:t>https://mpra.ub.uni-muenchen.de/84237/</w:t>
        </w:r>
      </w:hyperlink>
      <w:r w:rsidRPr="00A40D51">
        <w:rPr>
          <w:rFonts w:cstheme="minorHAnsi"/>
          <w:sz w:val="24"/>
          <w:szCs w:val="24"/>
        </w:rPr>
        <w:t xml:space="preserve">. </w:t>
      </w:r>
    </w:p>
    <w:p w14:paraId="7AB7C4F6" w14:textId="03191BA3" w:rsidR="00031E8D" w:rsidRPr="00A40D51" w:rsidRDefault="00031E8D" w:rsidP="00A40D51">
      <w:pPr>
        <w:jc w:val="both"/>
        <w:rPr>
          <w:rFonts w:cstheme="minorHAnsi"/>
          <w:sz w:val="24"/>
          <w:szCs w:val="24"/>
        </w:rPr>
      </w:pPr>
      <w:r w:rsidRPr="00A40D51">
        <w:rPr>
          <w:rFonts w:cstheme="minorHAnsi"/>
          <w:sz w:val="24"/>
          <w:szCs w:val="24"/>
        </w:rPr>
        <w:t>(Accessed: 27 June 2023)</w:t>
      </w:r>
    </w:p>
    <w:p w14:paraId="20E73CA7" w14:textId="177C2E7B" w:rsidR="00447D33" w:rsidRPr="00A40D51" w:rsidRDefault="00447D33" w:rsidP="00A40D51">
      <w:pPr>
        <w:jc w:val="both"/>
        <w:rPr>
          <w:rFonts w:cstheme="minorHAnsi"/>
          <w:sz w:val="24"/>
          <w:szCs w:val="24"/>
        </w:rPr>
      </w:pPr>
      <w:r w:rsidRPr="00A40D51">
        <w:rPr>
          <w:rFonts w:cstheme="minorHAnsi"/>
          <w:sz w:val="24"/>
          <w:szCs w:val="24"/>
        </w:rPr>
        <w:t xml:space="preserve">Rawat, S. (2021). </w:t>
      </w:r>
      <w:r w:rsidRPr="00A40D51">
        <w:rPr>
          <w:rFonts w:cstheme="minorHAnsi"/>
          <w:i/>
          <w:iCs/>
          <w:sz w:val="24"/>
          <w:szCs w:val="24"/>
        </w:rPr>
        <w:t>A Boston Consulting Group (BCG) Matrix Model | Analytics Steps</w:t>
      </w:r>
      <w:r w:rsidRPr="00A40D51">
        <w:rPr>
          <w:rFonts w:cstheme="minorHAnsi"/>
          <w:sz w:val="24"/>
          <w:szCs w:val="24"/>
        </w:rPr>
        <w:t>.</w:t>
      </w:r>
      <w:r w:rsidR="000135C9" w:rsidRPr="00A40D51">
        <w:rPr>
          <w:rFonts w:cstheme="minorHAnsi"/>
          <w:sz w:val="24"/>
          <w:szCs w:val="24"/>
        </w:rPr>
        <w:t xml:space="preserve"> </w:t>
      </w:r>
      <w:r w:rsidRPr="00A40D51">
        <w:rPr>
          <w:rFonts w:cstheme="minorHAnsi"/>
          <w:sz w:val="24"/>
          <w:szCs w:val="24"/>
        </w:rPr>
        <w:t xml:space="preserve">www.analyticssteps.com. </w:t>
      </w:r>
    </w:p>
    <w:p w14:paraId="554B3C79" w14:textId="3139B870" w:rsidR="00447D33" w:rsidRPr="00A40D51" w:rsidRDefault="00447D33" w:rsidP="00A40D51">
      <w:pPr>
        <w:jc w:val="both"/>
        <w:rPr>
          <w:rFonts w:cstheme="minorHAnsi"/>
          <w:sz w:val="24"/>
          <w:szCs w:val="24"/>
        </w:rPr>
      </w:pPr>
      <w:r w:rsidRPr="00A40D51">
        <w:rPr>
          <w:rFonts w:cstheme="minorHAnsi"/>
          <w:sz w:val="24"/>
          <w:szCs w:val="24"/>
        </w:rPr>
        <w:t xml:space="preserve">Available at: </w:t>
      </w:r>
      <w:hyperlink r:id="rId36" w:history="1">
        <w:r w:rsidRPr="00A40D51">
          <w:rPr>
            <w:rStyle w:val="Hyperlink"/>
            <w:rFonts w:cstheme="minorHAnsi"/>
            <w:sz w:val="24"/>
            <w:szCs w:val="24"/>
          </w:rPr>
          <w:t>https://www.analyticssteps.com/blogs/boston-consulting-group-bcg-matrix-model</w:t>
        </w:r>
      </w:hyperlink>
      <w:r w:rsidRPr="00A40D51">
        <w:rPr>
          <w:rFonts w:cstheme="minorHAnsi"/>
          <w:sz w:val="24"/>
          <w:szCs w:val="24"/>
        </w:rPr>
        <w:t xml:space="preserve">. </w:t>
      </w:r>
    </w:p>
    <w:p w14:paraId="44CB2BF7" w14:textId="3E775A75" w:rsidR="00447D33" w:rsidRPr="00A40D51" w:rsidRDefault="009A605A" w:rsidP="00A40D51">
      <w:pPr>
        <w:jc w:val="both"/>
        <w:rPr>
          <w:rFonts w:cstheme="minorHAnsi"/>
          <w:sz w:val="24"/>
          <w:szCs w:val="24"/>
        </w:rPr>
      </w:pPr>
      <w:r w:rsidRPr="00A40D51">
        <w:rPr>
          <w:rFonts w:cstheme="minorHAnsi"/>
          <w:sz w:val="24"/>
          <w:szCs w:val="24"/>
        </w:rPr>
        <w:t>(Accessed: 27 June 2023)</w:t>
      </w:r>
    </w:p>
    <w:p w14:paraId="48F3ED46" w14:textId="1F6E5B46" w:rsidR="000135C9" w:rsidRPr="00A40D51" w:rsidRDefault="000135C9" w:rsidP="00A40D51">
      <w:pPr>
        <w:jc w:val="both"/>
        <w:rPr>
          <w:rFonts w:cstheme="minorHAnsi"/>
          <w:sz w:val="24"/>
          <w:szCs w:val="24"/>
        </w:rPr>
      </w:pPr>
      <w:r w:rsidRPr="00A40D51">
        <w:rPr>
          <w:rFonts w:cstheme="minorHAnsi"/>
          <w:sz w:val="24"/>
          <w:szCs w:val="24"/>
        </w:rPr>
        <w:t xml:space="preserve">Lu, H. and Zhao, L. (2006). </w:t>
      </w:r>
      <w:r w:rsidR="00157D04" w:rsidRPr="00A40D51">
        <w:rPr>
          <w:rFonts w:cstheme="minorHAnsi"/>
          <w:i/>
          <w:iCs/>
          <w:sz w:val="24"/>
          <w:szCs w:val="24"/>
        </w:rPr>
        <w:t xml:space="preserve">Integrating GIS And BCG Model For Marketing Strategic Planning </w:t>
      </w:r>
      <w:r w:rsidRPr="00A40D51">
        <w:rPr>
          <w:rFonts w:cstheme="minorHAnsi"/>
          <w:sz w:val="24"/>
          <w:szCs w:val="24"/>
        </w:rPr>
        <w:t xml:space="preserve">.pp.718–725. </w:t>
      </w:r>
    </w:p>
    <w:p w14:paraId="325CEBE9" w14:textId="3EDF9A9B" w:rsidR="000135C9" w:rsidRPr="00A40D51" w:rsidRDefault="000135C9" w:rsidP="00A40D51">
      <w:pPr>
        <w:jc w:val="both"/>
        <w:rPr>
          <w:rFonts w:cstheme="minorHAnsi"/>
          <w:sz w:val="24"/>
          <w:szCs w:val="24"/>
        </w:rPr>
      </w:pPr>
      <w:r w:rsidRPr="00A40D51">
        <w:rPr>
          <w:rFonts w:cstheme="minorHAnsi"/>
          <w:sz w:val="24"/>
          <w:szCs w:val="24"/>
        </w:rPr>
        <w:t xml:space="preserve">Available at: </w:t>
      </w:r>
      <w:hyperlink r:id="rId37" w:history="1">
        <w:r w:rsidRPr="00A40D51">
          <w:rPr>
            <w:rStyle w:val="Hyperlink"/>
            <w:rFonts w:cstheme="minorHAnsi"/>
            <w:sz w:val="24"/>
            <w:szCs w:val="24"/>
          </w:rPr>
          <w:t>http://gebrc.nccu.edu.tw/proceedings/APDSI/2006/718-725.pdf</w:t>
        </w:r>
      </w:hyperlink>
      <w:r w:rsidRPr="00A40D51">
        <w:rPr>
          <w:rFonts w:cstheme="minorHAnsi"/>
          <w:sz w:val="24"/>
          <w:szCs w:val="24"/>
        </w:rPr>
        <w:t xml:space="preserve">. </w:t>
      </w:r>
    </w:p>
    <w:p w14:paraId="2D3E1FFF" w14:textId="5A1EF450" w:rsidR="000135C9" w:rsidRPr="00A40D51" w:rsidRDefault="000135C9" w:rsidP="00A40D51">
      <w:pPr>
        <w:jc w:val="both"/>
        <w:rPr>
          <w:rFonts w:cstheme="minorHAnsi"/>
          <w:sz w:val="24"/>
          <w:szCs w:val="24"/>
        </w:rPr>
      </w:pPr>
      <w:r w:rsidRPr="00A40D51">
        <w:rPr>
          <w:rFonts w:cstheme="minorHAnsi"/>
          <w:sz w:val="24"/>
          <w:szCs w:val="24"/>
        </w:rPr>
        <w:t>(Accessed: 27 June 2023)</w:t>
      </w:r>
    </w:p>
    <w:p w14:paraId="700AD520" w14:textId="2B8ABADD" w:rsidR="002E14C5" w:rsidRPr="00A40D51" w:rsidRDefault="00512072" w:rsidP="00A40D51">
      <w:pPr>
        <w:jc w:val="both"/>
        <w:rPr>
          <w:rFonts w:cstheme="minorHAnsi"/>
          <w:sz w:val="24"/>
          <w:szCs w:val="24"/>
        </w:rPr>
      </w:pPr>
      <w:r w:rsidRPr="00A40D51">
        <w:rPr>
          <w:rFonts w:cstheme="minorHAnsi"/>
          <w:sz w:val="24"/>
          <w:szCs w:val="24"/>
        </w:rPr>
        <w:t>Oivind</w:t>
      </w:r>
      <w:r w:rsidR="002E14C5" w:rsidRPr="00A40D51">
        <w:rPr>
          <w:rFonts w:cstheme="minorHAnsi"/>
          <w:sz w:val="24"/>
          <w:szCs w:val="24"/>
        </w:rPr>
        <w:t xml:space="preserve"> Madsen, D. (2017). </w:t>
      </w:r>
      <w:r w:rsidR="002E14C5" w:rsidRPr="00A40D51">
        <w:rPr>
          <w:rFonts w:cstheme="minorHAnsi"/>
          <w:i/>
          <w:iCs/>
          <w:sz w:val="24"/>
          <w:szCs w:val="24"/>
        </w:rPr>
        <w:t>Not dead yet: the rise, fall and persistence of the BCG Matrix</w:t>
      </w:r>
      <w:r w:rsidR="002E14C5" w:rsidRPr="00A40D51">
        <w:rPr>
          <w:rFonts w:cstheme="minorHAnsi"/>
          <w:sz w:val="24"/>
          <w:szCs w:val="24"/>
        </w:rPr>
        <w:t xml:space="preserve">. Problems and Perspectives in Management, 15(1), pp.19–34. </w:t>
      </w:r>
    </w:p>
    <w:p w14:paraId="24733FC8" w14:textId="77777777" w:rsidR="002E14C5" w:rsidRPr="00A40D51" w:rsidRDefault="002E14C5" w:rsidP="00A40D51">
      <w:pPr>
        <w:jc w:val="both"/>
        <w:rPr>
          <w:rFonts w:cstheme="minorHAnsi"/>
          <w:sz w:val="24"/>
          <w:szCs w:val="24"/>
        </w:rPr>
      </w:pPr>
      <w:r w:rsidRPr="00A40D51">
        <w:rPr>
          <w:rFonts w:cstheme="minorHAnsi"/>
          <w:sz w:val="24"/>
          <w:szCs w:val="24"/>
        </w:rPr>
        <w:t xml:space="preserve">doi: </w:t>
      </w:r>
      <w:hyperlink r:id="rId38" w:history="1">
        <w:r w:rsidRPr="00A40D51">
          <w:rPr>
            <w:rStyle w:val="Hyperlink"/>
            <w:rFonts w:cstheme="minorHAnsi"/>
            <w:sz w:val="24"/>
            <w:szCs w:val="24"/>
          </w:rPr>
          <w:t>https://doi.org/10.21511/ppm.15(1).2017.02</w:t>
        </w:r>
      </w:hyperlink>
      <w:r w:rsidRPr="00A40D51">
        <w:rPr>
          <w:rFonts w:cstheme="minorHAnsi"/>
          <w:sz w:val="24"/>
          <w:szCs w:val="24"/>
        </w:rPr>
        <w:t xml:space="preserve"> </w:t>
      </w:r>
    </w:p>
    <w:p w14:paraId="46B1E752" w14:textId="006D14FC" w:rsidR="009A605A" w:rsidRPr="00A40D51" w:rsidRDefault="002E14C5" w:rsidP="00A40D51">
      <w:pPr>
        <w:jc w:val="both"/>
        <w:rPr>
          <w:rFonts w:cstheme="minorHAnsi"/>
          <w:sz w:val="24"/>
          <w:szCs w:val="24"/>
        </w:rPr>
      </w:pPr>
      <w:r w:rsidRPr="00A40D51">
        <w:rPr>
          <w:rFonts w:cstheme="minorHAnsi"/>
          <w:sz w:val="24"/>
          <w:szCs w:val="24"/>
        </w:rPr>
        <w:t xml:space="preserve">(Accessed: 27 June 2023) </w:t>
      </w:r>
    </w:p>
    <w:p w14:paraId="78D89E57" w14:textId="36989ECF" w:rsidR="00F52DE4" w:rsidRPr="00A40D51" w:rsidRDefault="00F52DE4" w:rsidP="00A40D51">
      <w:pPr>
        <w:jc w:val="both"/>
        <w:rPr>
          <w:rFonts w:cstheme="minorHAnsi"/>
          <w:sz w:val="24"/>
          <w:szCs w:val="24"/>
        </w:rPr>
      </w:pPr>
      <w:r w:rsidRPr="00A40D51">
        <w:rPr>
          <w:rFonts w:cstheme="minorHAnsi"/>
          <w:sz w:val="24"/>
          <w:szCs w:val="24"/>
        </w:rPr>
        <w:t xml:space="preserve">Harper, C. (2022). </w:t>
      </w:r>
      <w:r w:rsidRPr="00A40D51">
        <w:rPr>
          <w:rFonts w:cstheme="minorHAnsi"/>
          <w:i/>
          <w:iCs/>
          <w:sz w:val="24"/>
          <w:szCs w:val="24"/>
        </w:rPr>
        <w:t xml:space="preserve">Energy drink ban for kids ‘scrapped’ by Tories in major </w:t>
      </w:r>
      <w:r w:rsidR="00331E2B" w:rsidRPr="00A40D51">
        <w:rPr>
          <w:rFonts w:cstheme="minorHAnsi"/>
          <w:i/>
          <w:iCs/>
          <w:sz w:val="24"/>
          <w:szCs w:val="24"/>
        </w:rPr>
        <w:t>U-turn</w:t>
      </w:r>
      <w:r w:rsidRPr="00A40D51">
        <w:rPr>
          <w:rFonts w:cstheme="minorHAnsi"/>
          <w:sz w:val="24"/>
          <w:szCs w:val="24"/>
        </w:rPr>
        <w:t>. BirminghamLive.</w:t>
      </w:r>
    </w:p>
    <w:p w14:paraId="66205898" w14:textId="4B79018D" w:rsidR="00447D33" w:rsidRPr="00A40D51" w:rsidRDefault="00F52DE4" w:rsidP="00A40D51">
      <w:pPr>
        <w:jc w:val="both"/>
        <w:rPr>
          <w:rFonts w:cstheme="minorHAnsi"/>
          <w:sz w:val="24"/>
          <w:szCs w:val="24"/>
        </w:rPr>
      </w:pPr>
      <w:r w:rsidRPr="00A40D51">
        <w:rPr>
          <w:rFonts w:cstheme="minorHAnsi"/>
          <w:sz w:val="24"/>
          <w:szCs w:val="24"/>
        </w:rPr>
        <w:t xml:space="preserve">Available at: </w:t>
      </w:r>
      <w:hyperlink r:id="rId39" w:history="1">
        <w:r w:rsidRPr="00A40D51">
          <w:rPr>
            <w:rStyle w:val="Hyperlink"/>
            <w:rFonts w:cstheme="minorHAnsi"/>
            <w:sz w:val="24"/>
            <w:szCs w:val="24"/>
          </w:rPr>
          <w:t>https://www.birminghammail.co.uk/news/uk-news/energy-drink-ban-kids-scrapped-24321231</w:t>
        </w:r>
      </w:hyperlink>
      <w:r w:rsidRPr="00A40D51">
        <w:rPr>
          <w:rFonts w:cstheme="minorHAnsi"/>
          <w:sz w:val="24"/>
          <w:szCs w:val="24"/>
        </w:rPr>
        <w:t xml:space="preserve">. </w:t>
      </w:r>
    </w:p>
    <w:p w14:paraId="35C56CFC" w14:textId="0A024B34" w:rsidR="00F52DE4" w:rsidRPr="00A40D51" w:rsidRDefault="00F52DE4" w:rsidP="00A40D51">
      <w:pPr>
        <w:jc w:val="both"/>
        <w:rPr>
          <w:rFonts w:cstheme="minorHAnsi"/>
          <w:sz w:val="24"/>
          <w:szCs w:val="24"/>
        </w:rPr>
      </w:pPr>
      <w:r w:rsidRPr="00A40D51">
        <w:rPr>
          <w:rFonts w:cstheme="minorHAnsi"/>
          <w:sz w:val="24"/>
          <w:szCs w:val="24"/>
        </w:rPr>
        <w:t>(Accessed: 28 June 2023)</w:t>
      </w:r>
    </w:p>
    <w:p w14:paraId="2C8AAB85" w14:textId="0A46D700" w:rsidR="00087D19" w:rsidRPr="00A40D51" w:rsidRDefault="00087D19" w:rsidP="00A40D51">
      <w:pPr>
        <w:jc w:val="both"/>
        <w:rPr>
          <w:rFonts w:cstheme="minorHAnsi"/>
          <w:sz w:val="24"/>
          <w:szCs w:val="24"/>
        </w:rPr>
      </w:pPr>
      <w:r w:rsidRPr="00A40D51">
        <w:rPr>
          <w:rFonts w:cstheme="minorHAnsi"/>
          <w:sz w:val="24"/>
          <w:szCs w:val="24"/>
        </w:rPr>
        <w:t xml:space="preserve">CCEP </w:t>
      </w:r>
      <w:r w:rsidRPr="00A40D51">
        <w:rPr>
          <w:rFonts w:cstheme="minorHAnsi"/>
          <w:i/>
          <w:iCs/>
          <w:sz w:val="24"/>
          <w:szCs w:val="24"/>
        </w:rPr>
        <w:t>Integrated Report</w:t>
      </w:r>
      <w:r w:rsidRPr="00A40D51">
        <w:rPr>
          <w:rFonts w:cstheme="minorHAnsi"/>
          <w:sz w:val="24"/>
          <w:szCs w:val="24"/>
        </w:rPr>
        <w:t xml:space="preserve">. (2022). </w:t>
      </w:r>
      <w:r w:rsidRPr="00A40D51">
        <w:rPr>
          <w:rFonts w:cstheme="minorHAnsi"/>
          <w:i/>
          <w:iCs/>
          <w:sz w:val="24"/>
          <w:szCs w:val="24"/>
        </w:rPr>
        <w:t>Coca-Colaep</w:t>
      </w:r>
      <w:r w:rsidRPr="00A40D51">
        <w:rPr>
          <w:rFonts w:cstheme="minorHAnsi"/>
          <w:sz w:val="24"/>
          <w:szCs w:val="24"/>
        </w:rPr>
        <w:t>, pp.1–85.</w:t>
      </w:r>
    </w:p>
    <w:p w14:paraId="31757095" w14:textId="243EBDC0" w:rsidR="00087D19" w:rsidRPr="00A40D51" w:rsidRDefault="00087D19" w:rsidP="00A40D51">
      <w:pPr>
        <w:jc w:val="both"/>
        <w:rPr>
          <w:rFonts w:cstheme="minorHAnsi"/>
          <w:sz w:val="24"/>
          <w:szCs w:val="24"/>
        </w:rPr>
      </w:pPr>
      <w:r w:rsidRPr="00A40D51">
        <w:rPr>
          <w:rFonts w:cstheme="minorHAnsi"/>
          <w:sz w:val="24"/>
          <w:szCs w:val="24"/>
        </w:rPr>
        <w:t xml:space="preserve">Available at: </w:t>
      </w:r>
      <w:hyperlink r:id="rId40" w:history="1">
        <w:r w:rsidRPr="00A40D51">
          <w:rPr>
            <w:rStyle w:val="Hyperlink"/>
            <w:rFonts w:cstheme="minorHAnsi"/>
            <w:sz w:val="24"/>
            <w:szCs w:val="24"/>
          </w:rPr>
          <w:t>https://www.cocacolaep.com/assets/IR-Documents/2022/Strategic-Report.pdf</w:t>
        </w:r>
      </w:hyperlink>
      <w:r w:rsidRPr="00A40D51">
        <w:rPr>
          <w:rFonts w:cstheme="minorHAnsi"/>
          <w:sz w:val="24"/>
          <w:szCs w:val="24"/>
        </w:rPr>
        <w:t xml:space="preserve">   (Accessed: 28 June 2023)</w:t>
      </w:r>
    </w:p>
    <w:p w14:paraId="2044A054" w14:textId="559683B0" w:rsidR="00157D04" w:rsidRPr="00A40D51" w:rsidRDefault="00157D04" w:rsidP="00A40D51">
      <w:pPr>
        <w:jc w:val="both"/>
        <w:rPr>
          <w:rFonts w:cstheme="minorHAnsi"/>
          <w:sz w:val="24"/>
          <w:szCs w:val="24"/>
        </w:rPr>
      </w:pPr>
      <w:r w:rsidRPr="00A40D51">
        <w:rPr>
          <w:rFonts w:cstheme="minorHAnsi"/>
          <w:sz w:val="24"/>
          <w:szCs w:val="24"/>
        </w:rPr>
        <w:t>The Coca-Cola Company 2022</w:t>
      </w:r>
      <w:r w:rsidRPr="00A40D51">
        <w:rPr>
          <w:rFonts w:cstheme="minorHAnsi"/>
          <w:i/>
          <w:iCs/>
          <w:sz w:val="24"/>
          <w:szCs w:val="24"/>
        </w:rPr>
        <w:t xml:space="preserve"> Business &amp; Sustainability Report</w:t>
      </w:r>
      <w:r w:rsidRPr="00A40D51">
        <w:rPr>
          <w:rFonts w:cstheme="minorHAnsi"/>
          <w:sz w:val="24"/>
          <w:szCs w:val="24"/>
        </w:rPr>
        <w:t xml:space="preserve">. (2022). </w:t>
      </w:r>
    </w:p>
    <w:p w14:paraId="28C13296" w14:textId="3237C31B" w:rsidR="00157D04" w:rsidRPr="00A40D51" w:rsidRDefault="00157D04" w:rsidP="00A40D51">
      <w:pPr>
        <w:rPr>
          <w:rFonts w:cstheme="minorHAnsi"/>
          <w:sz w:val="24"/>
          <w:szCs w:val="24"/>
        </w:rPr>
      </w:pPr>
      <w:r w:rsidRPr="00A40D51">
        <w:rPr>
          <w:rFonts w:cstheme="minorHAnsi"/>
          <w:sz w:val="24"/>
          <w:szCs w:val="24"/>
        </w:rPr>
        <w:t xml:space="preserve">Available at: </w:t>
      </w:r>
      <w:hyperlink r:id="rId41" w:anchor="page%3D24" w:history="1">
        <w:r w:rsidRPr="00A40D51">
          <w:rPr>
            <w:rStyle w:val="Hyperlink"/>
            <w:rFonts w:cstheme="minorHAnsi"/>
            <w:sz w:val="24"/>
            <w:szCs w:val="24"/>
          </w:rPr>
          <w:t>https://www.coca-colacompany.com/content/dam/company/us/en/reports/coca-cola-business-and-sustainability-report-2022.pdf#page%3D24</w:t>
        </w:r>
      </w:hyperlink>
      <w:r w:rsidRPr="00A40D51">
        <w:rPr>
          <w:rFonts w:cstheme="minorHAnsi"/>
          <w:sz w:val="24"/>
          <w:szCs w:val="24"/>
        </w:rPr>
        <w:t xml:space="preserve">   </w:t>
      </w:r>
    </w:p>
    <w:p w14:paraId="501FA2CF" w14:textId="77777777" w:rsidR="00C06A0A" w:rsidRPr="00A40D51" w:rsidRDefault="00157D04" w:rsidP="00A40D51">
      <w:pPr>
        <w:jc w:val="both"/>
        <w:rPr>
          <w:rFonts w:cstheme="minorHAnsi"/>
          <w:sz w:val="24"/>
          <w:szCs w:val="24"/>
        </w:rPr>
      </w:pPr>
      <w:r w:rsidRPr="00A40D51">
        <w:rPr>
          <w:rFonts w:cstheme="minorHAnsi"/>
          <w:sz w:val="24"/>
          <w:szCs w:val="24"/>
        </w:rPr>
        <w:t>(Accessed: 28 June 2023).</w:t>
      </w:r>
      <w:r w:rsidR="00C06A0A" w:rsidRPr="00A40D51">
        <w:rPr>
          <w:rFonts w:cstheme="minorHAnsi"/>
          <w:sz w:val="24"/>
          <w:szCs w:val="24"/>
        </w:rPr>
        <w:t xml:space="preserve"> </w:t>
      </w:r>
    </w:p>
    <w:p w14:paraId="45F8A959" w14:textId="2312839A" w:rsidR="00C06A0A" w:rsidRPr="00A40D51" w:rsidRDefault="00C06A0A" w:rsidP="00A40D51">
      <w:pPr>
        <w:jc w:val="both"/>
        <w:rPr>
          <w:rFonts w:cstheme="minorHAnsi"/>
          <w:sz w:val="24"/>
          <w:szCs w:val="24"/>
        </w:rPr>
      </w:pPr>
      <w:r w:rsidRPr="00A40D51">
        <w:rPr>
          <w:rFonts w:cstheme="minorHAnsi"/>
          <w:sz w:val="24"/>
          <w:szCs w:val="24"/>
        </w:rPr>
        <w:t>The Coca-Cola Company. (2023</w:t>
      </w:r>
      <w:r w:rsidR="002B4C2E" w:rsidRPr="00A40D51">
        <w:rPr>
          <w:rFonts w:cstheme="minorHAnsi"/>
          <w:sz w:val="24"/>
          <w:szCs w:val="24"/>
        </w:rPr>
        <w:t>a</w:t>
      </w:r>
      <w:r w:rsidRPr="00A40D51">
        <w:rPr>
          <w:rFonts w:cstheme="minorHAnsi"/>
          <w:sz w:val="24"/>
          <w:szCs w:val="24"/>
        </w:rPr>
        <w:t xml:space="preserve">). </w:t>
      </w:r>
      <w:r w:rsidRPr="00A40D51">
        <w:rPr>
          <w:rFonts w:cstheme="minorHAnsi"/>
          <w:i/>
          <w:iCs/>
          <w:sz w:val="24"/>
          <w:szCs w:val="24"/>
        </w:rPr>
        <w:t>Quarterly Filings</w:t>
      </w:r>
      <w:r w:rsidRPr="00A40D51">
        <w:rPr>
          <w:rFonts w:cstheme="minorHAnsi"/>
          <w:sz w:val="24"/>
          <w:szCs w:val="24"/>
        </w:rPr>
        <w:t xml:space="preserve"> (10-Q). </w:t>
      </w:r>
    </w:p>
    <w:p w14:paraId="2062D0F8" w14:textId="671EF690" w:rsidR="00C06A0A" w:rsidRPr="00A40D51" w:rsidRDefault="00C06A0A" w:rsidP="00A40D51">
      <w:pPr>
        <w:jc w:val="both"/>
        <w:rPr>
          <w:rFonts w:cstheme="minorHAnsi"/>
          <w:sz w:val="24"/>
          <w:szCs w:val="24"/>
        </w:rPr>
      </w:pPr>
      <w:r w:rsidRPr="00A40D51">
        <w:rPr>
          <w:rFonts w:cstheme="minorHAnsi"/>
          <w:sz w:val="24"/>
          <w:szCs w:val="24"/>
        </w:rPr>
        <w:t xml:space="preserve">Available at: </w:t>
      </w:r>
      <w:hyperlink r:id="rId42" w:history="1">
        <w:r w:rsidRPr="00A40D51">
          <w:rPr>
            <w:rStyle w:val="Hyperlink"/>
            <w:rFonts w:cstheme="minorHAnsi"/>
            <w:sz w:val="24"/>
            <w:szCs w:val="24"/>
          </w:rPr>
          <w:t>https://investors.coca-colacompany.com/filings-reports/quarterly-filings-10-q</w:t>
        </w:r>
      </w:hyperlink>
      <w:r w:rsidRPr="00A40D51">
        <w:rPr>
          <w:rFonts w:cstheme="minorHAnsi"/>
          <w:sz w:val="24"/>
          <w:szCs w:val="24"/>
        </w:rPr>
        <w:t xml:space="preserve">. </w:t>
      </w:r>
    </w:p>
    <w:p w14:paraId="031D0A14" w14:textId="6172D180" w:rsidR="00C06A0A" w:rsidRPr="00A40D51" w:rsidRDefault="00C06A0A" w:rsidP="00A40D51">
      <w:pPr>
        <w:jc w:val="both"/>
        <w:rPr>
          <w:rFonts w:cstheme="minorHAnsi"/>
          <w:sz w:val="24"/>
          <w:szCs w:val="24"/>
        </w:rPr>
      </w:pPr>
      <w:r w:rsidRPr="00A40D51">
        <w:rPr>
          <w:rFonts w:cstheme="minorHAnsi"/>
          <w:sz w:val="24"/>
          <w:szCs w:val="24"/>
        </w:rPr>
        <w:t>(Accessed: 28 June 2023)</w:t>
      </w:r>
    </w:p>
    <w:p w14:paraId="22E27761" w14:textId="45D5F664" w:rsidR="009826D2" w:rsidRPr="00A40D51" w:rsidRDefault="009826D2" w:rsidP="00A40D51">
      <w:pPr>
        <w:jc w:val="both"/>
        <w:rPr>
          <w:rFonts w:cstheme="minorHAnsi"/>
          <w:sz w:val="24"/>
          <w:szCs w:val="24"/>
        </w:rPr>
      </w:pPr>
      <w:r w:rsidRPr="00A40D51">
        <w:rPr>
          <w:rFonts w:cstheme="minorHAnsi"/>
          <w:sz w:val="24"/>
          <w:szCs w:val="24"/>
        </w:rPr>
        <w:t xml:space="preserve">Pramuk, J. (2018). </w:t>
      </w:r>
      <w:r w:rsidRPr="00A40D51">
        <w:rPr>
          <w:rFonts w:cstheme="minorHAnsi"/>
          <w:i/>
          <w:iCs/>
          <w:sz w:val="24"/>
          <w:szCs w:val="24"/>
        </w:rPr>
        <w:t xml:space="preserve">Trump administration will put steel and </w:t>
      </w:r>
      <w:r w:rsidR="00331E2B" w:rsidRPr="00A40D51">
        <w:rPr>
          <w:rFonts w:cstheme="minorHAnsi"/>
          <w:i/>
          <w:iCs/>
          <w:sz w:val="24"/>
          <w:szCs w:val="24"/>
        </w:rPr>
        <w:t>aluminium</w:t>
      </w:r>
      <w:r w:rsidRPr="00A40D51">
        <w:rPr>
          <w:rFonts w:cstheme="minorHAnsi"/>
          <w:i/>
          <w:iCs/>
          <w:sz w:val="24"/>
          <w:szCs w:val="24"/>
        </w:rPr>
        <w:t xml:space="preserve"> tariffs on Canada</w:t>
      </w:r>
      <w:r w:rsidRPr="00A40D51">
        <w:rPr>
          <w:rFonts w:cstheme="minorHAnsi"/>
          <w:sz w:val="24"/>
          <w:szCs w:val="24"/>
        </w:rPr>
        <w:t xml:space="preserve">, Mexico and the EU. CNBC. </w:t>
      </w:r>
    </w:p>
    <w:p w14:paraId="76F37FE5" w14:textId="6FCBCC39" w:rsidR="00C06A0A" w:rsidRPr="00A40D51" w:rsidRDefault="009826D2" w:rsidP="00A40D51">
      <w:pPr>
        <w:jc w:val="both"/>
        <w:rPr>
          <w:rFonts w:cstheme="minorHAnsi"/>
          <w:sz w:val="24"/>
          <w:szCs w:val="24"/>
        </w:rPr>
      </w:pPr>
      <w:r w:rsidRPr="00A40D51">
        <w:rPr>
          <w:rFonts w:cstheme="minorHAnsi"/>
          <w:sz w:val="24"/>
          <w:szCs w:val="24"/>
        </w:rPr>
        <w:t xml:space="preserve">Available at: </w:t>
      </w:r>
      <w:hyperlink r:id="rId43" w:history="1">
        <w:r w:rsidRPr="00A40D51">
          <w:rPr>
            <w:rStyle w:val="Hyperlink"/>
            <w:rFonts w:cstheme="minorHAnsi"/>
            <w:sz w:val="24"/>
            <w:szCs w:val="24"/>
          </w:rPr>
          <w:t>https://www.cnbc.com/2018/05/31/trump-administration-will-put-steel-and-aluminum-tariffs-on-canada-mexico-and-the-eu.html</w:t>
        </w:r>
      </w:hyperlink>
      <w:r w:rsidRPr="00A40D51">
        <w:rPr>
          <w:rFonts w:cstheme="minorHAnsi"/>
          <w:sz w:val="24"/>
          <w:szCs w:val="24"/>
        </w:rPr>
        <w:t>.</w:t>
      </w:r>
    </w:p>
    <w:p w14:paraId="5E06F47F" w14:textId="38D00585" w:rsidR="009826D2" w:rsidRPr="00A40D51" w:rsidRDefault="009826D2" w:rsidP="00A40D51">
      <w:pPr>
        <w:jc w:val="both"/>
        <w:rPr>
          <w:rFonts w:cstheme="minorHAnsi"/>
          <w:sz w:val="24"/>
          <w:szCs w:val="24"/>
        </w:rPr>
      </w:pPr>
      <w:r w:rsidRPr="00A40D51">
        <w:rPr>
          <w:rFonts w:cstheme="minorHAnsi"/>
          <w:sz w:val="24"/>
          <w:szCs w:val="24"/>
        </w:rPr>
        <w:t>(Accessed: 28 June 2023)</w:t>
      </w:r>
    </w:p>
    <w:p w14:paraId="16493EE6" w14:textId="77777777" w:rsidR="00B1152A" w:rsidRPr="00A40D51" w:rsidRDefault="00E01820" w:rsidP="00A40D51">
      <w:pPr>
        <w:jc w:val="both"/>
        <w:rPr>
          <w:rFonts w:cstheme="minorHAnsi"/>
          <w:sz w:val="24"/>
          <w:szCs w:val="24"/>
        </w:rPr>
      </w:pPr>
      <w:r w:rsidRPr="00A40D51">
        <w:rPr>
          <w:rFonts w:cstheme="minorHAnsi"/>
          <w:sz w:val="24"/>
          <w:szCs w:val="24"/>
        </w:rPr>
        <w:t xml:space="preserve">Zhenmin, L. and Guterres , A. (2023). </w:t>
      </w:r>
      <w:r w:rsidRPr="00A40D51">
        <w:rPr>
          <w:rFonts w:cstheme="minorHAnsi"/>
          <w:i/>
          <w:iCs/>
          <w:sz w:val="24"/>
          <w:szCs w:val="24"/>
        </w:rPr>
        <w:t>UN Water Conference 2023</w:t>
      </w:r>
      <w:r w:rsidRPr="00A40D51">
        <w:rPr>
          <w:rFonts w:cstheme="minorHAnsi"/>
          <w:sz w:val="24"/>
          <w:szCs w:val="24"/>
        </w:rPr>
        <w:t xml:space="preserve"> | Department of Economic and Social Affairs. sdgs.un.org.</w:t>
      </w:r>
    </w:p>
    <w:p w14:paraId="136DADF2" w14:textId="195F6ACD" w:rsidR="00B56693" w:rsidRPr="00A40D51" w:rsidRDefault="00E01820" w:rsidP="00A40D51">
      <w:pPr>
        <w:jc w:val="both"/>
        <w:rPr>
          <w:rFonts w:cstheme="minorHAnsi"/>
          <w:sz w:val="24"/>
          <w:szCs w:val="24"/>
        </w:rPr>
      </w:pPr>
      <w:r w:rsidRPr="00A40D51">
        <w:rPr>
          <w:rFonts w:cstheme="minorHAnsi"/>
          <w:sz w:val="24"/>
          <w:szCs w:val="24"/>
        </w:rPr>
        <w:t xml:space="preserve">Available at: </w:t>
      </w:r>
      <w:hyperlink r:id="rId44" w:history="1">
        <w:r w:rsidR="00B1152A" w:rsidRPr="00A40D51">
          <w:rPr>
            <w:rStyle w:val="Hyperlink"/>
            <w:rFonts w:cstheme="minorHAnsi"/>
            <w:sz w:val="24"/>
            <w:szCs w:val="24"/>
          </w:rPr>
          <w:t>https://sdgs.un.org/conferences/water2023</w:t>
        </w:r>
      </w:hyperlink>
      <w:r w:rsidRPr="00A40D51">
        <w:rPr>
          <w:rFonts w:cstheme="minorHAnsi"/>
          <w:sz w:val="24"/>
          <w:szCs w:val="24"/>
        </w:rPr>
        <w:t>.</w:t>
      </w:r>
      <w:r w:rsidR="00B1152A" w:rsidRPr="00A40D51">
        <w:rPr>
          <w:rFonts w:cstheme="minorHAnsi"/>
          <w:sz w:val="24"/>
          <w:szCs w:val="24"/>
        </w:rPr>
        <w:t xml:space="preserve"> </w:t>
      </w:r>
    </w:p>
    <w:p w14:paraId="5994D530" w14:textId="1E7694CE" w:rsidR="00B1152A" w:rsidRPr="00A40D51" w:rsidRDefault="00B1152A" w:rsidP="00A40D51">
      <w:pPr>
        <w:jc w:val="both"/>
        <w:rPr>
          <w:rFonts w:cstheme="minorHAnsi"/>
          <w:sz w:val="24"/>
          <w:szCs w:val="24"/>
        </w:rPr>
      </w:pPr>
      <w:r w:rsidRPr="00A40D51">
        <w:rPr>
          <w:rFonts w:cstheme="minorHAnsi"/>
          <w:sz w:val="24"/>
          <w:szCs w:val="24"/>
        </w:rPr>
        <w:t>(Accessed: 28 June 2023)</w:t>
      </w:r>
    </w:p>
    <w:p w14:paraId="51E5CD2D" w14:textId="77777777" w:rsidR="00685AAC" w:rsidRPr="00A40D51" w:rsidRDefault="00685AAC" w:rsidP="00A40D51">
      <w:pPr>
        <w:jc w:val="both"/>
        <w:rPr>
          <w:rFonts w:cstheme="minorHAnsi"/>
          <w:sz w:val="24"/>
          <w:szCs w:val="24"/>
        </w:rPr>
      </w:pPr>
      <w:r w:rsidRPr="00A40D51">
        <w:rPr>
          <w:rFonts w:cstheme="minorHAnsi"/>
          <w:sz w:val="24"/>
          <w:szCs w:val="24"/>
        </w:rPr>
        <w:t xml:space="preserve">Fan, D., Tan, Z. and Zheng, Q. (2022). </w:t>
      </w:r>
      <w:r w:rsidRPr="00A40D51">
        <w:rPr>
          <w:rFonts w:cstheme="minorHAnsi"/>
          <w:i/>
          <w:iCs/>
          <w:sz w:val="24"/>
          <w:szCs w:val="24"/>
        </w:rPr>
        <w:t>Financial and Strategies Analysis of Coca-Cola Company in the Period of COVID-19 Epidemic</w:t>
      </w:r>
      <w:r w:rsidRPr="00A40D51">
        <w:rPr>
          <w:rFonts w:cstheme="minorHAnsi"/>
          <w:sz w:val="24"/>
          <w:szCs w:val="24"/>
        </w:rPr>
        <w:t xml:space="preserve">. </w:t>
      </w:r>
    </w:p>
    <w:p w14:paraId="354E788F" w14:textId="39E492A3" w:rsidR="00685AAC" w:rsidRPr="00A40D51" w:rsidRDefault="00685AAC" w:rsidP="00A40D51">
      <w:pPr>
        <w:jc w:val="both"/>
        <w:rPr>
          <w:rFonts w:cstheme="minorHAnsi"/>
          <w:sz w:val="24"/>
          <w:szCs w:val="24"/>
        </w:rPr>
      </w:pPr>
      <w:r w:rsidRPr="00A40D51">
        <w:rPr>
          <w:rFonts w:cstheme="minorHAnsi"/>
          <w:sz w:val="24"/>
          <w:szCs w:val="24"/>
        </w:rPr>
        <w:t xml:space="preserve">doi: </w:t>
      </w:r>
      <w:hyperlink r:id="rId45" w:history="1">
        <w:r w:rsidRPr="00A40D51">
          <w:rPr>
            <w:rStyle w:val="Hyperlink"/>
            <w:rFonts w:cstheme="minorHAnsi"/>
            <w:sz w:val="24"/>
            <w:szCs w:val="24"/>
          </w:rPr>
          <w:t>https://doi.org/10.2991/aebmr.k.220603.162</w:t>
        </w:r>
      </w:hyperlink>
      <w:r w:rsidRPr="00A40D51">
        <w:rPr>
          <w:rFonts w:cstheme="minorHAnsi"/>
          <w:sz w:val="24"/>
          <w:szCs w:val="24"/>
        </w:rPr>
        <w:t xml:space="preserve">  </w:t>
      </w:r>
    </w:p>
    <w:p w14:paraId="20986C74" w14:textId="03A02B16" w:rsidR="00685AAC" w:rsidRPr="00A40D51" w:rsidRDefault="00685AAC" w:rsidP="00A40D51">
      <w:pPr>
        <w:jc w:val="both"/>
        <w:rPr>
          <w:rFonts w:cstheme="minorHAnsi"/>
          <w:sz w:val="24"/>
          <w:szCs w:val="24"/>
        </w:rPr>
      </w:pPr>
      <w:r w:rsidRPr="00A40D51">
        <w:rPr>
          <w:rFonts w:cstheme="minorHAnsi"/>
          <w:sz w:val="24"/>
          <w:szCs w:val="24"/>
        </w:rPr>
        <w:t>(Accessed: 29 June 2023)</w:t>
      </w:r>
    </w:p>
    <w:p w14:paraId="56CBA525" w14:textId="5D8B6AE2" w:rsidR="00A71C81" w:rsidRPr="00A40D51" w:rsidRDefault="00A71C81" w:rsidP="00A40D51">
      <w:pPr>
        <w:jc w:val="both"/>
        <w:rPr>
          <w:rFonts w:cstheme="minorHAnsi"/>
          <w:sz w:val="24"/>
          <w:szCs w:val="24"/>
        </w:rPr>
      </w:pPr>
      <w:r w:rsidRPr="00A40D51">
        <w:rPr>
          <w:rFonts w:cstheme="minorHAnsi"/>
          <w:sz w:val="24"/>
          <w:szCs w:val="24"/>
        </w:rPr>
        <w:t xml:space="preserve">Martin, M. (2023). </w:t>
      </w:r>
      <w:r w:rsidRPr="00A40D51">
        <w:rPr>
          <w:rFonts w:cstheme="minorHAnsi"/>
          <w:i/>
          <w:iCs/>
          <w:sz w:val="24"/>
          <w:szCs w:val="24"/>
        </w:rPr>
        <w:t>What is a BCG Matrix?</w:t>
      </w:r>
      <w:r w:rsidRPr="00A40D51">
        <w:rPr>
          <w:rFonts w:cstheme="minorHAnsi"/>
          <w:sz w:val="24"/>
          <w:szCs w:val="24"/>
        </w:rPr>
        <w:t xml:space="preserve"> Business News Daily.</w:t>
      </w:r>
    </w:p>
    <w:p w14:paraId="06275EDB" w14:textId="455F0707" w:rsidR="00A71C81" w:rsidRPr="00A40D51" w:rsidRDefault="00A71C81" w:rsidP="00A40D51">
      <w:pPr>
        <w:jc w:val="both"/>
        <w:rPr>
          <w:rFonts w:cstheme="minorHAnsi"/>
          <w:sz w:val="24"/>
          <w:szCs w:val="24"/>
        </w:rPr>
      </w:pPr>
      <w:r w:rsidRPr="00A40D51">
        <w:rPr>
          <w:rFonts w:cstheme="minorHAnsi"/>
          <w:sz w:val="24"/>
          <w:szCs w:val="24"/>
        </w:rPr>
        <w:t xml:space="preserve">Available at: </w:t>
      </w:r>
      <w:hyperlink r:id="rId46" w:history="1">
        <w:r w:rsidRPr="00A40D51">
          <w:rPr>
            <w:rStyle w:val="Hyperlink"/>
            <w:rFonts w:cstheme="minorHAnsi"/>
            <w:sz w:val="24"/>
            <w:szCs w:val="24"/>
          </w:rPr>
          <w:t>https://www.businessnewsdaily.com/5693-bcg-matrix.html</w:t>
        </w:r>
      </w:hyperlink>
      <w:r w:rsidRPr="00A40D51">
        <w:rPr>
          <w:rFonts w:cstheme="minorHAnsi"/>
          <w:sz w:val="24"/>
          <w:szCs w:val="24"/>
        </w:rPr>
        <w:t xml:space="preserve">. </w:t>
      </w:r>
    </w:p>
    <w:p w14:paraId="342C60D5" w14:textId="596655CF" w:rsidR="00685AAC" w:rsidRPr="00A40D51" w:rsidRDefault="00A71C81" w:rsidP="00A40D51">
      <w:pPr>
        <w:jc w:val="both"/>
        <w:rPr>
          <w:rFonts w:cstheme="minorHAnsi"/>
          <w:sz w:val="24"/>
          <w:szCs w:val="24"/>
        </w:rPr>
      </w:pPr>
      <w:r w:rsidRPr="00A40D51">
        <w:rPr>
          <w:rFonts w:cstheme="minorHAnsi"/>
          <w:sz w:val="24"/>
          <w:szCs w:val="24"/>
        </w:rPr>
        <w:t xml:space="preserve">(Accessed: 27 June </w:t>
      </w:r>
      <w:r w:rsidR="00BB470C" w:rsidRPr="00A40D51">
        <w:rPr>
          <w:rFonts w:cstheme="minorHAnsi"/>
          <w:sz w:val="24"/>
          <w:szCs w:val="24"/>
        </w:rPr>
        <w:t>2023)</w:t>
      </w:r>
    </w:p>
    <w:p w14:paraId="4389558B" w14:textId="3957E096" w:rsidR="00BB470C" w:rsidRPr="00A40D51" w:rsidRDefault="00BB470C" w:rsidP="00A40D51">
      <w:pPr>
        <w:jc w:val="both"/>
        <w:rPr>
          <w:rFonts w:cstheme="minorHAnsi"/>
          <w:sz w:val="24"/>
          <w:szCs w:val="24"/>
        </w:rPr>
      </w:pPr>
      <w:r w:rsidRPr="00A40D51">
        <w:rPr>
          <w:rFonts w:cstheme="minorHAnsi"/>
          <w:sz w:val="24"/>
          <w:szCs w:val="24"/>
        </w:rPr>
        <w:t xml:space="preserve">Reuters (2023). </w:t>
      </w:r>
      <w:r w:rsidRPr="00A40D51">
        <w:rPr>
          <w:rFonts w:cstheme="minorHAnsi"/>
          <w:i/>
          <w:iCs/>
          <w:sz w:val="24"/>
          <w:szCs w:val="24"/>
        </w:rPr>
        <w:t>Venezuela inflation accelerating, heightening risk of return to hyperinflation, economists say</w:t>
      </w:r>
      <w:r w:rsidRPr="00A40D51">
        <w:rPr>
          <w:rFonts w:cstheme="minorHAnsi"/>
          <w:sz w:val="24"/>
          <w:szCs w:val="24"/>
        </w:rPr>
        <w:t>.</w:t>
      </w:r>
    </w:p>
    <w:p w14:paraId="61234895" w14:textId="6795A768" w:rsidR="00BB470C" w:rsidRPr="00A40D51" w:rsidRDefault="00BB470C" w:rsidP="00A40D51">
      <w:pPr>
        <w:jc w:val="both"/>
        <w:rPr>
          <w:rFonts w:cstheme="minorHAnsi"/>
          <w:sz w:val="24"/>
          <w:szCs w:val="24"/>
        </w:rPr>
      </w:pPr>
      <w:r w:rsidRPr="00A40D51">
        <w:rPr>
          <w:rFonts w:cstheme="minorHAnsi"/>
          <w:sz w:val="24"/>
          <w:szCs w:val="24"/>
        </w:rPr>
        <w:t xml:space="preserve">Available at: </w:t>
      </w:r>
      <w:hyperlink r:id="rId47" w:history="1">
        <w:r w:rsidRPr="00A40D51">
          <w:rPr>
            <w:rStyle w:val="Hyperlink"/>
            <w:rFonts w:cstheme="minorHAnsi"/>
            <w:sz w:val="24"/>
            <w:szCs w:val="24"/>
          </w:rPr>
          <w:t>https://www.reuters.com/world/americas/venezuela-inflation-accelerating-heightening-risk-return-hyperinflation-2023-01-05/</w:t>
        </w:r>
      </w:hyperlink>
      <w:r w:rsidRPr="00A40D51">
        <w:rPr>
          <w:rFonts w:cstheme="minorHAnsi"/>
          <w:sz w:val="24"/>
          <w:szCs w:val="24"/>
        </w:rPr>
        <w:t xml:space="preserve"> </w:t>
      </w:r>
    </w:p>
    <w:p w14:paraId="29346EA6" w14:textId="35CA243A" w:rsidR="00BB470C" w:rsidRPr="00A40D51" w:rsidRDefault="00BB470C" w:rsidP="00A40D51">
      <w:pPr>
        <w:jc w:val="both"/>
        <w:rPr>
          <w:rFonts w:cstheme="minorHAnsi"/>
          <w:sz w:val="24"/>
          <w:szCs w:val="24"/>
        </w:rPr>
      </w:pPr>
      <w:r w:rsidRPr="00A40D51">
        <w:rPr>
          <w:rFonts w:cstheme="minorHAnsi"/>
          <w:sz w:val="24"/>
          <w:szCs w:val="24"/>
        </w:rPr>
        <w:t xml:space="preserve">(Accessed: </w:t>
      </w:r>
      <w:r w:rsidR="000123FD" w:rsidRPr="00A40D51">
        <w:rPr>
          <w:rFonts w:cstheme="minorHAnsi"/>
          <w:sz w:val="24"/>
          <w:szCs w:val="24"/>
        </w:rPr>
        <w:t>27 June 2023)</w:t>
      </w:r>
    </w:p>
    <w:p w14:paraId="56CB8D6E" w14:textId="5081AE45" w:rsidR="00F05BB6" w:rsidRPr="00A40D51" w:rsidRDefault="00F05BB6" w:rsidP="00A40D51">
      <w:pPr>
        <w:rPr>
          <w:rFonts w:cstheme="minorHAnsi"/>
          <w:sz w:val="24"/>
          <w:szCs w:val="24"/>
        </w:rPr>
      </w:pPr>
      <w:r w:rsidRPr="00A40D51">
        <w:rPr>
          <w:rFonts w:cstheme="minorHAnsi"/>
          <w:sz w:val="24"/>
          <w:szCs w:val="24"/>
        </w:rPr>
        <w:t xml:space="preserve">TBH, T. (2023). </w:t>
      </w:r>
      <w:r w:rsidRPr="00A40D51">
        <w:rPr>
          <w:rFonts w:cstheme="minorHAnsi"/>
          <w:i/>
          <w:iCs/>
          <w:sz w:val="24"/>
          <w:szCs w:val="24"/>
        </w:rPr>
        <w:t>Marketing Mix And Porter’s Five Forces Of Coca-Cola</w:t>
      </w:r>
      <w:r w:rsidRPr="00A40D51">
        <w:rPr>
          <w:rFonts w:cstheme="minorHAnsi"/>
          <w:sz w:val="24"/>
          <w:szCs w:val="24"/>
        </w:rPr>
        <w:t>.</w:t>
      </w:r>
      <w:r w:rsidR="00E62289" w:rsidRPr="00A40D51">
        <w:rPr>
          <w:rFonts w:cstheme="minorHAnsi"/>
          <w:sz w:val="24"/>
          <w:szCs w:val="24"/>
        </w:rPr>
        <w:t xml:space="preserve"> </w:t>
      </w:r>
      <w:r w:rsidRPr="00A40D51">
        <w:rPr>
          <w:rFonts w:cstheme="minorHAnsi"/>
          <w:sz w:val="24"/>
          <w:szCs w:val="24"/>
        </w:rPr>
        <w:t xml:space="preserve">The Brand Hopper. </w:t>
      </w:r>
    </w:p>
    <w:p w14:paraId="52560325" w14:textId="3B921A84" w:rsidR="003E55FD" w:rsidRPr="00A40D51" w:rsidRDefault="00F05BB6" w:rsidP="00A40D51">
      <w:pPr>
        <w:rPr>
          <w:rFonts w:cstheme="minorHAnsi"/>
          <w:sz w:val="24"/>
          <w:szCs w:val="24"/>
        </w:rPr>
      </w:pPr>
      <w:r w:rsidRPr="00A40D51">
        <w:rPr>
          <w:rFonts w:cstheme="minorHAnsi"/>
          <w:sz w:val="24"/>
          <w:szCs w:val="24"/>
        </w:rPr>
        <w:t xml:space="preserve">Available at: </w:t>
      </w:r>
      <w:hyperlink r:id="rId48" w:history="1">
        <w:r w:rsidRPr="00A40D51">
          <w:rPr>
            <w:rStyle w:val="Hyperlink"/>
            <w:rFonts w:cstheme="minorHAnsi"/>
            <w:sz w:val="24"/>
            <w:szCs w:val="24"/>
          </w:rPr>
          <w:t>https://thebrandhopper.com/2023/04/01/marketing-mix-and-porters-five-forces-of-coca-cola/</w:t>
        </w:r>
      </w:hyperlink>
      <w:r w:rsidRPr="00A40D51">
        <w:rPr>
          <w:rFonts w:cstheme="minorHAnsi"/>
          <w:sz w:val="24"/>
          <w:szCs w:val="24"/>
        </w:rPr>
        <w:t xml:space="preserve">. </w:t>
      </w:r>
    </w:p>
    <w:p w14:paraId="3537CECE" w14:textId="7AED1544" w:rsidR="00F05BB6" w:rsidRPr="00A40D51" w:rsidRDefault="00F05BB6" w:rsidP="00A40D51">
      <w:pPr>
        <w:rPr>
          <w:rFonts w:cstheme="minorHAnsi"/>
          <w:sz w:val="24"/>
          <w:szCs w:val="24"/>
        </w:rPr>
      </w:pPr>
      <w:r w:rsidRPr="00A40D51">
        <w:rPr>
          <w:rFonts w:cstheme="minorHAnsi"/>
          <w:sz w:val="24"/>
          <w:szCs w:val="24"/>
        </w:rPr>
        <w:t>(Accessed: 1 July 2023)</w:t>
      </w:r>
    </w:p>
    <w:p w14:paraId="23ABA5C4" w14:textId="0B03070E" w:rsidR="003C041C" w:rsidRPr="00A40D51" w:rsidRDefault="003C041C" w:rsidP="00A40D51">
      <w:pPr>
        <w:rPr>
          <w:rFonts w:cstheme="minorHAnsi"/>
          <w:sz w:val="24"/>
          <w:szCs w:val="24"/>
        </w:rPr>
      </w:pPr>
      <w:r w:rsidRPr="00A40D51">
        <w:rPr>
          <w:rFonts w:cstheme="minorHAnsi"/>
          <w:sz w:val="24"/>
          <w:szCs w:val="24"/>
        </w:rPr>
        <w:t>Perkins, T. (2023</w:t>
      </w:r>
      <w:r w:rsidRPr="00A40D51">
        <w:rPr>
          <w:rFonts w:cstheme="minorHAnsi"/>
          <w:i/>
          <w:iCs/>
          <w:sz w:val="24"/>
          <w:szCs w:val="24"/>
        </w:rPr>
        <w:t>). ‘All-natural’ Simply Tropical juice has high toxic PFAS levels, lawsuit alleges</w:t>
      </w:r>
      <w:r w:rsidRPr="00A40D51">
        <w:rPr>
          <w:rFonts w:cstheme="minorHAnsi"/>
          <w:sz w:val="24"/>
          <w:szCs w:val="24"/>
        </w:rPr>
        <w:t xml:space="preserve">. the Guardian. </w:t>
      </w:r>
    </w:p>
    <w:p w14:paraId="5815F097" w14:textId="3BAAD49F" w:rsidR="003C041C" w:rsidRPr="00A40D51" w:rsidRDefault="003C041C" w:rsidP="00A40D51">
      <w:pPr>
        <w:rPr>
          <w:rFonts w:cstheme="minorHAnsi"/>
          <w:sz w:val="24"/>
          <w:szCs w:val="24"/>
        </w:rPr>
      </w:pPr>
      <w:r w:rsidRPr="00A40D51">
        <w:rPr>
          <w:rFonts w:cstheme="minorHAnsi"/>
          <w:sz w:val="24"/>
          <w:szCs w:val="24"/>
        </w:rPr>
        <w:t xml:space="preserve">Available at: </w:t>
      </w:r>
      <w:hyperlink r:id="rId49" w:history="1">
        <w:r w:rsidRPr="00A40D51">
          <w:rPr>
            <w:rStyle w:val="Hyperlink"/>
            <w:rFonts w:cstheme="minorHAnsi"/>
            <w:sz w:val="24"/>
            <w:szCs w:val="24"/>
          </w:rPr>
          <w:t>https://www.theguardian.com/environment/2023/jan/19/simply-orange-juice-coca-cola-pfas-class-action-lawsuit</w:t>
        </w:r>
      </w:hyperlink>
      <w:r w:rsidRPr="00A40D51">
        <w:rPr>
          <w:rFonts w:cstheme="minorHAnsi"/>
          <w:sz w:val="24"/>
          <w:szCs w:val="24"/>
        </w:rPr>
        <w:t>.</w:t>
      </w:r>
    </w:p>
    <w:p w14:paraId="6B002137" w14:textId="7C469ABA" w:rsidR="003C041C" w:rsidRPr="00A40D51" w:rsidRDefault="003C041C" w:rsidP="00A40D51">
      <w:pPr>
        <w:rPr>
          <w:rFonts w:cstheme="minorHAnsi"/>
          <w:sz w:val="24"/>
          <w:szCs w:val="24"/>
        </w:rPr>
      </w:pPr>
      <w:r w:rsidRPr="00A40D51">
        <w:rPr>
          <w:rFonts w:cstheme="minorHAnsi"/>
          <w:sz w:val="24"/>
          <w:szCs w:val="24"/>
        </w:rPr>
        <w:t>(Accessed: 1 July 2023)</w:t>
      </w:r>
    </w:p>
    <w:p w14:paraId="56DAC66D" w14:textId="07DD83CC" w:rsidR="00660E21" w:rsidRPr="00A40D51" w:rsidRDefault="00660E21" w:rsidP="00A40D51">
      <w:pPr>
        <w:rPr>
          <w:rFonts w:cstheme="minorHAnsi"/>
          <w:sz w:val="24"/>
          <w:szCs w:val="24"/>
        </w:rPr>
      </w:pPr>
      <w:r w:rsidRPr="00A40D51">
        <w:rPr>
          <w:rFonts w:cstheme="minorHAnsi"/>
          <w:sz w:val="24"/>
          <w:szCs w:val="24"/>
        </w:rPr>
        <w:t>Romero, J.A. (2022</w:t>
      </w:r>
      <w:r w:rsidRPr="00A40D51">
        <w:rPr>
          <w:rFonts w:cstheme="minorHAnsi"/>
          <w:i/>
          <w:iCs/>
          <w:sz w:val="24"/>
          <w:szCs w:val="24"/>
        </w:rPr>
        <w:t>). Lobbying and political expenses</w:t>
      </w:r>
      <w:r w:rsidRPr="00A40D51">
        <w:rPr>
          <w:rFonts w:cstheme="minorHAnsi"/>
          <w:sz w:val="24"/>
          <w:szCs w:val="24"/>
        </w:rPr>
        <w:t xml:space="preserve">: Complements or substitutes? </w:t>
      </w:r>
      <w:r w:rsidRPr="00A40D51">
        <w:rPr>
          <w:rFonts w:cstheme="minorHAnsi"/>
          <w:i/>
          <w:iCs/>
          <w:sz w:val="24"/>
          <w:szCs w:val="24"/>
        </w:rPr>
        <w:t>Journal of Business Research</w:t>
      </w:r>
      <w:r w:rsidRPr="00A40D51">
        <w:rPr>
          <w:rFonts w:cstheme="minorHAnsi"/>
          <w:sz w:val="24"/>
          <w:szCs w:val="24"/>
        </w:rPr>
        <w:t xml:space="preserve">, 149(0148-2963), pp.558–575. </w:t>
      </w:r>
    </w:p>
    <w:p w14:paraId="4A2484B0" w14:textId="2EDC5738" w:rsidR="00660E21" w:rsidRPr="00A40D51" w:rsidRDefault="009708B5" w:rsidP="00A40D51">
      <w:pPr>
        <w:rPr>
          <w:rFonts w:cstheme="minorHAnsi"/>
          <w:sz w:val="24"/>
          <w:szCs w:val="24"/>
        </w:rPr>
      </w:pPr>
      <w:r w:rsidRPr="00A40D51">
        <w:rPr>
          <w:rFonts w:cstheme="minorHAnsi"/>
          <w:sz w:val="24"/>
          <w:szCs w:val="24"/>
        </w:rPr>
        <w:t>Doi</w:t>
      </w:r>
      <w:r w:rsidR="00660E21" w:rsidRPr="00A40D51">
        <w:rPr>
          <w:rFonts w:cstheme="minorHAnsi"/>
          <w:sz w:val="24"/>
          <w:szCs w:val="24"/>
        </w:rPr>
        <w:t xml:space="preserve">: </w:t>
      </w:r>
      <w:hyperlink r:id="rId50" w:history="1">
        <w:r w:rsidR="00660E21" w:rsidRPr="00A40D51">
          <w:rPr>
            <w:rStyle w:val="Hyperlink"/>
            <w:rFonts w:cstheme="minorHAnsi"/>
            <w:sz w:val="24"/>
            <w:szCs w:val="24"/>
          </w:rPr>
          <w:t>https://doi.org/10.1016/j.jbusres.2022.05.028</w:t>
        </w:r>
      </w:hyperlink>
      <w:r w:rsidR="00660E21" w:rsidRPr="00A40D51">
        <w:rPr>
          <w:rFonts w:cstheme="minorHAnsi"/>
          <w:sz w:val="24"/>
          <w:szCs w:val="24"/>
        </w:rPr>
        <w:t xml:space="preserve"> </w:t>
      </w:r>
    </w:p>
    <w:p w14:paraId="14F90E17" w14:textId="6282D712" w:rsidR="00660E21" w:rsidRPr="00A40D51" w:rsidRDefault="00660E21" w:rsidP="00A40D51">
      <w:pPr>
        <w:rPr>
          <w:rFonts w:cstheme="minorHAnsi"/>
          <w:sz w:val="24"/>
          <w:szCs w:val="24"/>
        </w:rPr>
      </w:pPr>
      <w:r w:rsidRPr="00A40D51">
        <w:rPr>
          <w:rFonts w:cstheme="minorHAnsi"/>
          <w:sz w:val="24"/>
          <w:szCs w:val="24"/>
        </w:rPr>
        <w:t>(Accessed: 2</w:t>
      </w:r>
      <w:r w:rsidR="00E62289" w:rsidRPr="00A40D51">
        <w:rPr>
          <w:rFonts w:cstheme="minorHAnsi"/>
          <w:sz w:val="24"/>
          <w:szCs w:val="24"/>
        </w:rPr>
        <w:t>9 July 2023)</w:t>
      </w:r>
      <w:r w:rsidRPr="00A40D51">
        <w:rPr>
          <w:rFonts w:cstheme="minorHAnsi"/>
          <w:sz w:val="24"/>
          <w:szCs w:val="24"/>
        </w:rPr>
        <w:t xml:space="preserve"> </w:t>
      </w:r>
    </w:p>
    <w:p w14:paraId="586F4CD0" w14:textId="7CC1D92B" w:rsidR="00340575" w:rsidRPr="00A40D51" w:rsidRDefault="009708B5" w:rsidP="00A40D51">
      <w:pPr>
        <w:rPr>
          <w:rFonts w:cstheme="minorHAnsi"/>
          <w:sz w:val="24"/>
          <w:szCs w:val="24"/>
        </w:rPr>
      </w:pPr>
      <w:r w:rsidRPr="00A40D51">
        <w:rPr>
          <w:rFonts w:cstheme="minorHAnsi"/>
          <w:sz w:val="24"/>
          <w:szCs w:val="24"/>
        </w:rPr>
        <w:t xml:space="preserve">Walters, D, &amp; Helman, D 2019, </w:t>
      </w:r>
      <w:r w:rsidRPr="00A40D51">
        <w:rPr>
          <w:rFonts w:cstheme="minorHAnsi"/>
          <w:i/>
          <w:iCs/>
          <w:sz w:val="24"/>
          <w:szCs w:val="24"/>
        </w:rPr>
        <w:t>Strategic Capability Response Analysis</w:t>
      </w:r>
      <w:r w:rsidRPr="00A40D51">
        <w:rPr>
          <w:rFonts w:cstheme="minorHAnsi"/>
          <w:sz w:val="24"/>
          <w:szCs w:val="24"/>
        </w:rPr>
        <w:t xml:space="preserve"> : The Convergence of Industrié 4. 0, Value Chain Network Management 2. </w:t>
      </w:r>
      <w:r w:rsidR="0053596C" w:rsidRPr="00A40D51">
        <w:rPr>
          <w:rFonts w:cstheme="minorHAnsi"/>
          <w:sz w:val="24"/>
          <w:szCs w:val="24"/>
        </w:rPr>
        <w:t>Zero</w:t>
      </w:r>
      <w:r w:rsidRPr="00A40D51">
        <w:rPr>
          <w:rFonts w:cstheme="minorHAnsi"/>
          <w:sz w:val="24"/>
          <w:szCs w:val="24"/>
        </w:rPr>
        <w:t xml:space="preserve"> and Stakeholder Value-Led Management,</w:t>
      </w:r>
    </w:p>
    <w:p w14:paraId="1135FE19" w14:textId="30E38869" w:rsidR="00146C0E" w:rsidRPr="00A40D51" w:rsidRDefault="009708B5" w:rsidP="00A40D51">
      <w:pPr>
        <w:rPr>
          <w:rFonts w:cstheme="minorHAnsi"/>
          <w:sz w:val="24"/>
          <w:szCs w:val="24"/>
        </w:rPr>
      </w:pPr>
      <w:r w:rsidRPr="00A40D51">
        <w:rPr>
          <w:rFonts w:cstheme="minorHAnsi"/>
          <w:sz w:val="24"/>
          <w:szCs w:val="24"/>
        </w:rPr>
        <w:t xml:space="preserve">Springer International Publishing AG, Cham. Available from: ProQuest </w:t>
      </w:r>
      <w:r w:rsidR="000B2F32" w:rsidRPr="00A40D51">
        <w:rPr>
          <w:rFonts w:cstheme="minorHAnsi"/>
          <w:sz w:val="24"/>
          <w:szCs w:val="24"/>
        </w:rPr>
        <w:t>eBook</w:t>
      </w:r>
      <w:r w:rsidRPr="00A40D51">
        <w:rPr>
          <w:rFonts w:cstheme="minorHAnsi"/>
          <w:sz w:val="24"/>
          <w:szCs w:val="24"/>
        </w:rPr>
        <w:t xml:space="preserve"> Central. </w:t>
      </w:r>
    </w:p>
    <w:p w14:paraId="618B48F4" w14:textId="25712C27" w:rsidR="00660E21" w:rsidRPr="00A40D51" w:rsidRDefault="009708B5" w:rsidP="00A40D51">
      <w:pPr>
        <w:rPr>
          <w:rFonts w:cstheme="minorHAnsi"/>
          <w:sz w:val="24"/>
          <w:szCs w:val="24"/>
        </w:rPr>
      </w:pPr>
      <w:r w:rsidRPr="00A40D51">
        <w:rPr>
          <w:rFonts w:cstheme="minorHAnsi"/>
          <w:sz w:val="24"/>
          <w:szCs w:val="24"/>
        </w:rPr>
        <w:t>(</w:t>
      </w:r>
      <w:r w:rsidR="00146C0E" w:rsidRPr="00A40D51">
        <w:rPr>
          <w:rFonts w:cstheme="minorHAnsi"/>
          <w:sz w:val="24"/>
          <w:szCs w:val="24"/>
        </w:rPr>
        <w:t xml:space="preserve">Accessed: </w:t>
      </w:r>
      <w:r w:rsidRPr="00A40D51">
        <w:rPr>
          <w:rFonts w:cstheme="minorHAnsi"/>
          <w:sz w:val="24"/>
          <w:szCs w:val="24"/>
        </w:rPr>
        <w:t xml:space="preserve">2 July 2023). </w:t>
      </w:r>
    </w:p>
    <w:p w14:paraId="1962CAB6" w14:textId="77777777" w:rsidR="00D14F3E" w:rsidRPr="00A40D51" w:rsidRDefault="00D14F3E" w:rsidP="00A40D51">
      <w:pPr>
        <w:rPr>
          <w:rFonts w:cstheme="minorHAnsi"/>
          <w:sz w:val="24"/>
          <w:szCs w:val="24"/>
        </w:rPr>
      </w:pPr>
      <w:r w:rsidRPr="00A40D51">
        <w:rPr>
          <w:rFonts w:cstheme="minorHAnsi"/>
          <w:sz w:val="24"/>
          <w:szCs w:val="24"/>
        </w:rPr>
        <w:t xml:space="preserve"> Sweney, M. (2021). </w:t>
      </w:r>
      <w:r w:rsidRPr="00A40D51">
        <w:rPr>
          <w:rFonts w:cstheme="minorHAnsi"/>
          <w:i/>
          <w:iCs/>
          <w:sz w:val="24"/>
          <w:szCs w:val="24"/>
        </w:rPr>
        <w:t>Coca-Cola’s Ronaldo fiasco highlights risk to brands in social media age</w:t>
      </w:r>
      <w:r w:rsidRPr="00A40D51">
        <w:rPr>
          <w:rFonts w:cstheme="minorHAnsi"/>
          <w:sz w:val="24"/>
          <w:szCs w:val="24"/>
        </w:rPr>
        <w:t xml:space="preserve">. The Guardian. </w:t>
      </w:r>
    </w:p>
    <w:p w14:paraId="649D9E6E" w14:textId="0098E542" w:rsidR="00D14F3E" w:rsidRPr="00A40D51" w:rsidRDefault="00D14F3E" w:rsidP="00A40D51">
      <w:pPr>
        <w:rPr>
          <w:rFonts w:cstheme="minorHAnsi"/>
          <w:sz w:val="24"/>
          <w:szCs w:val="24"/>
        </w:rPr>
      </w:pPr>
      <w:r w:rsidRPr="00A40D51">
        <w:rPr>
          <w:rFonts w:cstheme="minorHAnsi"/>
          <w:sz w:val="24"/>
          <w:szCs w:val="24"/>
        </w:rPr>
        <w:t xml:space="preserve">Available at: </w:t>
      </w:r>
      <w:hyperlink r:id="rId51" w:history="1">
        <w:r w:rsidRPr="00A40D51">
          <w:rPr>
            <w:rStyle w:val="Hyperlink"/>
            <w:rFonts w:cstheme="minorHAnsi"/>
            <w:sz w:val="24"/>
            <w:szCs w:val="24"/>
          </w:rPr>
          <w:t>https://www.theguardian.com/media/2021/jun/18/coca-colas-ronaldo-fiasco-highlights-risk-to-brands-in-social-media-age</w:t>
        </w:r>
      </w:hyperlink>
      <w:r w:rsidRPr="00A40D51">
        <w:rPr>
          <w:rFonts w:cstheme="minorHAnsi"/>
          <w:sz w:val="24"/>
          <w:szCs w:val="24"/>
        </w:rPr>
        <w:t>.</w:t>
      </w:r>
    </w:p>
    <w:p w14:paraId="4F297869" w14:textId="322B62F8" w:rsidR="00D14F3E" w:rsidRPr="00A40D51" w:rsidRDefault="00D14F3E" w:rsidP="00A40D51">
      <w:pPr>
        <w:rPr>
          <w:rFonts w:cstheme="minorHAnsi"/>
          <w:sz w:val="24"/>
          <w:szCs w:val="24"/>
        </w:rPr>
      </w:pPr>
      <w:r w:rsidRPr="00A40D51">
        <w:rPr>
          <w:rFonts w:cstheme="minorHAnsi"/>
          <w:sz w:val="24"/>
          <w:szCs w:val="24"/>
        </w:rPr>
        <w:t>(Accessed: 3 July 2023</w:t>
      </w:r>
      <w:r w:rsidR="00CA5B7A" w:rsidRPr="00A40D51">
        <w:rPr>
          <w:rFonts w:cstheme="minorHAnsi"/>
          <w:sz w:val="24"/>
          <w:szCs w:val="24"/>
        </w:rPr>
        <w:t>)</w:t>
      </w:r>
    </w:p>
    <w:p w14:paraId="2CC99B9B" w14:textId="760DFAEF" w:rsidR="00C07363" w:rsidRPr="00A40D51" w:rsidRDefault="00C07363" w:rsidP="00A40D51">
      <w:pPr>
        <w:rPr>
          <w:rFonts w:cstheme="minorHAnsi"/>
          <w:sz w:val="24"/>
          <w:szCs w:val="24"/>
        </w:rPr>
      </w:pPr>
      <w:r w:rsidRPr="00A40D51">
        <w:rPr>
          <w:rFonts w:cstheme="minorHAnsi"/>
          <w:sz w:val="24"/>
          <w:szCs w:val="24"/>
        </w:rPr>
        <w:t>Brondoni, S. (2020). Shareowners, Stakeholders &amp; the Global Oversize Economy. The Coca-Cola Company Case. Symphonia. Emerging Issues in Management, 1(1), p.16.</w:t>
      </w:r>
    </w:p>
    <w:p w14:paraId="7B3D144A" w14:textId="0605EC50" w:rsidR="00C07363" w:rsidRPr="00A40D51" w:rsidRDefault="00C07363" w:rsidP="00A40D51">
      <w:pPr>
        <w:rPr>
          <w:rFonts w:cstheme="minorHAnsi"/>
          <w:sz w:val="24"/>
          <w:szCs w:val="24"/>
        </w:rPr>
      </w:pPr>
      <w:r w:rsidRPr="00A40D51">
        <w:rPr>
          <w:rFonts w:cstheme="minorHAnsi"/>
          <w:sz w:val="24"/>
          <w:szCs w:val="24"/>
        </w:rPr>
        <w:t xml:space="preserve">Doi: </w:t>
      </w:r>
      <w:hyperlink r:id="rId52" w:history="1">
        <w:r w:rsidRPr="00A40D51">
          <w:rPr>
            <w:rStyle w:val="Hyperlink"/>
            <w:rFonts w:cstheme="minorHAnsi"/>
            <w:sz w:val="24"/>
            <w:szCs w:val="24"/>
          </w:rPr>
          <w:t>HTTPs://doi.org/10.4468/2019.1.02brondoni</w:t>
        </w:r>
      </w:hyperlink>
      <w:r w:rsidRPr="00A40D51">
        <w:rPr>
          <w:rFonts w:cstheme="minorHAnsi"/>
          <w:sz w:val="24"/>
          <w:szCs w:val="24"/>
        </w:rPr>
        <w:t xml:space="preserve">. </w:t>
      </w:r>
    </w:p>
    <w:p w14:paraId="587A8972" w14:textId="7FD66FD3" w:rsidR="00C07363" w:rsidRPr="00A40D51" w:rsidRDefault="00C07363" w:rsidP="00A40D51">
      <w:pPr>
        <w:rPr>
          <w:rFonts w:cstheme="minorHAnsi"/>
          <w:sz w:val="24"/>
          <w:szCs w:val="24"/>
        </w:rPr>
      </w:pPr>
      <w:r w:rsidRPr="00A40D51">
        <w:rPr>
          <w:rFonts w:cstheme="minorHAnsi"/>
          <w:sz w:val="24"/>
          <w:szCs w:val="24"/>
        </w:rPr>
        <w:t>(Accessed: 2 July 2023)</w:t>
      </w:r>
    </w:p>
    <w:p w14:paraId="72266C45" w14:textId="0835B7B7" w:rsidR="00CA5B7A" w:rsidRPr="00A40D51" w:rsidRDefault="00261613" w:rsidP="00A40D51">
      <w:pPr>
        <w:rPr>
          <w:rFonts w:cstheme="minorHAnsi"/>
          <w:sz w:val="24"/>
          <w:szCs w:val="24"/>
        </w:rPr>
      </w:pPr>
      <w:r w:rsidRPr="00A40D51">
        <w:rPr>
          <w:rFonts w:cstheme="minorHAnsi"/>
          <w:sz w:val="24"/>
          <w:szCs w:val="24"/>
        </w:rPr>
        <w:t xml:space="preserve">Guo, X. and Wen, M. (2021). Research on Competitive Strategy of Coca-Cola Company. Available at: </w:t>
      </w:r>
      <w:hyperlink r:id="rId53" w:history="1">
        <w:r w:rsidRPr="00A40D51">
          <w:rPr>
            <w:rStyle w:val="Hyperlink"/>
            <w:rFonts w:cstheme="minorHAnsi"/>
            <w:sz w:val="24"/>
            <w:szCs w:val="24"/>
          </w:rPr>
          <w:t>https://www.atlantis-press.com/article/125965872.pdf</w:t>
        </w:r>
      </w:hyperlink>
      <w:r w:rsidRPr="00A40D51">
        <w:rPr>
          <w:rFonts w:cstheme="minorHAnsi"/>
          <w:sz w:val="24"/>
          <w:szCs w:val="24"/>
        </w:rPr>
        <w:t xml:space="preserve">. </w:t>
      </w:r>
    </w:p>
    <w:p w14:paraId="5770DD3F" w14:textId="746CACFF" w:rsidR="0074179E" w:rsidRPr="00A40D51" w:rsidRDefault="0074179E" w:rsidP="00A40D51">
      <w:pPr>
        <w:rPr>
          <w:rFonts w:cstheme="minorHAnsi"/>
          <w:sz w:val="24"/>
          <w:szCs w:val="24"/>
        </w:rPr>
      </w:pPr>
      <w:r w:rsidRPr="00A40D51">
        <w:rPr>
          <w:rFonts w:cstheme="minorHAnsi"/>
          <w:sz w:val="24"/>
          <w:szCs w:val="24"/>
        </w:rPr>
        <w:t>(Accessed: 3 July 2023)</w:t>
      </w:r>
    </w:p>
    <w:p w14:paraId="11B4576F" w14:textId="77777777" w:rsidR="00273B65" w:rsidRPr="00A40D51" w:rsidRDefault="00273B65"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B., H. (2018). </w:t>
      </w:r>
      <w:r w:rsidRPr="00A40D51">
        <w:rPr>
          <w:rFonts w:eastAsia="Times New Roman" w:cstheme="minorHAnsi"/>
          <w:i/>
          <w:iCs/>
          <w:kern w:val="0"/>
          <w:sz w:val="24"/>
          <w:szCs w:val="24"/>
          <w:lang w:eastAsia="en-GB"/>
          <w14:ligatures w14:val="none"/>
        </w:rPr>
        <w:t xml:space="preserve">Corporate Strategy: A Handbook for Entrepreneurs </w:t>
      </w:r>
      <w:r w:rsidRPr="00A40D51">
        <w:rPr>
          <w:rFonts w:eastAsia="Times New Roman" w:cstheme="minorHAnsi"/>
          <w:kern w:val="0"/>
          <w:sz w:val="24"/>
          <w:szCs w:val="24"/>
          <w:lang w:eastAsia="en-GB"/>
          <w14:ligatures w14:val="none"/>
        </w:rPr>
        <w:t xml:space="preserve">. </w:t>
      </w:r>
    </w:p>
    <w:p w14:paraId="4B74EE17" w14:textId="0A5FE586" w:rsidR="00273B65" w:rsidRPr="00A40D51" w:rsidRDefault="00273B65"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Available at: </w:t>
      </w:r>
      <w:hyperlink r:id="rId54" w:history="1">
        <w:r w:rsidRPr="00A40D51">
          <w:rPr>
            <w:rStyle w:val="Hyperlink"/>
            <w:rFonts w:eastAsia="Times New Roman" w:cstheme="minorHAnsi"/>
            <w:kern w:val="0"/>
            <w:sz w:val="24"/>
            <w:szCs w:val="24"/>
            <w:lang w:eastAsia="en-GB"/>
            <w14:ligatures w14:val="none"/>
          </w:rPr>
          <w:t>https://www.google.co.uk/books/edition/Corporate_Strategy/vliZDwAAQBAJ?hl=en&amp;gbpv=1&amp;kptab=overview</w:t>
        </w:r>
      </w:hyperlink>
      <w:r w:rsidRPr="00A40D51">
        <w:rPr>
          <w:rFonts w:eastAsia="Times New Roman" w:cstheme="minorHAnsi"/>
          <w:kern w:val="0"/>
          <w:sz w:val="24"/>
          <w:szCs w:val="24"/>
          <w:lang w:eastAsia="en-GB"/>
          <w14:ligatures w14:val="none"/>
        </w:rPr>
        <w:t xml:space="preserve">. </w:t>
      </w:r>
    </w:p>
    <w:p w14:paraId="25447C72" w14:textId="289558B8" w:rsidR="00273B65" w:rsidRPr="00A40D51" w:rsidRDefault="00273B65" w:rsidP="00A40D51">
      <w:pPr>
        <w:rPr>
          <w:rFonts w:cstheme="minorHAnsi"/>
          <w:sz w:val="24"/>
          <w:szCs w:val="24"/>
        </w:rPr>
      </w:pPr>
      <w:r w:rsidRPr="00A40D51">
        <w:rPr>
          <w:rFonts w:cstheme="minorHAnsi"/>
          <w:sz w:val="24"/>
          <w:szCs w:val="24"/>
        </w:rPr>
        <w:t>(Accessed: 3 July 2023)</w:t>
      </w:r>
    </w:p>
    <w:p w14:paraId="0B9DF710" w14:textId="74931582" w:rsidR="000047D7" w:rsidRPr="00A40D51" w:rsidRDefault="000047D7" w:rsidP="00A40D51">
      <w:pPr>
        <w:rPr>
          <w:rFonts w:cstheme="minorHAnsi"/>
          <w:sz w:val="24"/>
          <w:szCs w:val="24"/>
        </w:rPr>
      </w:pPr>
      <w:r w:rsidRPr="00A40D51">
        <w:rPr>
          <w:rFonts w:cstheme="minorHAnsi"/>
          <w:sz w:val="24"/>
          <w:szCs w:val="24"/>
        </w:rPr>
        <w:t xml:space="preserve"> Widuri, R. and Sutanto, J.E. (2019). Differentiation Strategy and Market Competition as Determinants of Earnings Management. </w:t>
      </w:r>
      <w:r w:rsidRPr="00A40D51">
        <w:rPr>
          <w:rFonts w:cstheme="minorHAnsi"/>
          <w:i/>
          <w:iCs/>
          <w:sz w:val="24"/>
          <w:szCs w:val="24"/>
        </w:rPr>
        <w:t>Proceedings of the International Conference on Tourism, Economics, Accounting, Management, and Social Science (TEAMS 2018)</w:t>
      </w:r>
      <w:r w:rsidRPr="00A40D51">
        <w:rPr>
          <w:rFonts w:cstheme="minorHAnsi"/>
          <w:sz w:val="24"/>
          <w:szCs w:val="24"/>
        </w:rPr>
        <w:t>, 69</w:t>
      </w:r>
      <w:r w:rsidR="004C0F75" w:rsidRPr="00A40D51">
        <w:rPr>
          <w:rFonts w:cstheme="minorHAnsi"/>
          <w:sz w:val="24"/>
          <w:szCs w:val="24"/>
        </w:rPr>
        <w:t>(</w:t>
      </w:r>
      <w:r w:rsidR="004C0F75" w:rsidRPr="00A40D51">
        <w:rPr>
          <w:rFonts w:cstheme="minorHAnsi"/>
          <w:sz w:val="24"/>
          <w:szCs w:val="24"/>
        </w:rPr>
        <w:br/>
        <w:t>2352-5428)</w:t>
      </w:r>
      <w:r w:rsidRPr="00A40D51">
        <w:rPr>
          <w:rFonts w:cstheme="minorHAnsi"/>
          <w:sz w:val="24"/>
          <w:szCs w:val="24"/>
        </w:rPr>
        <w:t xml:space="preserve">. </w:t>
      </w:r>
    </w:p>
    <w:p w14:paraId="4F90639E" w14:textId="096BB3FB" w:rsidR="000047D7" w:rsidRPr="00A40D51" w:rsidRDefault="000047D7" w:rsidP="00A40D51">
      <w:pPr>
        <w:spacing w:after="0"/>
        <w:rPr>
          <w:rFonts w:cstheme="minorHAnsi"/>
          <w:sz w:val="24"/>
          <w:szCs w:val="24"/>
        </w:rPr>
      </w:pPr>
      <w:r w:rsidRPr="00A40D51">
        <w:rPr>
          <w:rFonts w:cstheme="minorHAnsi"/>
          <w:sz w:val="24"/>
          <w:szCs w:val="24"/>
        </w:rPr>
        <w:t xml:space="preserve">Doi: </w:t>
      </w:r>
      <w:hyperlink r:id="rId55" w:history="1">
        <w:r w:rsidRPr="00A40D51">
          <w:rPr>
            <w:rStyle w:val="Hyperlink"/>
            <w:rFonts w:cstheme="minorHAnsi"/>
            <w:sz w:val="24"/>
            <w:szCs w:val="24"/>
          </w:rPr>
          <w:t>HTTPs://doi.org/10.2991/teams-18.2019.30</w:t>
        </w:r>
      </w:hyperlink>
      <w:r w:rsidRPr="00A40D51">
        <w:rPr>
          <w:rFonts w:cstheme="minorHAnsi"/>
          <w:sz w:val="24"/>
          <w:szCs w:val="24"/>
        </w:rPr>
        <w:t xml:space="preserve"> </w:t>
      </w:r>
    </w:p>
    <w:p w14:paraId="2F6C8ED5" w14:textId="66B13B83" w:rsidR="000047D7" w:rsidRPr="00A40D51" w:rsidRDefault="007861BE" w:rsidP="00A40D51">
      <w:pPr>
        <w:spacing w:after="0"/>
        <w:rPr>
          <w:rFonts w:cstheme="minorHAnsi"/>
          <w:sz w:val="24"/>
          <w:szCs w:val="24"/>
        </w:rPr>
      </w:pPr>
      <w:r w:rsidRPr="00A40D51">
        <w:rPr>
          <w:rFonts w:cstheme="minorHAnsi"/>
          <w:sz w:val="24"/>
          <w:szCs w:val="24"/>
        </w:rPr>
        <w:t>(Accessed: 3 July 2023)</w:t>
      </w:r>
      <w:r w:rsidR="000047D7" w:rsidRPr="00A40D51">
        <w:rPr>
          <w:rFonts w:cstheme="minorHAnsi"/>
          <w:sz w:val="24"/>
          <w:szCs w:val="24"/>
        </w:rPr>
        <w:t xml:space="preserve"> </w:t>
      </w:r>
    </w:p>
    <w:p w14:paraId="6E210582" w14:textId="77777777" w:rsidR="0022553F" w:rsidRPr="00A40D51" w:rsidRDefault="0022553F"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Ulrich Pidun (2019). </w:t>
      </w:r>
      <w:r w:rsidRPr="00A40D51">
        <w:rPr>
          <w:rFonts w:eastAsia="Times New Roman" w:cstheme="minorHAnsi"/>
          <w:i/>
          <w:iCs/>
          <w:kern w:val="0"/>
          <w:sz w:val="24"/>
          <w:szCs w:val="24"/>
          <w:lang w:eastAsia="en-GB"/>
          <w14:ligatures w14:val="none"/>
        </w:rPr>
        <w:t>Corporate Strategy : Theory and Practice</w:t>
      </w:r>
      <w:r w:rsidRPr="00A40D51">
        <w:rPr>
          <w:rFonts w:eastAsia="Times New Roman" w:cstheme="minorHAnsi"/>
          <w:kern w:val="0"/>
          <w:sz w:val="24"/>
          <w:szCs w:val="24"/>
          <w:lang w:eastAsia="en-GB"/>
          <w14:ligatures w14:val="none"/>
        </w:rPr>
        <w:t xml:space="preserve">. </w:t>
      </w:r>
    </w:p>
    <w:p w14:paraId="2F9391AC" w14:textId="0C63DCF9" w:rsidR="0022553F" w:rsidRPr="00A40D51" w:rsidRDefault="0022553F"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Wiesbaden: Springer Fachmedien Wiesbaden.</w:t>
      </w:r>
    </w:p>
    <w:p w14:paraId="67FC7229" w14:textId="7D34F6B1" w:rsidR="00610296" w:rsidRPr="00A40D51" w:rsidRDefault="00610296"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Joris Leeman (2021). </w:t>
      </w:r>
      <w:r w:rsidRPr="00A40D51">
        <w:rPr>
          <w:rFonts w:eastAsia="Times New Roman" w:cstheme="minorHAnsi"/>
          <w:i/>
          <w:iCs/>
          <w:kern w:val="0"/>
          <w:sz w:val="24"/>
          <w:szCs w:val="24"/>
          <w:lang w:eastAsia="en-GB"/>
          <w14:ligatures w14:val="none"/>
        </w:rPr>
        <w:t>Export Planning</w:t>
      </w:r>
      <w:r w:rsidRPr="00A40D51">
        <w:rPr>
          <w:rFonts w:eastAsia="Times New Roman" w:cstheme="minorHAnsi"/>
          <w:kern w:val="0"/>
          <w:sz w:val="24"/>
          <w:szCs w:val="24"/>
          <w:lang w:eastAsia="en-GB"/>
          <w14:ligatures w14:val="none"/>
        </w:rPr>
        <w:t>. 2nd edition ed. Institute for Business Process Management</w:t>
      </w:r>
      <w:r w:rsidR="002F6F28" w:rsidRPr="00A40D51">
        <w:rPr>
          <w:rFonts w:eastAsia="Times New Roman" w:cstheme="minorHAnsi"/>
          <w:kern w:val="0"/>
          <w:sz w:val="24"/>
          <w:szCs w:val="24"/>
          <w:lang w:eastAsia="en-GB"/>
          <w14:ligatures w14:val="none"/>
        </w:rPr>
        <w:t>: Dusseldorf</w:t>
      </w:r>
      <w:r w:rsidR="00BA06A4" w:rsidRPr="00A40D51">
        <w:rPr>
          <w:rFonts w:eastAsia="Times New Roman" w:cstheme="minorHAnsi"/>
          <w:kern w:val="0"/>
          <w:sz w:val="24"/>
          <w:szCs w:val="24"/>
          <w:lang w:eastAsia="en-GB"/>
          <w14:ligatures w14:val="none"/>
        </w:rPr>
        <w:t>, Germany.</w:t>
      </w:r>
    </w:p>
    <w:p w14:paraId="565D5E28" w14:textId="77777777" w:rsidR="00835E0C" w:rsidRPr="00A40D51" w:rsidRDefault="00835E0C"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Hitt, M.A., Ireland, R.D. and Hoskisson, R.E. (2019). </w:t>
      </w:r>
      <w:r w:rsidRPr="00A40D51">
        <w:rPr>
          <w:rFonts w:eastAsia="Times New Roman" w:cstheme="minorHAnsi"/>
          <w:i/>
          <w:iCs/>
          <w:kern w:val="0"/>
          <w:sz w:val="24"/>
          <w:szCs w:val="24"/>
          <w:lang w:eastAsia="en-GB"/>
          <w14:ligatures w14:val="none"/>
        </w:rPr>
        <w:t>Strategic Management Concepts and Cases</w:t>
      </w:r>
      <w:r w:rsidRPr="00A40D51">
        <w:rPr>
          <w:rFonts w:eastAsia="Times New Roman" w:cstheme="minorHAnsi"/>
          <w:kern w:val="0"/>
          <w:sz w:val="24"/>
          <w:szCs w:val="24"/>
          <w:lang w:eastAsia="en-GB"/>
          <w14:ligatures w14:val="none"/>
        </w:rPr>
        <w:t xml:space="preserve"> : Competitiveness and Globalization. </w:t>
      </w:r>
    </w:p>
    <w:p w14:paraId="4FC181CE" w14:textId="74615DEE" w:rsidR="0022553F" w:rsidRPr="00A40D51" w:rsidRDefault="00835E0C"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Mason, Oh: Cengage.</w:t>
      </w:r>
    </w:p>
    <w:p w14:paraId="2000AC7C" w14:textId="77777777" w:rsidR="002B7971" w:rsidRPr="00A40D51" w:rsidRDefault="002B7971"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Kennedy, R. (2020). Strategic Management. [online] Virginia Tech Publishing. </w:t>
      </w:r>
    </w:p>
    <w:p w14:paraId="54C390A3" w14:textId="5E4FA3F3" w:rsidR="002B7971" w:rsidRPr="00A40D51" w:rsidRDefault="002B7971"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Doi: </w:t>
      </w:r>
      <w:hyperlink r:id="rId56" w:history="1">
        <w:r w:rsidRPr="00A40D51">
          <w:rPr>
            <w:rStyle w:val="Hyperlink"/>
            <w:rFonts w:eastAsia="Times New Roman" w:cstheme="minorHAnsi"/>
            <w:kern w:val="0"/>
            <w:sz w:val="24"/>
            <w:szCs w:val="24"/>
            <w:lang w:eastAsia="en-GB"/>
            <w14:ligatures w14:val="none"/>
          </w:rPr>
          <w:t>HTTPs://doi.org/10.21061/strategicmanagement</w:t>
        </w:r>
      </w:hyperlink>
      <w:r w:rsidRPr="00A40D51">
        <w:rPr>
          <w:rFonts w:eastAsia="Times New Roman" w:cstheme="minorHAnsi"/>
          <w:kern w:val="0"/>
          <w:sz w:val="24"/>
          <w:szCs w:val="24"/>
          <w:lang w:eastAsia="en-GB"/>
          <w14:ligatures w14:val="none"/>
        </w:rPr>
        <w:t xml:space="preserve">. </w:t>
      </w:r>
    </w:p>
    <w:p w14:paraId="4532AE47" w14:textId="195873F6" w:rsidR="002B7971" w:rsidRPr="00A40D51" w:rsidRDefault="002B7971"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(Accessed: 3 July 2023)</w:t>
      </w:r>
    </w:p>
    <w:p w14:paraId="1DD06075" w14:textId="77777777" w:rsidR="00C0261D" w:rsidRPr="00A40D51" w:rsidRDefault="00C0261D"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Dieffenbacher, S. (2023). Business Level Strategy: Examples, Types, Definitions &amp; Importance. [online] Digital Leadership.</w:t>
      </w:r>
    </w:p>
    <w:p w14:paraId="4DA7418C" w14:textId="22B92F3F" w:rsidR="00C0261D" w:rsidRPr="00A40D51" w:rsidRDefault="00C0261D"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 xml:space="preserve">Available at: </w:t>
      </w:r>
      <w:hyperlink r:id="rId57" w:history="1">
        <w:r w:rsidRPr="00A40D51">
          <w:rPr>
            <w:rStyle w:val="Hyperlink"/>
            <w:rFonts w:eastAsia="Times New Roman" w:cstheme="minorHAnsi"/>
            <w:kern w:val="0"/>
            <w:sz w:val="24"/>
            <w:szCs w:val="24"/>
            <w:lang w:eastAsia="en-GB"/>
            <w14:ligatures w14:val="none"/>
          </w:rPr>
          <w:t>https://digitalleadership.com/blog/business-level-strategy/</w:t>
        </w:r>
      </w:hyperlink>
      <w:r w:rsidRPr="00A40D51">
        <w:rPr>
          <w:rFonts w:eastAsia="Times New Roman" w:cstheme="minorHAnsi"/>
          <w:kern w:val="0"/>
          <w:sz w:val="24"/>
          <w:szCs w:val="24"/>
          <w:lang w:eastAsia="en-GB"/>
          <w14:ligatures w14:val="none"/>
        </w:rPr>
        <w:t>.</w:t>
      </w:r>
    </w:p>
    <w:p w14:paraId="7F3C70D6" w14:textId="111DCECC" w:rsidR="00C0261D" w:rsidRPr="00A40D51" w:rsidRDefault="00C0261D" w:rsidP="00A40D51">
      <w:pPr>
        <w:spacing w:after="0"/>
        <w:rPr>
          <w:rFonts w:eastAsia="Times New Roman" w:cstheme="minorHAnsi"/>
          <w:kern w:val="0"/>
          <w:sz w:val="24"/>
          <w:szCs w:val="24"/>
          <w:lang w:eastAsia="en-GB"/>
          <w14:ligatures w14:val="none"/>
        </w:rPr>
      </w:pPr>
      <w:r w:rsidRPr="00A40D51">
        <w:rPr>
          <w:rFonts w:eastAsia="Times New Roman" w:cstheme="minorHAnsi"/>
          <w:kern w:val="0"/>
          <w:sz w:val="24"/>
          <w:szCs w:val="24"/>
          <w:lang w:eastAsia="en-GB"/>
          <w14:ligatures w14:val="none"/>
        </w:rPr>
        <w:t>(Accessed: 4 July 2023)</w:t>
      </w:r>
    </w:p>
    <w:p w14:paraId="554290A5" w14:textId="4BA398FA" w:rsidR="00156E21" w:rsidRPr="00A40D51" w:rsidRDefault="00156E21" w:rsidP="00A40D51">
      <w:pPr>
        <w:rPr>
          <w:rFonts w:cstheme="minorHAnsi"/>
          <w:sz w:val="24"/>
          <w:szCs w:val="24"/>
        </w:rPr>
      </w:pPr>
      <w:r w:rsidRPr="00A40D51">
        <w:rPr>
          <w:rFonts w:cstheme="minorHAnsi"/>
          <w:sz w:val="24"/>
          <w:szCs w:val="24"/>
        </w:rPr>
        <w:t>Stobierski, T. (2020). Emergent vs. Deliberate Strategy: How &amp; When to Use Each. Business Insights – Blog</w:t>
      </w:r>
    </w:p>
    <w:p w14:paraId="2B010DCB" w14:textId="30AC4445" w:rsidR="0022553F" w:rsidRPr="00A40D51" w:rsidRDefault="00156E21" w:rsidP="00A40D51">
      <w:pPr>
        <w:rPr>
          <w:rFonts w:cstheme="minorHAnsi"/>
          <w:sz w:val="24"/>
          <w:szCs w:val="24"/>
        </w:rPr>
      </w:pPr>
      <w:r w:rsidRPr="00A40D51">
        <w:rPr>
          <w:rFonts w:cstheme="minorHAnsi"/>
          <w:sz w:val="24"/>
          <w:szCs w:val="24"/>
        </w:rPr>
        <w:t xml:space="preserve">Available at: </w:t>
      </w:r>
      <w:hyperlink r:id="rId58" w:history="1">
        <w:r w:rsidRPr="00A40D51">
          <w:rPr>
            <w:rStyle w:val="Hyperlink"/>
            <w:rFonts w:cstheme="minorHAnsi"/>
            <w:sz w:val="24"/>
            <w:szCs w:val="24"/>
          </w:rPr>
          <w:t>https://online.hbs.edu/blog/post/emergent-vs-deliberate-strategy</w:t>
        </w:r>
      </w:hyperlink>
      <w:r w:rsidRPr="00A40D51">
        <w:rPr>
          <w:rFonts w:cstheme="minorHAnsi"/>
          <w:sz w:val="24"/>
          <w:szCs w:val="24"/>
        </w:rPr>
        <w:t xml:space="preserve">. </w:t>
      </w:r>
    </w:p>
    <w:p w14:paraId="04DB2562" w14:textId="49CA7753" w:rsidR="001B7CEC" w:rsidRPr="00A40D51" w:rsidRDefault="001B7CEC" w:rsidP="00A40D51">
      <w:pPr>
        <w:rPr>
          <w:rFonts w:cstheme="minorHAnsi"/>
          <w:sz w:val="24"/>
          <w:szCs w:val="24"/>
        </w:rPr>
      </w:pPr>
      <w:r w:rsidRPr="00A40D51">
        <w:rPr>
          <w:rFonts w:cstheme="minorHAnsi"/>
          <w:sz w:val="24"/>
          <w:szCs w:val="24"/>
        </w:rPr>
        <w:t>(Accessed: 04 July 2023)</w:t>
      </w:r>
    </w:p>
    <w:p w14:paraId="7C95EBAC" w14:textId="72B03EE4" w:rsidR="00146C0E" w:rsidRPr="00685F3A" w:rsidRDefault="00146C0E" w:rsidP="00A40D51">
      <w:pPr>
        <w:pStyle w:val="ListParagraph"/>
        <w:ind w:left="360"/>
        <w:rPr>
          <w:rFonts w:cstheme="minorHAnsi"/>
          <w:sz w:val="24"/>
          <w:szCs w:val="24"/>
        </w:rPr>
      </w:pPr>
    </w:p>
    <w:p w14:paraId="0A08676B" w14:textId="77777777" w:rsidR="00273B65" w:rsidRPr="00685F3A" w:rsidRDefault="00273B65" w:rsidP="00A40D51">
      <w:pPr>
        <w:pStyle w:val="ListParagraph"/>
        <w:ind w:left="360"/>
        <w:rPr>
          <w:rFonts w:cstheme="minorHAnsi"/>
          <w:sz w:val="24"/>
          <w:szCs w:val="24"/>
        </w:rPr>
      </w:pPr>
    </w:p>
    <w:sectPr w:rsidR="00273B65" w:rsidRPr="00685F3A" w:rsidSect="001A76A3">
      <w:footerReference w:type="default" r:id="rId59"/>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A2FDD" w14:textId="77777777" w:rsidR="001A76A3" w:rsidRDefault="001A76A3" w:rsidP="001A76A3">
      <w:pPr>
        <w:spacing w:after="0"/>
      </w:pPr>
      <w:r>
        <w:separator/>
      </w:r>
    </w:p>
  </w:endnote>
  <w:endnote w:type="continuationSeparator" w:id="0">
    <w:p w14:paraId="40335AC9" w14:textId="77777777" w:rsidR="001A76A3" w:rsidRDefault="001A76A3" w:rsidP="001A76A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38756"/>
      <w:docPartObj>
        <w:docPartGallery w:val="Page Numbers (Bottom of Page)"/>
        <w:docPartUnique/>
      </w:docPartObj>
    </w:sdtPr>
    <w:sdtContent>
      <w:p w14:paraId="62FD0857" w14:textId="0F09BBC7" w:rsidR="001A76A3" w:rsidRDefault="001A76A3">
        <w:pPr>
          <w:pStyle w:val="Footer"/>
          <w:jc w:val="right"/>
        </w:pPr>
        <w:r>
          <w:fldChar w:fldCharType="begin"/>
        </w:r>
        <w:r>
          <w:instrText>PAGE   \* MERGEFORMAT</w:instrText>
        </w:r>
        <w:r>
          <w:fldChar w:fldCharType="separate"/>
        </w:r>
        <w:r>
          <w:t>2</w:t>
        </w:r>
        <w:r>
          <w:fldChar w:fldCharType="end"/>
        </w:r>
      </w:p>
    </w:sdtContent>
  </w:sdt>
  <w:p w14:paraId="3A05ACD6" w14:textId="77777777" w:rsidR="001A76A3" w:rsidRDefault="001A7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F0AB0" w14:textId="77777777" w:rsidR="001A76A3" w:rsidRDefault="001A76A3" w:rsidP="001A76A3">
      <w:pPr>
        <w:spacing w:after="0"/>
      </w:pPr>
      <w:r>
        <w:separator/>
      </w:r>
    </w:p>
  </w:footnote>
  <w:footnote w:type="continuationSeparator" w:id="0">
    <w:p w14:paraId="15FD3CAF" w14:textId="77777777" w:rsidR="001A76A3" w:rsidRDefault="001A76A3" w:rsidP="001A76A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E0B67"/>
    <w:multiLevelType w:val="multilevel"/>
    <w:tmpl w:val="3C8C4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CE47D8"/>
    <w:multiLevelType w:val="hybridMultilevel"/>
    <w:tmpl w:val="ED4E76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BCA7E3C"/>
    <w:multiLevelType w:val="hybridMultilevel"/>
    <w:tmpl w:val="169837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0526402">
    <w:abstractNumId w:val="1"/>
  </w:num>
  <w:num w:numId="2" w16cid:durableId="998311971">
    <w:abstractNumId w:val="0"/>
  </w:num>
  <w:num w:numId="3" w16cid:durableId="1271160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34E"/>
    <w:rsid w:val="000012B7"/>
    <w:rsid w:val="00004376"/>
    <w:rsid w:val="000047D7"/>
    <w:rsid w:val="00007937"/>
    <w:rsid w:val="00010B55"/>
    <w:rsid w:val="000118B4"/>
    <w:rsid w:val="000123FD"/>
    <w:rsid w:val="000135C9"/>
    <w:rsid w:val="00013E42"/>
    <w:rsid w:val="00030750"/>
    <w:rsid w:val="00030EDC"/>
    <w:rsid w:val="00031E8D"/>
    <w:rsid w:val="00042119"/>
    <w:rsid w:val="00043F8F"/>
    <w:rsid w:val="000443D5"/>
    <w:rsid w:val="00047248"/>
    <w:rsid w:val="0005540E"/>
    <w:rsid w:val="00056C52"/>
    <w:rsid w:val="00060A17"/>
    <w:rsid w:val="000618D3"/>
    <w:rsid w:val="00065A8B"/>
    <w:rsid w:val="000708CD"/>
    <w:rsid w:val="00074D4B"/>
    <w:rsid w:val="00077F0C"/>
    <w:rsid w:val="00080762"/>
    <w:rsid w:val="00087D19"/>
    <w:rsid w:val="000943A6"/>
    <w:rsid w:val="0009575D"/>
    <w:rsid w:val="0009792B"/>
    <w:rsid w:val="000A441A"/>
    <w:rsid w:val="000A5374"/>
    <w:rsid w:val="000A73FB"/>
    <w:rsid w:val="000B1694"/>
    <w:rsid w:val="000B2F32"/>
    <w:rsid w:val="000B44CE"/>
    <w:rsid w:val="000B553E"/>
    <w:rsid w:val="000D19E6"/>
    <w:rsid w:val="000D1E1F"/>
    <w:rsid w:val="000D385A"/>
    <w:rsid w:val="000D5A63"/>
    <w:rsid w:val="000D5D15"/>
    <w:rsid w:val="000E1B78"/>
    <w:rsid w:val="000E20B5"/>
    <w:rsid w:val="000E340A"/>
    <w:rsid w:val="000E4766"/>
    <w:rsid w:val="000E4EE7"/>
    <w:rsid w:val="000E5924"/>
    <w:rsid w:val="000E5B87"/>
    <w:rsid w:val="000E70E5"/>
    <w:rsid w:val="000E7A8A"/>
    <w:rsid w:val="000F3FAB"/>
    <w:rsid w:val="000F4B2B"/>
    <w:rsid w:val="000F72C3"/>
    <w:rsid w:val="000F750C"/>
    <w:rsid w:val="000F78F5"/>
    <w:rsid w:val="00101830"/>
    <w:rsid w:val="00101C23"/>
    <w:rsid w:val="00106406"/>
    <w:rsid w:val="0011044B"/>
    <w:rsid w:val="00110FA6"/>
    <w:rsid w:val="00111338"/>
    <w:rsid w:val="001207DC"/>
    <w:rsid w:val="001213F1"/>
    <w:rsid w:val="00124E65"/>
    <w:rsid w:val="00126945"/>
    <w:rsid w:val="00130EF2"/>
    <w:rsid w:val="00131EA4"/>
    <w:rsid w:val="001415E2"/>
    <w:rsid w:val="00142794"/>
    <w:rsid w:val="00143A10"/>
    <w:rsid w:val="00146C0E"/>
    <w:rsid w:val="00152472"/>
    <w:rsid w:val="00152505"/>
    <w:rsid w:val="001536BE"/>
    <w:rsid w:val="00154CD5"/>
    <w:rsid w:val="00156E21"/>
    <w:rsid w:val="00157D04"/>
    <w:rsid w:val="001618D5"/>
    <w:rsid w:val="00161FBA"/>
    <w:rsid w:val="00162B32"/>
    <w:rsid w:val="00164CD6"/>
    <w:rsid w:val="0016757B"/>
    <w:rsid w:val="001711A4"/>
    <w:rsid w:val="00172745"/>
    <w:rsid w:val="0017500D"/>
    <w:rsid w:val="0018448D"/>
    <w:rsid w:val="00184833"/>
    <w:rsid w:val="00190ACA"/>
    <w:rsid w:val="001969AE"/>
    <w:rsid w:val="001A1638"/>
    <w:rsid w:val="001A76A3"/>
    <w:rsid w:val="001B3C01"/>
    <w:rsid w:val="001B4745"/>
    <w:rsid w:val="001B7CEC"/>
    <w:rsid w:val="001C3F6D"/>
    <w:rsid w:val="001D21E5"/>
    <w:rsid w:val="001E173C"/>
    <w:rsid w:val="001E199E"/>
    <w:rsid w:val="001E58E6"/>
    <w:rsid w:val="001E7716"/>
    <w:rsid w:val="002005E7"/>
    <w:rsid w:val="00200ADE"/>
    <w:rsid w:val="00201266"/>
    <w:rsid w:val="00203238"/>
    <w:rsid w:val="00203A2C"/>
    <w:rsid w:val="002046BA"/>
    <w:rsid w:val="002133AE"/>
    <w:rsid w:val="002160E1"/>
    <w:rsid w:val="00216B16"/>
    <w:rsid w:val="002215FF"/>
    <w:rsid w:val="00223311"/>
    <w:rsid w:val="00223F26"/>
    <w:rsid w:val="0022553F"/>
    <w:rsid w:val="00226242"/>
    <w:rsid w:val="00232197"/>
    <w:rsid w:val="00235330"/>
    <w:rsid w:val="00235AEA"/>
    <w:rsid w:val="002374D7"/>
    <w:rsid w:val="00241538"/>
    <w:rsid w:val="00244D75"/>
    <w:rsid w:val="00256156"/>
    <w:rsid w:val="00260019"/>
    <w:rsid w:val="00260F96"/>
    <w:rsid w:val="00261613"/>
    <w:rsid w:val="002637EB"/>
    <w:rsid w:val="00264579"/>
    <w:rsid w:val="00266CE5"/>
    <w:rsid w:val="00273B65"/>
    <w:rsid w:val="00275A8A"/>
    <w:rsid w:val="002871BC"/>
    <w:rsid w:val="0029130A"/>
    <w:rsid w:val="00295A31"/>
    <w:rsid w:val="002A470D"/>
    <w:rsid w:val="002A63EC"/>
    <w:rsid w:val="002A72AF"/>
    <w:rsid w:val="002A7AA7"/>
    <w:rsid w:val="002B02AE"/>
    <w:rsid w:val="002B4C2E"/>
    <w:rsid w:val="002B7971"/>
    <w:rsid w:val="002C2973"/>
    <w:rsid w:val="002C6CB9"/>
    <w:rsid w:val="002D2968"/>
    <w:rsid w:val="002D323E"/>
    <w:rsid w:val="002D496A"/>
    <w:rsid w:val="002D69E3"/>
    <w:rsid w:val="002E1133"/>
    <w:rsid w:val="002E14C5"/>
    <w:rsid w:val="002E47BF"/>
    <w:rsid w:val="002E55BF"/>
    <w:rsid w:val="002E6F32"/>
    <w:rsid w:val="002F2473"/>
    <w:rsid w:val="002F5A7D"/>
    <w:rsid w:val="002F6F28"/>
    <w:rsid w:val="0030043B"/>
    <w:rsid w:val="00300D51"/>
    <w:rsid w:val="00301542"/>
    <w:rsid w:val="00305359"/>
    <w:rsid w:val="00310334"/>
    <w:rsid w:val="00314B31"/>
    <w:rsid w:val="00316F9D"/>
    <w:rsid w:val="00320896"/>
    <w:rsid w:val="0032395A"/>
    <w:rsid w:val="00323A9F"/>
    <w:rsid w:val="00331B67"/>
    <w:rsid w:val="00331E2B"/>
    <w:rsid w:val="003322AA"/>
    <w:rsid w:val="00333CF8"/>
    <w:rsid w:val="0034030E"/>
    <w:rsid w:val="00340575"/>
    <w:rsid w:val="003448E2"/>
    <w:rsid w:val="00345F5B"/>
    <w:rsid w:val="00351713"/>
    <w:rsid w:val="0035495E"/>
    <w:rsid w:val="00356BB1"/>
    <w:rsid w:val="0036630E"/>
    <w:rsid w:val="0037354A"/>
    <w:rsid w:val="00376B44"/>
    <w:rsid w:val="00382C5A"/>
    <w:rsid w:val="00386469"/>
    <w:rsid w:val="003867F9"/>
    <w:rsid w:val="00397A73"/>
    <w:rsid w:val="003A55CF"/>
    <w:rsid w:val="003A57C9"/>
    <w:rsid w:val="003B3C8A"/>
    <w:rsid w:val="003B40B2"/>
    <w:rsid w:val="003B4FA7"/>
    <w:rsid w:val="003C041C"/>
    <w:rsid w:val="003C6C01"/>
    <w:rsid w:val="003C70C5"/>
    <w:rsid w:val="003D09F8"/>
    <w:rsid w:val="003D28C5"/>
    <w:rsid w:val="003E1C5B"/>
    <w:rsid w:val="003E55FD"/>
    <w:rsid w:val="003F1F31"/>
    <w:rsid w:val="003F5B90"/>
    <w:rsid w:val="00404E41"/>
    <w:rsid w:val="00405B78"/>
    <w:rsid w:val="0040654A"/>
    <w:rsid w:val="00410EFB"/>
    <w:rsid w:val="004146D8"/>
    <w:rsid w:val="00414FEC"/>
    <w:rsid w:val="004206D0"/>
    <w:rsid w:val="00421476"/>
    <w:rsid w:val="00425954"/>
    <w:rsid w:val="0042703D"/>
    <w:rsid w:val="00427F01"/>
    <w:rsid w:val="00437D7A"/>
    <w:rsid w:val="00446B27"/>
    <w:rsid w:val="00447D33"/>
    <w:rsid w:val="004549FB"/>
    <w:rsid w:val="00454C87"/>
    <w:rsid w:val="004619DF"/>
    <w:rsid w:val="004705CD"/>
    <w:rsid w:val="00473B7C"/>
    <w:rsid w:val="00475C62"/>
    <w:rsid w:val="00476729"/>
    <w:rsid w:val="004803E3"/>
    <w:rsid w:val="00480D2E"/>
    <w:rsid w:val="0049016A"/>
    <w:rsid w:val="0049051B"/>
    <w:rsid w:val="00492E2F"/>
    <w:rsid w:val="0049774D"/>
    <w:rsid w:val="00497D03"/>
    <w:rsid w:val="004A1AC2"/>
    <w:rsid w:val="004B23A0"/>
    <w:rsid w:val="004B7BE0"/>
    <w:rsid w:val="004C0F75"/>
    <w:rsid w:val="004C3355"/>
    <w:rsid w:val="004D10F5"/>
    <w:rsid w:val="004E2D67"/>
    <w:rsid w:val="004E6451"/>
    <w:rsid w:val="004E7E0E"/>
    <w:rsid w:val="004F12E6"/>
    <w:rsid w:val="0050015C"/>
    <w:rsid w:val="0050119F"/>
    <w:rsid w:val="00502281"/>
    <w:rsid w:val="0051188F"/>
    <w:rsid w:val="00512072"/>
    <w:rsid w:val="005164D6"/>
    <w:rsid w:val="0051716C"/>
    <w:rsid w:val="00525D5E"/>
    <w:rsid w:val="0052796E"/>
    <w:rsid w:val="0053596C"/>
    <w:rsid w:val="00537831"/>
    <w:rsid w:val="00545EB2"/>
    <w:rsid w:val="005477DB"/>
    <w:rsid w:val="00570203"/>
    <w:rsid w:val="00572A84"/>
    <w:rsid w:val="00572C47"/>
    <w:rsid w:val="00575041"/>
    <w:rsid w:val="0057662D"/>
    <w:rsid w:val="0057786D"/>
    <w:rsid w:val="005937D3"/>
    <w:rsid w:val="00596853"/>
    <w:rsid w:val="00596B3F"/>
    <w:rsid w:val="005A0195"/>
    <w:rsid w:val="005A3904"/>
    <w:rsid w:val="005A5F2B"/>
    <w:rsid w:val="005B0E6D"/>
    <w:rsid w:val="005B63D9"/>
    <w:rsid w:val="005C0246"/>
    <w:rsid w:val="005C3EA9"/>
    <w:rsid w:val="005D592F"/>
    <w:rsid w:val="005D7DCC"/>
    <w:rsid w:val="005E7405"/>
    <w:rsid w:val="005F0596"/>
    <w:rsid w:val="005F7BFF"/>
    <w:rsid w:val="00600CFD"/>
    <w:rsid w:val="00601051"/>
    <w:rsid w:val="00605323"/>
    <w:rsid w:val="00607A2B"/>
    <w:rsid w:val="00610296"/>
    <w:rsid w:val="00611090"/>
    <w:rsid w:val="00611403"/>
    <w:rsid w:val="00612210"/>
    <w:rsid w:val="00615461"/>
    <w:rsid w:val="00615CA7"/>
    <w:rsid w:val="00620B61"/>
    <w:rsid w:val="00624DDE"/>
    <w:rsid w:val="006348F5"/>
    <w:rsid w:val="006429A9"/>
    <w:rsid w:val="00646503"/>
    <w:rsid w:val="00646B2E"/>
    <w:rsid w:val="0064798A"/>
    <w:rsid w:val="00654EAB"/>
    <w:rsid w:val="00656263"/>
    <w:rsid w:val="006605D5"/>
    <w:rsid w:val="00660E21"/>
    <w:rsid w:val="00670661"/>
    <w:rsid w:val="00673637"/>
    <w:rsid w:val="00675A5E"/>
    <w:rsid w:val="00685AAC"/>
    <w:rsid w:val="00685F3A"/>
    <w:rsid w:val="00686591"/>
    <w:rsid w:val="0069298C"/>
    <w:rsid w:val="00694A28"/>
    <w:rsid w:val="00695A01"/>
    <w:rsid w:val="0069764A"/>
    <w:rsid w:val="006A24CF"/>
    <w:rsid w:val="006A2A12"/>
    <w:rsid w:val="006A4714"/>
    <w:rsid w:val="006B051E"/>
    <w:rsid w:val="006C07B4"/>
    <w:rsid w:val="006C14FC"/>
    <w:rsid w:val="006C4F5F"/>
    <w:rsid w:val="006D4A14"/>
    <w:rsid w:val="006E0CFD"/>
    <w:rsid w:val="006E2495"/>
    <w:rsid w:val="006E3330"/>
    <w:rsid w:val="006E6A82"/>
    <w:rsid w:val="006F3E37"/>
    <w:rsid w:val="006F6AFA"/>
    <w:rsid w:val="0070381A"/>
    <w:rsid w:val="00707425"/>
    <w:rsid w:val="00711F5A"/>
    <w:rsid w:val="007134E5"/>
    <w:rsid w:val="007207CB"/>
    <w:rsid w:val="00722B45"/>
    <w:rsid w:val="00722EAD"/>
    <w:rsid w:val="00731E84"/>
    <w:rsid w:val="00733918"/>
    <w:rsid w:val="007415AB"/>
    <w:rsid w:val="0074179E"/>
    <w:rsid w:val="00741CBD"/>
    <w:rsid w:val="00744388"/>
    <w:rsid w:val="00754D85"/>
    <w:rsid w:val="00767F24"/>
    <w:rsid w:val="00770253"/>
    <w:rsid w:val="00773B26"/>
    <w:rsid w:val="00774790"/>
    <w:rsid w:val="00781720"/>
    <w:rsid w:val="007820E0"/>
    <w:rsid w:val="007861BE"/>
    <w:rsid w:val="00786C96"/>
    <w:rsid w:val="00791AEA"/>
    <w:rsid w:val="007977E5"/>
    <w:rsid w:val="007A1491"/>
    <w:rsid w:val="007A1509"/>
    <w:rsid w:val="007B04B2"/>
    <w:rsid w:val="007B0F63"/>
    <w:rsid w:val="007B23DC"/>
    <w:rsid w:val="007B75B7"/>
    <w:rsid w:val="007C2ACD"/>
    <w:rsid w:val="007C481A"/>
    <w:rsid w:val="007C7DD9"/>
    <w:rsid w:val="007D0BC0"/>
    <w:rsid w:val="007D1560"/>
    <w:rsid w:val="007E0314"/>
    <w:rsid w:val="007E3A83"/>
    <w:rsid w:val="007E3B5B"/>
    <w:rsid w:val="007F2B98"/>
    <w:rsid w:val="008011BC"/>
    <w:rsid w:val="00802190"/>
    <w:rsid w:val="00813F2D"/>
    <w:rsid w:val="00814CA7"/>
    <w:rsid w:val="008208BB"/>
    <w:rsid w:val="008226C2"/>
    <w:rsid w:val="008249F3"/>
    <w:rsid w:val="00835E0C"/>
    <w:rsid w:val="00843733"/>
    <w:rsid w:val="00843D3F"/>
    <w:rsid w:val="00845965"/>
    <w:rsid w:val="00853907"/>
    <w:rsid w:val="00855D3E"/>
    <w:rsid w:val="00861E60"/>
    <w:rsid w:val="00863B8B"/>
    <w:rsid w:val="008657DF"/>
    <w:rsid w:val="008677F1"/>
    <w:rsid w:val="00871EC4"/>
    <w:rsid w:val="00877020"/>
    <w:rsid w:val="00882808"/>
    <w:rsid w:val="00884CB6"/>
    <w:rsid w:val="0088560F"/>
    <w:rsid w:val="00890089"/>
    <w:rsid w:val="00893E8A"/>
    <w:rsid w:val="00893F1D"/>
    <w:rsid w:val="00894422"/>
    <w:rsid w:val="008949C5"/>
    <w:rsid w:val="008B2823"/>
    <w:rsid w:val="008C5651"/>
    <w:rsid w:val="008C777F"/>
    <w:rsid w:val="008D4F3E"/>
    <w:rsid w:val="008E4BDB"/>
    <w:rsid w:val="008E5F20"/>
    <w:rsid w:val="0090281A"/>
    <w:rsid w:val="00903781"/>
    <w:rsid w:val="009069F5"/>
    <w:rsid w:val="009167D0"/>
    <w:rsid w:val="00916815"/>
    <w:rsid w:val="0092131A"/>
    <w:rsid w:val="009231ED"/>
    <w:rsid w:val="009272EA"/>
    <w:rsid w:val="00956B86"/>
    <w:rsid w:val="00957372"/>
    <w:rsid w:val="00957999"/>
    <w:rsid w:val="00970669"/>
    <w:rsid w:val="009708B5"/>
    <w:rsid w:val="009767C9"/>
    <w:rsid w:val="009777B4"/>
    <w:rsid w:val="009801BB"/>
    <w:rsid w:val="009826D2"/>
    <w:rsid w:val="00982F4F"/>
    <w:rsid w:val="00995E53"/>
    <w:rsid w:val="00995FAC"/>
    <w:rsid w:val="00997155"/>
    <w:rsid w:val="009973B2"/>
    <w:rsid w:val="009A0263"/>
    <w:rsid w:val="009A53E8"/>
    <w:rsid w:val="009A605A"/>
    <w:rsid w:val="009C7202"/>
    <w:rsid w:val="009C774D"/>
    <w:rsid w:val="009D0244"/>
    <w:rsid w:val="009E5187"/>
    <w:rsid w:val="009E6F87"/>
    <w:rsid w:val="009F00CD"/>
    <w:rsid w:val="009F3F0C"/>
    <w:rsid w:val="009F6643"/>
    <w:rsid w:val="00A055DB"/>
    <w:rsid w:val="00A15815"/>
    <w:rsid w:val="00A2105F"/>
    <w:rsid w:val="00A21D73"/>
    <w:rsid w:val="00A221CF"/>
    <w:rsid w:val="00A40D51"/>
    <w:rsid w:val="00A4228B"/>
    <w:rsid w:val="00A47674"/>
    <w:rsid w:val="00A53E11"/>
    <w:rsid w:val="00A55D66"/>
    <w:rsid w:val="00A56B82"/>
    <w:rsid w:val="00A575DB"/>
    <w:rsid w:val="00A620F5"/>
    <w:rsid w:val="00A63B73"/>
    <w:rsid w:val="00A67DC5"/>
    <w:rsid w:val="00A7185A"/>
    <w:rsid w:val="00A71C81"/>
    <w:rsid w:val="00A72878"/>
    <w:rsid w:val="00A7577E"/>
    <w:rsid w:val="00A7787D"/>
    <w:rsid w:val="00A77DC9"/>
    <w:rsid w:val="00A844D4"/>
    <w:rsid w:val="00A859CE"/>
    <w:rsid w:val="00A90FC3"/>
    <w:rsid w:val="00A977CD"/>
    <w:rsid w:val="00A978D9"/>
    <w:rsid w:val="00AA0C44"/>
    <w:rsid w:val="00AA3F82"/>
    <w:rsid w:val="00AA6FCE"/>
    <w:rsid w:val="00AB2109"/>
    <w:rsid w:val="00AC4519"/>
    <w:rsid w:val="00AC4BC7"/>
    <w:rsid w:val="00AC6509"/>
    <w:rsid w:val="00AC6B8D"/>
    <w:rsid w:val="00AD03B0"/>
    <w:rsid w:val="00AD4224"/>
    <w:rsid w:val="00AD4E29"/>
    <w:rsid w:val="00AE14ED"/>
    <w:rsid w:val="00AE298F"/>
    <w:rsid w:val="00AE7F50"/>
    <w:rsid w:val="00AF67D3"/>
    <w:rsid w:val="00B00061"/>
    <w:rsid w:val="00B00840"/>
    <w:rsid w:val="00B009F3"/>
    <w:rsid w:val="00B02971"/>
    <w:rsid w:val="00B1152A"/>
    <w:rsid w:val="00B11B40"/>
    <w:rsid w:val="00B15876"/>
    <w:rsid w:val="00B22425"/>
    <w:rsid w:val="00B235B9"/>
    <w:rsid w:val="00B3134E"/>
    <w:rsid w:val="00B3357B"/>
    <w:rsid w:val="00B365FF"/>
    <w:rsid w:val="00B37781"/>
    <w:rsid w:val="00B37E39"/>
    <w:rsid w:val="00B51B38"/>
    <w:rsid w:val="00B520D8"/>
    <w:rsid w:val="00B55A46"/>
    <w:rsid w:val="00B56693"/>
    <w:rsid w:val="00B73813"/>
    <w:rsid w:val="00B7436B"/>
    <w:rsid w:val="00B81EE0"/>
    <w:rsid w:val="00B823D6"/>
    <w:rsid w:val="00B830D0"/>
    <w:rsid w:val="00B87EE7"/>
    <w:rsid w:val="00B91682"/>
    <w:rsid w:val="00B97F5D"/>
    <w:rsid w:val="00BA06A4"/>
    <w:rsid w:val="00BA2971"/>
    <w:rsid w:val="00BA5C73"/>
    <w:rsid w:val="00BA5E9D"/>
    <w:rsid w:val="00BB013B"/>
    <w:rsid w:val="00BB31AB"/>
    <w:rsid w:val="00BB3B9C"/>
    <w:rsid w:val="00BB470C"/>
    <w:rsid w:val="00BB6D03"/>
    <w:rsid w:val="00BB6EF3"/>
    <w:rsid w:val="00BC2C5D"/>
    <w:rsid w:val="00BC4FC6"/>
    <w:rsid w:val="00BC62EE"/>
    <w:rsid w:val="00BD3DFF"/>
    <w:rsid w:val="00BD42BB"/>
    <w:rsid w:val="00BD72AC"/>
    <w:rsid w:val="00BE46B4"/>
    <w:rsid w:val="00BF02D6"/>
    <w:rsid w:val="00BF4A05"/>
    <w:rsid w:val="00BF61AF"/>
    <w:rsid w:val="00C009A4"/>
    <w:rsid w:val="00C024E0"/>
    <w:rsid w:val="00C0261D"/>
    <w:rsid w:val="00C04404"/>
    <w:rsid w:val="00C05835"/>
    <w:rsid w:val="00C06A0A"/>
    <w:rsid w:val="00C07363"/>
    <w:rsid w:val="00C10D1E"/>
    <w:rsid w:val="00C152CB"/>
    <w:rsid w:val="00C26DF9"/>
    <w:rsid w:val="00C33651"/>
    <w:rsid w:val="00C35196"/>
    <w:rsid w:val="00C35735"/>
    <w:rsid w:val="00C4049D"/>
    <w:rsid w:val="00C405AA"/>
    <w:rsid w:val="00C408C0"/>
    <w:rsid w:val="00C43223"/>
    <w:rsid w:val="00C46D2E"/>
    <w:rsid w:val="00C50769"/>
    <w:rsid w:val="00C55639"/>
    <w:rsid w:val="00C61410"/>
    <w:rsid w:val="00C72BB2"/>
    <w:rsid w:val="00C7321E"/>
    <w:rsid w:val="00C82D4F"/>
    <w:rsid w:val="00C83AD3"/>
    <w:rsid w:val="00C83E73"/>
    <w:rsid w:val="00C9044C"/>
    <w:rsid w:val="00C96930"/>
    <w:rsid w:val="00C96E00"/>
    <w:rsid w:val="00CA0336"/>
    <w:rsid w:val="00CA0356"/>
    <w:rsid w:val="00CA2753"/>
    <w:rsid w:val="00CA5B7A"/>
    <w:rsid w:val="00CB1C57"/>
    <w:rsid w:val="00CB2768"/>
    <w:rsid w:val="00CB3490"/>
    <w:rsid w:val="00CB6369"/>
    <w:rsid w:val="00CB6F0B"/>
    <w:rsid w:val="00CB76D7"/>
    <w:rsid w:val="00CC5ECB"/>
    <w:rsid w:val="00CC7E40"/>
    <w:rsid w:val="00CE3BC9"/>
    <w:rsid w:val="00CE3ED9"/>
    <w:rsid w:val="00CE6908"/>
    <w:rsid w:val="00CF1789"/>
    <w:rsid w:val="00CF657D"/>
    <w:rsid w:val="00D019B3"/>
    <w:rsid w:val="00D054A7"/>
    <w:rsid w:val="00D10F5D"/>
    <w:rsid w:val="00D14F3E"/>
    <w:rsid w:val="00D237B8"/>
    <w:rsid w:val="00D32132"/>
    <w:rsid w:val="00D3382A"/>
    <w:rsid w:val="00D35E26"/>
    <w:rsid w:val="00D43C70"/>
    <w:rsid w:val="00D443C4"/>
    <w:rsid w:val="00D4779C"/>
    <w:rsid w:val="00D5490C"/>
    <w:rsid w:val="00D62DA7"/>
    <w:rsid w:val="00D74E90"/>
    <w:rsid w:val="00D80448"/>
    <w:rsid w:val="00D80F0F"/>
    <w:rsid w:val="00D837B0"/>
    <w:rsid w:val="00DA1E17"/>
    <w:rsid w:val="00DC0F50"/>
    <w:rsid w:val="00DC2C8C"/>
    <w:rsid w:val="00DC4E3C"/>
    <w:rsid w:val="00DC5A37"/>
    <w:rsid w:val="00DD0391"/>
    <w:rsid w:val="00DD6FD3"/>
    <w:rsid w:val="00DE0E81"/>
    <w:rsid w:val="00DF2F84"/>
    <w:rsid w:val="00DF4B75"/>
    <w:rsid w:val="00DF7D06"/>
    <w:rsid w:val="00E01820"/>
    <w:rsid w:val="00E02515"/>
    <w:rsid w:val="00E04F29"/>
    <w:rsid w:val="00E256E4"/>
    <w:rsid w:val="00E265E4"/>
    <w:rsid w:val="00E34BF2"/>
    <w:rsid w:val="00E35473"/>
    <w:rsid w:val="00E44888"/>
    <w:rsid w:val="00E44B6C"/>
    <w:rsid w:val="00E500BB"/>
    <w:rsid w:val="00E5547F"/>
    <w:rsid w:val="00E62289"/>
    <w:rsid w:val="00E6238A"/>
    <w:rsid w:val="00E63040"/>
    <w:rsid w:val="00E63531"/>
    <w:rsid w:val="00E63B15"/>
    <w:rsid w:val="00E6415C"/>
    <w:rsid w:val="00E67D98"/>
    <w:rsid w:val="00E751BE"/>
    <w:rsid w:val="00E811E2"/>
    <w:rsid w:val="00E8160E"/>
    <w:rsid w:val="00E83745"/>
    <w:rsid w:val="00E94AB0"/>
    <w:rsid w:val="00EA02BF"/>
    <w:rsid w:val="00EA380F"/>
    <w:rsid w:val="00EA598E"/>
    <w:rsid w:val="00EB28C9"/>
    <w:rsid w:val="00EB57A9"/>
    <w:rsid w:val="00EC0030"/>
    <w:rsid w:val="00EC1187"/>
    <w:rsid w:val="00ED4476"/>
    <w:rsid w:val="00EE45F5"/>
    <w:rsid w:val="00EE651B"/>
    <w:rsid w:val="00EF21C4"/>
    <w:rsid w:val="00EF4147"/>
    <w:rsid w:val="00F0271E"/>
    <w:rsid w:val="00F02BDA"/>
    <w:rsid w:val="00F05BB6"/>
    <w:rsid w:val="00F11144"/>
    <w:rsid w:val="00F207FA"/>
    <w:rsid w:val="00F23504"/>
    <w:rsid w:val="00F26D63"/>
    <w:rsid w:val="00F30452"/>
    <w:rsid w:val="00F304D1"/>
    <w:rsid w:val="00F31975"/>
    <w:rsid w:val="00F33102"/>
    <w:rsid w:val="00F33C38"/>
    <w:rsid w:val="00F34498"/>
    <w:rsid w:val="00F34851"/>
    <w:rsid w:val="00F365E8"/>
    <w:rsid w:val="00F37197"/>
    <w:rsid w:val="00F441AA"/>
    <w:rsid w:val="00F44519"/>
    <w:rsid w:val="00F52DE4"/>
    <w:rsid w:val="00F53D40"/>
    <w:rsid w:val="00F54FA4"/>
    <w:rsid w:val="00F60D0D"/>
    <w:rsid w:val="00F72695"/>
    <w:rsid w:val="00F7276E"/>
    <w:rsid w:val="00F74848"/>
    <w:rsid w:val="00F8077C"/>
    <w:rsid w:val="00F815D3"/>
    <w:rsid w:val="00F8162C"/>
    <w:rsid w:val="00F86E71"/>
    <w:rsid w:val="00F951CB"/>
    <w:rsid w:val="00F955C9"/>
    <w:rsid w:val="00FA1ADB"/>
    <w:rsid w:val="00FA449A"/>
    <w:rsid w:val="00FA5EA3"/>
    <w:rsid w:val="00FB6DC1"/>
    <w:rsid w:val="00FB7848"/>
    <w:rsid w:val="00FC5EE5"/>
    <w:rsid w:val="00FE2B53"/>
    <w:rsid w:val="00FE5B2A"/>
    <w:rsid w:val="00FE6AFB"/>
    <w:rsid w:val="00FF2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455A2"/>
  <w15:chartTrackingRefBased/>
  <w15:docId w15:val="{B3DC6E2A-88F6-4118-A5F6-4D6D9EAB8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D15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link w:val="NoSpacingChar"/>
    <w:uiPriority w:val="1"/>
    <w:qFormat/>
    <w:rsid w:val="00B3134E"/>
    <w:pPr>
      <w:spacing w:after="0"/>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3134E"/>
    <w:rPr>
      <w:rFonts w:eastAsiaTheme="minorEastAsia"/>
      <w:kern w:val="0"/>
      <w:lang w:eastAsia="en-GB"/>
      <w14:ligatures w14:val="none"/>
    </w:rPr>
  </w:style>
  <w:style w:type="character" w:styleId="Hyperlink">
    <w:name w:val="Hyperlink"/>
    <w:basedOn w:val="DefaultParagraphFont"/>
    <w:uiPriority w:val="99"/>
    <w:unhideWhenUsed/>
    <w:rsid w:val="007D1560"/>
    <w:rPr>
      <w:color w:val="0563C1" w:themeColor="hyperlink"/>
      <w:u w:val="single"/>
    </w:rPr>
  </w:style>
  <w:style w:type="character" w:styleId="UnresolvedMention">
    <w:name w:val="Unresolved Mention"/>
    <w:basedOn w:val="DefaultParagraphFont"/>
    <w:uiPriority w:val="99"/>
    <w:semiHidden/>
    <w:unhideWhenUsed/>
    <w:rsid w:val="007D1560"/>
    <w:rPr>
      <w:color w:val="605E5C"/>
      <w:shd w:val="clear" w:color="auto" w:fill="E1DFDD"/>
    </w:rPr>
  </w:style>
  <w:style w:type="character" w:customStyle="1" w:styleId="Heading3Char">
    <w:name w:val="Heading 3 Char"/>
    <w:basedOn w:val="DefaultParagraphFont"/>
    <w:link w:val="Heading3"/>
    <w:uiPriority w:val="9"/>
    <w:semiHidden/>
    <w:rsid w:val="007D156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8E5F20"/>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14F3E"/>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861BE"/>
    <w:rPr>
      <w:color w:val="954F72" w:themeColor="followedHyperlink"/>
      <w:u w:val="single"/>
    </w:rPr>
  </w:style>
  <w:style w:type="paragraph" w:styleId="TOCHeading">
    <w:name w:val="TOC Heading"/>
    <w:basedOn w:val="Heading1"/>
    <w:next w:val="Normal"/>
    <w:uiPriority w:val="39"/>
    <w:unhideWhenUsed/>
    <w:qFormat/>
    <w:rsid w:val="0050119F"/>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50119F"/>
    <w:pPr>
      <w:spacing w:after="100"/>
    </w:pPr>
  </w:style>
  <w:style w:type="paragraph" w:styleId="TOC2">
    <w:name w:val="toc 2"/>
    <w:basedOn w:val="Normal"/>
    <w:next w:val="Normal"/>
    <w:autoRedefine/>
    <w:uiPriority w:val="39"/>
    <w:unhideWhenUsed/>
    <w:rsid w:val="0050119F"/>
    <w:pPr>
      <w:spacing w:after="100"/>
      <w:ind w:left="220"/>
    </w:pPr>
  </w:style>
  <w:style w:type="paragraph" w:styleId="TOC3">
    <w:name w:val="toc 3"/>
    <w:basedOn w:val="Normal"/>
    <w:next w:val="Normal"/>
    <w:autoRedefine/>
    <w:uiPriority w:val="39"/>
    <w:unhideWhenUsed/>
    <w:rsid w:val="0050119F"/>
    <w:pPr>
      <w:spacing w:after="100"/>
      <w:ind w:left="440"/>
    </w:pPr>
  </w:style>
  <w:style w:type="paragraph" w:styleId="Header">
    <w:name w:val="header"/>
    <w:basedOn w:val="Normal"/>
    <w:link w:val="HeaderChar"/>
    <w:uiPriority w:val="99"/>
    <w:unhideWhenUsed/>
    <w:rsid w:val="001A76A3"/>
    <w:pPr>
      <w:tabs>
        <w:tab w:val="center" w:pos="4513"/>
        <w:tab w:val="right" w:pos="9026"/>
      </w:tabs>
      <w:spacing w:after="0"/>
    </w:pPr>
  </w:style>
  <w:style w:type="character" w:customStyle="1" w:styleId="HeaderChar">
    <w:name w:val="Header Char"/>
    <w:basedOn w:val="DefaultParagraphFont"/>
    <w:link w:val="Header"/>
    <w:uiPriority w:val="99"/>
    <w:rsid w:val="001A76A3"/>
  </w:style>
  <w:style w:type="paragraph" w:styleId="Footer">
    <w:name w:val="footer"/>
    <w:basedOn w:val="Normal"/>
    <w:link w:val="FooterChar"/>
    <w:uiPriority w:val="99"/>
    <w:unhideWhenUsed/>
    <w:rsid w:val="001A76A3"/>
    <w:pPr>
      <w:tabs>
        <w:tab w:val="center" w:pos="4513"/>
        <w:tab w:val="right" w:pos="9026"/>
      </w:tabs>
      <w:spacing w:after="0"/>
    </w:pPr>
  </w:style>
  <w:style w:type="character" w:customStyle="1" w:styleId="FooterChar">
    <w:name w:val="Footer Char"/>
    <w:basedOn w:val="DefaultParagraphFont"/>
    <w:link w:val="Footer"/>
    <w:uiPriority w:val="99"/>
    <w:rsid w:val="001A7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89491">
      <w:bodyDiv w:val="1"/>
      <w:marLeft w:val="0"/>
      <w:marRight w:val="0"/>
      <w:marTop w:val="0"/>
      <w:marBottom w:val="0"/>
      <w:divBdr>
        <w:top w:val="none" w:sz="0" w:space="0" w:color="auto"/>
        <w:left w:val="none" w:sz="0" w:space="0" w:color="auto"/>
        <w:bottom w:val="none" w:sz="0" w:space="0" w:color="auto"/>
        <w:right w:val="none" w:sz="0" w:space="0" w:color="auto"/>
      </w:divBdr>
      <w:divsChild>
        <w:div w:id="1422605346">
          <w:marLeft w:val="0"/>
          <w:marRight w:val="0"/>
          <w:marTop w:val="0"/>
          <w:marBottom w:val="0"/>
          <w:divBdr>
            <w:top w:val="none" w:sz="0" w:space="0" w:color="auto"/>
            <w:left w:val="none" w:sz="0" w:space="0" w:color="auto"/>
            <w:bottom w:val="none" w:sz="0" w:space="0" w:color="auto"/>
            <w:right w:val="none" w:sz="0" w:space="0" w:color="auto"/>
          </w:divBdr>
        </w:div>
      </w:divsChild>
    </w:div>
    <w:div w:id="139423893">
      <w:bodyDiv w:val="1"/>
      <w:marLeft w:val="0"/>
      <w:marRight w:val="0"/>
      <w:marTop w:val="0"/>
      <w:marBottom w:val="0"/>
      <w:divBdr>
        <w:top w:val="none" w:sz="0" w:space="0" w:color="auto"/>
        <w:left w:val="none" w:sz="0" w:space="0" w:color="auto"/>
        <w:bottom w:val="none" w:sz="0" w:space="0" w:color="auto"/>
        <w:right w:val="none" w:sz="0" w:space="0" w:color="auto"/>
      </w:divBdr>
      <w:divsChild>
        <w:div w:id="1386678159">
          <w:marLeft w:val="0"/>
          <w:marRight w:val="0"/>
          <w:marTop w:val="0"/>
          <w:marBottom w:val="0"/>
          <w:divBdr>
            <w:top w:val="none" w:sz="0" w:space="0" w:color="auto"/>
            <w:left w:val="none" w:sz="0" w:space="0" w:color="auto"/>
            <w:bottom w:val="none" w:sz="0" w:space="0" w:color="auto"/>
            <w:right w:val="none" w:sz="0" w:space="0" w:color="auto"/>
          </w:divBdr>
        </w:div>
      </w:divsChild>
    </w:div>
    <w:div w:id="283774586">
      <w:bodyDiv w:val="1"/>
      <w:marLeft w:val="0"/>
      <w:marRight w:val="0"/>
      <w:marTop w:val="0"/>
      <w:marBottom w:val="0"/>
      <w:divBdr>
        <w:top w:val="none" w:sz="0" w:space="0" w:color="auto"/>
        <w:left w:val="none" w:sz="0" w:space="0" w:color="auto"/>
        <w:bottom w:val="none" w:sz="0" w:space="0" w:color="auto"/>
        <w:right w:val="none" w:sz="0" w:space="0" w:color="auto"/>
      </w:divBdr>
      <w:divsChild>
        <w:div w:id="291180972">
          <w:marLeft w:val="0"/>
          <w:marRight w:val="0"/>
          <w:marTop w:val="0"/>
          <w:marBottom w:val="0"/>
          <w:divBdr>
            <w:top w:val="none" w:sz="0" w:space="0" w:color="auto"/>
            <w:left w:val="none" w:sz="0" w:space="0" w:color="auto"/>
            <w:bottom w:val="none" w:sz="0" w:space="0" w:color="auto"/>
            <w:right w:val="none" w:sz="0" w:space="0" w:color="auto"/>
          </w:divBdr>
        </w:div>
      </w:divsChild>
    </w:div>
    <w:div w:id="429156682">
      <w:bodyDiv w:val="1"/>
      <w:marLeft w:val="0"/>
      <w:marRight w:val="0"/>
      <w:marTop w:val="0"/>
      <w:marBottom w:val="0"/>
      <w:divBdr>
        <w:top w:val="none" w:sz="0" w:space="0" w:color="auto"/>
        <w:left w:val="none" w:sz="0" w:space="0" w:color="auto"/>
        <w:bottom w:val="none" w:sz="0" w:space="0" w:color="auto"/>
        <w:right w:val="none" w:sz="0" w:space="0" w:color="auto"/>
      </w:divBdr>
    </w:div>
    <w:div w:id="571425273">
      <w:bodyDiv w:val="1"/>
      <w:marLeft w:val="0"/>
      <w:marRight w:val="0"/>
      <w:marTop w:val="0"/>
      <w:marBottom w:val="0"/>
      <w:divBdr>
        <w:top w:val="none" w:sz="0" w:space="0" w:color="auto"/>
        <w:left w:val="none" w:sz="0" w:space="0" w:color="auto"/>
        <w:bottom w:val="none" w:sz="0" w:space="0" w:color="auto"/>
        <w:right w:val="none" w:sz="0" w:space="0" w:color="auto"/>
      </w:divBdr>
    </w:div>
    <w:div w:id="645009193">
      <w:bodyDiv w:val="1"/>
      <w:marLeft w:val="0"/>
      <w:marRight w:val="0"/>
      <w:marTop w:val="0"/>
      <w:marBottom w:val="0"/>
      <w:divBdr>
        <w:top w:val="none" w:sz="0" w:space="0" w:color="auto"/>
        <w:left w:val="none" w:sz="0" w:space="0" w:color="auto"/>
        <w:bottom w:val="none" w:sz="0" w:space="0" w:color="auto"/>
        <w:right w:val="none" w:sz="0" w:space="0" w:color="auto"/>
      </w:divBdr>
      <w:divsChild>
        <w:div w:id="1515655697">
          <w:marLeft w:val="0"/>
          <w:marRight w:val="0"/>
          <w:marTop w:val="0"/>
          <w:marBottom w:val="0"/>
          <w:divBdr>
            <w:top w:val="none" w:sz="0" w:space="0" w:color="auto"/>
            <w:left w:val="none" w:sz="0" w:space="0" w:color="auto"/>
            <w:bottom w:val="none" w:sz="0" w:space="0" w:color="auto"/>
            <w:right w:val="none" w:sz="0" w:space="0" w:color="auto"/>
          </w:divBdr>
        </w:div>
      </w:divsChild>
    </w:div>
    <w:div w:id="660085656">
      <w:bodyDiv w:val="1"/>
      <w:marLeft w:val="0"/>
      <w:marRight w:val="0"/>
      <w:marTop w:val="0"/>
      <w:marBottom w:val="0"/>
      <w:divBdr>
        <w:top w:val="none" w:sz="0" w:space="0" w:color="auto"/>
        <w:left w:val="none" w:sz="0" w:space="0" w:color="auto"/>
        <w:bottom w:val="none" w:sz="0" w:space="0" w:color="auto"/>
        <w:right w:val="none" w:sz="0" w:space="0" w:color="auto"/>
      </w:divBdr>
    </w:div>
    <w:div w:id="788667114">
      <w:bodyDiv w:val="1"/>
      <w:marLeft w:val="0"/>
      <w:marRight w:val="0"/>
      <w:marTop w:val="0"/>
      <w:marBottom w:val="0"/>
      <w:divBdr>
        <w:top w:val="none" w:sz="0" w:space="0" w:color="auto"/>
        <w:left w:val="none" w:sz="0" w:space="0" w:color="auto"/>
        <w:bottom w:val="none" w:sz="0" w:space="0" w:color="auto"/>
        <w:right w:val="none" w:sz="0" w:space="0" w:color="auto"/>
      </w:divBdr>
      <w:divsChild>
        <w:div w:id="1876649869">
          <w:marLeft w:val="0"/>
          <w:marRight w:val="0"/>
          <w:marTop w:val="0"/>
          <w:marBottom w:val="0"/>
          <w:divBdr>
            <w:top w:val="none" w:sz="0" w:space="0" w:color="auto"/>
            <w:left w:val="none" w:sz="0" w:space="0" w:color="auto"/>
            <w:bottom w:val="none" w:sz="0" w:space="0" w:color="auto"/>
            <w:right w:val="none" w:sz="0" w:space="0" w:color="auto"/>
          </w:divBdr>
        </w:div>
      </w:divsChild>
    </w:div>
    <w:div w:id="927932849">
      <w:bodyDiv w:val="1"/>
      <w:marLeft w:val="0"/>
      <w:marRight w:val="0"/>
      <w:marTop w:val="0"/>
      <w:marBottom w:val="0"/>
      <w:divBdr>
        <w:top w:val="none" w:sz="0" w:space="0" w:color="auto"/>
        <w:left w:val="none" w:sz="0" w:space="0" w:color="auto"/>
        <w:bottom w:val="none" w:sz="0" w:space="0" w:color="auto"/>
        <w:right w:val="none" w:sz="0" w:space="0" w:color="auto"/>
      </w:divBdr>
    </w:div>
    <w:div w:id="1060908262">
      <w:bodyDiv w:val="1"/>
      <w:marLeft w:val="0"/>
      <w:marRight w:val="0"/>
      <w:marTop w:val="0"/>
      <w:marBottom w:val="0"/>
      <w:divBdr>
        <w:top w:val="none" w:sz="0" w:space="0" w:color="auto"/>
        <w:left w:val="none" w:sz="0" w:space="0" w:color="auto"/>
        <w:bottom w:val="none" w:sz="0" w:space="0" w:color="auto"/>
        <w:right w:val="none" w:sz="0" w:space="0" w:color="auto"/>
      </w:divBdr>
      <w:divsChild>
        <w:div w:id="1087116361">
          <w:marLeft w:val="0"/>
          <w:marRight w:val="0"/>
          <w:marTop w:val="0"/>
          <w:marBottom w:val="0"/>
          <w:divBdr>
            <w:top w:val="none" w:sz="0" w:space="0" w:color="auto"/>
            <w:left w:val="none" w:sz="0" w:space="0" w:color="auto"/>
            <w:bottom w:val="none" w:sz="0" w:space="0" w:color="auto"/>
            <w:right w:val="none" w:sz="0" w:space="0" w:color="auto"/>
          </w:divBdr>
        </w:div>
      </w:divsChild>
    </w:div>
    <w:div w:id="1077440705">
      <w:bodyDiv w:val="1"/>
      <w:marLeft w:val="0"/>
      <w:marRight w:val="0"/>
      <w:marTop w:val="0"/>
      <w:marBottom w:val="0"/>
      <w:divBdr>
        <w:top w:val="none" w:sz="0" w:space="0" w:color="auto"/>
        <w:left w:val="none" w:sz="0" w:space="0" w:color="auto"/>
        <w:bottom w:val="none" w:sz="0" w:space="0" w:color="auto"/>
        <w:right w:val="none" w:sz="0" w:space="0" w:color="auto"/>
      </w:divBdr>
      <w:divsChild>
        <w:div w:id="2100130375">
          <w:marLeft w:val="0"/>
          <w:marRight w:val="0"/>
          <w:marTop w:val="0"/>
          <w:marBottom w:val="0"/>
          <w:divBdr>
            <w:top w:val="none" w:sz="0" w:space="0" w:color="auto"/>
            <w:left w:val="none" w:sz="0" w:space="0" w:color="auto"/>
            <w:bottom w:val="none" w:sz="0" w:space="0" w:color="auto"/>
            <w:right w:val="none" w:sz="0" w:space="0" w:color="auto"/>
          </w:divBdr>
        </w:div>
      </w:divsChild>
    </w:div>
    <w:div w:id="1083721149">
      <w:bodyDiv w:val="1"/>
      <w:marLeft w:val="0"/>
      <w:marRight w:val="0"/>
      <w:marTop w:val="0"/>
      <w:marBottom w:val="0"/>
      <w:divBdr>
        <w:top w:val="none" w:sz="0" w:space="0" w:color="auto"/>
        <w:left w:val="none" w:sz="0" w:space="0" w:color="auto"/>
        <w:bottom w:val="none" w:sz="0" w:space="0" w:color="auto"/>
        <w:right w:val="none" w:sz="0" w:space="0" w:color="auto"/>
      </w:divBdr>
    </w:div>
    <w:div w:id="1102722220">
      <w:bodyDiv w:val="1"/>
      <w:marLeft w:val="0"/>
      <w:marRight w:val="0"/>
      <w:marTop w:val="0"/>
      <w:marBottom w:val="0"/>
      <w:divBdr>
        <w:top w:val="none" w:sz="0" w:space="0" w:color="auto"/>
        <w:left w:val="none" w:sz="0" w:space="0" w:color="auto"/>
        <w:bottom w:val="none" w:sz="0" w:space="0" w:color="auto"/>
        <w:right w:val="none" w:sz="0" w:space="0" w:color="auto"/>
      </w:divBdr>
      <w:divsChild>
        <w:div w:id="963081613">
          <w:marLeft w:val="0"/>
          <w:marRight w:val="0"/>
          <w:marTop w:val="0"/>
          <w:marBottom w:val="0"/>
          <w:divBdr>
            <w:top w:val="none" w:sz="0" w:space="0" w:color="auto"/>
            <w:left w:val="none" w:sz="0" w:space="0" w:color="auto"/>
            <w:bottom w:val="none" w:sz="0" w:space="0" w:color="auto"/>
            <w:right w:val="none" w:sz="0" w:space="0" w:color="auto"/>
          </w:divBdr>
        </w:div>
      </w:divsChild>
    </w:div>
    <w:div w:id="1155299880">
      <w:bodyDiv w:val="1"/>
      <w:marLeft w:val="0"/>
      <w:marRight w:val="0"/>
      <w:marTop w:val="0"/>
      <w:marBottom w:val="0"/>
      <w:divBdr>
        <w:top w:val="none" w:sz="0" w:space="0" w:color="auto"/>
        <w:left w:val="none" w:sz="0" w:space="0" w:color="auto"/>
        <w:bottom w:val="none" w:sz="0" w:space="0" w:color="auto"/>
        <w:right w:val="none" w:sz="0" w:space="0" w:color="auto"/>
      </w:divBdr>
      <w:divsChild>
        <w:div w:id="231621642">
          <w:marLeft w:val="0"/>
          <w:marRight w:val="0"/>
          <w:marTop w:val="0"/>
          <w:marBottom w:val="0"/>
          <w:divBdr>
            <w:top w:val="none" w:sz="0" w:space="0" w:color="auto"/>
            <w:left w:val="none" w:sz="0" w:space="0" w:color="auto"/>
            <w:bottom w:val="none" w:sz="0" w:space="0" w:color="auto"/>
            <w:right w:val="none" w:sz="0" w:space="0" w:color="auto"/>
          </w:divBdr>
        </w:div>
      </w:divsChild>
    </w:div>
    <w:div w:id="1249001558">
      <w:bodyDiv w:val="1"/>
      <w:marLeft w:val="0"/>
      <w:marRight w:val="0"/>
      <w:marTop w:val="0"/>
      <w:marBottom w:val="0"/>
      <w:divBdr>
        <w:top w:val="none" w:sz="0" w:space="0" w:color="auto"/>
        <w:left w:val="none" w:sz="0" w:space="0" w:color="auto"/>
        <w:bottom w:val="none" w:sz="0" w:space="0" w:color="auto"/>
        <w:right w:val="none" w:sz="0" w:space="0" w:color="auto"/>
      </w:divBdr>
    </w:div>
    <w:div w:id="1256085994">
      <w:bodyDiv w:val="1"/>
      <w:marLeft w:val="0"/>
      <w:marRight w:val="0"/>
      <w:marTop w:val="0"/>
      <w:marBottom w:val="0"/>
      <w:divBdr>
        <w:top w:val="none" w:sz="0" w:space="0" w:color="auto"/>
        <w:left w:val="none" w:sz="0" w:space="0" w:color="auto"/>
        <w:bottom w:val="none" w:sz="0" w:space="0" w:color="auto"/>
        <w:right w:val="none" w:sz="0" w:space="0" w:color="auto"/>
      </w:divBdr>
    </w:div>
    <w:div w:id="1336683994">
      <w:bodyDiv w:val="1"/>
      <w:marLeft w:val="0"/>
      <w:marRight w:val="0"/>
      <w:marTop w:val="0"/>
      <w:marBottom w:val="0"/>
      <w:divBdr>
        <w:top w:val="none" w:sz="0" w:space="0" w:color="auto"/>
        <w:left w:val="none" w:sz="0" w:space="0" w:color="auto"/>
        <w:bottom w:val="none" w:sz="0" w:space="0" w:color="auto"/>
        <w:right w:val="none" w:sz="0" w:space="0" w:color="auto"/>
      </w:divBdr>
      <w:divsChild>
        <w:div w:id="565264380">
          <w:marLeft w:val="0"/>
          <w:marRight w:val="0"/>
          <w:marTop w:val="0"/>
          <w:marBottom w:val="0"/>
          <w:divBdr>
            <w:top w:val="none" w:sz="0" w:space="0" w:color="auto"/>
            <w:left w:val="none" w:sz="0" w:space="0" w:color="auto"/>
            <w:bottom w:val="none" w:sz="0" w:space="0" w:color="auto"/>
            <w:right w:val="none" w:sz="0" w:space="0" w:color="auto"/>
          </w:divBdr>
        </w:div>
      </w:divsChild>
    </w:div>
    <w:div w:id="1370256577">
      <w:bodyDiv w:val="1"/>
      <w:marLeft w:val="0"/>
      <w:marRight w:val="0"/>
      <w:marTop w:val="0"/>
      <w:marBottom w:val="0"/>
      <w:divBdr>
        <w:top w:val="none" w:sz="0" w:space="0" w:color="auto"/>
        <w:left w:val="none" w:sz="0" w:space="0" w:color="auto"/>
        <w:bottom w:val="none" w:sz="0" w:space="0" w:color="auto"/>
        <w:right w:val="none" w:sz="0" w:space="0" w:color="auto"/>
      </w:divBdr>
    </w:div>
    <w:div w:id="1371417043">
      <w:bodyDiv w:val="1"/>
      <w:marLeft w:val="0"/>
      <w:marRight w:val="0"/>
      <w:marTop w:val="0"/>
      <w:marBottom w:val="0"/>
      <w:divBdr>
        <w:top w:val="none" w:sz="0" w:space="0" w:color="auto"/>
        <w:left w:val="none" w:sz="0" w:space="0" w:color="auto"/>
        <w:bottom w:val="none" w:sz="0" w:space="0" w:color="auto"/>
        <w:right w:val="none" w:sz="0" w:space="0" w:color="auto"/>
      </w:divBdr>
      <w:divsChild>
        <w:div w:id="1559977342">
          <w:marLeft w:val="0"/>
          <w:marRight w:val="0"/>
          <w:marTop w:val="0"/>
          <w:marBottom w:val="0"/>
          <w:divBdr>
            <w:top w:val="none" w:sz="0" w:space="0" w:color="auto"/>
            <w:left w:val="none" w:sz="0" w:space="0" w:color="auto"/>
            <w:bottom w:val="none" w:sz="0" w:space="0" w:color="auto"/>
            <w:right w:val="none" w:sz="0" w:space="0" w:color="auto"/>
          </w:divBdr>
        </w:div>
      </w:divsChild>
    </w:div>
    <w:div w:id="1378430190">
      <w:bodyDiv w:val="1"/>
      <w:marLeft w:val="0"/>
      <w:marRight w:val="0"/>
      <w:marTop w:val="0"/>
      <w:marBottom w:val="0"/>
      <w:divBdr>
        <w:top w:val="none" w:sz="0" w:space="0" w:color="auto"/>
        <w:left w:val="none" w:sz="0" w:space="0" w:color="auto"/>
        <w:bottom w:val="none" w:sz="0" w:space="0" w:color="auto"/>
        <w:right w:val="none" w:sz="0" w:space="0" w:color="auto"/>
      </w:divBdr>
    </w:div>
    <w:div w:id="1387070025">
      <w:bodyDiv w:val="1"/>
      <w:marLeft w:val="0"/>
      <w:marRight w:val="0"/>
      <w:marTop w:val="0"/>
      <w:marBottom w:val="0"/>
      <w:divBdr>
        <w:top w:val="none" w:sz="0" w:space="0" w:color="auto"/>
        <w:left w:val="none" w:sz="0" w:space="0" w:color="auto"/>
        <w:bottom w:val="none" w:sz="0" w:space="0" w:color="auto"/>
        <w:right w:val="none" w:sz="0" w:space="0" w:color="auto"/>
      </w:divBdr>
    </w:div>
    <w:div w:id="1421756781">
      <w:bodyDiv w:val="1"/>
      <w:marLeft w:val="0"/>
      <w:marRight w:val="0"/>
      <w:marTop w:val="0"/>
      <w:marBottom w:val="0"/>
      <w:divBdr>
        <w:top w:val="none" w:sz="0" w:space="0" w:color="auto"/>
        <w:left w:val="none" w:sz="0" w:space="0" w:color="auto"/>
        <w:bottom w:val="none" w:sz="0" w:space="0" w:color="auto"/>
        <w:right w:val="none" w:sz="0" w:space="0" w:color="auto"/>
      </w:divBdr>
      <w:divsChild>
        <w:div w:id="888420595">
          <w:marLeft w:val="0"/>
          <w:marRight w:val="0"/>
          <w:marTop w:val="0"/>
          <w:marBottom w:val="0"/>
          <w:divBdr>
            <w:top w:val="none" w:sz="0" w:space="0" w:color="auto"/>
            <w:left w:val="none" w:sz="0" w:space="0" w:color="auto"/>
            <w:bottom w:val="none" w:sz="0" w:space="0" w:color="auto"/>
            <w:right w:val="none" w:sz="0" w:space="0" w:color="auto"/>
          </w:divBdr>
        </w:div>
      </w:divsChild>
    </w:div>
    <w:div w:id="1457673888">
      <w:bodyDiv w:val="1"/>
      <w:marLeft w:val="0"/>
      <w:marRight w:val="0"/>
      <w:marTop w:val="0"/>
      <w:marBottom w:val="0"/>
      <w:divBdr>
        <w:top w:val="none" w:sz="0" w:space="0" w:color="auto"/>
        <w:left w:val="none" w:sz="0" w:space="0" w:color="auto"/>
        <w:bottom w:val="none" w:sz="0" w:space="0" w:color="auto"/>
        <w:right w:val="none" w:sz="0" w:space="0" w:color="auto"/>
      </w:divBdr>
      <w:divsChild>
        <w:div w:id="1512993515">
          <w:marLeft w:val="0"/>
          <w:marRight w:val="0"/>
          <w:marTop w:val="0"/>
          <w:marBottom w:val="0"/>
          <w:divBdr>
            <w:top w:val="none" w:sz="0" w:space="0" w:color="auto"/>
            <w:left w:val="none" w:sz="0" w:space="0" w:color="auto"/>
            <w:bottom w:val="none" w:sz="0" w:space="0" w:color="auto"/>
            <w:right w:val="none" w:sz="0" w:space="0" w:color="auto"/>
          </w:divBdr>
        </w:div>
      </w:divsChild>
    </w:div>
    <w:div w:id="1496678350">
      <w:bodyDiv w:val="1"/>
      <w:marLeft w:val="0"/>
      <w:marRight w:val="0"/>
      <w:marTop w:val="0"/>
      <w:marBottom w:val="0"/>
      <w:divBdr>
        <w:top w:val="none" w:sz="0" w:space="0" w:color="auto"/>
        <w:left w:val="none" w:sz="0" w:space="0" w:color="auto"/>
        <w:bottom w:val="none" w:sz="0" w:space="0" w:color="auto"/>
        <w:right w:val="none" w:sz="0" w:space="0" w:color="auto"/>
      </w:divBdr>
    </w:div>
    <w:div w:id="1812021467">
      <w:bodyDiv w:val="1"/>
      <w:marLeft w:val="0"/>
      <w:marRight w:val="0"/>
      <w:marTop w:val="0"/>
      <w:marBottom w:val="0"/>
      <w:divBdr>
        <w:top w:val="none" w:sz="0" w:space="0" w:color="auto"/>
        <w:left w:val="none" w:sz="0" w:space="0" w:color="auto"/>
        <w:bottom w:val="none" w:sz="0" w:space="0" w:color="auto"/>
        <w:right w:val="none" w:sz="0" w:space="0" w:color="auto"/>
      </w:divBdr>
      <w:divsChild>
        <w:div w:id="999311835">
          <w:marLeft w:val="0"/>
          <w:marRight w:val="0"/>
          <w:marTop w:val="0"/>
          <w:marBottom w:val="0"/>
          <w:divBdr>
            <w:top w:val="none" w:sz="0" w:space="0" w:color="auto"/>
            <w:left w:val="none" w:sz="0" w:space="0" w:color="auto"/>
            <w:bottom w:val="none" w:sz="0" w:space="0" w:color="auto"/>
            <w:right w:val="none" w:sz="0" w:space="0" w:color="auto"/>
          </w:divBdr>
        </w:div>
      </w:divsChild>
    </w:div>
    <w:div w:id="1831868065">
      <w:bodyDiv w:val="1"/>
      <w:marLeft w:val="0"/>
      <w:marRight w:val="0"/>
      <w:marTop w:val="0"/>
      <w:marBottom w:val="0"/>
      <w:divBdr>
        <w:top w:val="none" w:sz="0" w:space="0" w:color="auto"/>
        <w:left w:val="none" w:sz="0" w:space="0" w:color="auto"/>
        <w:bottom w:val="none" w:sz="0" w:space="0" w:color="auto"/>
        <w:right w:val="none" w:sz="0" w:space="0" w:color="auto"/>
      </w:divBdr>
    </w:div>
    <w:div w:id="1852135947">
      <w:bodyDiv w:val="1"/>
      <w:marLeft w:val="0"/>
      <w:marRight w:val="0"/>
      <w:marTop w:val="0"/>
      <w:marBottom w:val="0"/>
      <w:divBdr>
        <w:top w:val="none" w:sz="0" w:space="0" w:color="auto"/>
        <w:left w:val="none" w:sz="0" w:space="0" w:color="auto"/>
        <w:bottom w:val="none" w:sz="0" w:space="0" w:color="auto"/>
        <w:right w:val="none" w:sz="0" w:space="0" w:color="auto"/>
      </w:divBdr>
      <w:divsChild>
        <w:div w:id="686560731">
          <w:marLeft w:val="0"/>
          <w:marRight w:val="0"/>
          <w:marTop w:val="0"/>
          <w:marBottom w:val="0"/>
          <w:divBdr>
            <w:top w:val="none" w:sz="0" w:space="0" w:color="auto"/>
            <w:left w:val="none" w:sz="0" w:space="0" w:color="auto"/>
            <w:bottom w:val="none" w:sz="0" w:space="0" w:color="auto"/>
            <w:right w:val="none" w:sz="0" w:space="0" w:color="auto"/>
          </w:divBdr>
        </w:div>
      </w:divsChild>
    </w:div>
    <w:div w:id="1861354804">
      <w:bodyDiv w:val="1"/>
      <w:marLeft w:val="0"/>
      <w:marRight w:val="0"/>
      <w:marTop w:val="0"/>
      <w:marBottom w:val="0"/>
      <w:divBdr>
        <w:top w:val="none" w:sz="0" w:space="0" w:color="auto"/>
        <w:left w:val="none" w:sz="0" w:space="0" w:color="auto"/>
        <w:bottom w:val="none" w:sz="0" w:space="0" w:color="auto"/>
        <w:right w:val="none" w:sz="0" w:space="0" w:color="auto"/>
      </w:divBdr>
    </w:div>
    <w:div w:id="1884436213">
      <w:bodyDiv w:val="1"/>
      <w:marLeft w:val="0"/>
      <w:marRight w:val="0"/>
      <w:marTop w:val="0"/>
      <w:marBottom w:val="0"/>
      <w:divBdr>
        <w:top w:val="none" w:sz="0" w:space="0" w:color="auto"/>
        <w:left w:val="none" w:sz="0" w:space="0" w:color="auto"/>
        <w:bottom w:val="none" w:sz="0" w:space="0" w:color="auto"/>
        <w:right w:val="none" w:sz="0" w:space="0" w:color="auto"/>
      </w:divBdr>
      <w:divsChild>
        <w:div w:id="1823228258">
          <w:marLeft w:val="0"/>
          <w:marRight w:val="0"/>
          <w:marTop w:val="0"/>
          <w:marBottom w:val="0"/>
          <w:divBdr>
            <w:top w:val="none" w:sz="0" w:space="0" w:color="auto"/>
            <w:left w:val="none" w:sz="0" w:space="0" w:color="auto"/>
            <w:bottom w:val="none" w:sz="0" w:space="0" w:color="auto"/>
            <w:right w:val="none" w:sz="0" w:space="0" w:color="auto"/>
          </w:divBdr>
        </w:div>
      </w:divsChild>
    </w:div>
    <w:div w:id="1911230934">
      <w:bodyDiv w:val="1"/>
      <w:marLeft w:val="0"/>
      <w:marRight w:val="0"/>
      <w:marTop w:val="0"/>
      <w:marBottom w:val="0"/>
      <w:divBdr>
        <w:top w:val="none" w:sz="0" w:space="0" w:color="auto"/>
        <w:left w:val="none" w:sz="0" w:space="0" w:color="auto"/>
        <w:bottom w:val="none" w:sz="0" w:space="0" w:color="auto"/>
        <w:right w:val="none" w:sz="0" w:space="0" w:color="auto"/>
      </w:divBdr>
    </w:div>
    <w:div w:id="2067947172">
      <w:bodyDiv w:val="1"/>
      <w:marLeft w:val="0"/>
      <w:marRight w:val="0"/>
      <w:marTop w:val="0"/>
      <w:marBottom w:val="0"/>
      <w:divBdr>
        <w:top w:val="none" w:sz="0" w:space="0" w:color="auto"/>
        <w:left w:val="none" w:sz="0" w:space="0" w:color="auto"/>
        <w:bottom w:val="none" w:sz="0" w:space="0" w:color="auto"/>
        <w:right w:val="none" w:sz="0" w:space="0" w:color="auto"/>
      </w:divBdr>
      <w:divsChild>
        <w:div w:id="610548009">
          <w:marLeft w:val="0"/>
          <w:marRight w:val="0"/>
          <w:marTop w:val="0"/>
          <w:marBottom w:val="0"/>
          <w:divBdr>
            <w:top w:val="none" w:sz="0" w:space="0" w:color="auto"/>
            <w:left w:val="none" w:sz="0" w:space="0" w:color="auto"/>
            <w:bottom w:val="none" w:sz="0" w:space="0" w:color="auto"/>
            <w:right w:val="none" w:sz="0" w:space="0" w:color="auto"/>
          </w:divBdr>
        </w:div>
      </w:divsChild>
    </w:div>
    <w:div w:id="2095513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yperlink" Target="https://www.cascade.app/studies/how-coca-cola-became-successful" TargetMode="External"/><Relationship Id="rId39" Type="http://schemas.openxmlformats.org/officeDocument/2006/relationships/hyperlink" Target="https://www.birminghammail.co.uk/news/uk-news/energy-drink-ban-kids-scrapped-24321231" TargetMode="External"/><Relationship Id="rId21" Type="http://schemas.openxmlformats.org/officeDocument/2006/relationships/image" Target="media/image13.jpg"/><Relationship Id="rId34" Type="http://schemas.openxmlformats.org/officeDocument/2006/relationships/hyperlink" Target="https://www.bcg.com/publications/1970/strategy-the-product-portfolio" TargetMode="External"/><Relationship Id="rId42" Type="http://schemas.openxmlformats.org/officeDocument/2006/relationships/hyperlink" Target="https://investors.coca-colacompany.com/filings-reports/quarterly-filings-10-q" TargetMode="External"/><Relationship Id="rId47" Type="http://schemas.openxmlformats.org/officeDocument/2006/relationships/hyperlink" Target="https://www.reuters.com/world/americas/venezuela-inflation-accelerating-heightening-risk-return-hyperinflation-2023-01-05/" TargetMode="External"/><Relationship Id="rId50" Type="http://schemas.openxmlformats.org/officeDocument/2006/relationships/hyperlink" Target="https://doi.org/10.1016/j.jbusres.2022.05.028" TargetMode="External"/><Relationship Id="rId55" Type="http://schemas.openxmlformats.org/officeDocument/2006/relationships/hyperlink" Target="https://doi.org/10.2991/teams-18.2019.30"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g"/><Relationship Id="rId29" Type="http://schemas.openxmlformats.org/officeDocument/2006/relationships/hyperlink" Target="https://storage.googleapis.com/gpuk-static/legacy/the-case-against-coca-cola.pdf" TargetMode="External"/><Relationship Id="rId11" Type="http://schemas.openxmlformats.org/officeDocument/2006/relationships/image" Target="media/image3.jpg"/><Relationship Id="rId24" Type="http://schemas.openxmlformats.org/officeDocument/2006/relationships/image" Target="media/image16.jpg"/><Relationship Id="rId32" Type="http://schemas.openxmlformats.org/officeDocument/2006/relationships/hyperlink" Target="https://buffett.cnbc.com/video/2023/05/08/afternoon-session---2023-meeting.html?&amp;start=2924.4" TargetMode="External"/><Relationship Id="rId37" Type="http://schemas.openxmlformats.org/officeDocument/2006/relationships/hyperlink" Target="http://gebrc.nccu.edu.tw/proceedings/APDSI/2006/718-725.pdf" TargetMode="External"/><Relationship Id="rId40" Type="http://schemas.openxmlformats.org/officeDocument/2006/relationships/hyperlink" Target="https://www.cocacolaep.com/assets/IR-Documents/2022/Strategic-Report.pdf" TargetMode="External"/><Relationship Id="rId45" Type="http://schemas.openxmlformats.org/officeDocument/2006/relationships/hyperlink" Target="https://doi.org/10.2991/aebmr.k.220603.162" TargetMode="External"/><Relationship Id="rId53" Type="http://schemas.openxmlformats.org/officeDocument/2006/relationships/hyperlink" Target="https://www.atlantis-press.com/article/125965872.pdf" TargetMode="External"/><Relationship Id="rId58" Type="http://schemas.openxmlformats.org/officeDocument/2006/relationships/hyperlink" Target="https://online.hbs.edu/blog/post/emergent-vs-deliberate-strategy" TargetMode="Externa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11.jp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hyperlink" Target="https://www.greatbritishbusinessshow.co.uk/blog-library/coca-cola-uk-business-doubles-profits-for-year" TargetMode="External"/><Relationship Id="rId30" Type="http://schemas.openxmlformats.org/officeDocument/2006/relationships/hyperlink" Target="https://finmasters.com/ko-vs-coke/" TargetMode="External"/><Relationship Id="rId35" Type="http://schemas.openxmlformats.org/officeDocument/2006/relationships/hyperlink" Target="https://mpra.ub.uni-muenchen.de/84237/" TargetMode="External"/><Relationship Id="rId43" Type="http://schemas.openxmlformats.org/officeDocument/2006/relationships/hyperlink" Target="https://www.cnbc.com/2018/05/31/trump-administration-will-put-steel-and-aluminum-tariffs-on-canada-mexico-and-the-eu.html" TargetMode="External"/><Relationship Id="rId48" Type="http://schemas.openxmlformats.org/officeDocument/2006/relationships/hyperlink" Target="https://thebrandhopper.com/2023/04/01/marketing-mix-and-porters-five-forces-of-coca-cola/" TargetMode="External"/><Relationship Id="rId56" Type="http://schemas.openxmlformats.org/officeDocument/2006/relationships/hyperlink" Target="HTTPs://doi.org/10.21061/strategicmanagement" TargetMode="External"/><Relationship Id="rId8" Type="http://schemas.openxmlformats.org/officeDocument/2006/relationships/endnotes" Target="endnotes.xml"/><Relationship Id="rId51" Type="http://schemas.openxmlformats.org/officeDocument/2006/relationships/hyperlink" Target="https://www.theguardian.com/media/2021/jun/18/coca-colas-ronaldo-fiasco-highlights-risk-to-brands-in-social-media-age" TargetMode="Externa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hyperlink" Target="https://digitalcommons.unomaha.edu/cgi/viewcontent.cgi?article=1038&amp;context=university_honors_program" TargetMode="External"/><Relationship Id="rId33" Type="http://schemas.openxmlformats.org/officeDocument/2006/relationships/hyperlink" Target="https://www.coca-colacompany.com/about-us/purpose-and-vision" TargetMode="External"/><Relationship Id="rId38" Type="http://schemas.openxmlformats.org/officeDocument/2006/relationships/hyperlink" Target="https://doi.org/10.21511/ppm.15(1).2017.02" TargetMode="External"/><Relationship Id="rId46" Type="http://schemas.openxmlformats.org/officeDocument/2006/relationships/hyperlink" Target="https://www.businessnewsdaily.com/5693-bcg-matrix.html" TargetMode="External"/><Relationship Id="rId59" Type="http://schemas.openxmlformats.org/officeDocument/2006/relationships/footer" Target="footer1.xml"/><Relationship Id="rId20" Type="http://schemas.openxmlformats.org/officeDocument/2006/relationships/image" Target="media/image12.jpg"/><Relationship Id="rId41" Type="http://schemas.openxmlformats.org/officeDocument/2006/relationships/hyperlink" Target="https://www.coca-colacompany.com/content/dam/company/us/en/reports/coca-cola-business-and-sustainability-report-2022.pdf" TargetMode="External"/><Relationship Id="rId54" Type="http://schemas.openxmlformats.org/officeDocument/2006/relationships/hyperlink" Target="https://www.google.co.uk/books/edition/Corporate_Strategy/vliZDwAAQBAJ?hl=en&amp;gbpv=1&amp;kptab=overview"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hyperlink" Target="https://fourweekmba.com/coca-cola-vision-statement-mission-statement/" TargetMode="External"/><Relationship Id="rId36" Type="http://schemas.openxmlformats.org/officeDocument/2006/relationships/hyperlink" Target="https://www.analyticssteps.com/blogs/boston-consulting-group-bcg-matrix-model" TargetMode="External"/><Relationship Id="rId49" Type="http://schemas.openxmlformats.org/officeDocument/2006/relationships/hyperlink" Target="https://www.theguardian.com/environment/2023/jan/19/simply-orange-juice-coca-cola-pfas-class-action-lawsuit" TargetMode="External"/><Relationship Id="rId57" Type="http://schemas.openxmlformats.org/officeDocument/2006/relationships/hyperlink" Target="https://digitalleadership.com/blog/business-level-strategy/" TargetMode="External"/><Relationship Id="rId10" Type="http://schemas.openxmlformats.org/officeDocument/2006/relationships/image" Target="media/image2.jpg"/><Relationship Id="rId31" Type="http://schemas.openxmlformats.org/officeDocument/2006/relationships/hyperlink" Target="https://investors.coca-colacompany.com/filings-reports/annual-reviews" TargetMode="External"/><Relationship Id="rId44" Type="http://schemas.openxmlformats.org/officeDocument/2006/relationships/hyperlink" Target="https://sdgs.un.org/conferences/water2023" TargetMode="External"/><Relationship Id="rId52" Type="http://schemas.openxmlformats.org/officeDocument/2006/relationships/hyperlink" Target="HTTPs://doi.org/10.4468/2019.1.02brondoni"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B98917-9148-44AF-A1EF-050218F04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4863</TotalTime>
  <Pages>29</Pages>
  <Words>7182</Words>
  <Characters>40939</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 2016826</dc:creator>
  <cp:keywords/>
  <dc:description/>
  <cp:lastModifiedBy>sandra boscaneanu</cp:lastModifiedBy>
  <cp:revision>656</cp:revision>
  <dcterms:created xsi:type="dcterms:W3CDTF">2023-06-27T12:55:00Z</dcterms:created>
  <dcterms:modified xsi:type="dcterms:W3CDTF">2023-07-07T11:48:00Z</dcterms:modified>
</cp:coreProperties>
</file>