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BF3FB"/>
  <w:body>
    <w:p w14:paraId="2FA32946" w14:textId="77777777" w:rsidR="0019035D" w:rsidRDefault="0019035D" w:rsidP="00915E83"/>
    <w:p w14:paraId="1DA0C582" w14:textId="1BEBDA28" w:rsidR="00675684" w:rsidRPr="00A67F93" w:rsidRDefault="00A67F93" w:rsidP="00A67F93">
      <w:pPr>
        <w:pStyle w:val="Title"/>
        <w:jc w:val="center"/>
      </w:pPr>
      <w:r w:rsidRPr="00A67F93">
        <w:t>Enhancing Performance Through Coaching and Mentoring: A Reflective Evaluation</w:t>
      </w:r>
    </w:p>
    <w:p w14:paraId="585E2878" w14:textId="77777777" w:rsidR="0019035D" w:rsidRDefault="0019035D" w:rsidP="00915E83"/>
    <w:p w14:paraId="4624FFD7" w14:textId="77777777" w:rsidR="0019035D" w:rsidRDefault="0019035D" w:rsidP="00915E83"/>
    <w:p w14:paraId="3BE6F3C3" w14:textId="4275DF03" w:rsidR="00915E83" w:rsidRPr="0019035D" w:rsidRDefault="00915E83" w:rsidP="0019035D">
      <w:pPr>
        <w:jc w:val="center"/>
      </w:pPr>
      <w:r>
        <w:rPr>
          <w:noProof/>
        </w:rPr>
        <w:drawing>
          <wp:inline distT="0" distB="0" distL="0" distR="0" wp14:anchorId="0F04EAC2" wp14:editId="4B096509">
            <wp:extent cx="5943600" cy="3343275"/>
            <wp:effectExtent l="19050" t="0" r="19050" b="981075"/>
            <wp:docPr id="692216411" name="Picture 1" descr="A hand holding a blue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16411" name="Picture 1" descr="A hand holding a blue sphe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19035D" w:rsidRPr="0019035D">
        <w:rPr>
          <w:rFonts w:ascii="Arial" w:hAnsi="Arial" w:cs="Arial"/>
          <w:color w:val="0A2F41" w:themeColor="accent1" w:themeShade="80"/>
        </w:rPr>
        <w:t xml:space="preserve">Source image: </w:t>
      </w:r>
      <w:r w:rsidRPr="0019035D">
        <w:rPr>
          <w:rFonts w:ascii="Arial" w:hAnsi="Arial" w:cs="Arial"/>
          <w:color w:val="0A2F41" w:themeColor="accent1" w:themeShade="80"/>
        </w:rPr>
        <w:t>Harvard Business Review Home</w:t>
      </w:r>
    </w:p>
    <w:p w14:paraId="1DDD0140" w14:textId="77777777" w:rsidR="009A234F" w:rsidRDefault="009A234F" w:rsidP="00915E83"/>
    <w:tbl>
      <w:tblPr>
        <w:tblStyle w:val="TableGrid"/>
        <w:tblpPr w:leftFromText="141" w:rightFromText="141" w:vertAnchor="text" w:horzAnchor="margin" w:tblpY="219"/>
        <w:tblW w:w="0" w:type="auto"/>
        <w:tblBorders>
          <w:top w:val="single" w:sz="4" w:space="0" w:color="0A2F41" w:themeColor="accent1" w:themeShade="80"/>
          <w:left w:val="single" w:sz="4" w:space="0" w:color="0A2F41" w:themeColor="accent1" w:themeShade="80"/>
          <w:bottom w:val="single" w:sz="4" w:space="0" w:color="0A2F41" w:themeColor="accent1" w:themeShade="80"/>
          <w:right w:val="single" w:sz="4" w:space="0" w:color="0A2F41" w:themeColor="accent1" w:themeShade="80"/>
          <w:insideH w:val="single" w:sz="4" w:space="0" w:color="0A2F41" w:themeColor="accent1" w:themeShade="80"/>
          <w:insideV w:val="single" w:sz="4" w:space="0" w:color="0A2F41" w:themeColor="accent1" w:themeShade="80"/>
        </w:tblBorders>
        <w:shd w:val="clear" w:color="auto" w:fill="A6BED2"/>
        <w:tblLook w:val="04A0" w:firstRow="1" w:lastRow="0" w:firstColumn="1" w:lastColumn="0" w:noHBand="0" w:noVBand="1"/>
      </w:tblPr>
      <w:tblGrid>
        <w:gridCol w:w="4615"/>
        <w:gridCol w:w="4615"/>
      </w:tblGrid>
      <w:tr w:rsidR="009A234F" w14:paraId="03E8BF0D" w14:textId="77777777" w:rsidTr="009A234F">
        <w:trPr>
          <w:trHeight w:val="373"/>
        </w:trPr>
        <w:tc>
          <w:tcPr>
            <w:tcW w:w="4615" w:type="dxa"/>
            <w:shd w:val="clear" w:color="auto" w:fill="A6BED2"/>
          </w:tcPr>
          <w:p w14:paraId="50B610F3"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Student name</w:t>
            </w:r>
          </w:p>
        </w:tc>
        <w:tc>
          <w:tcPr>
            <w:tcW w:w="4615" w:type="dxa"/>
            <w:shd w:val="clear" w:color="auto" w:fill="A6BED2"/>
          </w:tcPr>
          <w:p w14:paraId="73B50E0B"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Yordanka Kancheva</w:t>
            </w:r>
          </w:p>
        </w:tc>
      </w:tr>
      <w:tr w:rsidR="009A234F" w14:paraId="2A641232" w14:textId="77777777" w:rsidTr="009A234F">
        <w:trPr>
          <w:trHeight w:val="373"/>
        </w:trPr>
        <w:tc>
          <w:tcPr>
            <w:tcW w:w="4615" w:type="dxa"/>
            <w:shd w:val="clear" w:color="auto" w:fill="A6BED2"/>
          </w:tcPr>
          <w:p w14:paraId="12F5FD5D"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Student number</w:t>
            </w:r>
          </w:p>
        </w:tc>
        <w:tc>
          <w:tcPr>
            <w:tcW w:w="4615" w:type="dxa"/>
            <w:shd w:val="clear" w:color="auto" w:fill="A6BED2"/>
          </w:tcPr>
          <w:p w14:paraId="02058FA3"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2017633</w:t>
            </w:r>
          </w:p>
        </w:tc>
      </w:tr>
      <w:tr w:rsidR="009A234F" w14:paraId="21E31A4D" w14:textId="77777777" w:rsidTr="009A234F">
        <w:trPr>
          <w:trHeight w:val="712"/>
        </w:trPr>
        <w:tc>
          <w:tcPr>
            <w:tcW w:w="4615" w:type="dxa"/>
            <w:shd w:val="clear" w:color="auto" w:fill="A6BED2"/>
          </w:tcPr>
          <w:p w14:paraId="5C1AC18F"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Module name</w:t>
            </w:r>
          </w:p>
        </w:tc>
        <w:tc>
          <w:tcPr>
            <w:tcW w:w="4615" w:type="dxa"/>
            <w:shd w:val="clear" w:color="auto" w:fill="A6BED2"/>
          </w:tcPr>
          <w:p w14:paraId="0980810A" w14:textId="77777777" w:rsidR="009A234F" w:rsidRPr="009A234F" w:rsidRDefault="009A234F" w:rsidP="009A234F">
            <w:pPr>
              <w:rPr>
                <w:rFonts w:ascii="Arial" w:hAnsi="Arial" w:cs="Arial"/>
                <w:bCs/>
                <w:color w:val="0A2F41" w:themeColor="accent1" w:themeShade="80"/>
              </w:rPr>
            </w:pPr>
            <w:r w:rsidRPr="009A234F">
              <w:rPr>
                <w:rFonts w:ascii="Arial" w:hAnsi="Arial" w:cs="Arial"/>
                <w:bCs/>
                <w:color w:val="0A2F41" w:themeColor="accent1" w:themeShade="80"/>
              </w:rPr>
              <w:t>Coaching and Mentoring Skills for the Workplace - BMSW6105</w:t>
            </w:r>
          </w:p>
        </w:tc>
      </w:tr>
      <w:tr w:rsidR="009A234F" w14:paraId="3BD107B9" w14:textId="77777777" w:rsidTr="009A234F">
        <w:trPr>
          <w:trHeight w:val="373"/>
        </w:trPr>
        <w:tc>
          <w:tcPr>
            <w:tcW w:w="4615" w:type="dxa"/>
            <w:shd w:val="clear" w:color="auto" w:fill="A6BED2"/>
          </w:tcPr>
          <w:p w14:paraId="2074C242"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rPr>
              <w:t>Lecture name</w:t>
            </w:r>
          </w:p>
        </w:tc>
        <w:tc>
          <w:tcPr>
            <w:tcW w:w="4615" w:type="dxa"/>
            <w:shd w:val="clear" w:color="auto" w:fill="A6BED2"/>
          </w:tcPr>
          <w:p w14:paraId="3A4D1FFD" w14:textId="77777777" w:rsidR="009A234F" w:rsidRPr="009A234F" w:rsidRDefault="009A234F" w:rsidP="009A234F">
            <w:pPr>
              <w:rPr>
                <w:rFonts w:ascii="Arial" w:hAnsi="Arial" w:cs="Arial"/>
                <w:color w:val="0A2F41" w:themeColor="accent1" w:themeShade="80"/>
              </w:rPr>
            </w:pPr>
            <w:r w:rsidRPr="009A234F">
              <w:rPr>
                <w:rFonts w:ascii="Arial" w:hAnsi="Arial" w:cs="Arial"/>
                <w:color w:val="0A2F41" w:themeColor="accent1" w:themeShade="80"/>
                <w:lang w:val="bg-BG"/>
              </w:rPr>
              <w:t>Dr Mudassar Hasan </w:t>
            </w:r>
          </w:p>
        </w:tc>
      </w:tr>
    </w:tbl>
    <w:p w14:paraId="6944E8F9" w14:textId="77777777" w:rsidR="001B17CF" w:rsidRDefault="001B17CF" w:rsidP="00915E83"/>
    <w:sdt>
      <w:sdtPr>
        <w:rPr>
          <w:rFonts w:ascii="Arial" w:eastAsiaTheme="minorEastAsia" w:hAnsi="Arial" w:cs="Arial"/>
          <w:color w:val="auto"/>
          <w:kern w:val="2"/>
          <w:sz w:val="22"/>
          <w:szCs w:val="22"/>
          <w:lang w:val="en-GB"/>
          <w14:ligatures w14:val="standardContextual"/>
        </w:rPr>
        <w:id w:val="823000976"/>
        <w:docPartObj>
          <w:docPartGallery w:val="Table of Contents"/>
          <w:docPartUnique/>
        </w:docPartObj>
      </w:sdtPr>
      <w:sdtEndPr>
        <w:rPr>
          <w:b/>
        </w:rPr>
      </w:sdtEndPr>
      <w:sdtContent>
        <w:p w14:paraId="268F18F4" w14:textId="69781C03" w:rsidR="009A234F" w:rsidRPr="000F4BB8" w:rsidRDefault="009A234F">
          <w:pPr>
            <w:pStyle w:val="TOCHeading"/>
            <w:rPr>
              <w:rFonts w:ascii="Arial" w:hAnsi="Arial" w:cs="Arial"/>
              <w:sz w:val="44"/>
              <w:szCs w:val="44"/>
            </w:rPr>
          </w:pPr>
          <w:r w:rsidRPr="000F4BB8">
            <w:rPr>
              <w:rFonts w:ascii="Arial" w:hAnsi="Arial" w:cs="Arial"/>
              <w:sz w:val="44"/>
              <w:szCs w:val="44"/>
            </w:rPr>
            <w:t>Table of Content</w:t>
          </w:r>
        </w:p>
        <w:p w14:paraId="4A523C98" w14:textId="77777777" w:rsidR="009A234F" w:rsidRPr="000F4BB8" w:rsidRDefault="009A234F" w:rsidP="009A234F">
          <w:pPr>
            <w:rPr>
              <w:rFonts w:ascii="Arial" w:hAnsi="Arial" w:cs="Arial"/>
              <w:lang w:val="en-US"/>
            </w:rPr>
          </w:pPr>
        </w:p>
        <w:p w14:paraId="18478D28" w14:textId="77777777" w:rsidR="009A234F" w:rsidRPr="000F4BB8" w:rsidRDefault="009A234F" w:rsidP="009A234F">
          <w:pPr>
            <w:rPr>
              <w:rFonts w:ascii="Arial" w:hAnsi="Arial" w:cs="Arial"/>
              <w:lang w:val="en-US"/>
            </w:rPr>
          </w:pPr>
        </w:p>
        <w:p w14:paraId="0337272E" w14:textId="5E8D3737" w:rsidR="000F4BB8" w:rsidRPr="000F4BB8" w:rsidRDefault="009A234F">
          <w:pPr>
            <w:pStyle w:val="TOC1"/>
            <w:tabs>
              <w:tab w:val="right" w:leader="dot" w:pos="9350"/>
            </w:tabs>
            <w:rPr>
              <w:rFonts w:ascii="Arial" w:eastAsiaTheme="minorEastAsia" w:hAnsi="Arial" w:cs="Arial"/>
              <w:noProof/>
              <w:lang w:val="bg-BG" w:eastAsia="bg-BG"/>
            </w:rPr>
          </w:pPr>
          <w:r w:rsidRPr="000F4BB8">
            <w:rPr>
              <w:rFonts w:ascii="Arial" w:hAnsi="Arial" w:cs="Arial"/>
            </w:rPr>
            <w:fldChar w:fldCharType="begin"/>
          </w:r>
          <w:r w:rsidRPr="000F4BB8">
            <w:rPr>
              <w:rFonts w:ascii="Arial" w:hAnsi="Arial" w:cs="Arial"/>
            </w:rPr>
            <w:instrText xml:space="preserve"> TOC \o "1-3" \h \z \u </w:instrText>
          </w:r>
          <w:r w:rsidRPr="000F4BB8">
            <w:rPr>
              <w:rFonts w:ascii="Arial" w:hAnsi="Arial" w:cs="Arial"/>
            </w:rPr>
            <w:fldChar w:fldCharType="separate"/>
          </w:r>
          <w:hyperlink w:anchor="_Toc182657461" w:history="1">
            <w:r w:rsidR="000F4BB8" w:rsidRPr="000F4BB8">
              <w:rPr>
                <w:rStyle w:val="Hyperlink"/>
                <w:rFonts w:ascii="Arial" w:hAnsi="Arial" w:cs="Arial"/>
                <w:noProof/>
              </w:rPr>
              <w:t>Introduction</w:t>
            </w:r>
            <w:r w:rsidR="000F4BB8" w:rsidRPr="000F4BB8">
              <w:rPr>
                <w:rFonts w:ascii="Arial" w:hAnsi="Arial" w:cs="Arial"/>
                <w:noProof/>
                <w:webHidden/>
              </w:rPr>
              <w:tab/>
            </w:r>
            <w:r w:rsidR="000F4BB8" w:rsidRPr="000F4BB8">
              <w:rPr>
                <w:rFonts w:ascii="Arial" w:hAnsi="Arial" w:cs="Arial"/>
                <w:noProof/>
                <w:webHidden/>
              </w:rPr>
              <w:fldChar w:fldCharType="begin"/>
            </w:r>
            <w:r w:rsidR="000F4BB8" w:rsidRPr="000F4BB8">
              <w:rPr>
                <w:rFonts w:ascii="Arial" w:hAnsi="Arial" w:cs="Arial"/>
                <w:noProof/>
                <w:webHidden/>
              </w:rPr>
              <w:instrText xml:space="preserve"> PAGEREF _Toc182657461 \h </w:instrText>
            </w:r>
            <w:r w:rsidR="000F4BB8" w:rsidRPr="000F4BB8">
              <w:rPr>
                <w:rFonts w:ascii="Arial" w:hAnsi="Arial" w:cs="Arial"/>
                <w:noProof/>
                <w:webHidden/>
              </w:rPr>
            </w:r>
            <w:r w:rsidR="000F4BB8" w:rsidRPr="000F4BB8">
              <w:rPr>
                <w:rFonts w:ascii="Arial" w:hAnsi="Arial" w:cs="Arial"/>
                <w:noProof/>
                <w:webHidden/>
              </w:rPr>
              <w:fldChar w:fldCharType="separate"/>
            </w:r>
            <w:r w:rsidR="00A67F93">
              <w:rPr>
                <w:rFonts w:ascii="Arial" w:hAnsi="Arial" w:cs="Arial"/>
                <w:noProof/>
                <w:webHidden/>
              </w:rPr>
              <w:t>3</w:t>
            </w:r>
            <w:r w:rsidR="000F4BB8" w:rsidRPr="000F4BB8">
              <w:rPr>
                <w:rFonts w:ascii="Arial" w:hAnsi="Arial" w:cs="Arial"/>
                <w:noProof/>
                <w:webHidden/>
              </w:rPr>
              <w:fldChar w:fldCharType="end"/>
            </w:r>
          </w:hyperlink>
        </w:p>
        <w:p w14:paraId="75E6BA0B" w14:textId="1D1F186B" w:rsidR="000F4BB8" w:rsidRPr="000F4BB8" w:rsidRDefault="000F4BB8">
          <w:pPr>
            <w:pStyle w:val="TOC1"/>
            <w:tabs>
              <w:tab w:val="right" w:leader="dot" w:pos="9350"/>
            </w:tabs>
            <w:rPr>
              <w:rFonts w:ascii="Arial" w:eastAsiaTheme="minorEastAsia" w:hAnsi="Arial" w:cs="Arial"/>
              <w:noProof/>
              <w:lang w:val="bg-BG" w:eastAsia="bg-BG"/>
            </w:rPr>
          </w:pPr>
          <w:hyperlink w:anchor="_Toc182657462" w:history="1">
            <w:r w:rsidRPr="000F4BB8">
              <w:rPr>
                <w:rStyle w:val="Hyperlink"/>
                <w:rFonts w:ascii="Arial" w:hAnsi="Arial" w:cs="Arial"/>
                <w:noProof/>
                <w:shd w:val="clear" w:color="auto" w:fill="A6BED2"/>
              </w:rPr>
              <w:t>Critical Evaluation of the Purpose of Coaching and Mentoring within a workplace</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_Toc182657462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4</w:t>
            </w:r>
            <w:r w:rsidRPr="000F4BB8">
              <w:rPr>
                <w:rFonts w:ascii="Arial" w:hAnsi="Arial" w:cs="Arial"/>
                <w:noProof/>
                <w:webHidden/>
              </w:rPr>
              <w:fldChar w:fldCharType="end"/>
            </w:r>
          </w:hyperlink>
        </w:p>
        <w:p w14:paraId="2F7C29E4" w14:textId="733264E3" w:rsidR="000F4BB8" w:rsidRPr="000F4BB8" w:rsidRDefault="000F4BB8">
          <w:pPr>
            <w:pStyle w:val="TOC2"/>
            <w:tabs>
              <w:tab w:val="right" w:leader="dot" w:pos="9350"/>
            </w:tabs>
            <w:rPr>
              <w:rFonts w:ascii="Arial" w:eastAsiaTheme="minorEastAsia" w:hAnsi="Arial" w:cs="Arial"/>
              <w:noProof/>
              <w:lang w:val="bg-BG" w:eastAsia="bg-BG"/>
            </w:rPr>
          </w:pPr>
          <w:hyperlink w:anchor="_Toc182657463" w:history="1">
            <w:r w:rsidRPr="000F4BB8">
              <w:rPr>
                <w:rStyle w:val="Hyperlink"/>
                <w:rFonts w:ascii="Arial" w:hAnsi="Arial" w:cs="Arial"/>
                <w:noProof/>
              </w:rPr>
              <w:t>Purposes of Coaching in the Workplace</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_Toc182657463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4</w:t>
            </w:r>
            <w:r w:rsidRPr="000F4BB8">
              <w:rPr>
                <w:rFonts w:ascii="Arial" w:hAnsi="Arial" w:cs="Arial"/>
                <w:noProof/>
                <w:webHidden/>
              </w:rPr>
              <w:fldChar w:fldCharType="end"/>
            </w:r>
          </w:hyperlink>
        </w:p>
        <w:p w14:paraId="495FDDFA" w14:textId="38AD447E" w:rsidR="000F4BB8" w:rsidRPr="000F4BB8" w:rsidRDefault="000F4BB8">
          <w:pPr>
            <w:pStyle w:val="TOC2"/>
            <w:tabs>
              <w:tab w:val="right" w:leader="dot" w:pos="9350"/>
            </w:tabs>
            <w:rPr>
              <w:rFonts w:ascii="Arial" w:eastAsiaTheme="minorEastAsia" w:hAnsi="Arial" w:cs="Arial"/>
              <w:noProof/>
              <w:lang w:val="bg-BG" w:eastAsia="bg-BG"/>
            </w:rPr>
          </w:pPr>
          <w:hyperlink w:anchor="_Toc182657464" w:history="1">
            <w:r w:rsidRPr="000F4BB8">
              <w:rPr>
                <w:rStyle w:val="Hyperlink"/>
                <w:rFonts w:ascii="Arial" w:hAnsi="Arial" w:cs="Arial"/>
                <w:noProof/>
              </w:rPr>
              <w:t>Purposes of Mentoring in the Workplace</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_Toc182657464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5</w:t>
            </w:r>
            <w:r w:rsidRPr="000F4BB8">
              <w:rPr>
                <w:rFonts w:ascii="Arial" w:hAnsi="Arial" w:cs="Arial"/>
                <w:noProof/>
                <w:webHidden/>
              </w:rPr>
              <w:fldChar w:fldCharType="end"/>
            </w:r>
          </w:hyperlink>
        </w:p>
        <w:p w14:paraId="7DD3AAF7" w14:textId="504A4720" w:rsidR="000F4BB8" w:rsidRPr="000F4BB8" w:rsidRDefault="000F4BB8">
          <w:pPr>
            <w:pStyle w:val="TOC2"/>
            <w:tabs>
              <w:tab w:val="right" w:leader="dot" w:pos="9350"/>
            </w:tabs>
            <w:rPr>
              <w:rFonts w:ascii="Arial" w:eastAsiaTheme="minorEastAsia" w:hAnsi="Arial" w:cs="Arial"/>
              <w:noProof/>
              <w:lang w:val="bg-BG" w:eastAsia="bg-BG"/>
            </w:rPr>
          </w:pPr>
          <w:hyperlink w:anchor="_Toc182657465" w:history="1">
            <w:r w:rsidRPr="000F4BB8">
              <w:rPr>
                <w:rStyle w:val="Hyperlink"/>
                <w:rFonts w:ascii="Arial" w:hAnsi="Arial" w:cs="Arial"/>
                <w:noProof/>
              </w:rPr>
              <w:t>Comparing and Contrasting Coaching and Mentoring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_Toc182657465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5</w:t>
            </w:r>
            <w:r w:rsidRPr="000F4BB8">
              <w:rPr>
                <w:rFonts w:ascii="Arial" w:hAnsi="Arial" w:cs="Arial"/>
                <w:noProof/>
                <w:webHidden/>
              </w:rPr>
              <w:fldChar w:fldCharType="end"/>
            </w:r>
          </w:hyperlink>
        </w:p>
        <w:p w14:paraId="3C52BC31" w14:textId="6763A6AE" w:rsidR="000F4BB8" w:rsidRPr="000F4BB8" w:rsidRDefault="000F4BB8">
          <w:pPr>
            <w:pStyle w:val="TOC2"/>
            <w:tabs>
              <w:tab w:val="right" w:leader="dot" w:pos="9350"/>
            </w:tabs>
            <w:rPr>
              <w:rFonts w:ascii="Arial" w:eastAsiaTheme="minorEastAsia" w:hAnsi="Arial" w:cs="Arial"/>
              <w:noProof/>
              <w:lang w:val="bg-BG" w:eastAsia="bg-BG"/>
            </w:rPr>
          </w:pPr>
          <w:hyperlink w:anchor="_Toc182657466" w:history="1">
            <w:r w:rsidRPr="000F4BB8">
              <w:rPr>
                <w:rStyle w:val="Hyperlink"/>
                <w:rFonts w:ascii="Arial" w:hAnsi="Arial" w:cs="Arial"/>
                <w:noProof/>
              </w:rPr>
              <w:t>Integration of Coaching and Mentoring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_Toc182657466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6</w:t>
            </w:r>
            <w:r w:rsidRPr="000F4BB8">
              <w:rPr>
                <w:rFonts w:ascii="Arial" w:hAnsi="Arial" w:cs="Arial"/>
                <w:noProof/>
                <w:webHidden/>
              </w:rPr>
              <w:fldChar w:fldCharType="end"/>
            </w:r>
          </w:hyperlink>
        </w:p>
        <w:p w14:paraId="4D0A8462" w14:textId="58B62D30" w:rsidR="000F4BB8" w:rsidRPr="000F4BB8" w:rsidRDefault="000F4BB8">
          <w:pPr>
            <w:pStyle w:val="TOC1"/>
            <w:tabs>
              <w:tab w:val="right" w:leader="dot" w:pos="9350"/>
            </w:tabs>
            <w:rPr>
              <w:rFonts w:ascii="Arial" w:eastAsiaTheme="minorEastAsia" w:hAnsi="Arial" w:cs="Arial"/>
              <w:noProof/>
              <w:lang w:val="bg-BG" w:eastAsia="bg-BG"/>
            </w:rPr>
          </w:pPr>
          <w:hyperlink w:anchor="_Toc182657467" w:history="1">
            <w:r w:rsidRPr="000F4BB8">
              <w:rPr>
                <w:rStyle w:val="Hyperlink"/>
                <w:rFonts w:ascii="Arial" w:hAnsi="Arial" w:cs="Arial"/>
                <w:noProof/>
              </w:rPr>
              <w:t>Critical Analysis of a Specific Model of Coaching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_Toc182657467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6</w:t>
            </w:r>
            <w:r w:rsidRPr="000F4BB8">
              <w:rPr>
                <w:rFonts w:ascii="Arial" w:hAnsi="Arial" w:cs="Arial"/>
                <w:noProof/>
                <w:webHidden/>
              </w:rPr>
              <w:fldChar w:fldCharType="end"/>
            </w:r>
          </w:hyperlink>
        </w:p>
        <w:p w14:paraId="2785829D" w14:textId="23525455" w:rsidR="000F4BB8" w:rsidRPr="000F4BB8" w:rsidRDefault="000F4BB8">
          <w:pPr>
            <w:pStyle w:val="TOC2"/>
            <w:tabs>
              <w:tab w:val="right" w:leader="dot" w:pos="9350"/>
            </w:tabs>
            <w:rPr>
              <w:rFonts w:ascii="Arial" w:eastAsiaTheme="minorEastAsia" w:hAnsi="Arial" w:cs="Arial"/>
              <w:noProof/>
              <w:lang w:val="bg-BG" w:eastAsia="bg-BG"/>
            </w:rPr>
          </w:pPr>
          <w:hyperlink w:anchor="_Toc182657468" w:history="1">
            <w:r w:rsidRPr="000F4BB8">
              <w:rPr>
                <w:rStyle w:val="Hyperlink"/>
                <w:rFonts w:ascii="Arial" w:hAnsi="Arial" w:cs="Arial"/>
                <w:noProof/>
              </w:rPr>
              <w:t>Advantages of the GROW Model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_Toc182657468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6</w:t>
            </w:r>
            <w:r w:rsidRPr="000F4BB8">
              <w:rPr>
                <w:rFonts w:ascii="Arial" w:hAnsi="Arial" w:cs="Arial"/>
                <w:noProof/>
                <w:webHidden/>
              </w:rPr>
              <w:fldChar w:fldCharType="end"/>
            </w:r>
          </w:hyperlink>
        </w:p>
        <w:p w14:paraId="47F080CD" w14:textId="69B157F4" w:rsidR="000F4BB8" w:rsidRPr="000F4BB8" w:rsidRDefault="000F4BB8">
          <w:pPr>
            <w:pStyle w:val="TOC2"/>
            <w:tabs>
              <w:tab w:val="right" w:leader="dot" w:pos="9350"/>
            </w:tabs>
            <w:rPr>
              <w:rFonts w:ascii="Arial" w:eastAsiaTheme="minorEastAsia" w:hAnsi="Arial" w:cs="Arial"/>
              <w:noProof/>
              <w:lang w:val="bg-BG" w:eastAsia="bg-BG"/>
            </w:rPr>
          </w:pPr>
          <w:hyperlink w:anchor="_Toc182657469" w:history="1">
            <w:r w:rsidRPr="000F4BB8">
              <w:rPr>
                <w:rStyle w:val="Hyperlink"/>
                <w:rFonts w:ascii="Arial" w:hAnsi="Arial" w:cs="Arial"/>
                <w:noProof/>
              </w:rPr>
              <w:t>Disadvantages of the GROW Model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_Toc182657469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7</w:t>
            </w:r>
            <w:r w:rsidRPr="000F4BB8">
              <w:rPr>
                <w:rFonts w:ascii="Arial" w:hAnsi="Arial" w:cs="Arial"/>
                <w:noProof/>
                <w:webHidden/>
              </w:rPr>
              <w:fldChar w:fldCharType="end"/>
            </w:r>
          </w:hyperlink>
        </w:p>
        <w:p w14:paraId="708A020D" w14:textId="2640FA99" w:rsidR="000F4BB8" w:rsidRPr="000F4BB8" w:rsidRDefault="000F4BB8">
          <w:pPr>
            <w:pStyle w:val="TOC2"/>
            <w:tabs>
              <w:tab w:val="right" w:leader="dot" w:pos="9350"/>
            </w:tabs>
            <w:rPr>
              <w:rFonts w:ascii="Arial" w:eastAsiaTheme="minorEastAsia" w:hAnsi="Arial" w:cs="Arial"/>
              <w:noProof/>
              <w:lang w:val="bg-BG" w:eastAsia="bg-BG"/>
            </w:rPr>
          </w:pPr>
          <w:hyperlink w:anchor="_Toc182657470" w:history="1">
            <w:r w:rsidRPr="000F4BB8">
              <w:rPr>
                <w:rStyle w:val="Hyperlink"/>
                <w:rFonts w:ascii="Arial" w:hAnsi="Arial" w:cs="Arial"/>
                <w:noProof/>
              </w:rPr>
              <w:t>Situations Where the GROW Model is Most Useful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_Toc182657470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7</w:t>
            </w:r>
            <w:r w:rsidRPr="000F4BB8">
              <w:rPr>
                <w:rFonts w:ascii="Arial" w:hAnsi="Arial" w:cs="Arial"/>
                <w:noProof/>
                <w:webHidden/>
              </w:rPr>
              <w:fldChar w:fldCharType="end"/>
            </w:r>
          </w:hyperlink>
        </w:p>
        <w:p w14:paraId="797D94CB" w14:textId="48F592B0" w:rsidR="000F4BB8" w:rsidRPr="000F4BB8" w:rsidRDefault="000F4BB8">
          <w:pPr>
            <w:pStyle w:val="TOC1"/>
            <w:tabs>
              <w:tab w:val="right" w:leader="dot" w:pos="9350"/>
            </w:tabs>
            <w:rPr>
              <w:rFonts w:ascii="Arial" w:eastAsiaTheme="minorEastAsia" w:hAnsi="Arial" w:cs="Arial"/>
              <w:noProof/>
              <w:lang w:val="bg-BG" w:eastAsia="bg-BG"/>
            </w:rPr>
          </w:pPr>
          <w:hyperlink w:anchor="_Toc182657471" w:history="1">
            <w:r w:rsidRPr="000F4BB8">
              <w:rPr>
                <w:rStyle w:val="Hyperlink"/>
                <w:rFonts w:ascii="Arial" w:hAnsi="Arial" w:cs="Arial"/>
                <w:noProof/>
                <w:shd w:val="clear" w:color="auto" w:fill="A6BED2"/>
              </w:rPr>
              <w:t>Reflection on Practical 1-Coaching and Goal Setting</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_Toc182657471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8</w:t>
            </w:r>
            <w:r w:rsidRPr="000F4BB8">
              <w:rPr>
                <w:rFonts w:ascii="Arial" w:hAnsi="Arial" w:cs="Arial"/>
                <w:noProof/>
                <w:webHidden/>
              </w:rPr>
              <w:fldChar w:fldCharType="end"/>
            </w:r>
          </w:hyperlink>
        </w:p>
        <w:p w14:paraId="61C23B7C" w14:textId="51375B69" w:rsidR="000F4BB8" w:rsidRPr="000F4BB8" w:rsidRDefault="000F4BB8">
          <w:pPr>
            <w:pStyle w:val="TOC1"/>
            <w:tabs>
              <w:tab w:val="right" w:leader="dot" w:pos="9350"/>
            </w:tabs>
            <w:rPr>
              <w:rFonts w:ascii="Arial" w:eastAsiaTheme="minorEastAsia" w:hAnsi="Arial" w:cs="Arial"/>
              <w:noProof/>
              <w:lang w:val="bg-BG" w:eastAsia="bg-BG"/>
            </w:rPr>
          </w:pPr>
          <w:hyperlink w:anchor="_Toc182657472" w:history="1">
            <w:r w:rsidRPr="000F4BB8">
              <w:rPr>
                <w:rStyle w:val="Hyperlink"/>
                <w:rFonts w:ascii="Arial" w:hAnsi="Arial" w:cs="Arial"/>
                <w:noProof/>
              </w:rPr>
              <w:t>Reflection on Practical 2-Mentoring Using Johari Window Model</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_Toc182657472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10</w:t>
            </w:r>
            <w:r w:rsidRPr="000F4BB8">
              <w:rPr>
                <w:rFonts w:ascii="Arial" w:hAnsi="Arial" w:cs="Arial"/>
                <w:noProof/>
                <w:webHidden/>
              </w:rPr>
              <w:fldChar w:fldCharType="end"/>
            </w:r>
          </w:hyperlink>
        </w:p>
        <w:p w14:paraId="7370FB1B" w14:textId="391077F6" w:rsidR="000F4BB8" w:rsidRPr="000F4BB8" w:rsidRDefault="000F4BB8">
          <w:pPr>
            <w:pStyle w:val="TOC1"/>
            <w:tabs>
              <w:tab w:val="right" w:leader="dot" w:pos="9350"/>
            </w:tabs>
            <w:rPr>
              <w:rFonts w:ascii="Arial" w:eastAsiaTheme="minorEastAsia" w:hAnsi="Arial" w:cs="Arial"/>
              <w:noProof/>
              <w:lang w:val="bg-BG" w:eastAsia="bg-BG"/>
            </w:rPr>
          </w:pPr>
          <w:hyperlink w:anchor="_Toc182657473" w:history="1">
            <w:r w:rsidRPr="000F4BB8">
              <w:rPr>
                <w:rStyle w:val="Hyperlink"/>
                <w:rFonts w:ascii="Arial" w:hAnsi="Arial" w:cs="Arial"/>
                <w:noProof/>
              </w:rPr>
              <w:t>Conclusion</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_Toc182657473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13</w:t>
            </w:r>
            <w:r w:rsidRPr="000F4BB8">
              <w:rPr>
                <w:rFonts w:ascii="Arial" w:hAnsi="Arial" w:cs="Arial"/>
                <w:noProof/>
                <w:webHidden/>
              </w:rPr>
              <w:fldChar w:fldCharType="end"/>
            </w:r>
          </w:hyperlink>
        </w:p>
        <w:p w14:paraId="505E2CB3" w14:textId="1D6F9D69" w:rsidR="000F4BB8" w:rsidRPr="000F4BB8" w:rsidRDefault="000F4BB8">
          <w:pPr>
            <w:pStyle w:val="TOC1"/>
            <w:tabs>
              <w:tab w:val="right" w:leader="dot" w:pos="9350"/>
            </w:tabs>
            <w:rPr>
              <w:rFonts w:ascii="Arial" w:eastAsiaTheme="minorEastAsia" w:hAnsi="Arial" w:cs="Arial"/>
              <w:noProof/>
              <w:lang w:val="bg-BG" w:eastAsia="bg-BG"/>
            </w:rPr>
          </w:pPr>
          <w:hyperlink w:anchor="_Toc182657474" w:history="1">
            <w:r w:rsidRPr="000F4BB8">
              <w:rPr>
                <w:rStyle w:val="Hyperlink"/>
                <w:rFonts w:ascii="Arial" w:hAnsi="Arial" w:cs="Arial"/>
                <w:noProof/>
              </w:rPr>
              <w:t>List of References</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_Toc182657474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14</w:t>
            </w:r>
            <w:r w:rsidRPr="000F4BB8">
              <w:rPr>
                <w:rFonts w:ascii="Arial" w:hAnsi="Arial" w:cs="Arial"/>
                <w:noProof/>
                <w:webHidden/>
              </w:rPr>
              <w:fldChar w:fldCharType="end"/>
            </w:r>
          </w:hyperlink>
        </w:p>
        <w:p w14:paraId="47E5AC76" w14:textId="540DF6F7" w:rsidR="000F4BB8" w:rsidRPr="000F4BB8" w:rsidRDefault="000F4BB8">
          <w:pPr>
            <w:pStyle w:val="TOC1"/>
            <w:tabs>
              <w:tab w:val="right" w:leader="dot" w:pos="9350"/>
            </w:tabs>
            <w:rPr>
              <w:rFonts w:ascii="Arial" w:eastAsiaTheme="minorEastAsia" w:hAnsi="Arial" w:cs="Arial"/>
              <w:noProof/>
              <w:lang w:val="bg-BG" w:eastAsia="bg-BG"/>
            </w:rPr>
          </w:pPr>
          <w:hyperlink w:anchor="_Toc182657475" w:history="1">
            <w:r w:rsidRPr="000F4BB8">
              <w:rPr>
                <w:rStyle w:val="Hyperlink"/>
                <w:rFonts w:ascii="Arial" w:hAnsi="Arial" w:cs="Arial"/>
                <w:noProof/>
              </w:rPr>
              <w:t>Appendix</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_Toc182657475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15</w:t>
            </w:r>
            <w:r w:rsidRPr="000F4BB8">
              <w:rPr>
                <w:rFonts w:ascii="Arial" w:hAnsi="Arial" w:cs="Arial"/>
                <w:noProof/>
                <w:webHidden/>
              </w:rPr>
              <w:fldChar w:fldCharType="end"/>
            </w:r>
          </w:hyperlink>
        </w:p>
        <w:p w14:paraId="5116181D" w14:textId="3E2E78D8" w:rsidR="000F4BB8" w:rsidRPr="000F4BB8" w:rsidRDefault="000F4BB8">
          <w:pPr>
            <w:pStyle w:val="TOC2"/>
            <w:tabs>
              <w:tab w:val="right" w:leader="dot" w:pos="9350"/>
            </w:tabs>
            <w:rPr>
              <w:rFonts w:ascii="Arial" w:eastAsiaTheme="minorEastAsia" w:hAnsi="Arial" w:cs="Arial"/>
              <w:noProof/>
              <w:lang w:val="bg-BG" w:eastAsia="bg-BG"/>
            </w:rPr>
          </w:pPr>
          <w:hyperlink w:anchor="_Toc182657476" w:history="1">
            <w:r w:rsidRPr="000F4BB8">
              <w:rPr>
                <w:rStyle w:val="Hyperlink"/>
                <w:rFonts w:ascii="Arial" w:hAnsi="Arial" w:cs="Arial"/>
                <w:noProof/>
              </w:rPr>
              <w:t>Appendix A: Feedback from Practical 1</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_Toc182657476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15</w:t>
            </w:r>
            <w:r w:rsidRPr="000F4BB8">
              <w:rPr>
                <w:rFonts w:ascii="Arial" w:hAnsi="Arial" w:cs="Arial"/>
                <w:noProof/>
                <w:webHidden/>
              </w:rPr>
              <w:fldChar w:fldCharType="end"/>
            </w:r>
          </w:hyperlink>
        </w:p>
        <w:p w14:paraId="57A7E3EE" w14:textId="5A297586" w:rsidR="000F4BB8" w:rsidRPr="000F4BB8" w:rsidRDefault="000F4BB8">
          <w:pPr>
            <w:pStyle w:val="TOC2"/>
            <w:tabs>
              <w:tab w:val="right" w:leader="dot" w:pos="9350"/>
            </w:tabs>
            <w:rPr>
              <w:rFonts w:ascii="Arial" w:eastAsiaTheme="minorEastAsia" w:hAnsi="Arial" w:cs="Arial"/>
              <w:noProof/>
              <w:lang w:val="bg-BG" w:eastAsia="bg-BG"/>
            </w:rPr>
          </w:pPr>
          <w:hyperlink w:anchor="_Toc182657477" w:history="1">
            <w:r w:rsidRPr="000F4BB8">
              <w:rPr>
                <w:rStyle w:val="Hyperlink"/>
                <w:rFonts w:ascii="Arial" w:hAnsi="Arial" w:cs="Arial"/>
                <w:noProof/>
              </w:rPr>
              <w:t>Appendix B: Feedback from Practical 2</w:t>
            </w:r>
            <w:r w:rsidRPr="000F4BB8">
              <w:rPr>
                <w:rFonts w:ascii="Arial" w:hAnsi="Arial" w:cs="Arial"/>
                <w:noProof/>
                <w:webHidden/>
              </w:rPr>
              <w:tab/>
            </w:r>
            <w:r w:rsidRPr="000F4BB8">
              <w:rPr>
                <w:rFonts w:ascii="Arial" w:hAnsi="Arial" w:cs="Arial"/>
                <w:noProof/>
                <w:webHidden/>
              </w:rPr>
              <w:fldChar w:fldCharType="begin"/>
            </w:r>
            <w:r w:rsidRPr="000F4BB8">
              <w:rPr>
                <w:rFonts w:ascii="Arial" w:hAnsi="Arial" w:cs="Arial"/>
                <w:noProof/>
                <w:webHidden/>
              </w:rPr>
              <w:instrText xml:space="preserve"> PAGEREF _Toc182657477 \h </w:instrText>
            </w:r>
            <w:r w:rsidRPr="000F4BB8">
              <w:rPr>
                <w:rFonts w:ascii="Arial" w:hAnsi="Arial" w:cs="Arial"/>
                <w:noProof/>
                <w:webHidden/>
              </w:rPr>
            </w:r>
            <w:r w:rsidRPr="000F4BB8">
              <w:rPr>
                <w:rFonts w:ascii="Arial" w:hAnsi="Arial" w:cs="Arial"/>
                <w:noProof/>
                <w:webHidden/>
              </w:rPr>
              <w:fldChar w:fldCharType="separate"/>
            </w:r>
            <w:r w:rsidR="00A67F93">
              <w:rPr>
                <w:rFonts w:ascii="Arial" w:hAnsi="Arial" w:cs="Arial"/>
                <w:noProof/>
                <w:webHidden/>
              </w:rPr>
              <w:t>15</w:t>
            </w:r>
            <w:r w:rsidRPr="000F4BB8">
              <w:rPr>
                <w:rFonts w:ascii="Arial" w:hAnsi="Arial" w:cs="Arial"/>
                <w:noProof/>
                <w:webHidden/>
              </w:rPr>
              <w:fldChar w:fldCharType="end"/>
            </w:r>
          </w:hyperlink>
        </w:p>
        <w:p w14:paraId="5ABD1657" w14:textId="5EE001AB" w:rsidR="009A234F" w:rsidRPr="000F4BB8" w:rsidRDefault="009A234F">
          <w:pPr>
            <w:rPr>
              <w:rFonts w:ascii="Arial" w:hAnsi="Arial" w:cs="Arial"/>
            </w:rPr>
          </w:pPr>
          <w:r w:rsidRPr="000F4BB8">
            <w:rPr>
              <w:rFonts w:ascii="Arial" w:hAnsi="Arial" w:cs="Arial"/>
              <w:b/>
              <w:bCs/>
              <w:noProof/>
            </w:rPr>
            <w:fldChar w:fldCharType="end"/>
          </w:r>
        </w:p>
      </w:sdtContent>
    </w:sdt>
    <w:p w14:paraId="6437F24B" w14:textId="77777777" w:rsidR="00915E83" w:rsidRDefault="00915E83" w:rsidP="00915E83"/>
    <w:p w14:paraId="123EB5C1" w14:textId="77777777" w:rsidR="00915E83" w:rsidRDefault="00915E83" w:rsidP="00915E83"/>
    <w:p w14:paraId="502F58BC" w14:textId="77777777" w:rsidR="00915E83" w:rsidRDefault="00915E83" w:rsidP="00915E83"/>
    <w:p w14:paraId="21D60CD2" w14:textId="77777777" w:rsidR="00915E83" w:rsidRDefault="00915E83" w:rsidP="00915E83"/>
    <w:p w14:paraId="14BCB94B" w14:textId="77777777" w:rsidR="00915E83" w:rsidRDefault="00915E83" w:rsidP="00915E83"/>
    <w:p w14:paraId="2351467C" w14:textId="77777777" w:rsidR="00915E83" w:rsidRDefault="00915E83" w:rsidP="00915E83"/>
    <w:p w14:paraId="1440CF97" w14:textId="77777777" w:rsidR="00915E83" w:rsidRDefault="00915E83" w:rsidP="00915E83"/>
    <w:p w14:paraId="67085C9A" w14:textId="77777777" w:rsidR="00915E83" w:rsidRDefault="00915E83" w:rsidP="00915E83"/>
    <w:p w14:paraId="0213DB72" w14:textId="77777777" w:rsidR="00915E83" w:rsidRDefault="00915E83" w:rsidP="00915E83"/>
    <w:p w14:paraId="107AD18E" w14:textId="77777777" w:rsidR="00915E83" w:rsidRDefault="00915E83" w:rsidP="00915E83"/>
    <w:p w14:paraId="0DEBF36C" w14:textId="77777777" w:rsidR="00915E83" w:rsidRDefault="00915E83" w:rsidP="00915E83"/>
    <w:p w14:paraId="77058B40" w14:textId="77777777" w:rsidR="008405AE" w:rsidRDefault="00915E83" w:rsidP="008405AE">
      <w:pPr>
        <w:shd w:val="clear" w:color="auto" w:fill="A6BED2"/>
      </w:pPr>
      <w:bookmarkStart w:id="0" w:name="_Toc182657461"/>
      <w:r w:rsidRPr="009A234F">
        <w:rPr>
          <w:rStyle w:val="Heading1Char"/>
        </w:rPr>
        <w:t>Introduction</w:t>
      </w:r>
      <w:bookmarkEnd w:id="0"/>
      <w:r>
        <w:t xml:space="preserve"> </w:t>
      </w:r>
    </w:p>
    <w:p w14:paraId="782BF55C" w14:textId="77777777" w:rsidR="008405AE" w:rsidRDefault="008405AE" w:rsidP="008405AE">
      <w:pPr>
        <w:spacing w:line="360" w:lineRule="auto"/>
        <w:rPr>
          <w:rFonts w:ascii="Arial" w:hAnsi="Arial" w:cs="Arial"/>
          <w:color w:val="0A2F41" w:themeColor="accent1" w:themeShade="80"/>
        </w:rPr>
      </w:pPr>
    </w:p>
    <w:p w14:paraId="574BC651" w14:textId="0200E7D5"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This report reflects on my learning journey within the Coaching and Mentoring module, examining key theories, models, and their practical applications. It explores the purpose and impact of coaching and mentoring in the workplace, with a focus on rapport-building, listening skills, and self-awareness. Using the Gibbs Reflective Cycle (1988), I reflect on assessed sessions, addressing feelings, evaluation, analysis, conclusions, and action planning. The Driscoll ‘What’ Model (1994) will further guide my evaluation of key practical moments.</w:t>
      </w:r>
    </w:p>
    <w:p w14:paraId="5DB04985" w14:textId="77CA8CEC"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Coaching is a developmental process aimed at achieving specific personal or professional goals through structured questioning and reflective dialogue (Whitmore, 2009). It is short-term and goal-focused, unlocking potential and improving performance. In contrast, mentoring is a longer-term relationship, where an experienced individual provides guidance to support personal and professional growth (Connor, 2012). While both practices focus on development, coaching targets performance enhancement, while mentoring fosters self-awareness and confidence.</w:t>
      </w:r>
    </w:p>
    <w:p w14:paraId="04523728" w14:textId="308D42EF"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Effective coaches demonstrate active listening, empathy, and the ability to ask insightful questions, creating a safe environment for growth (Downey, 2014). Mentors, on the other hand, require strong interpersonal skills, self-awareness, and the ability to provide constructive feedback, often using frameworks like the Johari Window (Luft &amp; Ingham, 1955). This report also examines coaching models such as GROW (Whitmore, 2009) and OSCAR (Gilbert &amp; Whittleworth, 2009), evaluating their practical effectiveness.</w:t>
      </w:r>
    </w:p>
    <w:p w14:paraId="26702729" w14:textId="2494F828" w:rsidR="00A93F96"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By reflecting on my experiences, this report aims to identify strengths, areas for improvement, and strategies to enhance my coaching and mentoring skills for future workplace scenarios.</w:t>
      </w:r>
    </w:p>
    <w:p w14:paraId="7EBA4C98" w14:textId="77777777" w:rsidR="00915E83" w:rsidRDefault="00915E83" w:rsidP="00915E83"/>
    <w:p w14:paraId="19DA72F5" w14:textId="77777777" w:rsidR="008405AE" w:rsidRDefault="008405AE" w:rsidP="00915E83"/>
    <w:p w14:paraId="5701557D" w14:textId="77777777" w:rsidR="007717A5" w:rsidRDefault="007717A5" w:rsidP="00915E83"/>
    <w:p w14:paraId="5BD94E2A" w14:textId="77777777" w:rsidR="007717A5" w:rsidRDefault="007717A5" w:rsidP="00915E83"/>
    <w:p w14:paraId="06BCFF80" w14:textId="77777777" w:rsidR="007717A5" w:rsidRDefault="007717A5" w:rsidP="00915E83"/>
    <w:p w14:paraId="6F23CCA4" w14:textId="77777777" w:rsidR="008405AE" w:rsidRDefault="008405AE" w:rsidP="00915E83"/>
    <w:p w14:paraId="08310142" w14:textId="2AAF2D74" w:rsidR="008405AE" w:rsidRDefault="00915E83" w:rsidP="00915E83">
      <w:pPr>
        <w:rPr>
          <w:rStyle w:val="Heading1Char"/>
        </w:rPr>
      </w:pPr>
      <w:bookmarkStart w:id="1" w:name="_Toc182657462"/>
      <w:r w:rsidRPr="008405AE">
        <w:rPr>
          <w:rStyle w:val="Heading1Char"/>
          <w:shd w:val="clear" w:color="auto" w:fill="A6BED2"/>
        </w:rPr>
        <w:t>Critical Evaluation of the Purpose of Coaching and Mentoring</w:t>
      </w:r>
      <w:r w:rsidR="00D37A96">
        <w:rPr>
          <w:rStyle w:val="Heading1Char"/>
          <w:shd w:val="clear" w:color="auto" w:fill="A6BED2"/>
        </w:rPr>
        <w:t xml:space="preserve"> within a workplace</w:t>
      </w:r>
      <w:bookmarkEnd w:id="1"/>
      <w:r w:rsidRPr="00550E66">
        <w:rPr>
          <w:rStyle w:val="Heading1Char"/>
        </w:rPr>
        <w:t xml:space="preserve"> </w:t>
      </w:r>
    </w:p>
    <w:p w14:paraId="1B93FA77" w14:textId="77777777" w:rsidR="000C0405" w:rsidRDefault="000C0405" w:rsidP="008405AE">
      <w:pPr>
        <w:spacing w:line="360" w:lineRule="auto"/>
      </w:pPr>
    </w:p>
    <w:p w14:paraId="2C7D9D9B" w14:textId="1C1A413E"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Coaching and mentoring are vital for workplace development. Coaching helps individuals achieve specific goals and improve performance, aligning personal and organisational objectives (Brockbank &amp; McGill, 2012). Mentoring focuses on long-term growth, fostering self-awareness and career progression (Hawkins &amp; Smith, 2013). Coaching encourages independence, while mentoring offers career guidance and enhances engagement.</w:t>
      </w:r>
    </w:p>
    <w:p w14:paraId="610666E1" w14:textId="6A13FE93" w:rsidR="007717A5" w:rsidRPr="007717A5" w:rsidRDefault="007717A5" w:rsidP="007717A5">
      <w:pPr>
        <w:spacing w:line="360" w:lineRule="auto"/>
        <w:rPr>
          <w:rFonts w:ascii="Arial" w:hAnsi="Arial" w:cs="Arial"/>
          <w:color w:val="0A2F41" w:themeColor="accent1" w:themeShade="80"/>
        </w:rPr>
      </w:pPr>
      <w:r w:rsidRPr="007717A5">
        <w:rPr>
          <w:rFonts w:ascii="Arial" w:hAnsi="Arial" w:cs="Arial"/>
          <w:color w:val="0A2F41" w:themeColor="accent1" w:themeShade="80"/>
        </w:rPr>
        <w:t>The GROW model helps coachees set goals and take actionable steps (Dexter et al., 2011), while mentoring, using frameworks like CLEAR, supports personal growth and trust-building (Hawkins &amp; Smith, 2013). Both practices face challenges such as resistance to change, with effective listening, empathy, and feedback improving outcomes (Dexter et al., 2011).</w:t>
      </w:r>
    </w:p>
    <w:p w14:paraId="2C09AA9D" w14:textId="77777777" w:rsidR="007717A5" w:rsidRDefault="007717A5" w:rsidP="007717A5">
      <w:pPr>
        <w:spacing w:line="360" w:lineRule="auto"/>
        <w:rPr>
          <w:rFonts w:ascii="Arial" w:hAnsi="Arial" w:cs="Arial"/>
          <w:color w:val="0A2F41" w:themeColor="accent1" w:themeShade="80"/>
        </w:rPr>
      </w:pPr>
    </w:p>
    <w:p w14:paraId="58DDFD9A" w14:textId="4556A4EC" w:rsidR="000C0405" w:rsidRPr="000C0405" w:rsidRDefault="000C0405" w:rsidP="00EB5E79">
      <w:pPr>
        <w:pStyle w:val="Heading2"/>
      </w:pPr>
      <w:bookmarkStart w:id="2" w:name="_Toc182657463"/>
      <w:r w:rsidRPr="000C0405">
        <w:t>Purposes of Coaching in the Workplace</w:t>
      </w:r>
      <w:bookmarkEnd w:id="2"/>
    </w:p>
    <w:p w14:paraId="19767C70" w14:textId="77777777" w:rsidR="00EB5E79" w:rsidRDefault="00EB5E79" w:rsidP="009A3173">
      <w:pPr>
        <w:spacing w:line="360" w:lineRule="auto"/>
        <w:rPr>
          <w:rFonts w:ascii="Arial" w:hAnsi="Arial" w:cs="Arial"/>
          <w:color w:val="0A2F41" w:themeColor="accent1" w:themeShade="80"/>
        </w:rPr>
      </w:pPr>
    </w:p>
    <w:p w14:paraId="0AE44429" w14:textId="3E104D8F"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Coaching is goal-oriented, aimed at enhancing performance, resolving issues, and fostering professional development. Whitmore (2009) defines coaching as unlocking an individual’s potential to maximise their performance, often using guided questioning, active listening, and reflection. In the workplace, coaching is typically used to develop leadership skills, address performance gaps, and aid career transitions (Garvey et al., 2018). For example, coaching can help employees improve problem-solving, build resilience, and align personal goals with organisational objectives.</w:t>
      </w:r>
    </w:p>
    <w:p w14:paraId="5DFB4FDF" w14:textId="72178E64" w:rsidR="00C009D6"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Coaching also contributes to a culture of continuous improvement. Models like GROW (Goal, Reality, Options, Will) provide a structured approach, helping employees clarify objectives, assess their current situation, explore solutions, and commit to action (Whitmore, 2009). This method aligns with organisational needs for measurable outcomes, particularly in performance management and employee engagement.</w:t>
      </w:r>
    </w:p>
    <w:p w14:paraId="04421197" w14:textId="77777777" w:rsidR="009A3173" w:rsidRPr="000C0405" w:rsidRDefault="009A3173" w:rsidP="009A3173">
      <w:pPr>
        <w:spacing w:line="360" w:lineRule="auto"/>
        <w:rPr>
          <w:rFonts w:ascii="Arial" w:hAnsi="Arial" w:cs="Arial"/>
          <w:color w:val="0A2F41" w:themeColor="accent1" w:themeShade="80"/>
        </w:rPr>
      </w:pPr>
    </w:p>
    <w:p w14:paraId="0F38B0AD" w14:textId="77777777" w:rsidR="000C0405" w:rsidRPr="000C0405" w:rsidRDefault="000C0405" w:rsidP="00EB5E79">
      <w:pPr>
        <w:pStyle w:val="Heading2"/>
      </w:pPr>
      <w:bookmarkStart w:id="3" w:name="_Toc182657464"/>
      <w:r w:rsidRPr="000C0405">
        <w:t>Purposes of Mentoring in the Workplace</w:t>
      </w:r>
      <w:bookmarkEnd w:id="3"/>
    </w:p>
    <w:p w14:paraId="51937B9E" w14:textId="77777777" w:rsidR="00EB5E79" w:rsidRDefault="00EB5E79" w:rsidP="009A3173">
      <w:pPr>
        <w:spacing w:line="360" w:lineRule="auto"/>
        <w:rPr>
          <w:rFonts w:ascii="Arial" w:hAnsi="Arial" w:cs="Arial"/>
          <w:color w:val="0A2F41" w:themeColor="accent1" w:themeShade="80"/>
        </w:rPr>
      </w:pPr>
    </w:p>
    <w:p w14:paraId="703BF5E8" w14:textId="71908D8E"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Mentoring, in contrast, is a long-term process focused on personal and professional development through a relationship based on trust and guidance. Connor (2012) defines mentoring as a supportive partnership, where a more experienced individual offers insight, encouragement, and feedback to help mentees navigate challenges and opportunities. This relationship often aids career progression, fosters self-awareness, and boosts confidence.</w:t>
      </w:r>
    </w:p>
    <w:p w14:paraId="4885ADE0" w14:textId="4755C316" w:rsidR="00C009D6"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A key purpose of mentoring is knowledge transfer, particularly in organisations facing skills shortages or requiring succession planning. Mentoring can also address barriers to diversity and inclusion by offering tailored support for underrepresented groups (Clutterbuck, 2004). For instance, mentoring programmes can help new employees adjust to organisational culture or guide junior staff through complex decisions.</w:t>
      </w:r>
    </w:p>
    <w:p w14:paraId="57135A6C" w14:textId="77777777" w:rsidR="009A3173" w:rsidRDefault="009A3173" w:rsidP="009A3173">
      <w:pPr>
        <w:spacing w:line="360" w:lineRule="auto"/>
        <w:rPr>
          <w:rFonts w:ascii="Arial" w:hAnsi="Arial" w:cs="Arial"/>
          <w:color w:val="0A2F41" w:themeColor="accent1" w:themeShade="80"/>
        </w:rPr>
      </w:pPr>
    </w:p>
    <w:p w14:paraId="24AB124C" w14:textId="26F96433" w:rsidR="000C0405" w:rsidRPr="000C0405" w:rsidRDefault="000C0405" w:rsidP="00EB5E79">
      <w:pPr>
        <w:pStyle w:val="Heading2"/>
      </w:pPr>
      <w:bookmarkStart w:id="4" w:name="_Toc182657465"/>
      <w:r w:rsidRPr="000C0405">
        <w:t>Comparing and Contrasting Coaching and Mentoring</w:t>
      </w:r>
      <w:bookmarkEnd w:id="4"/>
    </w:p>
    <w:p w14:paraId="187B02C4" w14:textId="77777777" w:rsidR="00EB5E79" w:rsidRDefault="00EB5E79" w:rsidP="009A3173">
      <w:pPr>
        <w:spacing w:line="360" w:lineRule="auto"/>
        <w:rPr>
          <w:rFonts w:ascii="Arial" w:hAnsi="Arial" w:cs="Arial"/>
          <w:color w:val="0A2F41" w:themeColor="accent1" w:themeShade="80"/>
        </w:rPr>
      </w:pPr>
    </w:p>
    <w:p w14:paraId="4708DE62" w14:textId="08AB08B1"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 xml:space="preserve">Coaching and mentoring, while both aimed at fostering personal and professional development, differ in approach, duration, and objectives. Coaching is typically task-oriented, short-term, and focused on achieving specific outcomes within a set </w:t>
      </w:r>
      <w:r w:rsidR="1DAF7C32" w:rsidRPr="30025427">
        <w:rPr>
          <w:rFonts w:ascii="Arial" w:hAnsi="Arial" w:cs="Arial"/>
          <w:color w:val="0A2F41" w:themeColor="accent1" w:themeShade="80"/>
        </w:rPr>
        <w:t>time</w:t>
      </w:r>
      <w:r w:rsidR="03156B87" w:rsidRPr="30025427">
        <w:rPr>
          <w:rFonts w:ascii="Arial" w:hAnsi="Arial" w:cs="Arial"/>
          <w:color w:val="0A2F41" w:themeColor="accent1" w:themeShade="80"/>
        </w:rPr>
        <w:t xml:space="preserve"> </w:t>
      </w:r>
      <w:r w:rsidRPr="007717A5">
        <w:rPr>
          <w:rFonts w:ascii="Arial" w:hAnsi="Arial" w:cs="Arial"/>
          <w:color w:val="0A2F41" w:themeColor="accent1" w:themeShade="80"/>
        </w:rPr>
        <w:t>(Garvey et al., 2018). In contrast, mentoring is a more relational, long-term process prioritising holistic development (Connor, 2012).</w:t>
      </w:r>
    </w:p>
    <w:p w14:paraId="001E2EEF" w14:textId="4225C556"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A key distinction lies in the level of directive input. Coaches often use non-directive methods, such as open-ended questions, to help the coachee discover solutions and develop problem-solving skills. Mentors, however, may take a more directive approach, offering advice and sharing experiences (Downey, 2014). This difference reflects the varied roles of coaches and mentors in the development process.</w:t>
      </w:r>
    </w:p>
    <w:p w14:paraId="4505A1B0" w14:textId="71A51CDE" w:rsidR="009A3173" w:rsidRPr="007717A5" w:rsidRDefault="009A3173" w:rsidP="009A3173">
      <w:pPr>
        <w:spacing w:line="360" w:lineRule="auto"/>
        <w:rPr>
          <w:rFonts w:ascii="Arial" w:hAnsi="Arial" w:cs="Arial"/>
          <w:color w:val="0A2F41" w:themeColor="accent1" w:themeShade="80"/>
        </w:rPr>
      </w:pPr>
      <w:r w:rsidRPr="007717A5">
        <w:rPr>
          <w:rFonts w:ascii="Arial" w:hAnsi="Arial" w:cs="Arial"/>
          <w:color w:val="0A2F41" w:themeColor="accent1" w:themeShade="80"/>
        </w:rPr>
        <w:t>Another difference is the power dynamic. Coaching typically involves peers or external professionals, maintaining an egalitarian dynamic focused on collaboration and empowerment. Mentoring, however, often involves a more hierarchical relationship, where the mentor has more experience and authority, influencing the direction of the relationship (Clutterbuck, 2004). While this can be beneficial, it may limit the mentee’s autonomy if not managed carefully.</w:t>
      </w:r>
    </w:p>
    <w:p w14:paraId="24C7E7B3" w14:textId="703F3C9F" w:rsidR="000C0405" w:rsidRPr="000C0405" w:rsidRDefault="000C0405" w:rsidP="00EB5E79">
      <w:pPr>
        <w:pStyle w:val="Heading2"/>
      </w:pPr>
      <w:bookmarkStart w:id="5" w:name="_Toc182657466"/>
      <w:r w:rsidRPr="000C0405">
        <w:t>Integration of Coaching and Mentoring</w:t>
      </w:r>
      <w:bookmarkEnd w:id="5"/>
    </w:p>
    <w:p w14:paraId="41057721" w14:textId="77777777" w:rsidR="00EB5E79" w:rsidRDefault="00EB5E79" w:rsidP="000C0405">
      <w:pPr>
        <w:spacing w:line="360" w:lineRule="auto"/>
        <w:rPr>
          <w:rFonts w:ascii="Arial" w:hAnsi="Arial" w:cs="Arial"/>
          <w:color w:val="0A2F41" w:themeColor="accent1" w:themeShade="80"/>
        </w:rPr>
      </w:pPr>
    </w:p>
    <w:p w14:paraId="48314281" w14:textId="127C2E36" w:rsidR="008C0D9B" w:rsidRPr="00180029" w:rsidRDefault="00E6632B" w:rsidP="000C0405">
      <w:pPr>
        <w:spacing w:line="360" w:lineRule="auto"/>
        <w:rPr>
          <w:rFonts w:ascii="Arial" w:hAnsi="Arial" w:cs="Arial"/>
          <w:color w:val="0A2F41" w:themeColor="accent1" w:themeShade="80"/>
        </w:rPr>
      </w:pPr>
      <w:r w:rsidRPr="00180029">
        <w:rPr>
          <w:rFonts w:ascii="Arial" w:hAnsi="Arial" w:cs="Arial"/>
          <w:color w:val="0A2F41" w:themeColor="accent1" w:themeShade="80"/>
        </w:rPr>
        <w:t>In practice, coaching and mentoring are not mutually exclusive but rather complementary. The integration of both approaches can establish a comprehensive developmental framework that addresses immediate performance requirements while also fostering long-term growth. For instance, an organisation might utilise coaching to enhance specific competencies, followed by mentoring to support ongoing career development.</w:t>
      </w:r>
    </w:p>
    <w:p w14:paraId="70284717" w14:textId="77777777" w:rsidR="00D9765E" w:rsidRDefault="00D9765E" w:rsidP="00915E83"/>
    <w:p w14:paraId="21F0984A" w14:textId="77777777" w:rsidR="00D9765E" w:rsidRDefault="00D9765E" w:rsidP="00915E83"/>
    <w:p w14:paraId="2DC3CC7E" w14:textId="77777777" w:rsidR="000C0405" w:rsidRDefault="000C0405" w:rsidP="00915E83"/>
    <w:p w14:paraId="25789465" w14:textId="77777777" w:rsidR="008405AE" w:rsidRDefault="00915E83" w:rsidP="008405AE">
      <w:pPr>
        <w:shd w:val="clear" w:color="auto" w:fill="A6BED2"/>
      </w:pPr>
      <w:bookmarkStart w:id="6" w:name="_Toc182657467"/>
      <w:r w:rsidRPr="00550E66">
        <w:rPr>
          <w:rStyle w:val="Heading1Char"/>
        </w:rPr>
        <w:t>Critical Analysis of a Specific Model of Coaching</w:t>
      </w:r>
      <w:bookmarkEnd w:id="6"/>
      <w:r>
        <w:t xml:space="preserve"> </w:t>
      </w:r>
    </w:p>
    <w:p w14:paraId="7714650D" w14:textId="77777777" w:rsidR="008405AE" w:rsidRDefault="008405AE" w:rsidP="00915E83"/>
    <w:p w14:paraId="28FF7AFC" w14:textId="6821B27C" w:rsidR="007717A5" w:rsidRPr="00180029" w:rsidRDefault="007717A5" w:rsidP="007717A5">
      <w:pPr>
        <w:spacing w:line="360" w:lineRule="auto"/>
        <w:rPr>
          <w:rFonts w:ascii="Arial" w:hAnsi="Arial" w:cs="Arial"/>
          <w:color w:val="0A2F41" w:themeColor="accent1" w:themeShade="80"/>
        </w:rPr>
      </w:pPr>
      <w:r w:rsidRPr="00180029">
        <w:rPr>
          <w:rFonts w:ascii="Arial" w:hAnsi="Arial" w:cs="Arial"/>
          <w:color w:val="0A2F41" w:themeColor="accent1" w:themeShade="80"/>
        </w:rPr>
        <w:t>The GROW model is a well-known coaching framework that provides a structured approach to goal-setting and problem-solving. The acronym stands for Goal, Reality, Options, and Will, guiding the coach and coachee through a process that promotes clarity, motivation, and practical outcomes (Whitmore, 2009).</w:t>
      </w:r>
    </w:p>
    <w:p w14:paraId="52B2036E" w14:textId="6FC93236" w:rsidR="007717A5" w:rsidRPr="00180029" w:rsidRDefault="007717A5" w:rsidP="007717A5">
      <w:pPr>
        <w:spacing w:line="360" w:lineRule="auto"/>
        <w:rPr>
          <w:rFonts w:ascii="Arial" w:hAnsi="Arial" w:cs="Arial"/>
          <w:color w:val="0A2F41" w:themeColor="accent1" w:themeShade="80"/>
        </w:rPr>
      </w:pPr>
      <w:r w:rsidRPr="00180029">
        <w:rPr>
          <w:rFonts w:ascii="Arial" w:hAnsi="Arial" w:cs="Arial"/>
          <w:color w:val="0A2F41" w:themeColor="accent1" w:themeShade="80"/>
        </w:rPr>
        <w:t>Created by Sir John Whitmore in the 1980s, the model aims to improve performance by first defining the Goal, then exploring the current Reality to identify obstacles. The Options phase generates potential solutions, and the Will phase ensures commitment to specific actions, including accountability and timelines (Whitmore, 2009).</w:t>
      </w:r>
    </w:p>
    <w:p w14:paraId="4AED58A2" w14:textId="123A7831" w:rsidR="00DC5FE1" w:rsidRPr="00180029" w:rsidRDefault="007717A5" w:rsidP="007717A5">
      <w:pPr>
        <w:spacing w:line="360" w:lineRule="auto"/>
        <w:rPr>
          <w:rFonts w:ascii="Arial" w:hAnsi="Arial" w:cs="Arial"/>
          <w:color w:val="0A2F41" w:themeColor="accent1" w:themeShade="80"/>
        </w:rPr>
      </w:pPr>
      <w:r w:rsidRPr="00180029">
        <w:rPr>
          <w:rFonts w:ascii="Arial" w:hAnsi="Arial" w:cs="Arial"/>
          <w:color w:val="0A2F41" w:themeColor="accent1" w:themeShade="80"/>
        </w:rPr>
        <w:t>Thanks to its simplicity and effectiveness, the GROW model is widely used in management, education, and personal development to encourage self-reflection and action (Hawkins &amp; Smith, 2013).</w:t>
      </w:r>
    </w:p>
    <w:p w14:paraId="2B6D7D26" w14:textId="77777777" w:rsidR="007717A5" w:rsidRPr="00EB5E79" w:rsidRDefault="007717A5" w:rsidP="007717A5">
      <w:pPr>
        <w:spacing w:line="360" w:lineRule="auto"/>
        <w:rPr>
          <w:rFonts w:ascii="Arial" w:hAnsi="Arial" w:cs="Arial"/>
          <w:color w:val="0A2F41" w:themeColor="accent1" w:themeShade="80"/>
        </w:rPr>
      </w:pPr>
    </w:p>
    <w:p w14:paraId="0AB347DA" w14:textId="77777777" w:rsidR="00EB5E79" w:rsidRPr="00EB5E79" w:rsidRDefault="00EB5E79" w:rsidP="00EB5E79">
      <w:pPr>
        <w:pStyle w:val="Heading2"/>
      </w:pPr>
      <w:bookmarkStart w:id="7" w:name="_Toc182657468"/>
      <w:r w:rsidRPr="00EB5E79">
        <w:t>Advantages of the GROW Model</w:t>
      </w:r>
      <w:bookmarkEnd w:id="7"/>
    </w:p>
    <w:p w14:paraId="5B56004E" w14:textId="77777777" w:rsidR="00EB5E79" w:rsidRDefault="00EB5E79" w:rsidP="00EB5E79">
      <w:pPr>
        <w:spacing w:line="360" w:lineRule="auto"/>
        <w:rPr>
          <w:rFonts w:ascii="Arial" w:hAnsi="Arial" w:cs="Arial"/>
          <w:color w:val="0A2F41" w:themeColor="accent1" w:themeShade="80"/>
        </w:rPr>
      </w:pPr>
    </w:p>
    <w:p w14:paraId="1973EE1B" w14:textId="153C956A" w:rsidR="005719FF" w:rsidRPr="00180029" w:rsidRDefault="005719FF" w:rsidP="005719FF">
      <w:pPr>
        <w:spacing w:line="360" w:lineRule="auto"/>
        <w:rPr>
          <w:rFonts w:ascii="Arial" w:hAnsi="Arial" w:cs="Arial"/>
          <w:color w:val="0A2F41" w:themeColor="accent1" w:themeShade="80"/>
        </w:rPr>
      </w:pPr>
      <w:r w:rsidRPr="00180029">
        <w:rPr>
          <w:rFonts w:ascii="Arial" w:hAnsi="Arial" w:cs="Arial"/>
          <w:color w:val="0A2F41" w:themeColor="accent1" w:themeShade="80"/>
        </w:rPr>
        <w:t>One of the key advantages of the GROW model is its simplicity and clarity. Its straightforward structure makes it accessible to both novice and experienced coaches (Brockbank &amp; McGill, 2012). The model’s linear approach helps the coachee stay focused, while still allowing the coach to adapt questions based on the coachee’s responses (Dexter et al., 2011). By encouraging reflective questioning, the GROW model enables individuals to discover their own solutions, fostering greater self-awareness and personal responsibility.</w:t>
      </w:r>
    </w:p>
    <w:p w14:paraId="70F368CA" w14:textId="0F824FD0" w:rsidR="00EB5E79" w:rsidRPr="00180029" w:rsidRDefault="005719FF" w:rsidP="005719FF">
      <w:pPr>
        <w:spacing w:line="360" w:lineRule="auto"/>
        <w:rPr>
          <w:rFonts w:ascii="Arial" w:hAnsi="Arial" w:cs="Arial"/>
          <w:color w:val="0A2F41" w:themeColor="accent1" w:themeShade="80"/>
        </w:rPr>
      </w:pPr>
      <w:r w:rsidRPr="00180029">
        <w:rPr>
          <w:rFonts w:ascii="Arial" w:hAnsi="Arial" w:cs="Arial"/>
          <w:color w:val="0A2F41" w:themeColor="accent1" w:themeShade="80"/>
        </w:rPr>
        <w:t>Moreover, the GROW model is highly adaptable, suitable for both one-on-one coaching sessions and group settings, which makes it versatile in various workplace contexts (Hawkins &amp; Smith, 2013). It can be applied in leadership development, performance improvement, and career transitions, supporting the alignment of personal goals with organisational objectives.</w:t>
      </w:r>
    </w:p>
    <w:p w14:paraId="440B35CE" w14:textId="77777777" w:rsidR="005719FF" w:rsidRPr="00EB5E79" w:rsidRDefault="005719FF" w:rsidP="005719FF">
      <w:pPr>
        <w:spacing w:line="360" w:lineRule="auto"/>
        <w:rPr>
          <w:rFonts w:ascii="Arial" w:hAnsi="Arial" w:cs="Arial"/>
          <w:color w:val="0A2F41" w:themeColor="accent1" w:themeShade="80"/>
        </w:rPr>
      </w:pPr>
    </w:p>
    <w:p w14:paraId="4507F216" w14:textId="77777777" w:rsidR="00EB5E79" w:rsidRPr="00EB5E79" w:rsidRDefault="00EB5E79" w:rsidP="00EB5E79">
      <w:pPr>
        <w:pStyle w:val="Heading2"/>
      </w:pPr>
      <w:bookmarkStart w:id="8" w:name="_Toc182657469"/>
      <w:r w:rsidRPr="00EB5E79">
        <w:t>Disadvantages of the GROW Model</w:t>
      </w:r>
      <w:bookmarkEnd w:id="8"/>
    </w:p>
    <w:p w14:paraId="20C1AD31" w14:textId="77777777" w:rsidR="00EB5E79" w:rsidRDefault="00EB5E79" w:rsidP="00EB5E79">
      <w:pPr>
        <w:spacing w:line="360" w:lineRule="auto"/>
        <w:rPr>
          <w:rFonts w:ascii="Arial" w:hAnsi="Arial" w:cs="Arial"/>
          <w:color w:val="0A2F41" w:themeColor="accent1" w:themeShade="80"/>
        </w:rPr>
      </w:pPr>
    </w:p>
    <w:p w14:paraId="752727C5" w14:textId="411E04DF" w:rsidR="00EB5E79" w:rsidRPr="0018002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t>However, there are also some limitations to the GROW model. One disadvantage is that the simplicity of the model can sometimes lead to oversimplification of complex issues. In situations where the coachee faces deep-rooted challenges or emotional barriers, the structured approach of GROW may not be sufficient to address the underlying issues (Brockbank &amp; McGill, 2012). For instance, when a coachee is dealing with a significant personal or professional setback, the focus on goal setting and actions may seem too narrow, and the coachee may require more in-depth emotional support.</w:t>
      </w:r>
    </w:p>
    <w:p w14:paraId="4689FFD0" w14:textId="0BD47496" w:rsidR="00EB5E7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t>Another limitation is that the GROW model assumes that the coachee has a clear understanding of their goals and the reality of their situation. In cases where the coachee lacks clarity or self-awareness, the model’s effectiveness may be reduced unless supplemented by additional frameworks that help to develop self-reflection (Dexter et al., 2011).</w:t>
      </w:r>
    </w:p>
    <w:p w14:paraId="7261025D" w14:textId="77777777" w:rsidR="00180029" w:rsidRPr="00180029" w:rsidRDefault="00180029" w:rsidP="00EB5E79">
      <w:pPr>
        <w:spacing w:line="360" w:lineRule="auto"/>
        <w:rPr>
          <w:rFonts w:ascii="Arial" w:hAnsi="Arial" w:cs="Arial"/>
          <w:color w:val="0A2F41" w:themeColor="accent1" w:themeShade="80"/>
        </w:rPr>
      </w:pPr>
    </w:p>
    <w:p w14:paraId="3727A628" w14:textId="1D742210" w:rsidR="00EB5E79" w:rsidRPr="00EB5E79" w:rsidRDefault="00EB5E79" w:rsidP="00EB5E79">
      <w:pPr>
        <w:pStyle w:val="Heading2"/>
      </w:pPr>
      <w:bookmarkStart w:id="9" w:name="_Toc182657470"/>
      <w:r w:rsidRPr="00EB5E79">
        <w:t xml:space="preserve">Situations Where the GROW Model </w:t>
      </w:r>
      <w:r>
        <w:t>i</w:t>
      </w:r>
      <w:r w:rsidRPr="00EB5E79">
        <w:t>s Most Useful</w:t>
      </w:r>
      <w:bookmarkEnd w:id="9"/>
    </w:p>
    <w:p w14:paraId="2C2B7F00" w14:textId="77777777" w:rsidR="00EB5E79" w:rsidRDefault="00EB5E79" w:rsidP="00EB5E79">
      <w:pPr>
        <w:spacing w:line="360" w:lineRule="auto"/>
        <w:rPr>
          <w:rFonts w:ascii="Arial" w:hAnsi="Arial" w:cs="Arial"/>
          <w:color w:val="0A2F41" w:themeColor="accent1" w:themeShade="80"/>
        </w:rPr>
      </w:pPr>
    </w:p>
    <w:p w14:paraId="26E46807" w14:textId="1E10B43E" w:rsidR="00EB5E79" w:rsidRPr="0018002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t>Despite its limitations, the GROW model can be particularly useful in workplace settings where clarity, focus, and actionable steps are needed. For example, it is highly effective in performance management, where employees need to improve specific aspects of their work. The model’s structure allows for clear goal setting and the development of concrete action plans (Whitmore, 2009).</w:t>
      </w:r>
    </w:p>
    <w:p w14:paraId="3DFCFEB8" w14:textId="316E0C50" w:rsidR="00EB5E79" w:rsidRPr="00180029" w:rsidRDefault="00EB5E79" w:rsidP="00EB5E79">
      <w:pPr>
        <w:spacing w:line="360" w:lineRule="auto"/>
        <w:rPr>
          <w:rFonts w:ascii="Arial" w:hAnsi="Arial" w:cs="Arial"/>
          <w:color w:val="0A2F41" w:themeColor="accent1" w:themeShade="80"/>
        </w:rPr>
      </w:pPr>
      <w:r w:rsidRPr="00180029">
        <w:rPr>
          <w:rFonts w:ascii="Arial" w:hAnsi="Arial" w:cs="Arial"/>
          <w:color w:val="0A2F41" w:themeColor="accent1" w:themeShade="80"/>
        </w:rPr>
        <w:t>Additionally, the GROW model is beneficial in leadership development, as it helps individuals reflect on their leadership goals and identify areas for growth. For instance, a manager seeking to improve their communication skills could use the GROW model to identify the desired outcome, assess their current communication style, explore options for improvement, and commit to taking specific actions.</w:t>
      </w:r>
    </w:p>
    <w:p w14:paraId="76478CE6" w14:textId="7D1BFEEB" w:rsidR="008405AE" w:rsidRPr="00180029" w:rsidRDefault="00EB5E79" w:rsidP="005719FF">
      <w:pPr>
        <w:spacing w:line="360" w:lineRule="auto"/>
        <w:rPr>
          <w:rFonts w:ascii="Arial" w:hAnsi="Arial" w:cs="Arial"/>
          <w:color w:val="0A2F41" w:themeColor="accent1" w:themeShade="80"/>
        </w:rPr>
      </w:pPr>
      <w:r w:rsidRPr="00180029">
        <w:rPr>
          <w:rFonts w:ascii="Arial" w:hAnsi="Arial" w:cs="Arial"/>
          <w:color w:val="0A2F41" w:themeColor="accent1" w:themeShade="80"/>
        </w:rPr>
        <w:t>The model is also useful during career coaching, particularly for individuals navigating career transitions. In these scenarios, the GROW model can help individuals assess their current reality, explore various career options, and commit to actions that align with their long-term goals (Hawkins &amp; Smith, 2013).</w:t>
      </w:r>
    </w:p>
    <w:p w14:paraId="159EFD4C" w14:textId="77777777" w:rsidR="001A24FF" w:rsidRPr="005719FF" w:rsidRDefault="001A24FF" w:rsidP="005719FF">
      <w:pPr>
        <w:spacing w:line="360" w:lineRule="auto"/>
        <w:rPr>
          <w:rFonts w:ascii="Arial" w:hAnsi="Arial" w:cs="Arial"/>
          <w:color w:val="0A2F41" w:themeColor="accent1" w:themeShade="80"/>
        </w:rPr>
      </w:pPr>
    </w:p>
    <w:p w14:paraId="7D8F81E4" w14:textId="77777777" w:rsidR="008405AE" w:rsidRDefault="008405AE" w:rsidP="00915E83"/>
    <w:p w14:paraId="0FA8B23A" w14:textId="09E3262D" w:rsidR="008405AE" w:rsidRDefault="00915E83" w:rsidP="00915E83">
      <w:bookmarkStart w:id="10" w:name="_Toc182657471"/>
      <w:r w:rsidRPr="008405AE">
        <w:rPr>
          <w:rStyle w:val="Heading1Char"/>
          <w:shd w:val="clear" w:color="auto" w:fill="A6BED2"/>
        </w:rPr>
        <w:t>Reflection on Practical</w:t>
      </w:r>
      <w:r w:rsidR="00550E66" w:rsidRPr="008405AE">
        <w:rPr>
          <w:rStyle w:val="Heading1Char"/>
          <w:shd w:val="clear" w:color="auto" w:fill="A6BED2"/>
        </w:rPr>
        <w:t xml:space="preserve"> 1</w:t>
      </w:r>
      <w:r w:rsidR="007717A5">
        <w:rPr>
          <w:rStyle w:val="Heading1Char"/>
          <w:shd w:val="clear" w:color="auto" w:fill="A6BED2"/>
        </w:rPr>
        <w:t>-</w:t>
      </w:r>
      <w:r w:rsidR="00CA1433">
        <w:rPr>
          <w:rStyle w:val="Heading1Char"/>
          <w:shd w:val="clear" w:color="auto" w:fill="A6BED2"/>
        </w:rPr>
        <w:t>Coaching and Goal Setting</w:t>
      </w:r>
      <w:bookmarkEnd w:id="10"/>
      <w:r>
        <w:t xml:space="preserve"> </w:t>
      </w:r>
    </w:p>
    <w:p w14:paraId="7AF101C3" w14:textId="360F6A78" w:rsidR="004C6801" w:rsidRDefault="004C6801" w:rsidP="00915E83"/>
    <w:p w14:paraId="7D6D1017" w14:textId="77777777" w:rsidR="004C6801" w:rsidRPr="009B4CA6" w:rsidRDefault="004C6801" w:rsidP="009B4CA6">
      <w:pPr>
        <w:spacing w:line="360" w:lineRule="auto"/>
        <w:rPr>
          <w:rFonts w:ascii="Arial" w:hAnsi="Arial" w:cs="Arial"/>
          <w:color w:val="0A2F41" w:themeColor="accent1" w:themeShade="80"/>
        </w:rPr>
      </w:pPr>
    </w:p>
    <w:p w14:paraId="649DF411" w14:textId="015D0190" w:rsidR="00521AC0" w:rsidRPr="00180029" w:rsidRDefault="00521AC0"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For my first assessed coaching session, I used Gibbs' Reflective Cycle (1988) to structure my reflection. This model is particularly useful as it encourages a thorough examination of my actions and thoughts throughout the session, allowing me to identify areas of strength and those requiring improvement. The session focused on goal setting, and the feedback provided by my lecturer offered valuable insights that helped me refine my approach.</w:t>
      </w:r>
    </w:p>
    <w:p w14:paraId="1AA913FC" w14:textId="77777777"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Description</w:t>
      </w:r>
    </w:p>
    <w:p w14:paraId="1F67002B" w14:textId="413D369E"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During the coaching session, the coachee, a team leader, explained his frustration with a supervisor who was not providing adequate training and was consistently assigning him tasks that interfered with his responsibilities. This left him feeling unsupported and unable to perform his role effectively. The coachee expressed that the supervisor’s behaviour was also impacting team morale, as the supervisor was rude and unwilling to communicate effectively.</w:t>
      </w:r>
    </w:p>
    <w:p w14:paraId="38D7935D"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Using the GROW model (Whitmore, 2009), I guided the coachee through the process of identifying the Goal, Reality, Options, and Will.</w:t>
      </w:r>
    </w:p>
    <w:p w14:paraId="133F38A6" w14:textId="7BE91BAC"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Feelings</w:t>
      </w:r>
    </w:p>
    <w:p w14:paraId="63ACFB6A" w14:textId="43448F4A" w:rsidR="00AC7D7A" w:rsidRPr="00180029" w:rsidRDefault="00AC7D7A"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At the beginning of the session, I felt a bit nervous as it was my first assessed coaching session, but I quickly recognised that it was essential to create a calm and supportive atmosphere for the coachee. I empathised with his frustration, as being in a leadership position and not having the support needed to perform effectively can be incredibly challenging. </w:t>
      </w:r>
      <w:r w:rsidR="3138B2FF" w:rsidRPr="4B45D04D">
        <w:rPr>
          <w:rFonts w:ascii="Arial" w:hAnsi="Arial" w:cs="Arial"/>
          <w:color w:val="0A2F41" w:themeColor="accent1" w:themeShade="80"/>
        </w:rPr>
        <w:t>My</w:t>
      </w:r>
      <w:r w:rsidRPr="00180029">
        <w:rPr>
          <w:rFonts w:ascii="Arial" w:hAnsi="Arial" w:cs="Arial"/>
          <w:color w:val="0A2F41" w:themeColor="accent1" w:themeShade="80"/>
        </w:rPr>
        <w:t xml:space="preserve"> role was to listen actively, validate his concerns, and help him develop a practical strategy to improve his situation.</w:t>
      </w:r>
    </w:p>
    <w:p w14:paraId="3A5AC622" w14:textId="64F8B099" w:rsidR="00AC7D7A" w:rsidRPr="00180029" w:rsidRDefault="00AC7D7A"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As the session progressed, I began to feel more confident in guiding the coachee. It was rewarding to see him engage with the process and </w:t>
      </w:r>
      <w:r w:rsidR="009B4CA6" w:rsidRPr="00180029">
        <w:rPr>
          <w:rFonts w:ascii="Arial" w:hAnsi="Arial" w:cs="Arial"/>
          <w:color w:val="0A2F41" w:themeColor="accent1" w:themeShade="80"/>
        </w:rPr>
        <w:t>open</w:t>
      </w:r>
      <w:r w:rsidRPr="00180029">
        <w:rPr>
          <w:rFonts w:ascii="Arial" w:hAnsi="Arial" w:cs="Arial"/>
          <w:color w:val="0A2F41" w:themeColor="accent1" w:themeShade="80"/>
        </w:rPr>
        <w:t xml:space="preserve"> about </w:t>
      </w:r>
      <w:r w:rsidR="1C0A3571" w:rsidRPr="30BC2EF9">
        <w:rPr>
          <w:rFonts w:ascii="Arial" w:hAnsi="Arial" w:cs="Arial"/>
          <w:color w:val="0A2F41" w:themeColor="accent1" w:themeShade="80"/>
        </w:rPr>
        <w:t>viable</w:t>
      </w:r>
      <w:r w:rsidRPr="00180029">
        <w:rPr>
          <w:rFonts w:ascii="Arial" w:hAnsi="Arial" w:cs="Arial"/>
          <w:color w:val="0A2F41" w:themeColor="accent1" w:themeShade="80"/>
        </w:rPr>
        <w:t xml:space="preserve"> solutions. By the end of the session, I felt positive about the action plan we had developed together.</w:t>
      </w:r>
    </w:p>
    <w:p w14:paraId="74541740" w14:textId="777E10E3"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Evaluation</w:t>
      </w:r>
    </w:p>
    <w:p w14:paraId="215AC33F" w14:textId="77777777" w:rsidR="0067587C" w:rsidRPr="00180029" w:rsidRDefault="0067587C"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From the feedback provided (Appendix A), it was clear that my strengths lay in the implementation of the GROW model and the rapport I created with my client. The lecturer praised my use of open-ended questions, which helped the client find solutions themselves and feel empowered in the decision-making process. I was particularly pleased with my ability to create a supportive environment where the client felt heard and understood. However, there were areas where I could improve. My communication skills could be further developed to ensure I ask correct questions and facilitate a more in-depth exploration of the coachee’s thoughts and feelings.</w:t>
      </w:r>
    </w:p>
    <w:p w14:paraId="0A49E3CE" w14:textId="5B9FED2D"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Analysis</w:t>
      </w:r>
    </w:p>
    <w:p w14:paraId="6FE56112" w14:textId="6A54860A" w:rsidR="00AC7D7A" w:rsidRPr="00180029" w:rsidRDefault="00521AC0"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The session demonstrated the importance of building rapport as a foundation for a successful coaching experience. By establishing trust, I was able to create an open space for discussion. </w:t>
      </w:r>
      <w:r w:rsidR="00AC7D7A" w:rsidRPr="00180029">
        <w:rPr>
          <w:rFonts w:ascii="Arial" w:hAnsi="Arial" w:cs="Arial"/>
          <w:color w:val="0A2F41" w:themeColor="accent1" w:themeShade="80"/>
        </w:rPr>
        <w:t xml:space="preserve">The feedback I received from my lecturer was valuable in highlighting both my strengths and areas for improvement. </w:t>
      </w:r>
      <w:r w:rsidR="009B4CA6" w:rsidRPr="00180029">
        <w:rPr>
          <w:rFonts w:ascii="Arial" w:hAnsi="Arial" w:cs="Arial"/>
          <w:color w:val="0A2F41" w:themeColor="accent1" w:themeShade="80"/>
        </w:rPr>
        <w:t>M</w:t>
      </w:r>
      <w:r w:rsidR="00AC7D7A" w:rsidRPr="00180029">
        <w:rPr>
          <w:rFonts w:ascii="Arial" w:hAnsi="Arial" w:cs="Arial"/>
          <w:color w:val="0A2F41" w:themeColor="accent1" w:themeShade="80"/>
        </w:rPr>
        <w:t>y lecturer pointed out that I could further develop my communication skills, especially in terms of asking more probing questions to encourage deeper reflection from the coachee.</w:t>
      </w:r>
    </w:p>
    <w:p w14:paraId="71EAB46F" w14:textId="1926F1C1" w:rsidR="00521AC0" w:rsidRPr="00180029" w:rsidRDefault="00AC7D7A"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One key lesson I learned was the importance of balancing structure with flexibility. While the GROW model provided a helpful framework, I realised that the success of the session also depended on being able to adapt the process to meet the coachee’s needs. This was particularly important in this case, as the coachee’s situation was urgent and required practical </w:t>
      </w:r>
      <w:r w:rsidR="009B4CA6" w:rsidRPr="00180029">
        <w:rPr>
          <w:rFonts w:ascii="Arial" w:hAnsi="Arial" w:cs="Arial"/>
          <w:color w:val="0A2F41" w:themeColor="accent1" w:themeShade="80"/>
        </w:rPr>
        <w:t>solutions.</w:t>
      </w:r>
    </w:p>
    <w:p w14:paraId="5419063A" w14:textId="77777777"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Conclusion</w:t>
      </w:r>
    </w:p>
    <w:p w14:paraId="51F9A96B" w14:textId="77777777" w:rsidR="0067587C" w:rsidRPr="00180029" w:rsidRDefault="0067587C"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In conclusion, this coaching session was a valuable learning experience. It emphasised the importance of building rapport and empathy, while also highlighting areas for improvement in my questioning and communication. While the GROW model was effective, I recognised the need to probe deeper into the coachee’s motivations and barriers. Moving forward, I will focus on refining my questioning techniques to better explore the coachee’s challenges and solutions.</w:t>
      </w:r>
    </w:p>
    <w:p w14:paraId="1E1DFD52" w14:textId="61854D77" w:rsidR="00521AC0" w:rsidRPr="00180029" w:rsidRDefault="00521AC0" w:rsidP="009B4CA6">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Action Plan</w:t>
      </w:r>
    </w:p>
    <w:p w14:paraId="2A32C03B"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I will continue to use the GROW model but aim to ask more open-ended and probing questions to encourage deeper reflection from the coachee.</w:t>
      </w:r>
    </w:p>
    <w:p w14:paraId="78055852"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I will practice active listening to improve my communication skills, focusing on both verbal and non-verbal cues.</w:t>
      </w:r>
    </w:p>
    <w:p w14:paraId="001A272C" w14:textId="77777777" w:rsidR="009B4CA6" w:rsidRPr="00180029" w:rsidRDefault="009B4CA6" w:rsidP="009B4CA6">
      <w:pPr>
        <w:spacing w:line="360" w:lineRule="auto"/>
        <w:rPr>
          <w:rFonts w:ascii="Arial" w:hAnsi="Arial" w:cs="Arial"/>
          <w:color w:val="0A2F41" w:themeColor="accent1" w:themeShade="80"/>
        </w:rPr>
      </w:pPr>
      <w:r w:rsidRPr="00180029">
        <w:rPr>
          <w:rFonts w:ascii="Arial" w:hAnsi="Arial" w:cs="Arial"/>
          <w:color w:val="0A2F41" w:themeColor="accent1" w:themeShade="80"/>
        </w:rPr>
        <w:t>I will seek further training or resources to improve my coaching techniques and enhance my ability to address emotional responses during coaching sessions.</w:t>
      </w:r>
    </w:p>
    <w:p w14:paraId="68D4FBF8" w14:textId="065D6D53" w:rsidR="008405AE" w:rsidRPr="00180029" w:rsidRDefault="009B4CA6" w:rsidP="009B4CA6">
      <w:pPr>
        <w:spacing w:line="360" w:lineRule="auto"/>
        <w:rPr>
          <w:rStyle w:val="Heading1Char"/>
          <w:color w:val="0A2F41" w:themeColor="accent1" w:themeShade="80"/>
        </w:rPr>
      </w:pPr>
      <w:r w:rsidRPr="00180029">
        <w:rPr>
          <w:rFonts w:ascii="Arial" w:hAnsi="Arial" w:cs="Arial"/>
          <w:color w:val="0A2F41" w:themeColor="accent1" w:themeShade="80"/>
        </w:rPr>
        <w:t>In future coaching sessions, I will ensure that action plans are clearly defined, with specific timelines, to ensure the coachee feels empowered and accountable.</w:t>
      </w:r>
    </w:p>
    <w:p w14:paraId="5FA9DEE0" w14:textId="77777777" w:rsidR="008405AE" w:rsidRDefault="008405AE" w:rsidP="00915E83">
      <w:pPr>
        <w:rPr>
          <w:rStyle w:val="Heading1Char"/>
        </w:rPr>
      </w:pPr>
    </w:p>
    <w:p w14:paraId="5B066200" w14:textId="77777777" w:rsidR="00DD47F7" w:rsidRDefault="00DD47F7" w:rsidP="00915E83">
      <w:pPr>
        <w:rPr>
          <w:rStyle w:val="Heading1Char"/>
        </w:rPr>
      </w:pPr>
    </w:p>
    <w:p w14:paraId="4153914F" w14:textId="57D1D049" w:rsidR="008405AE" w:rsidRDefault="00915E83" w:rsidP="008405AE">
      <w:pPr>
        <w:shd w:val="clear" w:color="auto" w:fill="A6BED2"/>
      </w:pPr>
      <w:bookmarkStart w:id="11" w:name="_Toc182657472"/>
      <w:r w:rsidRPr="00550E66">
        <w:rPr>
          <w:rStyle w:val="Heading1Char"/>
        </w:rPr>
        <w:t>Reflection on Practical 2</w:t>
      </w:r>
      <w:r w:rsidR="00DD47F7">
        <w:rPr>
          <w:rStyle w:val="Heading1Char"/>
        </w:rPr>
        <w:t>-Mentoring Using Johari Window Model</w:t>
      </w:r>
      <w:bookmarkEnd w:id="11"/>
    </w:p>
    <w:p w14:paraId="495C035F" w14:textId="77777777" w:rsidR="008405AE" w:rsidRDefault="008405AE" w:rsidP="00915E83"/>
    <w:p w14:paraId="2B30DEC5" w14:textId="5F1EF241" w:rsidR="008405AE"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In this reflection, I will critically examine my experience of mentoring Radoslav during Practical 2, using Driscoll’s (2007) Model of Reflection.</w:t>
      </w:r>
    </w:p>
    <w:p w14:paraId="62935E10" w14:textId="77777777" w:rsidR="00DD47F7" w:rsidRPr="00180029" w:rsidRDefault="00DD47F7"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Happened?</w:t>
      </w:r>
    </w:p>
    <w:p w14:paraId="06E26C51" w14:textId="157BA013" w:rsidR="00DD47F7"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The mentoring session with Radoslav was structured around the Johari Window model, which encourages self-awareness through exploration of the 'Open Area', 'Blind Spot', 'Hidden Area', and 'Unknown Area'. The goal was to help Radoslav understand how he was perceived by his team and to identify areas for personal and professional growth. The conversation began with discussing Radoslav's strengths. </w:t>
      </w:r>
    </w:p>
    <w:p w14:paraId="065485B2" w14:textId="6A765C32" w:rsidR="00DD47F7"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Next, I introduced the 'Blind Spot' area by providing feedback. Radoslav acknowledged this feedback and agreed to adjust his approach. We then moved to the 'Hidden Area', where Radoslav shared that he often kept his openness to feedback private. Finally, we explored the 'Unknown Area', focusing on how Radoslav could uncover new strengths and strategies over time.</w:t>
      </w:r>
    </w:p>
    <w:p w14:paraId="3A56EB25" w14:textId="77777777" w:rsidR="00DD47F7" w:rsidRPr="00180029" w:rsidRDefault="00DD47F7"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Was Good?</w:t>
      </w:r>
    </w:p>
    <w:p w14:paraId="76CA5AA2" w14:textId="6C3B3E61" w:rsidR="00DD47F7"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From the feedback I received, I effectively implemented the Johari Window model in my session. I was commended for my good questioning and summarizing techniques, which helped guide Radoslav through each quadrant of the model. My use of follow-up questions also enabled a deeper exploration of Radoslav's thoughts, while ensuring that the conversation remained relevant to the Johari Window framework. One of the positives highlighted in the feedback was my use of time management, as I was able to cover all key areas within the session.</w:t>
      </w:r>
    </w:p>
    <w:p w14:paraId="7EE166FC" w14:textId="59BBDDC7" w:rsidR="008405AE" w:rsidRPr="00180029" w:rsidRDefault="00DD47F7"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Additionally, my ability to listen actively and non-verbally communicate was recognised. I was aware of the importance of maintaining positive body language and an engaged tone to encourage openness from Radoslav. This feedback reassured me that my interpersonal communication skills were strengthening, which is a key transferable skill for both mentoring and coaching (Hawkins &amp; Smith, 2013).</w:t>
      </w:r>
    </w:p>
    <w:p w14:paraId="2D2DF190" w14:textId="77777777" w:rsidR="00030604" w:rsidRPr="00180029" w:rsidRDefault="00030604"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Could Have Been Better?</w:t>
      </w:r>
    </w:p>
    <w:p w14:paraId="464C7450" w14:textId="1737FF8D"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One of the key pieces of feedback was that I did not make it clear which quadrant of the Johari Window I was aiming to expand. The Johari Window is intended to bring awareness to the areas where self-awareness is limited, such as the 'Blind Spot' or the 'Hidden Area'. In hindsight, I could have been more explicit about how exploring these quadrants would benefit Radoslav’s development and contribute to his understanding of his team dynamics.</w:t>
      </w:r>
    </w:p>
    <w:p w14:paraId="4D62C4C5" w14:textId="5A53790C"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Furthermore, I could have spent more time on the 'Unknown Area'. </w:t>
      </w:r>
    </w:p>
    <w:p w14:paraId="17390DC0" w14:textId="77777777" w:rsidR="00180029" w:rsidRDefault="00030604" w:rsidP="00180029">
      <w:pPr>
        <w:spacing w:line="360" w:lineRule="auto"/>
        <w:rPr>
          <w:rFonts w:ascii="Arial" w:hAnsi="Arial" w:cs="Arial"/>
          <w:b/>
          <w:bCs/>
          <w:color w:val="0A2F41" w:themeColor="accent1" w:themeShade="80"/>
        </w:rPr>
      </w:pPr>
      <w:r w:rsidRPr="00180029">
        <w:rPr>
          <w:rFonts w:ascii="Arial" w:hAnsi="Arial" w:cs="Arial"/>
          <w:b/>
          <w:bCs/>
          <w:color w:val="0A2F41" w:themeColor="accent1" w:themeShade="80"/>
        </w:rPr>
        <w:t>What Did I Learn?</w:t>
      </w:r>
    </w:p>
    <w:p w14:paraId="6EBCF344" w14:textId="6F3D2172" w:rsidR="00030604" w:rsidRPr="00180029" w:rsidRDefault="00030604" w:rsidP="00180029">
      <w:pPr>
        <w:spacing w:line="360" w:lineRule="auto"/>
        <w:rPr>
          <w:rFonts w:ascii="Arial" w:hAnsi="Arial" w:cs="Arial"/>
          <w:b/>
          <w:bCs/>
          <w:color w:val="0A2F41" w:themeColor="accent1" w:themeShade="80"/>
        </w:rPr>
      </w:pPr>
      <w:r w:rsidRPr="00180029">
        <w:rPr>
          <w:rFonts w:ascii="Arial" w:hAnsi="Arial" w:cs="Arial"/>
          <w:color w:val="0A2F41" w:themeColor="accent1" w:themeShade="80"/>
        </w:rPr>
        <w:t xml:space="preserve">Reflecting on this session, I have learned that mentoring requires a delicate balance of empathy, patience, and structure. The Johari Window model provided a clear framework, but I recognise that I need to be more intentional in guiding the mentee through it. </w:t>
      </w:r>
    </w:p>
    <w:p w14:paraId="28D2BBE6" w14:textId="61CD6A7E"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Additionally, I have learned the importance of providing actionable feedback. While I did offer some feedback regarding Radoslav’s communication style, I could have gone further by suggesting specific ways to adjust his approach, such as practicing more inclusive language or offering opportunities for team members to give feedback.</w:t>
      </w:r>
    </w:p>
    <w:p w14:paraId="2B8D5D75" w14:textId="207B481B" w:rsidR="00030604"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 xml:space="preserve">One of the most important lessons I took from this session is the value of building trust through open communication. </w:t>
      </w:r>
      <w:bookmarkStart w:id="12" w:name="_Int_cDzF6lVA"/>
      <w:r w:rsidRPr="00180029">
        <w:rPr>
          <w:rFonts w:ascii="Arial" w:hAnsi="Arial" w:cs="Arial"/>
          <w:color w:val="0A2F41" w:themeColor="accent1" w:themeShade="80"/>
        </w:rPr>
        <w:t>As a mentor, my role</w:t>
      </w:r>
      <w:bookmarkEnd w:id="12"/>
      <w:r w:rsidRPr="00180029">
        <w:rPr>
          <w:rFonts w:ascii="Arial" w:hAnsi="Arial" w:cs="Arial"/>
          <w:color w:val="0A2F41" w:themeColor="accent1" w:themeShade="80"/>
        </w:rPr>
        <w:t xml:space="preserve"> is not only to provide guidance but also to create a space where the mentee feels comfortable exploring their strengths and areas for improvement. </w:t>
      </w:r>
    </w:p>
    <w:p w14:paraId="3848ACE8" w14:textId="58470E2C" w:rsidR="008405AE" w:rsidRPr="00180029" w:rsidRDefault="00030604"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In conclusion, this reflection has deepened my understanding of mentoring and the Johari Window model. While the session promoted self-awareness, I need to improve clarity in explaining the quadrants and providing actionable feedback. Moving forward, I will focus on guiding mentees through structured frameworks to enhance self-awareness.</w:t>
      </w:r>
    </w:p>
    <w:p w14:paraId="053CA67D" w14:textId="77777777" w:rsidR="008405AE" w:rsidRDefault="008405AE" w:rsidP="00180029">
      <w:pPr>
        <w:spacing w:line="360" w:lineRule="auto"/>
        <w:rPr>
          <w:rFonts w:ascii="Arial" w:hAnsi="Arial" w:cs="Arial"/>
          <w:color w:val="0A2F41" w:themeColor="accent1" w:themeShade="80"/>
        </w:rPr>
      </w:pPr>
    </w:p>
    <w:p w14:paraId="79315A23" w14:textId="77777777" w:rsidR="00F30AE6" w:rsidRDefault="00F30AE6" w:rsidP="00180029">
      <w:pPr>
        <w:spacing w:line="360" w:lineRule="auto"/>
        <w:rPr>
          <w:rFonts w:ascii="Arial" w:hAnsi="Arial" w:cs="Arial"/>
          <w:color w:val="0A2F41" w:themeColor="accent1" w:themeShade="80"/>
        </w:rPr>
      </w:pPr>
    </w:p>
    <w:p w14:paraId="64D4267E" w14:textId="77777777" w:rsidR="00F30AE6" w:rsidRDefault="00F30AE6" w:rsidP="00180029">
      <w:pPr>
        <w:spacing w:line="360" w:lineRule="auto"/>
        <w:rPr>
          <w:rFonts w:ascii="Arial" w:hAnsi="Arial" w:cs="Arial"/>
          <w:color w:val="0A2F41" w:themeColor="accent1" w:themeShade="80"/>
        </w:rPr>
      </w:pPr>
    </w:p>
    <w:p w14:paraId="5417EF26" w14:textId="77777777" w:rsidR="00F30AE6" w:rsidRDefault="00F30AE6" w:rsidP="00180029">
      <w:pPr>
        <w:spacing w:line="360" w:lineRule="auto"/>
        <w:rPr>
          <w:rFonts w:ascii="Arial" w:hAnsi="Arial" w:cs="Arial"/>
          <w:color w:val="0A2F41" w:themeColor="accent1" w:themeShade="80"/>
        </w:rPr>
      </w:pPr>
    </w:p>
    <w:p w14:paraId="36935CAA" w14:textId="77777777" w:rsidR="00F30AE6" w:rsidRDefault="00F30AE6" w:rsidP="00180029">
      <w:pPr>
        <w:spacing w:line="360" w:lineRule="auto"/>
        <w:rPr>
          <w:rFonts w:ascii="Arial" w:hAnsi="Arial" w:cs="Arial"/>
          <w:color w:val="0A2F41" w:themeColor="accent1" w:themeShade="80"/>
        </w:rPr>
      </w:pPr>
    </w:p>
    <w:p w14:paraId="6E9FBDAB" w14:textId="77777777" w:rsidR="00F30AE6" w:rsidRDefault="00F30AE6" w:rsidP="00180029">
      <w:pPr>
        <w:spacing w:line="360" w:lineRule="auto"/>
        <w:rPr>
          <w:rFonts w:ascii="Arial" w:hAnsi="Arial" w:cs="Arial"/>
          <w:color w:val="0A2F41" w:themeColor="accent1" w:themeShade="80"/>
        </w:rPr>
      </w:pPr>
    </w:p>
    <w:p w14:paraId="7F7716AC" w14:textId="77777777" w:rsidR="00F30AE6" w:rsidRDefault="00F30AE6" w:rsidP="00180029">
      <w:pPr>
        <w:spacing w:line="360" w:lineRule="auto"/>
        <w:rPr>
          <w:rFonts w:ascii="Arial" w:hAnsi="Arial" w:cs="Arial"/>
          <w:color w:val="0A2F41" w:themeColor="accent1" w:themeShade="80"/>
        </w:rPr>
      </w:pPr>
    </w:p>
    <w:p w14:paraId="24F4BEEA" w14:textId="77777777" w:rsidR="00F30AE6" w:rsidRDefault="00F30AE6" w:rsidP="00180029">
      <w:pPr>
        <w:spacing w:line="360" w:lineRule="auto"/>
        <w:rPr>
          <w:rFonts w:ascii="Arial" w:hAnsi="Arial" w:cs="Arial"/>
          <w:color w:val="0A2F41" w:themeColor="accent1" w:themeShade="80"/>
        </w:rPr>
      </w:pPr>
    </w:p>
    <w:p w14:paraId="0DAF72CB" w14:textId="77777777" w:rsidR="00F30AE6" w:rsidRDefault="00F30AE6" w:rsidP="00180029">
      <w:pPr>
        <w:spacing w:line="360" w:lineRule="auto"/>
        <w:rPr>
          <w:rFonts w:ascii="Arial" w:hAnsi="Arial" w:cs="Arial"/>
          <w:color w:val="0A2F41" w:themeColor="accent1" w:themeShade="80"/>
        </w:rPr>
      </w:pPr>
    </w:p>
    <w:p w14:paraId="3560B494" w14:textId="77777777" w:rsidR="00F30AE6" w:rsidRDefault="00F30AE6" w:rsidP="00180029">
      <w:pPr>
        <w:spacing w:line="360" w:lineRule="auto"/>
        <w:rPr>
          <w:rFonts w:ascii="Arial" w:hAnsi="Arial" w:cs="Arial"/>
          <w:color w:val="0A2F41" w:themeColor="accent1" w:themeShade="80"/>
        </w:rPr>
      </w:pPr>
    </w:p>
    <w:p w14:paraId="400175CA" w14:textId="77777777" w:rsidR="00F30AE6" w:rsidRDefault="00F30AE6" w:rsidP="00180029">
      <w:pPr>
        <w:spacing w:line="360" w:lineRule="auto"/>
        <w:rPr>
          <w:rFonts w:ascii="Arial" w:hAnsi="Arial" w:cs="Arial"/>
          <w:color w:val="0A2F41" w:themeColor="accent1" w:themeShade="80"/>
        </w:rPr>
      </w:pPr>
    </w:p>
    <w:p w14:paraId="7D41BA82" w14:textId="77777777" w:rsidR="00F30AE6" w:rsidRDefault="00F30AE6" w:rsidP="00180029">
      <w:pPr>
        <w:spacing w:line="360" w:lineRule="auto"/>
        <w:rPr>
          <w:rFonts w:ascii="Arial" w:hAnsi="Arial" w:cs="Arial"/>
          <w:color w:val="0A2F41" w:themeColor="accent1" w:themeShade="80"/>
        </w:rPr>
      </w:pPr>
    </w:p>
    <w:p w14:paraId="6D32E577" w14:textId="77777777" w:rsidR="00F30AE6" w:rsidRPr="00180029" w:rsidRDefault="00F30AE6" w:rsidP="00180029">
      <w:pPr>
        <w:spacing w:line="360" w:lineRule="auto"/>
        <w:rPr>
          <w:rFonts w:ascii="Arial" w:hAnsi="Arial" w:cs="Arial"/>
          <w:color w:val="0A2F41" w:themeColor="accent1" w:themeShade="80"/>
        </w:rPr>
      </w:pPr>
    </w:p>
    <w:p w14:paraId="3C81C18D" w14:textId="0E16FB00" w:rsidR="00180029" w:rsidRDefault="00180029" w:rsidP="00915E83"/>
    <w:p w14:paraId="2AD5EF54" w14:textId="684F5B78" w:rsidR="0CEA6DE9" w:rsidRDefault="0CEA6DE9" w:rsidP="0CEA6DE9"/>
    <w:p w14:paraId="04F81505" w14:textId="109D62F6" w:rsidR="007717A5" w:rsidRDefault="007717A5" w:rsidP="007717A5">
      <w:pPr>
        <w:shd w:val="clear" w:color="auto" w:fill="A6BED2"/>
      </w:pPr>
      <w:bookmarkStart w:id="13" w:name="_Toc182657473"/>
      <w:r>
        <w:rPr>
          <w:rStyle w:val="Heading1Char"/>
        </w:rPr>
        <w:t>Conclusion</w:t>
      </w:r>
      <w:bookmarkEnd w:id="13"/>
    </w:p>
    <w:p w14:paraId="57822588" w14:textId="77777777" w:rsidR="008405AE" w:rsidRDefault="008405AE" w:rsidP="00915E83"/>
    <w:p w14:paraId="7D78603D" w14:textId="6518DE98" w:rsidR="007717A5" w:rsidRPr="00180029" w:rsidRDefault="007717A5"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In conclusion, this report has explored the distinct but complementary roles of coaching and mentoring in the workplace, reflecting on my practical experiences and the associated learning. Coaching, as a goal-oriented and performance-driven process, helps individuals achieve specific objectives through structured frameworks like the GROW model (Whitmore, 2009). Mentoring, on the other hand, fosters personal and professional development over a longer term, with a focus on nurturing self-awareness and career progression (Connor, 2012). The Johari Window (Luft &amp; Ingham, 1955) was particularly valuable in my mentoring practice, guiding reflective discussions and helping mentees gain deeper self-insight.</w:t>
      </w:r>
    </w:p>
    <w:p w14:paraId="3EE3E9E5" w14:textId="06206508" w:rsidR="007717A5" w:rsidRPr="00180029" w:rsidRDefault="007717A5"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Through these experiences, I have developed a stronger understanding of the importance of active listening, empathy, and adaptability in both coaching and mentoring. I have learned that the balance of structure and flexibility, as well as the need for clear, actionable feedback, are key to supporting meaningful development in individuals. These practices are enhanced by models such as GROW and the Johari Window, which provide both structure and depth to the reflective process.</w:t>
      </w:r>
    </w:p>
    <w:p w14:paraId="1F631C25" w14:textId="73AC958E" w:rsidR="008405AE" w:rsidRPr="00180029" w:rsidRDefault="007717A5" w:rsidP="00180029">
      <w:pPr>
        <w:spacing w:line="360" w:lineRule="auto"/>
        <w:rPr>
          <w:rFonts w:ascii="Arial" w:hAnsi="Arial" w:cs="Arial"/>
          <w:color w:val="0A2F41" w:themeColor="accent1" w:themeShade="80"/>
        </w:rPr>
      </w:pPr>
      <w:r w:rsidRPr="00180029">
        <w:rPr>
          <w:rFonts w:ascii="Arial" w:hAnsi="Arial" w:cs="Arial"/>
          <w:color w:val="0A2F41" w:themeColor="accent1" w:themeShade="80"/>
        </w:rPr>
        <w:t>Moving forward, these insights will inform my approach to coaching and mentoring in the workplace. I will focus on creating strong rapport, adapting my approach to individual needs, and continuing to develop my reflective practice to ensure effective, client-centred support.</w:t>
      </w:r>
    </w:p>
    <w:p w14:paraId="3E053A0E" w14:textId="77777777" w:rsidR="008405AE" w:rsidRDefault="008405AE" w:rsidP="00915E83"/>
    <w:p w14:paraId="16D8DEEB" w14:textId="77777777" w:rsidR="00180029" w:rsidRDefault="00180029" w:rsidP="00915E83"/>
    <w:p w14:paraId="49F5DE8B" w14:textId="77777777" w:rsidR="00180029" w:rsidRDefault="00180029" w:rsidP="00915E83"/>
    <w:p w14:paraId="7BACD70D" w14:textId="77777777" w:rsidR="00180029" w:rsidRDefault="00180029" w:rsidP="00915E83"/>
    <w:p w14:paraId="75590213" w14:textId="77777777" w:rsidR="00180029" w:rsidRDefault="00180029" w:rsidP="00915E83"/>
    <w:p w14:paraId="789BBE05" w14:textId="77777777" w:rsidR="00180029" w:rsidRDefault="00180029" w:rsidP="00915E83"/>
    <w:p w14:paraId="7D9373DF" w14:textId="77777777" w:rsidR="00180029" w:rsidRDefault="00180029" w:rsidP="00915E83"/>
    <w:p w14:paraId="17D31F88" w14:textId="77777777" w:rsidR="00180029" w:rsidRDefault="00180029" w:rsidP="00915E83"/>
    <w:p w14:paraId="0BE77659" w14:textId="77777777" w:rsidR="00180029" w:rsidRDefault="00180029" w:rsidP="00915E83"/>
    <w:p w14:paraId="78F90337" w14:textId="4CC31203" w:rsidR="00915E83" w:rsidRDefault="00550E66" w:rsidP="008405AE">
      <w:pPr>
        <w:pStyle w:val="Heading1"/>
        <w:shd w:val="clear" w:color="auto" w:fill="A6BED2"/>
      </w:pPr>
      <w:bookmarkStart w:id="14" w:name="_Toc182657474"/>
      <w:r>
        <w:t xml:space="preserve">List of </w:t>
      </w:r>
      <w:r w:rsidR="00915E83">
        <w:t>References</w:t>
      </w:r>
      <w:bookmarkEnd w:id="14"/>
    </w:p>
    <w:p w14:paraId="61657D06" w14:textId="77777777" w:rsidR="008405AE" w:rsidRDefault="008405AE" w:rsidP="00550E66">
      <w:pPr>
        <w:spacing w:line="360" w:lineRule="auto"/>
        <w:rPr>
          <w:rFonts w:ascii="Arial" w:hAnsi="Arial" w:cs="Arial"/>
          <w:color w:val="0A2F41" w:themeColor="accent1" w:themeShade="80"/>
        </w:rPr>
      </w:pPr>
    </w:p>
    <w:p w14:paraId="2610CDA0" w14:textId="23738D35" w:rsidR="008405AE"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Brockbank, A. &amp; McGill, I. (2012). Facilitating Reflective Learning: Coaching, Mentoring and Supervision. 2nd ed. Philadelphia, Pa.: Kogan Page Ltd.</w:t>
      </w:r>
    </w:p>
    <w:p w14:paraId="03FD5C61" w14:textId="0D7A40B3" w:rsidR="00915E83"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Connor, M. (2012). Coaching and mentoring at work: Developing effective practice. 2nd ed. Berkshire: McGraw-Hill.</w:t>
      </w:r>
    </w:p>
    <w:p w14:paraId="0F4926B5" w14:textId="60771F0F" w:rsidR="002E2E91" w:rsidRPr="00550E66"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Dexter, J., Dexter, G. &amp; Irving, J. (2011). An Introduction to Coaching. Los Angeles, Calif. &amp; London: SAGE.</w:t>
      </w:r>
    </w:p>
    <w:p w14:paraId="29CDB168" w14:textId="77777777" w:rsidR="00915E83"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Downey, M. (2014). Effective Coaching: Lessons from the Coach's Coach. London: Cengage Learning.</w:t>
      </w:r>
    </w:p>
    <w:p w14:paraId="307CE7B6" w14:textId="1564515F" w:rsidR="00DD47F7" w:rsidRPr="00550E66" w:rsidRDefault="00DD47F7" w:rsidP="00550E66">
      <w:pPr>
        <w:spacing w:line="360" w:lineRule="auto"/>
        <w:rPr>
          <w:rFonts w:ascii="Arial" w:hAnsi="Arial" w:cs="Arial"/>
          <w:color w:val="0A2F41" w:themeColor="accent1" w:themeShade="80"/>
        </w:rPr>
      </w:pPr>
      <w:r w:rsidRPr="00DD47F7">
        <w:rPr>
          <w:rFonts w:ascii="Arial" w:hAnsi="Arial" w:cs="Arial"/>
          <w:color w:val="0A2F41" w:themeColor="accent1" w:themeShade="80"/>
        </w:rPr>
        <w:t>Driscoll, J. (2007). Practicing Clinical Supervision: A Reflective Approach for Healthcare Professionals. 2nd ed. Maidenhead: Open University Press.</w:t>
      </w:r>
    </w:p>
    <w:p w14:paraId="531BB726" w14:textId="77777777" w:rsidR="00915E83"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Garvey, B., Stokes, P. &amp; Megginson, D. (2018). Coaching and Mentoring: Theory and Practice. 3rd ed. London: Sage.</w:t>
      </w:r>
    </w:p>
    <w:p w14:paraId="7F653B9B" w14:textId="676D5BF9" w:rsidR="00521AC0" w:rsidRDefault="00521AC0" w:rsidP="00521AC0">
      <w:pPr>
        <w:rPr>
          <w:rFonts w:ascii="Arial" w:hAnsi="Arial" w:cs="Arial"/>
          <w:color w:val="0A2F41" w:themeColor="accent1" w:themeShade="80"/>
        </w:rPr>
      </w:pPr>
      <w:r w:rsidRPr="00521AC0">
        <w:rPr>
          <w:rFonts w:ascii="Arial" w:hAnsi="Arial" w:cs="Arial"/>
          <w:color w:val="0A2F41" w:themeColor="accent1" w:themeShade="80"/>
        </w:rPr>
        <w:t>Gibbs, G. (1988). Learning by Doing: A Guide to Teaching and Learning Methods. Oxford: Oxford Polytechnic.</w:t>
      </w:r>
    </w:p>
    <w:p w14:paraId="7EFDBC2F" w14:textId="5ACE22D6" w:rsidR="00A93F96" w:rsidRDefault="00A93F96" w:rsidP="00550E66">
      <w:pPr>
        <w:spacing w:line="360" w:lineRule="auto"/>
        <w:rPr>
          <w:rFonts w:ascii="Arial" w:hAnsi="Arial" w:cs="Arial"/>
          <w:color w:val="0A2F41" w:themeColor="accent1" w:themeShade="80"/>
        </w:rPr>
      </w:pPr>
      <w:r w:rsidRPr="00A93F96">
        <w:rPr>
          <w:rFonts w:ascii="Arial" w:hAnsi="Arial" w:cs="Arial"/>
          <w:color w:val="0A2F41" w:themeColor="accent1" w:themeShade="80"/>
        </w:rPr>
        <w:t>Gilbert, A. &amp; Whittleworth, K. (2009). The OSCAR Coaching Model. London: Worth Consulting Ltd.</w:t>
      </w:r>
    </w:p>
    <w:p w14:paraId="3AA1D36E" w14:textId="00726BC9" w:rsidR="002E2E91" w:rsidRPr="00550E66"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Hawkins, P. &amp; Smith, N. (2013). Coaching, Mentoring and Organizational Consultancy: Supervision, Skills</w:t>
      </w:r>
      <w:r w:rsidR="24A5F296" w:rsidRPr="590D60C9">
        <w:rPr>
          <w:rFonts w:ascii="Arial" w:hAnsi="Arial" w:cs="Arial"/>
          <w:color w:val="0A2F41" w:themeColor="accent1" w:themeShade="80"/>
        </w:rPr>
        <w:t>,</w:t>
      </w:r>
      <w:r w:rsidRPr="002E2E91">
        <w:rPr>
          <w:rFonts w:ascii="Arial" w:hAnsi="Arial" w:cs="Arial"/>
          <w:color w:val="0A2F41" w:themeColor="accent1" w:themeShade="80"/>
        </w:rPr>
        <w:t xml:space="preserve"> and Development. 2nd ed. Maidenhead, Berkshire, England: McGraw-Hill Education Open University Press.</w:t>
      </w:r>
    </w:p>
    <w:p w14:paraId="75DC40FA" w14:textId="77777777" w:rsidR="002E2E91" w:rsidRDefault="002E2E91" w:rsidP="00550E66">
      <w:pPr>
        <w:spacing w:line="360" w:lineRule="auto"/>
        <w:rPr>
          <w:rFonts w:ascii="Arial" w:hAnsi="Arial" w:cs="Arial"/>
          <w:color w:val="0A2F41" w:themeColor="accent1" w:themeShade="80"/>
        </w:rPr>
      </w:pPr>
      <w:r w:rsidRPr="002E2E91">
        <w:rPr>
          <w:rFonts w:ascii="Arial" w:hAnsi="Arial" w:cs="Arial"/>
          <w:color w:val="0A2F41" w:themeColor="accent1" w:themeShade="80"/>
        </w:rPr>
        <w:t>Luft, J. &amp; Ingham, H. (2004). The Johari Window: A graphic model of interpersonal awareness. In: The Handbook of Group Communication Theory and Research. Thousand Oaks, CA: Sage.</w:t>
      </w:r>
    </w:p>
    <w:p w14:paraId="03EA6571" w14:textId="61D65087" w:rsidR="00FF36E2" w:rsidRDefault="00915E83" w:rsidP="00550E66">
      <w:pPr>
        <w:spacing w:line="360" w:lineRule="auto"/>
        <w:rPr>
          <w:rFonts w:ascii="Arial" w:hAnsi="Arial" w:cs="Arial"/>
          <w:color w:val="0A2F41" w:themeColor="accent1" w:themeShade="80"/>
        </w:rPr>
      </w:pPr>
      <w:r w:rsidRPr="00550E66">
        <w:rPr>
          <w:rFonts w:ascii="Arial" w:hAnsi="Arial" w:cs="Arial"/>
          <w:color w:val="0A2F41" w:themeColor="accent1" w:themeShade="80"/>
        </w:rPr>
        <w:t>Whitmore, J. (2009). Coaching for Performance: Growing Human Potential and Purpose. 4th ed. London: Nicholas Brealey.</w:t>
      </w:r>
    </w:p>
    <w:p w14:paraId="63065A01" w14:textId="707ED5A1" w:rsidR="00F514D1" w:rsidRDefault="00F514D1" w:rsidP="00550E66">
      <w:pPr>
        <w:spacing w:line="360" w:lineRule="auto"/>
        <w:rPr>
          <w:rFonts w:ascii="Arial" w:hAnsi="Arial" w:cs="Arial"/>
          <w:color w:val="0A2F41" w:themeColor="accent1" w:themeShade="80"/>
        </w:rPr>
      </w:pPr>
      <w:r w:rsidRPr="00F514D1">
        <w:rPr>
          <w:rFonts w:ascii="Arial" w:hAnsi="Arial" w:cs="Arial"/>
          <w:color w:val="0A2F41" w:themeColor="accent1" w:themeShade="80"/>
        </w:rPr>
        <w:t xml:space="preserve">University of Cambridge Libraries (n.d.) Reflective practice toolkit: Models of reflection. Available </w:t>
      </w:r>
      <w:r w:rsidR="00435A81" w:rsidRPr="00F514D1">
        <w:rPr>
          <w:rFonts w:ascii="Arial" w:hAnsi="Arial" w:cs="Arial"/>
          <w:color w:val="0A2F41" w:themeColor="accent1" w:themeShade="80"/>
        </w:rPr>
        <w:t>at:https</w:t>
      </w:r>
      <w:r w:rsidRPr="00F514D1">
        <w:rPr>
          <w:rFonts w:ascii="Arial" w:hAnsi="Arial" w:cs="Arial"/>
          <w:color w:val="0A2F41" w:themeColor="accent1" w:themeShade="80"/>
        </w:rPr>
        <w:t>://libguides.cam.ac.uk/reflectivepracticetoolkit/models (Accessed: 15 November 2024).</w:t>
      </w:r>
    </w:p>
    <w:p w14:paraId="07E9A8CC" w14:textId="0120B8E8" w:rsidR="004C6801" w:rsidRDefault="004C6801" w:rsidP="00550E66">
      <w:pPr>
        <w:spacing w:line="360" w:lineRule="auto"/>
        <w:rPr>
          <w:rFonts w:ascii="Arial" w:hAnsi="Arial" w:cs="Arial"/>
          <w:color w:val="0A2F41" w:themeColor="accent1" w:themeShade="80"/>
        </w:rPr>
      </w:pPr>
    </w:p>
    <w:p w14:paraId="02FF8017" w14:textId="4A4A8973" w:rsidR="01493194" w:rsidRDefault="01493194" w:rsidP="01493194">
      <w:pPr>
        <w:spacing w:line="360" w:lineRule="auto"/>
        <w:rPr>
          <w:rFonts w:ascii="Arial" w:hAnsi="Arial" w:cs="Arial"/>
          <w:color w:val="0A2F41" w:themeColor="accent1" w:themeShade="80"/>
        </w:rPr>
      </w:pPr>
    </w:p>
    <w:p w14:paraId="3D51E499" w14:textId="0F14309D" w:rsidR="446EEC5C" w:rsidRDefault="446EEC5C" w:rsidP="446EEC5C">
      <w:pPr>
        <w:spacing w:line="360" w:lineRule="auto"/>
        <w:rPr>
          <w:rFonts w:ascii="Arial" w:hAnsi="Arial" w:cs="Arial"/>
          <w:color w:val="0A2F41" w:themeColor="accent1" w:themeShade="80"/>
        </w:rPr>
      </w:pPr>
    </w:p>
    <w:p w14:paraId="5866635B" w14:textId="615017B5" w:rsidR="446EEC5C" w:rsidRDefault="446EEC5C" w:rsidP="446EEC5C">
      <w:pPr>
        <w:spacing w:line="360" w:lineRule="auto"/>
        <w:rPr>
          <w:rFonts w:ascii="Arial" w:hAnsi="Arial" w:cs="Arial"/>
          <w:color w:val="0A2F41" w:themeColor="accent1" w:themeShade="80"/>
        </w:rPr>
      </w:pPr>
    </w:p>
    <w:p w14:paraId="1FBF98FC" w14:textId="1B382057" w:rsidR="446EEC5C" w:rsidRDefault="446EEC5C" w:rsidP="446EEC5C">
      <w:pPr>
        <w:spacing w:line="360" w:lineRule="auto"/>
        <w:rPr>
          <w:rFonts w:ascii="Arial" w:hAnsi="Arial" w:cs="Arial"/>
          <w:color w:val="0A2F41" w:themeColor="accent1" w:themeShade="80"/>
        </w:rPr>
      </w:pPr>
    </w:p>
    <w:p w14:paraId="6F892C56" w14:textId="5898C23F" w:rsidR="446EEC5C" w:rsidRDefault="446EEC5C" w:rsidP="446EEC5C">
      <w:pPr>
        <w:spacing w:line="360" w:lineRule="auto"/>
        <w:rPr>
          <w:rFonts w:ascii="Arial" w:hAnsi="Arial" w:cs="Arial"/>
          <w:color w:val="0A2F41" w:themeColor="accent1" w:themeShade="80"/>
        </w:rPr>
      </w:pPr>
    </w:p>
    <w:p w14:paraId="79958BED" w14:textId="2A7ABBC2" w:rsidR="446EEC5C" w:rsidRDefault="446EEC5C" w:rsidP="446EEC5C">
      <w:pPr>
        <w:spacing w:line="360" w:lineRule="auto"/>
        <w:rPr>
          <w:rFonts w:ascii="Arial" w:hAnsi="Arial" w:cs="Arial"/>
          <w:color w:val="0A2F41" w:themeColor="accent1" w:themeShade="80"/>
        </w:rPr>
      </w:pPr>
    </w:p>
    <w:p w14:paraId="6EEE4922" w14:textId="4FE1BE5F" w:rsidR="446EEC5C" w:rsidRDefault="446EEC5C" w:rsidP="446EEC5C">
      <w:pPr>
        <w:spacing w:line="360" w:lineRule="auto"/>
        <w:rPr>
          <w:rFonts w:ascii="Arial" w:hAnsi="Arial" w:cs="Arial"/>
          <w:color w:val="0A2F41" w:themeColor="accent1" w:themeShade="80"/>
        </w:rPr>
      </w:pPr>
    </w:p>
    <w:p w14:paraId="2088BFC1" w14:textId="494A9A2A" w:rsidR="446EEC5C" w:rsidRDefault="446EEC5C" w:rsidP="446EEC5C">
      <w:pPr>
        <w:spacing w:line="360" w:lineRule="auto"/>
        <w:rPr>
          <w:rFonts w:ascii="Arial" w:hAnsi="Arial" w:cs="Arial"/>
          <w:color w:val="0A2F41" w:themeColor="accent1" w:themeShade="80"/>
        </w:rPr>
      </w:pPr>
    </w:p>
    <w:p w14:paraId="4B914BBB" w14:textId="20F29499" w:rsidR="446EEC5C" w:rsidRDefault="446EEC5C" w:rsidP="446EEC5C">
      <w:pPr>
        <w:spacing w:line="360" w:lineRule="auto"/>
        <w:rPr>
          <w:rFonts w:ascii="Arial" w:hAnsi="Arial" w:cs="Arial"/>
          <w:color w:val="0A2F41" w:themeColor="accent1" w:themeShade="80"/>
        </w:rPr>
      </w:pPr>
    </w:p>
    <w:p w14:paraId="407AE08F" w14:textId="0913A440" w:rsidR="446EEC5C" w:rsidRDefault="446EEC5C" w:rsidP="446EEC5C">
      <w:pPr>
        <w:spacing w:line="360" w:lineRule="auto"/>
        <w:rPr>
          <w:rFonts w:ascii="Arial" w:hAnsi="Arial" w:cs="Arial"/>
          <w:color w:val="0A2F41" w:themeColor="accent1" w:themeShade="80"/>
        </w:rPr>
      </w:pPr>
    </w:p>
    <w:p w14:paraId="3653BD83" w14:textId="1E0DEE4C" w:rsidR="446EEC5C" w:rsidRDefault="446EEC5C" w:rsidP="446EEC5C">
      <w:pPr>
        <w:spacing w:line="360" w:lineRule="auto"/>
        <w:rPr>
          <w:rFonts w:ascii="Arial" w:hAnsi="Arial" w:cs="Arial"/>
          <w:color w:val="0A2F41" w:themeColor="accent1" w:themeShade="80"/>
        </w:rPr>
      </w:pPr>
    </w:p>
    <w:p w14:paraId="48C3C7B9" w14:textId="04534EAA" w:rsidR="6EDD0EE3" w:rsidRDefault="6EDD0EE3" w:rsidP="6EDD0EE3">
      <w:pPr>
        <w:spacing w:line="360" w:lineRule="auto"/>
        <w:rPr>
          <w:rFonts w:ascii="Arial" w:hAnsi="Arial" w:cs="Arial"/>
          <w:color w:val="0A2F41" w:themeColor="accent1" w:themeShade="80"/>
        </w:rPr>
      </w:pPr>
    </w:p>
    <w:p w14:paraId="5B25F6D8" w14:textId="735B3B6A" w:rsidR="6EDD0EE3" w:rsidRDefault="6EDD0EE3" w:rsidP="6EDD0EE3">
      <w:pPr>
        <w:spacing w:line="360" w:lineRule="auto"/>
        <w:rPr>
          <w:rFonts w:ascii="Arial" w:hAnsi="Arial" w:cs="Arial"/>
          <w:color w:val="0A2F41" w:themeColor="accent1" w:themeShade="80"/>
        </w:rPr>
      </w:pPr>
    </w:p>
    <w:p w14:paraId="0A8BB02D" w14:textId="34B185FA" w:rsidR="6EDD0EE3" w:rsidRDefault="6EDD0EE3" w:rsidP="6EDD0EE3">
      <w:pPr>
        <w:spacing w:line="360" w:lineRule="auto"/>
        <w:rPr>
          <w:rFonts w:ascii="Arial" w:hAnsi="Arial" w:cs="Arial"/>
          <w:color w:val="0A2F41" w:themeColor="accent1" w:themeShade="80"/>
        </w:rPr>
      </w:pPr>
    </w:p>
    <w:p w14:paraId="5135C6C0" w14:textId="632DF779" w:rsidR="6EDD0EE3" w:rsidRDefault="6EDD0EE3" w:rsidP="6EDD0EE3">
      <w:pPr>
        <w:spacing w:line="360" w:lineRule="auto"/>
        <w:rPr>
          <w:rFonts w:ascii="Arial" w:hAnsi="Arial" w:cs="Arial"/>
          <w:color w:val="0A2F41" w:themeColor="accent1" w:themeShade="80"/>
        </w:rPr>
      </w:pPr>
    </w:p>
    <w:p w14:paraId="6DCCD73E" w14:textId="3DF485E3" w:rsidR="6EDD0EE3" w:rsidRDefault="6EDD0EE3" w:rsidP="6EDD0EE3">
      <w:pPr>
        <w:spacing w:line="360" w:lineRule="auto"/>
        <w:rPr>
          <w:rFonts w:ascii="Arial" w:hAnsi="Arial" w:cs="Arial"/>
          <w:color w:val="0A2F41" w:themeColor="accent1" w:themeShade="80"/>
        </w:rPr>
      </w:pPr>
    </w:p>
    <w:p w14:paraId="3F9F42CD" w14:textId="06228A72" w:rsidR="6EDD0EE3" w:rsidRDefault="6EDD0EE3" w:rsidP="6EDD0EE3">
      <w:pPr>
        <w:spacing w:line="360" w:lineRule="auto"/>
        <w:rPr>
          <w:rFonts w:ascii="Arial" w:hAnsi="Arial" w:cs="Arial"/>
          <w:color w:val="0A2F41" w:themeColor="accent1" w:themeShade="80"/>
        </w:rPr>
      </w:pPr>
    </w:p>
    <w:p w14:paraId="12FC8AF5" w14:textId="21CADD05" w:rsidR="6EDD0EE3" w:rsidRDefault="6EDD0EE3" w:rsidP="6EDD0EE3">
      <w:pPr>
        <w:spacing w:line="360" w:lineRule="auto"/>
        <w:rPr>
          <w:rFonts w:ascii="Arial" w:hAnsi="Arial" w:cs="Arial"/>
          <w:color w:val="0A2F41" w:themeColor="accent1" w:themeShade="80"/>
        </w:rPr>
      </w:pPr>
    </w:p>
    <w:p w14:paraId="76093FFD" w14:textId="163CFA17" w:rsidR="004C6801" w:rsidRPr="004C6801" w:rsidRDefault="004C6801" w:rsidP="004C6801">
      <w:pPr>
        <w:pStyle w:val="Heading1"/>
        <w:shd w:val="clear" w:color="auto" w:fill="A6BED2"/>
        <w:rPr>
          <w:color w:val="0A2F41" w:themeColor="accent1" w:themeShade="80"/>
        </w:rPr>
      </w:pPr>
      <w:bookmarkStart w:id="15" w:name="_Toc182657475"/>
      <w:r w:rsidRPr="004C6801">
        <w:rPr>
          <w:color w:val="0A2F41" w:themeColor="accent1" w:themeShade="80"/>
        </w:rPr>
        <w:t>Appendix</w:t>
      </w:r>
      <w:bookmarkEnd w:id="15"/>
    </w:p>
    <w:p w14:paraId="5A476685" w14:textId="77777777" w:rsidR="004C6801" w:rsidRDefault="004C6801" w:rsidP="00550E66">
      <w:pPr>
        <w:spacing w:line="360" w:lineRule="auto"/>
        <w:rPr>
          <w:rFonts w:ascii="Arial" w:hAnsi="Arial" w:cs="Arial"/>
          <w:color w:val="0A2F41" w:themeColor="accent1" w:themeShade="80"/>
        </w:rPr>
      </w:pPr>
    </w:p>
    <w:p w14:paraId="7C825A9C" w14:textId="2FDB053D" w:rsidR="002E09D4" w:rsidRDefault="004C6801" w:rsidP="002E09D4">
      <w:pPr>
        <w:pStyle w:val="Heading2"/>
      </w:pPr>
      <w:bookmarkStart w:id="16" w:name="_Toc182657476"/>
      <w:r w:rsidRPr="004C6801">
        <w:t>Appendix A: Feedback from Practical 1</w:t>
      </w:r>
      <w:bookmarkEnd w:id="16"/>
    </w:p>
    <w:p w14:paraId="15BD6FE3" w14:textId="77777777" w:rsidR="002E09D4" w:rsidRDefault="002E09D4" w:rsidP="002E09D4"/>
    <w:p w14:paraId="7CFA25A7" w14:textId="1315FF44" w:rsidR="004605DC" w:rsidRPr="004605DC" w:rsidRDefault="004605DC" w:rsidP="004605DC">
      <w:pPr>
        <w:rPr>
          <w:lang w:val="bg-BG"/>
        </w:rPr>
      </w:pPr>
      <w:r w:rsidRPr="004605DC">
        <w:rPr>
          <w:noProof/>
          <w:lang w:val="bg-BG"/>
        </w:rPr>
        <w:drawing>
          <wp:inline distT="0" distB="0" distL="0" distR="0" wp14:anchorId="5542C130" wp14:editId="6F672D6D">
            <wp:extent cx="5943600" cy="2791460"/>
            <wp:effectExtent l="0" t="0" r="0" b="8890"/>
            <wp:docPr id="1080910091"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10091" name="Picture 7"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791460"/>
                    </a:xfrm>
                    <a:prstGeom prst="rect">
                      <a:avLst/>
                    </a:prstGeom>
                    <a:noFill/>
                    <a:ln>
                      <a:noFill/>
                    </a:ln>
                  </pic:spPr>
                </pic:pic>
              </a:graphicData>
            </a:graphic>
          </wp:inline>
        </w:drawing>
      </w:r>
    </w:p>
    <w:p w14:paraId="2BC585E6" w14:textId="77777777" w:rsidR="002E09D4" w:rsidRDefault="002E09D4" w:rsidP="002E09D4"/>
    <w:p w14:paraId="00009FEE" w14:textId="77777777" w:rsidR="002E09D4" w:rsidRPr="002E09D4" w:rsidRDefault="002E09D4" w:rsidP="002E09D4"/>
    <w:p w14:paraId="0525786C" w14:textId="6AC60663" w:rsidR="004C6801" w:rsidRDefault="004C6801" w:rsidP="004C6801">
      <w:pPr>
        <w:pStyle w:val="Heading2"/>
      </w:pPr>
      <w:bookmarkStart w:id="17" w:name="_Toc182657477"/>
      <w:r w:rsidRPr="004C6801">
        <w:t>Appendix B: Feedback from Practical 2</w:t>
      </w:r>
      <w:bookmarkEnd w:id="17"/>
    </w:p>
    <w:p w14:paraId="57BDBCDD" w14:textId="77777777" w:rsidR="004605DC" w:rsidRDefault="004605DC" w:rsidP="004605DC"/>
    <w:p w14:paraId="1A523C92" w14:textId="4D1E683F" w:rsidR="00625A2E" w:rsidRDefault="00625A2E" w:rsidP="00625A2E">
      <w:r w:rsidRPr="00625A2E">
        <w:rPr>
          <w:noProof/>
          <w:lang w:val="bg-BG"/>
        </w:rPr>
        <w:drawing>
          <wp:inline distT="0" distB="0" distL="0" distR="0" wp14:anchorId="0320BF29" wp14:editId="3BD37F4E">
            <wp:extent cx="5943600" cy="2733040"/>
            <wp:effectExtent l="0" t="0" r="0" b="0"/>
            <wp:docPr id="112943099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30995" name="Picture 9"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733040"/>
                    </a:xfrm>
                    <a:prstGeom prst="rect">
                      <a:avLst/>
                    </a:prstGeom>
                    <a:noFill/>
                    <a:ln>
                      <a:noFill/>
                    </a:ln>
                  </pic:spPr>
                </pic:pic>
              </a:graphicData>
            </a:graphic>
          </wp:inline>
        </w:drawing>
      </w:r>
    </w:p>
    <w:p w14:paraId="407BEBC4" w14:textId="77777777" w:rsidR="00625A2E" w:rsidRDefault="00625A2E" w:rsidP="00625A2E"/>
    <w:p w14:paraId="36A8245C" w14:textId="5BBC86EB" w:rsidR="00625A2E" w:rsidRPr="00625A2E" w:rsidRDefault="00625A2E" w:rsidP="00625A2E">
      <w:pPr>
        <w:rPr>
          <w:lang w:val="bg-BG"/>
        </w:rPr>
      </w:pPr>
      <w:r w:rsidRPr="00625A2E">
        <w:rPr>
          <w:noProof/>
          <w:lang w:val="bg-BG"/>
        </w:rPr>
        <w:drawing>
          <wp:inline distT="0" distB="0" distL="0" distR="0" wp14:anchorId="5D8AF364" wp14:editId="55230714">
            <wp:extent cx="5943600" cy="2694940"/>
            <wp:effectExtent l="0" t="0" r="0" b="0"/>
            <wp:docPr id="504905285"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05285" name="Picture 13"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694940"/>
                    </a:xfrm>
                    <a:prstGeom prst="rect">
                      <a:avLst/>
                    </a:prstGeom>
                    <a:noFill/>
                    <a:ln>
                      <a:noFill/>
                    </a:ln>
                  </pic:spPr>
                </pic:pic>
              </a:graphicData>
            </a:graphic>
          </wp:inline>
        </w:drawing>
      </w:r>
    </w:p>
    <w:p w14:paraId="32F8B4E6" w14:textId="77777777" w:rsidR="00625A2E" w:rsidRPr="00625A2E" w:rsidRDefault="00625A2E" w:rsidP="00625A2E"/>
    <w:p w14:paraId="0C13D1E0" w14:textId="77777777" w:rsidR="004605DC" w:rsidRDefault="004605DC" w:rsidP="004605DC"/>
    <w:p w14:paraId="77A56AB7" w14:textId="482E99E7" w:rsidR="00625A2E" w:rsidRPr="00625A2E" w:rsidRDefault="00625A2E" w:rsidP="00625A2E">
      <w:pPr>
        <w:rPr>
          <w:lang w:val="bg-BG"/>
        </w:rPr>
      </w:pPr>
      <w:r w:rsidRPr="00625A2E">
        <w:rPr>
          <w:noProof/>
          <w:lang w:val="bg-BG"/>
        </w:rPr>
        <w:drawing>
          <wp:inline distT="0" distB="0" distL="0" distR="0" wp14:anchorId="69081F4B" wp14:editId="1B382D00">
            <wp:extent cx="5943600" cy="2647950"/>
            <wp:effectExtent l="0" t="0" r="0" b="0"/>
            <wp:docPr id="108685537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855371" name="Picture 11"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647950"/>
                    </a:xfrm>
                    <a:prstGeom prst="rect">
                      <a:avLst/>
                    </a:prstGeom>
                    <a:noFill/>
                    <a:ln>
                      <a:noFill/>
                    </a:ln>
                  </pic:spPr>
                </pic:pic>
              </a:graphicData>
            </a:graphic>
          </wp:inline>
        </w:drawing>
      </w:r>
    </w:p>
    <w:p w14:paraId="5ECA2069" w14:textId="77777777" w:rsidR="00625A2E" w:rsidRPr="004605DC" w:rsidRDefault="00625A2E" w:rsidP="004605DC"/>
    <w:sectPr w:rsidR="00625A2E" w:rsidRPr="004605DC">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D91FA" w14:textId="77777777" w:rsidR="00C20A29" w:rsidRDefault="00C20A29" w:rsidP="00550E66">
      <w:pPr>
        <w:spacing w:after="0" w:line="240" w:lineRule="auto"/>
      </w:pPr>
      <w:r>
        <w:separator/>
      </w:r>
    </w:p>
  </w:endnote>
  <w:endnote w:type="continuationSeparator" w:id="0">
    <w:p w14:paraId="3DBA365D" w14:textId="77777777" w:rsidR="00C20A29" w:rsidRDefault="00C20A29" w:rsidP="00550E66">
      <w:pPr>
        <w:spacing w:after="0" w:line="240" w:lineRule="auto"/>
      </w:pPr>
      <w:r>
        <w:continuationSeparator/>
      </w:r>
    </w:p>
  </w:endnote>
  <w:endnote w:type="continuationNotice" w:id="1">
    <w:p w14:paraId="0BD17BB5" w14:textId="77777777" w:rsidR="008456E0" w:rsidRDefault="008456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0886045"/>
      <w:docPartObj>
        <w:docPartGallery w:val="Page Numbers (Bottom of Page)"/>
        <w:docPartUnique/>
      </w:docPartObj>
    </w:sdtPr>
    <w:sdtContent>
      <w:p w14:paraId="6C4A85E0" w14:textId="1BB328B6" w:rsidR="00550E66" w:rsidRDefault="00550E66">
        <w:pPr>
          <w:pStyle w:val="Footer"/>
          <w:jc w:val="center"/>
        </w:pPr>
        <w:r>
          <w:rPr>
            <w:noProof/>
          </w:rPr>
          <mc:AlternateContent>
            <mc:Choice Requires="wpg">
              <w:drawing>
                <wp:inline distT="0" distB="0" distL="0" distR="0" wp14:anchorId="58D321B3" wp14:editId="363E9EF2">
                  <wp:extent cx="418465" cy="221615"/>
                  <wp:effectExtent l="0" t="0" r="635" b="0"/>
                  <wp:docPr id="159441940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852615737"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30B6A" w14:textId="77777777" w:rsidR="00550E66" w:rsidRDefault="00550E66">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1719309349" name="Group 64"/>
                          <wpg:cNvGrpSpPr>
                            <a:grpSpLocks/>
                          </wpg:cNvGrpSpPr>
                          <wpg:grpSpPr bwMode="auto">
                            <a:xfrm>
                              <a:off x="5494" y="739"/>
                              <a:ext cx="372" cy="72"/>
                              <a:chOff x="5486" y="739"/>
                              <a:chExt cx="372" cy="72"/>
                            </a:xfrm>
                          </wpg:grpSpPr>
                          <wps:wsp>
                            <wps:cNvPr id="726771508"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7566860"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708943"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58D321B3" id="Group 5"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" filled="f" stroked="f">
                    <v:textbox inset="0,0,0,0">
                      <w:txbxContent>
                        <w:p w14:paraId="19A30B6A" w14:textId="77777777" w:rsidR="00550E66" w:rsidRDefault="00550E66">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" fillcolor="#84a2c6" stroked="f"/>
                  </v:group>
                  <w10:anchorlock/>
                </v:group>
              </w:pict>
            </mc:Fallback>
          </mc:AlternateContent>
        </w:r>
      </w:p>
    </w:sdtContent>
  </w:sdt>
  <w:p w14:paraId="26D047AF" w14:textId="77777777" w:rsidR="00550E66" w:rsidRDefault="00550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6EB48" w14:textId="77777777" w:rsidR="00C20A29" w:rsidRDefault="00C20A29" w:rsidP="00550E66">
      <w:pPr>
        <w:spacing w:after="0" w:line="240" w:lineRule="auto"/>
      </w:pPr>
      <w:r>
        <w:separator/>
      </w:r>
    </w:p>
  </w:footnote>
  <w:footnote w:type="continuationSeparator" w:id="0">
    <w:p w14:paraId="353022B3" w14:textId="77777777" w:rsidR="00C20A29" w:rsidRDefault="00C20A29" w:rsidP="00550E66">
      <w:pPr>
        <w:spacing w:after="0" w:line="240" w:lineRule="auto"/>
      </w:pPr>
      <w:r>
        <w:continuationSeparator/>
      </w:r>
    </w:p>
  </w:footnote>
  <w:footnote w:type="continuationNotice" w:id="1">
    <w:p w14:paraId="725B831B" w14:textId="77777777" w:rsidR="008456E0" w:rsidRDefault="008456E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1eH56wthC2gs0O" int2:id="FsFGxJRA">
      <int2:state int2:value="Rejected" int2:type="AugLoop_Text_Critique"/>
    </int2:textHash>
    <int2:textHash int2:hashCode="JCk9JOQHpMagbj" int2:id="Gb9vzxoW">
      <int2:state int2:value="Rejected" int2:type="AugLoop_Text_Critique"/>
    </int2:textHash>
    <int2:textHash int2:hashCode="YTazXOLTJzVOgC" int2:id="Qjar9D2n">
      <int2:state int2:value="Rejected" int2:type="AugLoop_Text_Critique"/>
    </int2:textHash>
    <int2:textHash int2:hashCode="tJsLeIHMJdSqia" int2:id="Td3ne3fp">
      <int2:state int2:value="Rejected" int2:type="AugLoop_Text_Critique"/>
    </int2:textHash>
    <int2:textHash int2:hashCode="B4MaYNZhMc68E0" int2:id="VZez6A9T">
      <int2:state int2:value="Rejected" int2:type="AugLoop_Text_Critique"/>
    </int2:textHash>
    <int2:textHash int2:hashCode="uHSn2Bi5HfAWJE" int2:id="pTqa2Zib">
      <int2:state int2:value="Rejected" int2:type="AugLoop_Text_Critique"/>
    </int2:textHash>
    <int2:textHash int2:hashCode="o8nQIfy/GyFsU+" int2:id="qGL6oBv9">
      <int2:state int2:value="Rejected" int2:type="AugLoop_Text_Critique"/>
    </int2:textHash>
    <int2:textHash int2:hashCode="4LqVacKDjjv1Oe" int2:id="vKrhiymV">
      <int2:state int2:value="Rejected" int2:type="AugLoop_Text_Critique"/>
    </int2:textHash>
    <int2:bookmark int2:bookmarkName="_Int_cDzF6lVA" int2:invalidationBookmarkName="" int2:hashCode="b6aBEh1BxSEP6J" int2:id="kyLNIz8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defaultTabStop w:val="720"/>
  <w:hyphenationZone w:val="425"/>
  <w:characterSpacingControl w:val="doNotCompress"/>
  <w:hdrShapeDefaults>
    <o:shapedefaults v:ext="edit" spidmax="2050">
      <o:colormru v:ext="edit" colors="#ebf3f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A1"/>
    <w:rsid w:val="00030604"/>
    <w:rsid w:val="000339FF"/>
    <w:rsid w:val="000402AB"/>
    <w:rsid w:val="00063104"/>
    <w:rsid w:val="000A1281"/>
    <w:rsid w:val="000A1E9C"/>
    <w:rsid w:val="000C0405"/>
    <w:rsid w:val="000F4BB8"/>
    <w:rsid w:val="000F55D9"/>
    <w:rsid w:val="00137237"/>
    <w:rsid w:val="00151E74"/>
    <w:rsid w:val="001605D9"/>
    <w:rsid w:val="00180029"/>
    <w:rsid w:val="001801D0"/>
    <w:rsid w:val="0019035D"/>
    <w:rsid w:val="00195D5D"/>
    <w:rsid w:val="001A24FF"/>
    <w:rsid w:val="001B17CF"/>
    <w:rsid w:val="001B6DFA"/>
    <w:rsid w:val="001F0B90"/>
    <w:rsid w:val="002776F6"/>
    <w:rsid w:val="002910B0"/>
    <w:rsid w:val="002E09D4"/>
    <w:rsid w:val="002E2E91"/>
    <w:rsid w:val="0031336E"/>
    <w:rsid w:val="00334A3D"/>
    <w:rsid w:val="003F44C2"/>
    <w:rsid w:val="004154A1"/>
    <w:rsid w:val="00435A81"/>
    <w:rsid w:val="004605DC"/>
    <w:rsid w:val="00466E13"/>
    <w:rsid w:val="00492A58"/>
    <w:rsid w:val="004C6801"/>
    <w:rsid w:val="004F3DD7"/>
    <w:rsid w:val="005045BD"/>
    <w:rsid w:val="00521AC0"/>
    <w:rsid w:val="005404E6"/>
    <w:rsid w:val="00550E66"/>
    <w:rsid w:val="0055315D"/>
    <w:rsid w:val="005719FF"/>
    <w:rsid w:val="00580754"/>
    <w:rsid w:val="005A6783"/>
    <w:rsid w:val="005C5711"/>
    <w:rsid w:val="00625A2E"/>
    <w:rsid w:val="006377CE"/>
    <w:rsid w:val="00675684"/>
    <w:rsid w:val="0067587C"/>
    <w:rsid w:val="006D7B45"/>
    <w:rsid w:val="00710F19"/>
    <w:rsid w:val="007717A5"/>
    <w:rsid w:val="007768BD"/>
    <w:rsid w:val="00785BDD"/>
    <w:rsid w:val="00795E8E"/>
    <w:rsid w:val="00812042"/>
    <w:rsid w:val="00833052"/>
    <w:rsid w:val="008405AE"/>
    <w:rsid w:val="008444BA"/>
    <w:rsid w:val="008456E0"/>
    <w:rsid w:val="00872B8C"/>
    <w:rsid w:val="00877714"/>
    <w:rsid w:val="00887558"/>
    <w:rsid w:val="008909EF"/>
    <w:rsid w:val="008A0176"/>
    <w:rsid w:val="008C0D9B"/>
    <w:rsid w:val="008F0ED7"/>
    <w:rsid w:val="008F65C2"/>
    <w:rsid w:val="00915E83"/>
    <w:rsid w:val="009727AF"/>
    <w:rsid w:val="009A234F"/>
    <w:rsid w:val="009A3173"/>
    <w:rsid w:val="009B4CA6"/>
    <w:rsid w:val="009D616E"/>
    <w:rsid w:val="009F1AE0"/>
    <w:rsid w:val="009F4A27"/>
    <w:rsid w:val="00A319A4"/>
    <w:rsid w:val="00A35AF7"/>
    <w:rsid w:val="00A67F93"/>
    <w:rsid w:val="00A700E1"/>
    <w:rsid w:val="00A76165"/>
    <w:rsid w:val="00A81DD3"/>
    <w:rsid w:val="00A93F96"/>
    <w:rsid w:val="00AA7F42"/>
    <w:rsid w:val="00AB10E5"/>
    <w:rsid w:val="00AC7D7A"/>
    <w:rsid w:val="00B00C5E"/>
    <w:rsid w:val="00B45745"/>
    <w:rsid w:val="00B470B7"/>
    <w:rsid w:val="00BC78D8"/>
    <w:rsid w:val="00BD3D93"/>
    <w:rsid w:val="00BF5789"/>
    <w:rsid w:val="00C009D6"/>
    <w:rsid w:val="00C20A29"/>
    <w:rsid w:val="00C83DA2"/>
    <w:rsid w:val="00CA1433"/>
    <w:rsid w:val="00CC2708"/>
    <w:rsid w:val="00D0266C"/>
    <w:rsid w:val="00D14D1F"/>
    <w:rsid w:val="00D37A96"/>
    <w:rsid w:val="00D66D9F"/>
    <w:rsid w:val="00D9765E"/>
    <w:rsid w:val="00DC5EBE"/>
    <w:rsid w:val="00DC5FE1"/>
    <w:rsid w:val="00DD47F7"/>
    <w:rsid w:val="00DF055C"/>
    <w:rsid w:val="00E1260C"/>
    <w:rsid w:val="00E6632B"/>
    <w:rsid w:val="00E81AA9"/>
    <w:rsid w:val="00E82A00"/>
    <w:rsid w:val="00EB5E79"/>
    <w:rsid w:val="00EC0044"/>
    <w:rsid w:val="00F30AE6"/>
    <w:rsid w:val="00F30BB3"/>
    <w:rsid w:val="00F514D1"/>
    <w:rsid w:val="00F716D9"/>
    <w:rsid w:val="00F7176A"/>
    <w:rsid w:val="00F74A93"/>
    <w:rsid w:val="00F97E79"/>
    <w:rsid w:val="00FD33E6"/>
    <w:rsid w:val="00FE34E7"/>
    <w:rsid w:val="00FE4BC6"/>
    <w:rsid w:val="00FF36E2"/>
    <w:rsid w:val="01493194"/>
    <w:rsid w:val="03156B87"/>
    <w:rsid w:val="09B388CA"/>
    <w:rsid w:val="0A4A5A20"/>
    <w:rsid w:val="0CEA6DE9"/>
    <w:rsid w:val="0E972F0A"/>
    <w:rsid w:val="0F29F8EE"/>
    <w:rsid w:val="1029004C"/>
    <w:rsid w:val="1C0A3571"/>
    <w:rsid w:val="1DAF7C32"/>
    <w:rsid w:val="24A5F296"/>
    <w:rsid w:val="30025427"/>
    <w:rsid w:val="30BC2EF9"/>
    <w:rsid w:val="3138B2FF"/>
    <w:rsid w:val="446EEC5C"/>
    <w:rsid w:val="48711BC9"/>
    <w:rsid w:val="49CAACBD"/>
    <w:rsid w:val="4B45D04D"/>
    <w:rsid w:val="590D60C9"/>
    <w:rsid w:val="5D89EE72"/>
    <w:rsid w:val="67B4DF7A"/>
    <w:rsid w:val="68DE4236"/>
    <w:rsid w:val="6EDD0EE3"/>
    <w:rsid w:val="753CA640"/>
    <w:rsid w:val="77730B71"/>
    <w:rsid w:val="7E1F8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bf3fb"/>
    </o:shapedefaults>
    <o:shapelayout v:ext="edit">
      <o:idmap v:ext="edit" data="2"/>
    </o:shapelayout>
  </w:shapeDefaults>
  <w:decimalSymbol w:val="."/>
  <w:listSeparator w:val=","/>
  <w14:docId w14:val="0A5FDBA6"/>
  <w15:chartTrackingRefBased/>
  <w15:docId w15:val="{6ADC82AA-05DB-42BD-830A-4DBDE4C8F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7A5"/>
    <w:rPr>
      <w:lang w:val="en-GB"/>
    </w:rPr>
  </w:style>
  <w:style w:type="paragraph" w:styleId="Heading1">
    <w:name w:val="heading 1"/>
    <w:basedOn w:val="Normal"/>
    <w:next w:val="Normal"/>
    <w:link w:val="Heading1Char"/>
    <w:uiPriority w:val="9"/>
    <w:qFormat/>
    <w:rsid w:val="00415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5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4A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4154A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154A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154A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154A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154A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154A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154A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154A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15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4A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15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4A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154A1"/>
    <w:pPr>
      <w:spacing w:before="160"/>
      <w:jc w:val="center"/>
    </w:pPr>
    <w:rPr>
      <w:i/>
      <w:iCs/>
      <w:color w:val="404040" w:themeColor="text1" w:themeTint="BF"/>
    </w:rPr>
  </w:style>
  <w:style w:type="character" w:customStyle="1" w:styleId="QuoteChar">
    <w:name w:val="Quote Char"/>
    <w:basedOn w:val="DefaultParagraphFont"/>
    <w:link w:val="Quote"/>
    <w:uiPriority w:val="29"/>
    <w:rsid w:val="004154A1"/>
    <w:rPr>
      <w:i/>
      <w:iCs/>
      <w:color w:val="404040" w:themeColor="text1" w:themeTint="BF"/>
      <w:lang w:val="en-GB"/>
    </w:rPr>
  </w:style>
  <w:style w:type="paragraph" w:styleId="ListParagraph">
    <w:name w:val="List Paragraph"/>
    <w:basedOn w:val="Normal"/>
    <w:uiPriority w:val="34"/>
    <w:qFormat/>
    <w:rsid w:val="004154A1"/>
    <w:pPr>
      <w:ind w:left="720"/>
      <w:contextualSpacing/>
    </w:pPr>
  </w:style>
  <w:style w:type="character" w:styleId="IntenseEmphasis">
    <w:name w:val="Intense Emphasis"/>
    <w:basedOn w:val="DefaultParagraphFont"/>
    <w:uiPriority w:val="21"/>
    <w:qFormat/>
    <w:rsid w:val="004154A1"/>
    <w:rPr>
      <w:i/>
      <w:iCs/>
      <w:color w:val="0F4761" w:themeColor="accent1" w:themeShade="BF"/>
    </w:rPr>
  </w:style>
  <w:style w:type="paragraph" w:styleId="IntenseQuote">
    <w:name w:val="Intense Quote"/>
    <w:basedOn w:val="Normal"/>
    <w:next w:val="Normal"/>
    <w:link w:val="IntenseQuoteChar"/>
    <w:uiPriority w:val="30"/>
    <w:qFormat/>
    <w:rsid w:val="00415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4A1"/>
    <w:rPr>
      <w:i/>
      <w:iCs/>
      <w:color w:val="0F4761" w:themeColor="accent1" w:themeShade="BF"/>
      <w:lang w:val="en-GB"/>
    </w:rPr>
  </w:style>
  <w:style w:type="character" w:styleId="IntenseReference">
    <w:name w:val="Intense Reference"/>
    <w:basedOn w:val="DefaultParagraphFont"/>
    <w:uiPriority w:val="32"/>
    <w:qFormat/>
    <w:rsid w:val="004154A1"/>
    <w:rPr>
      <w:b/>
      <w:bCs/>
      <w:smallCaps/>
      <w:color w:val="0F4761" w:themeColor="accent1" w:themeShade="BF"/>
      <w:spacing w:val="5"/>
    </w:rPr>
  </w:style>
  <w:style w:type="table" w:styleId="TableGrid">
    <w:name w:val="Table Grid"/>
    <w:basedOn w:val="TableNormal"/>
    <w:uiPriority w:val="39"/>
    <w:rsid w:val="00190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234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50E66"/>
    <w:pPr>
      <w:spacing w:after="100"/>
    </w:pPr>
  </w:style>
  <w:style w:type="character" w:styleId="Hyperlink">
    <w:name w:val="Hyperlink"/>
    <w:basedOn w:val="DefaultParagraphFont"/>
    <w:uiPriority w:val="99"/>
    <w:unhideWhenUsed/>
    <w:rsid w:val="00550E66"/>
    <w:rPr>
      <w:color w:val="467886" w:themeColor="hyperlink"/>
      <w:u w:val="single"/>
    </w:rPr>
  </w:style>
  <w:style w:type="paragraph" w:styleId="Header">
    <w:name w:val="header"/>
    <w:basedOn w:val="Normal"/>
    <w:link w:val="HeaderChar"/>
    <w:uiPriority w:val="99"/>
    <w:unhideWhenUsed/>
    <w:rsid w:val="00550E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E66"/>
    <w:rPr>
      <w:lang w:val="en-GB"/>
    </w:rPr>
  </w:style>
  <w:style w:type="paragraph" w:styleId="Footer">
    <w:name w:val="footer"/>
    <w:basedOn w:val="Normal"/>
    <w:link w:val="FooterChar"/>
    <w:uiPriority w:val="99"/>
    <w:unhideWhenUsed/>
    <w:rsid w:val="00550E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E66"/>
    <w:rPr>
      <w:lang w:val="en-GB"/>
    </w:rPr>
  </w:style>
  <w:style w:type="paragraph" w:styleId="TOC2">
    <w:name w:val="toc 2"/>
    <w:basedOn w:val="Normal"/>
    <w:next w:val="Normal"/>
    <w:autoRedefine/>
    <w:uiPriority w:val="39"/>
    <w:unhideWhenUsed/>
    <w:rsid w:val="008909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27475">
      <w:bodyDiv w:val="1"/>
      <w:marLeft w:val="0"/>
      <w:marRight w:val="0"/>
      <w:marTop w:val="0"/>
      <w:marBottom w:val="0"/>
      <w:divBdr>
        <w:top w:val="none" w:sz="0" w:space="0" w:color="auto"/>
        <w:left w:val="none" w:sz="0" w:space="0" w:color="auto"/>
        <w:bottom w:val="none" w:sz="0" w:space="0" w:color="auto"/>
        <w:right w:val="none" w:sz="0" w:space="0" w:color="auto"/>
      </w:divBdr>
    </w:div>
    <w:div w:id="48068897">
      <w:bodyDiv w:val="1"/>
      <w:marLeft w:val="0"/>
      <w:marRight w:val="0"/>
      <w:marTop w:val="0"/>
      <w:marBottom w:val="0"/>
      <w:divBdr>
        <w:top w:val="none" w:sz="0" w:space="0" w:color="auto"/>
        <w:left w:val="none" w:sz="0" w:space="0" w:color="auto"/>
        <w:bottom w:val="none" w:sz="0" w:space="0" w:color="auto"/>
        <w:right w:val="none" w:sz="0" w:space="0" w:color="auto"/>
      </w:divBdr>
    </w:div>
    <w:div w:id="82924547">
      <w:bodyDiv w:val="1"/>
      <w:marLeft w:val="0"/>
      <w:marRight w:val="0"/>
      <w:marTop w:val="0"/>
      <w:marBottom w:val="0"/>
      <w:divBdr>
        <w:top w:val="none" w:sz="0" w:space="0" w:color="auto"/>
        <w:left w:val="none" w:sz="0" w:space="0" w:color="auto"/>
        <w:bottom w:val="none" w:sz="0" w:space="0" w:color="auto"/>
        <w:right w:val="none" w:sz="0" w:space="0" w:color="auto"/>
      </w:divBdr>
    </w:div>
    <w:div w:id="135421361">
      <w:bodyDiv w:val="1"/>
      <w:marLeft w:val="0"/>
      <w:marRight w:val="0"/>
      <w:marTop w:val="0"/>
      <w:marBottom w:val="0"/>
      <w:divBdr>
        <w:top w:val="none" w:sz="0" w:space="0" w:color="auto"/>
        <w:left w:val="none" w:sz="0" w:space="0" w:color="auto"/>
        <w:bottom w:val="none" w:sz="0" w:space="0" w:color="auto"/>
        <w:right w:val="none" w:sz="0" w:space="0" w:color="auto"/>
      </w:divBdr>
    </w:div>
    <w:div w:id="201092123">
      <w:bodyDiv w:val="1"/>
      <w:marLeft w:val="0"/>
      <w:marRight w:val="0"/>
      <w:marTop w:val="0"/>
      <w:marBottom w:val="0"/>
      <w:divBdr>
        <w:top w:val="none" w:sz="0" w:space="0" w:color="auto"/>
        <w:left w:val="none" w:sz="0" w:space="0" w:color="auto"/>
        <w:bottom w:val="none" w:sz="0" w:space="0" w:color="auto"/>
        <w:right w:val="none" w:sz="0" w:space="0" w:color="auto"/>
      </w:divBdr>
    </w:div>
    <w:div w:id="268633061">
      <w:bodyDiv w:val="1"/>
      <w:marLeft w:val="0"/>
      <w:marRight w:val="0"/>
      <w:marTop w:val="0"/>
      <w:marBottom w:val="0"/>
      <w:divBdr>
        <w:top w:val="none" w:sz="0" w:space="0" w:color="auto"/>
        <w:left w:val="none" w:sz="0" w:space="0" w:color="auto"/>
        <w:bottom w:val="none" w:sz="0" w:space="0" w:color="auto"/>
        <w:right w:val="none" w:sz="0" w:space="0" w:color="auto"/>
      </w:divBdr>
      <w:divsChild>
        <w:div w:id="1447429995">
          <w:marLeft w:val="0"/>
          <w:marRight w:val="0"/>
          <w:marTop w:val="0"/>
          <w:marBottom w:val="0"/>
          <w:divBdr>
            <w:top w:val="none" w:sz="0" w:space="0" w:color="auto"/>
            <w:left w:val="single" w:sz="6" w:space="15" w:color="D5D7D8"/>
            <w:bottom w:val="none" w:sz="0" w:space="0" w:color="auto"/>
            <w:right w:val="none" w:sz="0" w:space="0" w:color="auto"/>
          </w:divBdr>
        </w:div>
      </w:divsChild>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29337816">
      <w:bodyDiv w:val="1"/>
      <w:marLeft w:val="0"/>
      <w:marRight w:val="0"/>
      <w:marTop w:val="0"/>
      <w:marBottom w:val="0"/>
      <w:divBdr>
        <w:top w:val="none" w:sz="0" w:space="0" w:color="auto"/>
        <w:left w:val="none" w:sz="0" w:space="0" w:color="auto"/>
        <w:bottom w:val="none" w:sz="0" w:space="0" w:color="auto"/>
        <w:right w:val="none" w:sz="0" w:space="0" w:color="auto"/>
      </w:divBdr>
    </w:div>
    <w:div w:id="490407747">
      <w:bodyDiv w:val="1"/>
      <w:marLeft w:val="0"/>
      <w:marRight w:val="0"/>
      <w:marTop w:val="0"/>
      <w:marBottom w:val="0"/>
      <w:divBdr>
        <w:top w:val="none" w:sz="0" w:space="0" w:color="auto"/>
        <w:left w:val="none" w:sz="0" w:space="0" w:color="auto"/>
        <w:bottom w:val="none" w:sz="0" w:space="0" w:color="auto"/>
        <w:right w:val="none" w:sz="0" w:space="0" w:color="auto"/>
      </w:divBdr>
    </w:div>
    <w:div w:id="505942078">
      <w:bodyDiv w:val="1"/>
      <w:marLeft w:val="0"/>
      <w:marRight w:val="0"/>
      <w:marTop w:val="0"/>
      <w:marBottom w:val="0"/>
      <w:divBdr>
        <w:top w:val="none" w:sz="0" w:space="0" w:color="auto"/>
        <w:left w:val="none" w:sz="0" w:space="0" w:color="auto"/>
        <w:bottom w:val="none" w:sz="0" w:space="0" w:color="auto"/>
        <w:right w:val="none" w:sz="0" w:space="0" w:color="auto"/>
      </w:divBdr>
      <w:divsChild>
        <w:div w:id="1650398197">
          <w:marLeft w:val="0"/>
          <w:marRight w:val="0"/>
          <w:marTop w:val="0"/>
          <w:marBottom w:val="0"/>
          <w:divBdr>
            <w:top w:val="none" w:sz="0" w:space="0" w:color="auto"/>
            <w:left w:val="single" w:sz="6" w:space="15" w:color="D5D7D8"/>
            <w:bottom w:val="none" w:sz="0" w:space="0" w:color="auto"/>
            <w:right w:val="none" w:sz="0" w:space="0" w:color="auto"/>
          </w:divBdr>
        </w:div>
      </w:divsChild>
    </w:div>
    <w:div w:id="515313430">
      <w:bodyDiv w:val="1"/>
      <w:marLeft w:val="0"/>
      <w:marRight w:val="0"/>
      <w:marTop w:val="0"/>
      <w:marBottom w:val="0"/>
      <w:divBdr>
        <w:top w:val="none" w:sz="0" w:space="0" w:color="auto"/>
        <w:left w:val="none" w:sz="0" w:space="0" w:color="auto"/>
        <w:bottom w:val="none" w:sz="0" w:space="0" w:color="auto"/>
        <w:right w:val="none" w:sz="0" w:space="0" w:color="auto"/>
      </w:divBdr>
    </w:div>
    <w:div w:id="516699622">
      <w:bodyDiv w:val="1"/>
      <w:marLeft w:val="0"/>
      <w:marRight w:val="0"/>
      <w:marTop w:val="0"/>
      <w:marBottom w:val="0"/>
      <w:divBdr>
        <w:top w:val="none" w:sz="0" w:space="0" w:color="auto"/>
        <w:left w:val="none" w:sz="0" w:space="0" w:color="auto"/>
        <w:bottom w:val="none" w:sz="0" w:space="0" w:color="auto"/>
        <w:right w:val="none" w:sz="0" w:space="0" w:color="auto"/>
      </w:divBdr>
    </w:div>
    <w:div w:id="533810064">
      <w:bodyDiv w:val="1"/>
      <w:marLeft w:val="0"/>
      <w:marRight w:val="0"/>
      <w:marTop w:val="0"/>
      <w:marBottom w:val="0"/>
      <w:divBdr>
        <w:top w:val="none" w:sz="0" w:space="0" w:color="auto"/>
        <w:left w:val="none" w:sz="0" w:space="0" w:color="auto"/>
        <w:bottom w:val="none" w:sz="0" w:space="0" w:color="auto"/>
        <w:right w:val="none" w:sz="0" w:space="0" w:color="auto"/>
      </w:divBdr>
    </w:div>
    <w:div w:id="725909196">
      <w:bodyDiv w:val="1"/>
      <w:marLeft w:val="0"/>
      <w:marRight w:val="0"/>
      <w:marTop w:val="0"/>
      <w:marBottom w:val="0"/>
      <w:divBdr>
        <w:top w:val="none" w:sz="0" w:space="0" w:color="auto"/>
        <w:left w:val="none" w:sz="0" w:space="0" w:color="auto"/>
        <w:bottom w:val="none" w:sz="0" w:space="0" w:color="auto"/>
        <w:right w:val="none" w:sz="0" w:space="0" w:color="auto"/>
      </w:divBdr>
    </w:div>
    <w:div w:id="738869355">
      <w:bodyDiv w:val="1"/>
      <w:marLeft w:val="0"/>
      <w:marRight w:val="0"/>
      <w:marTop w:val="0"/>
      <w:marBottom w:val="0"/>
      <w:divBdr>
        <w:top w:val="none" w:sz="0" w:space="0" w:color="auto"/>
        <w:left w:val="none" w:sz="0" w:space="0" w:color="auto"/>
        <w:bottom w:val="none" w:sz="0" w:space="0" w:color="auto"/>
        <w:right w:val="none" w:sz="0" w:space="0" w:color="auto"/>
      </w:divBdr>
    </w:div>
    <w:div w:id="765613621">
      <w:bodyDiv w:val="1"/>
      <w:marLeft w:val="0"/>
      <w:marRight w:val="0"/>
      <w:marTop w:val="0"/>
      <w:marBottom w:val="0"/>
      <w:divBdr>
        <w:top w:val="none" w:sz="0" w:space="0" w:color="auto"/>
        <w:left w:val="none" w:sz="0" w:space="0" w:color="auto"/>
        <w:bottom w:val="none" w:sz="0" w:space="0" w:color="auto"/>
        <w:right w:val="none" w:sz="0" w:space="0" w:color="auto"/>
      </w:divBdr>
    </w:div>
    <w:div w:id="826357207">
      <w:bodyDiv w:val="1"/>
      <w:marLeft w:val="0"/>
      <w:marRight w:val="0"/>
      <w:marTop w:val="0"/>
      <w:marBottom w:val="0"/>
      <w:divBdr>
        <w:top w:val="none" w:sz="0" w:space="0" w:color="auto"/>
        <w:left w:val="none" w:sz="0" w:space="0" w:color="auto"/>
        <w:bottom w:val="none" w:sz="0" w:space="0" w:color="auto"/>
        <w:right w:val="none" w:sz="0" w:space="0" w:color="auto"/>
      </w:divBdr>
    </w:div>
    <w:div w:id="838271677">
      <w:bodyDiv w:val="1"/>
      <w:marLeft w:val="0"/>
      <w:marRight w:val="0"/>
      <w:marTop w:val="0"/>
      <w:marBottom w:val="0"/>
      <w:divBdr>
        <w:top w:val="none" w:sz="0" w:space="0" w:color="auto"/>
        <w:left w:val="none" w:sz="0" w:space="0" w:color="auto"/>
        <w:bottom w:val="none" w:sz="0" w:space="0" w:color="auto"/>
        <w:right w:val="none" w:sz="0" w:space="0" w:color="auto"/>
      </w:divBdr>
    </w:div>
    <w:div w:id="868877991">
      <w:bodyDiv w:val="1"/>
      <w:marLeft w:val="0"/>
      <w:marRight w:val="0"/>
      <w:marTop w:val="0"/>
      <w:marBottom w:val="0"/>
      <w:divBdr>
        <w:top w:val="none" w:sz="0" w:space="0" w:color="auto"/>
        <w:left w:val="none" w:sz="0" w:space="0" w:color="auto"/>
        <w:bottom w:val="none" w:sz="0" w:space="0" w:color="auto"/>
        <w:right w:val="none" w:sz="0" w:space="0" w:color="auto"/>
      </w:divBdr>
    </w:div>
    <w:div w:id="890463427">
      <w:bodyDiv w:val="1"/>
      <w:marLeft w:val="0"/>
      <w:marRight w:val="0"/>
      <w:marTop w:val="0"/>
      <w:marBottom w:val="0"/>
      <w:divBdr>
        <w:top w:val="none" w:sz="0" w:space="0" w:color="auto"/>
        <w:left w:val="none" w:sz="0" w:space="0" w:color="auto"/>
        <w:bottom w:val="none" w:sz="0" w:space="0" w:color="auto"/>
        <w:right w:val="none" w:sz="0" w:space="0" w:color="auto"/>
      </w:divBdr>
    </w:div>
    <w:div w:id="917058731">
      <w:bodyDiv w:val="1"/>
      <w:marLeft w:val="0"/>
      <w:marRight w:val="0"/>
      <w:marTop w:val="0"/>
      <w:marBottom w:val="0"/>
      <w:divBdr>
        <w:top w:val="none" w:sz="0" w:space="0" w:color="auto"/>
        <w:left w:val="none" w:sz="0" w:space="0" w:color="auto"/>
        <w:bottom w:val="none" w:sz="0" w:space="0" w:color="auto"/>
        <w:right w:val="none" w:sz="0" w:space="0" w:color="auto"/>
      </w:divBdr>
    </w:div>
    <w:div w:id="922303661">
      <w:bodyDiv w:val="1"/>
      <w:marLeft w:val="0"/>
      <w:marRight w:val="0"/>
      <w:marTop w:val="0"/>
      <w:marBottom w:val="0"/>
      <w:divBdr>
        <w:top w:val="none" w:sz="0" w:space="0" w:color="auto"/>
        <w:left w:val="none" w:sz="0" w:space="0" w:color="auto"/>
        <w:bottom w:val="none" w:sz="0" w:space="0" w:color="auto"/>
        <w:right w:val="none" w:sz="0" w:space="0" w:color="auto"/>
      </w:divBdr>
    </w:div>
    <w:div w:id="967974202">
      <w:bodyDiv w:val="1"/>
      <w:marLeft w:val="0"/>
      <w:marRight w:val="0"/>
      <w:marTop w:val="0"/>
      <w:marBottom w:val="0"/>
      <w:divBdr>
        <w:top w:val="none" w:sz="0" w:space="0" w:color="auto"/>
        <w:left w:val="none" w:sz="0" w:space="0" w:color="auto"/>
        <w:bottom w:val="none" w:sz="0" w:space="0" w:color="auto"/>
        <w:right w:val="none" w:sz="0" w:space="0" w:color="auto"/>
      </w:divBdr>
    </w:div>
    <w:div w:id="1043019030">
      <w:bodyDiv w:val="1"/>
      <w:marLeft w:val="0"/>
      <w:marRight w:val="0"/>
      <w:marTop w:val="0"/>
      <w:marBottom w:val="0"/>
      <w:divBdr>
        <w:top w:val="none" w:sz="0" w:space="0" w:color="auto"/>
        <w:left w:val="none" w:sz="0" w:space="0" w:color="auto"/>
        <w:bottom w:val="none" w:sz="0" w:space="0" w:color="auto"/>
        <w:right w:val="none" w:sz="0" w:space="0" w:color="auto"/>
      </w:divBdr>
    </w:div>
    <w:div w:id="1161190572">
      <w:bodyDiv w:val="1"/>
      <w:marLeft w:val="0"/>
      <w:marRight w:val="0"/>
      <w:marTop w:val="0"/>
      <w:marBottom w:val="0"/>
      <w:divBdr>
        <w:top w:val="none" w:sz="0" w:space="0" w:color="auto"/>
        <w:left w:val="none" w:sz="0" w:space="0" w:color="auto"/>
        <w:bottom w:val="none" w:sz="0" w:space="0" w:color="auto"/>
        <w:right w:val="none" w:sz="0" w:space="0" w:color="auto"/>
      </w:divBdr>
    </w:div>
    <w:div w:id="1477457742">
      <w:bodyDiv w:val="1"/>
      <w:marLeft w:val="0"/>
      <w:marRight w:val="0"/>
      <w:marTop w:val="0"/>
      <w:marBottom w:val="0"/>
      <w:divBdr>
        <w:top w:val="none" w:sz="0" w:space="0" w:color="auto"/>
        <w:left w:val="none" w:sz="0" w:space="0" w:color="auto"/>
        <w:bottom w:val="none" w:sz="0" w:space="0" w:color="auto"/>
        <w:right w:val="none" w:sz="0" w:space="0" w:color="auto"/>
      </w:divBdr>
    </w:div>
    <w:div w:id="1480610961">
      <w:bodyDiv w:val="1"/>
      <w:marLeft w:val="0"/>
      <w:marRight w:val="0"/>
      <w:marTop w:val="0"/>
      <w:marBottom w:val="0"/>
      <w:divBdr>
        <w:top w:val="none" w:sz="0" w:space="0" w:color="auto"/>
        <w:left w:val="none" w:sz="0" w:space="0" w:color="auto"/>
        <w:bottom w:val="none" w:sz="0" w:space="0" w:color="auto"/>
        <w:right w:val="none" w:sz="0" w:space="0" w:color="auto"/>
      </w:divBdr>
    </w:div>
    <w:div w:id="1546719235">
      <w:bodyDiv w:val="1"/>
      <w:marLeft w:val="0"/>
      <w:marRight w:val="0"/>
      <w:marTop w:val="0"/>
      <w:marBottom w:val="0"/>
      <w:divBdr>
        <w:top w:val="none" w:sz="0" w:space="0" w:color="auto"/>
        <w:left w:val="none" w:sz="0" w:space="0" w:color="auto"/>
        <w:bottom w:val="none" w:sz="0" w:space="0" w:color="auto"/>
        <w:right w:val="none" w:sz="0" w:space="0" w:color="auto"/>
      </w:divBdr>
    </w:div>
    <w:div w:id="1593389691">
      <w:bodyDiv w:val="1"/>
      <w:marLeft w:val="0"/>
      <w:marRight w:val="0"/>
      <w:marTop w:val="0"/>
      <w:marBottom w:val="0"/>
      <w:divBdr>
        <w:top w:val="none" w:sz="0" w:space="0" w:color="auto"/>
        <w:left w:val="none" w:sz="0" w:space="0" w:color="auto"/>
        <w:bottom w:val="none" w:sz="0" w:space="0" w:color="auto"/>
        <w:right w:val="none" w:sz="0" w:space="0" w:color="auto"/>
      </w:divBdr>
    </w:div>
    <w:div w:id="1788699224">
      <w:bodyDiv w:val="1"/>
      <w:marLeft w:val="0"/>
      <w:marRight w:val="0"/>
      <w:marTop w:val="0"/>
      <w:marBottom w:val="0"/>
      <w:divBdr>
        <w:top w:val="none" w:sz="0" w:space="0" w:color="auto"/>
        <w:left w:val="none" w:sz="0" w:space="0" w:color="auto"/>
        <w:bottom w:val="none" w:sz="0" w:space="0" w:color="auto"/>
        <w:right w:val="none" w:sz="0" w:space="0" w:color="auto"/>
      </w:divBdr>
    </w:div>
    <w:div w:id="1789002743">
      <w:bodyDiv w:val="1"/>
      <w:marLeft w:val="0"/>
      <w:marRight w:val="0"/>
      <w:marTop w:val="0"/>
      <w:marBottom w:val="0"/>
      <w:divBdr>
        <w:top w:val="none" w:sz="0" w:space="0" w:color="auto"/>
        <w:left w:val="none" w:sz="0" w:space="0" w:color="auto"/>
        <w:bottom w:val="none" w:sz="0" w:space="0" w:color="auto"/>
        <w:right w:val="none" w:sz="0" w:space="0" w:color="auto"/>
      </w:divBdr>
    </w:div>
    <w:div w:id="1829055129">
      <w:bodyDiv w:val="1"/>
      <w:marLeft w:val="0"/>
      <w:marRight w:val="0"/>
      <w:marTop w:val="0"/>
      <w:marBottom w:val="0"/>
      <w:divBdr>
        <w:top w:val="none" w:sz="0" w:space="0" w:color="auto"/>
        <w:left w:val="none" w:sz="0" w:space="0" w:color="auto"/>
        <w:bottom w:val="none" w:sz="0" w:space="0" w:color="auto"/>
        <w:right w:val="none" w:sz="0" w:space="0" w:color="auto"/>
      </w:divBdr>
    </w:div>
    <w:div w:id="1967618054">
      <w:bodyDiv w:val="1"/>
      <w:marLeft w:val="0"/>
      <w:marRight w:val="0"/>
      <w:marTop w:val="0"/>
      <w:marBottom w:val="0"/>
      <w:divBdr>
        <w:top w:val="none" w:sz="0" w:space="0" w:color="auto"/>
        <w:left w:val="none" w:sz="0" w:space="0" w:color="auto"/>
        <w:bottom w:val="none" w:sz="0" w:space="0" w:color="auto"/>
        <w:right w:val="none" w:sz="0" w:space="0" w:color="auto"/>
      </w:divBdr>
    </w:div>
    <w:div w:id="2059936274">
      <w:bodyDiv w:val="1"/>
      <w:marLeft w:val="0"/>
      <w:marRight w:val="0"/>
      <w:marTop w:val="0"/>
      <w:marBottom w:val="0"/>
      <w:divBdr>
        <w:top w:val="none" w:sz="0" w:space="0" w:color="auto"/>
        <w:left w:val="none" w:sz="0" w:space="0" w:color="auto"/>
        <w:bottom w:val="none" w:sz="0" w:space="0" w:color="auto"/>
        <w:right w:val="none" w:sz="0" w:space="0" w:color="auto"/>
      </w:divBdr>
    </w:div>
    <w:div w:id="207403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a4031dda8815c6b278da84f54263ef19">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54aa6ad2f159743ff10af28a7a001a5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E5779-BB44-4F80-A4BE-58E8D404FA7F}">
  <ds:schemaRefs>
    <ds:schemaRef ds:uri="http://schemas.microsoft.com/sharepoint/v3/contenttype/forms"/>
  </ds:schemaRefs>
</ds:datastoreItem>
</file>

<file path=customXml/itemProps2.xml><?xml version="1.0" encoding="utf-8"?>
<ds:datastoreItem xmlns:ds="http://schemas.openxmlformats.org/officeDocument/2006/customXml" ds:itemID="{9755437A-6F2E-4F59-B9E7-7CC8F3880BB7}">
  <ds:schemaRefs>
    <ds:schemaRef ds:uri="http://schemas.microsoft.com/office/2006/documentManagement/types"/>
    <ds:schemaRef ds:uri="http://schemas.microsoft.com/office/infopath/2007/PartnerControls"/>
    <ds:schemaRef ds:uri="6730e359-ea60-4bf4-a90a-e46339816358"/>
    <ds:schemaRef ds:uri="http://purl.org/dc/elements/1.1/"/>
    <ds:schemaRef ds:uri="http://www.w3.org/XML/1998/namespace"/>
    <ds:schemaRef ds:uri="http://schemas.microsoft.com/office/2006/metadata/properties"/>
    <ds:schemaRef ds:uri="http://schemas.openxmlformats.org/package/2006/metadata/core-properties"/>
    <ds:schemaRef ds:uri="5e11eeeb-aea2-48d1-b3ff-7dffc84c1762"/>
    <ds:schemaRef ds:uri="http://purl.org/dc/dcmitype/"/>
    <ds:schemaRef ds:uri="http://purl.org/dc/terms/"/>
  </ds:schemaRefs>
</ds:datastoreItem>
</file>

<file path=customXml/itemProps3.xml><?xml version="1.0" encoding="utf-8"?>
<ds:datastoreItem xmlns:ds="http://schemas.openxmlformats.org/officeDocument/2006/customXml" ds:itemID="{C52D13AB-698B-42CC-B255-2686BD622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B96FE4-211D-4DB0-A327-920B631EB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3553</Words>
  <Characters>20253</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23759</CharactersWithSpaces>
  <SharedDoc>false</SharedDoc>
  <HLinks>
    <vt:vector size="102" baseType="variant">
      <vt:variant>
        <vt:i4>1638450</vt:i4>
      </vt:variant>
      <vt:variant>
        <vt:i4>98</vt:i4>
      </vt:variant>
      <vt:variant>
        <vt:i4>0</vt:i4>
      </vt:variant>
      <vt:variant>
        <vt:i4>5</vt:i4>
      </vt:variant>
      <vt:variant>
        <vt:lpwstr/>
      </vt:variant>
      <vt:variant>
        <vt:lpwstr>_Toc182657477</vt:lpwstr>
      </vt:variant>
      <vt:variant>
        <vt:i4>1638450</vt:i4>
      </vt:variant>
      <vt:variant>
        <vt:i4>92</vt:i4>
      </vt:variant>
      <vt:variant>
        <vt:i4>0</vt:i4>
      </vt:variant>
      <vt:variant>
        <vt:i4>5</vt:i4>
      </vt:variant>
      <vt:variant>
        <vt:lpwstr/>
      </vt:variant>
      <vt:variant>
        <vt:lpwstr>_Toc182657476</vt:lpwstr>
      </vt:variant>
      <vt:variant>
        <vt:i4>1638450</vt:i4>
      </vt:variant>
      <vt:variant>
        <vt:i4>86</vt:i4>
      </vt:variant>
      <vt:variant>
        <vt:i4>0</vt:i4>
      </vt:variant>
      <vt:variant>
        <vt:i4>5</vt:i4>
      </vt:variant>
      <vt:variant>
        <vt:lpwstr/>
      </vt:variant>
      <vt:variant>
        <vt:lpwstr>_Toc182657475</vt:lpwstr>
      </vt:variant>
      <vt:variant>
        <vt:i4>1638450</vt:i4>
      </vt:variant>
      <vt:variant>
        <vt:i4>80</vt:i4>
      </vt:variant>
      <vt:variant>
        <vt:i4>0</vt:i4>
      </vt:variant>
      <vt:variant>
        <vt:i4>5</vt:i4>
      </vt:variant>
      <vt:variant>
        <vt:lpwstr/>
      </vt:variant>
      <vt:variant>
        <vt:lpwstr>_Toc182657474</vt:lpwstr>
      </vt:variant>
      <vt:variant>
        <vt:i4>1638450</vt:i4>
      </vt:variant>
      <vt:variant>
        <vt:i4>74</vt:i4>
      </vt:variant>
      <vt:variant>
        <vt:i4>0</vt:i4>
      </vt:variant>
      <vt:variant>
        <vt:i4>5</vt:i4>
      </vt:variant>
      <vt:variant>
        <vt:lpwstr/>
      </vt:variant>
      <vt:variant>
        <vt:lpwstr>_Toc182657473</vt:lpwstr>
      </vt:variant>
      <vt:variant>
        <vt:i4>1638450</vt:i4>
      </vt:variant>
      <vt:variant>
        <vt:i4>68</vt:i4>
      </vt:variant>
      <vt:variant>
        <vt:i4>0</vt:i4>
      </vt:variant>
      <vt:variant>
        <vt:i4>5</vt:i4>
      </vt:variant>
      <vt:variant>
        <vt:lpwstr/>
      </vt:variant>
      <vt:variant>
        <vt:lpwstr>_Toc182657472</vt:lpwstr>
      </vt:variant>
      <vt:variant>
        <vt:i4>1638450</vt:i4>
      </vt:variant>
      <vt:variant>
        <vt:i4>62</vt:i4>
      </vt:variant>
      <vt:variant>
        <vt:i4>0</vt:i4>
      </vt:variant>
      <vt:variant>
        <vt:i4>5</vt:i4>
      </vt:variant>
      <vt:variant>
        <vt:lpwstr/>
      </vt:variant>
      <vt:variant>
        <vt:lpwstr>_Toc182657471</vt:lpwstr>
      </vt:variant>
      <vt:variant>
        <vt:i4>1638450</vt:i4>
      </vt:variant>
      <vt:variant>
        <vt:i4>56</vt:i4>
      </vt:variant>
      <vt:variant>
        <vt:i4>0</vt:i4>
      </vt:variant>
      <vt:variant>
        <vt:i4>5</vt:i4>
      </vt:variant>
      <vt:variant>
        <vt:lpwstr/>
      </vt:variant>
      <vt:variant>
        <vt:lpwstr>_Toc182657470</vt:lpwstr>
      </vt:variant>
      <vt:variant>
        <vt:i4>1572914</vt:i4>
      </vt:variant>
      <vt:variant>
        <vt:i4>50</vt:i4>
      </vt:variant>
      <vt:variant>
        <vt:i4>0</vt:i4>
      </vt:variant>
      <vt:variant>
        <vt:i4>5</vt:i4>
      </vt:variant>
      <vt:variant>
        <vt:lpwstr/>
      </vt:variant>
      <vt:variant>
        <vt:lpwstr>_Toc182657469</vt:lpwstr>
      </vt:variant>
      <vt:variant>
        <vt:i4>1572914</vt:i4>
      </vt:variant>
      <vt:variant>
        <vt:i4>44</vt:i4>
      </vt:variant>
      <vt:variant>
        <vt:i4>0</vt:i4>
      </vt:variant>
      <vt:variant>
        <vt:i4>5</vt:i4>
      </vt:variant>
      <vt:variant>
        <vt:lpwstr/>
      </vt:variant>
      <vt:variant>
        <vt:lpwstr>_Toc182657468</vt:lpwstr>
      </vt:variant>
      <vt:variant>
        <vt:i4>1572914</vt:i4>
      </vt:variant>
      <vt:variant>
        <vt:i4>38</vt:i4>
      </vt:variant>
      <vt:variant>
        <vt:i4>0</vt:i4>
      </vt:variant>
      <vt:variant>
        <vt:i4>5</vt:i4>
      </vt:variant>
      <vt:variant>
        <vt:lpwstr/>
      </vt:variant>
      <vt:variant>
        <vt:lpwstr>_Toc182657467</vt:lpwstr>
      </vt:variant>
      <vt:variant>
        <vt:i4>1572914</vt:i4>
      </vt:variant>
      <vt:variant>
        <vt:i4>32</vt:i4>
      </vt:variant>
      <vt:variant>
        <vt:i4>0</vt:i4>
      </vt:variant>
      <vt:variant>
        <vt:i4>5</vt:i4>
      </vt:variant>
      <vt:variant>
        <vt:lpwstr/>
      </vt:variant>
      <vt:variant>
        <vt:lpwstr>_Toc182657466</vt:lpwstr>
      </vt:variant>
      <vt:variant>
        <vt:i4>1572914</vt:i4>
      </vt:variant>
      <vt:variant>
        <vt:i4>26</vt:i4>
      </vt:variant>
      <vt:variant>
        <vt:i4>0</vt:i4>
      </vt:variant>
      <vt:variant>
        <vt:i4>5</vt:i4>
      </vt:variant>
      <vt:variant>
        <vt:lpwstr/>
      </vt:variant>
      <vt:variant>
        <vt:lpwstr>_Toc182657465</vt:lpwstr>
      </vt:variant>
      <vt:variant>
        <vt:i4>1572914</vt:i4>
      </vt:variant>
      <vt:variant>
        <vt:i4>20</vt:i4>
      </vt:variant>
      <vt:variant>
        <vt:i4>0</vt:i4>
      </vt:variant>
      <vt:variant>
        <vt:i4>5</vt:i4>
      </vt:variant>
      <vt:variant>
        <vt:lpwstr/>
      </vt:variant>
      <vt:variant>
        <vt:lpwstr>_Toc182657464</vt:lpwstr>
      </vt:variant>
      <vt:variant>
        <vt:i4>1572914</vt:i4>
      </vt:variant>
      <vt:variant>
        <vt:i4>14</vt:i4>
      </vt:variant>
      <vt:variant>
        <vt:i4>0</vt:i4>
      </vt:variant>
      <vt:variant>
        <vt:i4>5</vt:i4>
      </vt:variant>
      <vt:variant>
        <vt:lpwstr/>
      </vt:variant>
      <vt:variant>
        <vt:lpwstr>_Toc182657463</vt:lpwstr>
      </vt:variant>
      <vt:variant>
        <vt:i4>1572914</vt:i4>
      </vt:variant>
      <vt:variant>
        <vt:i4>8</vt:i4>
      </vt:variant>
      <vt:variant>
        <vt:i4>0</vt:i4>
      </vt:variant>
      <vt:variant>
        <vt:i4>5</vt:i4>
      </vt:variant>
      <vt:variant>
        <vt:lpwstr/>
      </vt:variant>
      <vt:variant>
        <vt:lpwstr>_Toc182657462</vt:lpwstr>
      </vt:variant>
      <vt:variant>
        <vt:i4>1572914</vt:i4>
      </vt:variant>
      <vt:variant>
        <vt:i4>2</vt:i4>
      </vt:variant>
      <vt:variant>
        <vt:i4>0</vt:i4>
      </vt:variant>
      <vt:variant>
        <vt:i4>5</vt:i4>
      </vt:variant>
      <vt:variant>
        <vt:lpwstr/>
      </vt:variant>
      <vt:variant>
        <vt:lpwstr>_Toc182657461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23</cp:revision>
  <dcterms:created xsi:type="dcterms:W3CDTF">2024-11-16T22:13:00Z</dcterms:created>
  <dcterms:modified xsi:type="dcterms:W3CDTF">2024-11-16T14:24:00Z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