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10CAD5" w14:textId="3173D5C2" w:rsidR="005A1CF2" w:rsidRDefault="005A1CF2" w:rsidP="005A1CF2">
      <w:pPr>
        <w:pStyle w:val="NormalWeb"/>
        <w:jc w:val="center"/>
        <w:rPr>
          <w:sz w:val="32"/>
          <w:szCs w:val="32"/>
        </w:rPr>
      </w:pPr>
      <w:r>
        <w:rPr>
          <w:sz w:val="32"/>
          <w:szCs w:val="32"/>
        </w:rPr>
        <w:t xml:space="preserve">Lenuta Raducanu </w:t>
      </w:r>
    </w:p>
    <w:p w14:paraId="748F199B" w14:textId="4B99E5E0" w:rsidR="005A1CF2" w:rsidRPr="005A1CF2" w:rsidRDefault="005A1CF2" w:rsidP="005A1CF2">
      <w:pPr>
        <w:pStyle w:val="NormalWeb"/>
        <w:jc w:val="center"/>
        <w:rPr>
          <w:sz w:val="32"/>
          <w:szCs w:val="32"/>
        </w:rPr>
      </w:pPr>
      <w:r w:rsidRPr="005A1CF2">
        <w:rPr>
          <w:sz w:val="32"/>
          <w:szCs w:val="32"/>
        </w:rPr>
        <w:t>Part Three</w:t>
      </w:r>
      <w:r>
        <w:rPr>
          <w:sz w:val="32"/>
          <w:szCs w:val="32"/>
        </w:rPr>
        <w:t xml:space="preserve"> – </w:t>
      </w:r>
      <w:r w:rsidRPr="005A1CF2">
        <w:rPr>
          <w:sz w:val="32"/>
          <w:szCs w:val="32"/>
        </w:rPr>
        <w:t>Gobbet</w:t>
      </w:r>
      <w:r>
        <w:rPr>
          <w:sz w:val="32"/>
          <w:szCs w:val="32"/>
        </w:rPr>
        <w:t xml:space="preserve"> – People across time</w:t>
      </w:r>
    </w:p>
    <w:p w14:paraId="63F236AA" w14:textId="77777777" w:rsidR="005A1CF2" w:rsidRDefault="005A1CF2" w:rsidP="005A1CF2">
      <w:pPr>
        <w:pStyle w:val="NormalWeb"/>
        <w:jc w:val="center"/>
        <w:rPr>
          <w:sz w:val="52"/>
          <w:szCs w:val="52"/>
        </w:rPr>
      </w:pPr>
    </w:p>
    <w:p w14:paraId="41DE990B" w14:textId="77777777" w:rsidR="005A1CF2" w:rsidRDefault="005A1CF2" w:rsidP="005A1CF2">
      <w:pPr>
        <w:pStyle w:val="NormalWeb"/>
        <w:jc w:val="center"/>
        <w:rPr>
          <w:sz w:val="52"/>
          <w:szCs w:val="52"/>
        </w:rPr>
      </w:pPr>
    </w:p>
    <w:p w14:paraId="72CA0D0A" w14:textId="5E280F44" w:rsidR="005A1CF2" w:rsidRPr="005A1CF2" w:rsidRDefault="005A1CF2" w:rsidP="005A1CF2">
      <w:pPr>
        <w:pStyle w:val="NormalWeb"/>
        <w:jc w:val="center"/>
        <w:rPr>
          <w:sz w:val="52"/>
          <w:szCs w:val="52"/>
        </w:rPr>
      </w:pPr>
      <w:r w:rsidRPr="005A1CF2">
        <w:rPr>
          <w:sz w:val="52"/>
          <w:szCs w:val="52"/>
        </w:rPr>
        <w:t xml:space="preserve">Case Study: The </w:t>
      </w:r>
      <w:proofErr w:type="spellStart"/>
      <w:r w:rsidRPr="005A1CF2">
        <w:rPr>
          <w:sz w:val="52"/>
          <w:szCs w:val="52"/>
        </w:rPr>
        <w:t>Uruk</w:t>
      </w:r>
      <w:proofErr w:type="spellEnd"/>
      <w:r w:rsidRPr="005A1CF2">
        <w:rPr>
          <w:sz w:val="52"/>
          <w:szCs w:val="52"/>
        </w:rPr>
        <w:t xml:space="preserve"> Phenomenon by J.G. Selz</w:t>
      </w:r>
    </w:p>
    <w:p w14:paraId="5251E6C1" w14:textId="77777777" w:rsidR="005A1CF2" w:rsidRDefault="005A1CF2" w:rsidP="005A1CF2">
      <w:pPr>
        <w:pStyle w:val="NormalWeb"/>
      </w:pPr>
    </w:p>
    <w:p w14:paraId="62BCC686" w14:textId="77777777" w:rsidR="005A1CF2" w:rsidRDefault="005A1CF2" w:rsidP="005A1CF2">
      <w:pPr>
        <w:pStyle w:val="NormalWeb"/>
      </w:pPr>
    </w:p>
    <w:p w14:paraId="7857C5E8" w14:textId="77777777" w:rsidR="005A1CF2" w:rsidRDefault="005A1CF2" w:rsidP="005A1CF2">
      <w:pPr>
        <w:pStyle w:val="NormalWeb"/>
      </w:pPr>
    </w:p>
    <w:p w14:paraId="56960BAC" w14:textId="77777777" w:rsidR="005A1CF2" w:rsidRDefault="005A1CF2" w:rsidP="005A1CF2">
      <w:pPr>
        <w:pStyle w:val="NormalWeb"/>
      </w:pPr>
    </w:p>
    <w:p w14:paraId="4C6332B1" w14:textId="5A50533C" w:rsidR="005A1CF2" w:rsidRDefault="005A1CF2" w:rsidP="005A1CF2">
      <w:pPr>
        <w:pStyle w:val="NormalWeb"/>
      </w:pPr>
      <w:r>
        <w:t>(</w:t>
      </w:r>
      <w:proofErr w:type="spellStart"/>
      <w:r>
        <w:t>i</w:t>
      </w:r>
      <w:proofErr w:type="spellEnd"/>
      <w:r>
        <w:t>) Provenance of the Work</w:t>
      </w:r>
    </w:p>
    <w:p w14:paraId="149C8619" w14:textId="77777777" w:rsidR="005A1CF2" w:rsidRDefault="005A1CF2" w:rsidP="005A1CF2">
      <w:pPr>
        <w:pStyle w:val="NormalWeb"/>
      </w:pPr>
      <w:r>
        <w:t xml:space="preserve">Book Type and Audience </w:t>
      </w:r>
      <w:proofErr w:type="gramStart"/>
      <w:r>
        <w:t>The</w:t>
      </w:r>
      <w:proofErr w:type="gramEnd"/>
      <w:r>
        <w:t xml:space="preserve"> </w:t>
      </w:r>
      <w:proofErr w:type="spellStart"/>
      <w:r>
        <w:t>Uruk</w:t>
      </w:r>
      <w:proofErr w:type="spellEnd"/>
      <w:r>
        <w:t xml:space="preserve"> Phenomenon is an academic book published by the Oxford University Press. Intended for scholars and students of History, Archaeology and Near Eastern Studies. It is intended for academic professionals, researchers and graduate students in the fields of urbanization and state formation during early periods of ancient Mesopotamia.</w:t>
      </w:r>
    </w:p>
    <w:p w14:paraId="53D11FBC" w14:textId="77777777" w:rsidR="005A1CF2" w:rsidRDefault="005A1CF2" w:rsidP="005A1CF2">
      <w:pPr>
        <w:pStyle w:val="NormalWeb"/>
      </w:pPr>
      <w:r>
        <w:t xml:space="preserve">J.G. Selz, a scholar of great renown in the field of History and </w:t>
      </w:r>
      <w:proofErr w:type="spellStart"/>
      <w:r>
        <w:t>Archeology</w:t>
      </w:r>
      <w:proofErr w:type="spellEnd"/>
      <w:r>
        <w:t xml:space="preserve"> associated with ancient Mesopotamian studies has penned down for this book. He specializes in the </w:t>
      </w:r>
      <w:proofErr w:type="spellStart"/>
      <w:r>
        <w:t>Uruk</w:t>
      </w:r>
      <w:proofErr w:type="spellEnd"/>
      <w:r>
        <w:t xml:space="preserve"> period and is interested in sociopolitical &amp; economic structures of ancient urban </w:t>
      </w:r>
      <w:proofErr w:type="spellStart"/>
      <w:r>
        <w:t>mesopotamia</w:t>
      </w:r>
      <w:proofErr w:type="spellEnd"/>
      <w:r>
        <w:t>. Among them, Selz has become a major publication force and lectured extensively as well as took part in archaeological excursions to the Middle East.</w:t>
      </w:r>
    </w:p>
    <w:p w14:paraId="18BB410C" w14:textId="77777777" w:rsidR="005A1CF2" w:rsidRDefault="005A1CF2" w:rsidP="005A1CF2">
      <w:pPr>
        <w:pStyle w:val="NormalWeb"/>
      </w:pPr>
      <w:r>
        <w:t xml:space="preserve">Date and </w:t>
      </w:r>
      <w:proofErr w:type="spellStart"/>
      <w:r>
        <w:t>HistoriographyThe</w:t>
      </w:r>
      <w:proofErr w:type="spellEnd"/>
      <w:r>
        <w:t xml:space="preserve"> book was published in 2020, a time marked by great strides in </w:t>
      </w:r>
      <w:proofErr w:type="spellStart"/>
      <w:r>
        <w:t>archeology</w:t>
      </w:r>
      <w:proofErr w:type="spellEnd"/>
      <w:r>
        <w:t xml:space="preserve"> technique together with an increasingly active willingness to revisit hoary narratives about ancient civilizations. Its publication is part of a broader historiographical shift wherein scholars have turned their attention to the ways in which recently discovered archaeological material can and should be dovetailed into existing historical models. Key to our shared narrative about 'People Across Time' is the challenge presented by this volume to earlier models of urban development in Mesopotamia, and a more nuanced portrayal based on new insights.</w:t>
      </w:r>
    </w:p>
    <w:p w14:paraId="62BB235A" w14:textId="77777777" w:rsidR="005A1CF2" w:rsidRDefault="005A1CF2" w:rsidP="005A1CF2">
      <w:pPr>
        <w:pStyle w:val="NormalWeb"/>
      </w:pPr>
      <w:r>
        <w:t>(ii) Subject Matter</w:t>
      </w:r>
    </w:p>
    <w:p w14:paraId="4048242A" w14:textId="77777777" w:rsidR="005A1CF2" w:rsidRDefault="005A1CF2" w:rsidP="005A1CF2">
      <w:pPr>
        <w:pStyle w:val="NormalWeb"/>
      </w:pPr>
      <w:r>
        <w:lastRenderedPageBreak/>
        <w:t xml:space="preserve">Strengths: "The </w:t>
      </w:r>
      <w:proofErr w:type="spellStart"/>
      <w:r>
        <w:t>Uruk</w:t>
      </w:r>
      <w:proofErr w:type="spellEnd"/>
      <w:r>
        <w:t xml:space="preserve"> Phenomenon" contributes in considerable detail to our understanding of urbanization, both generally and more specifically as it played out particularly during the </w:t>
      </w:r>
      <w:proofErr w:type="spellStart"/>
      <w:r>
        <w:t>Uruk</w:t>
      </w:r>
      <w:proofErr w:type="spellEnd"/>
      <w:r>
        <w:t xml:space="preserve"> period on central Mesopotamia. One of the strongest aspects of this work is its thorough review and synthesis of archaeological material - as influenced by both new excavations as well developments in dating techniques </w:t>
      </w:r>
      <w:proofErr w:type="gramStart"/>
      <w:r>
        <w:t>or</w:t>
      </w:r>
      <w:proofErr w:type="gramEnd"/>
      <w:r>
        <w:t xml:space="preserve"> analysis. In meticulous detail, Selz pores over socio-economic factors that allowed urban </w:t>
      </w:r>
      <w:proofErr w:type="spellStart"/>
      <w:r>
        <w:t>centers</w:t>
      </w:r>
      <w:proofErr w:type="spellEnd"/>
      <w:r>
        <w:t xml:space="preserve"> to flourish in a powerful account of the role played by trade, agriculture and technological innovation.</w:t>
      </w:r>
    </w:p>
    <w:p w14:paraId="2AA02B63" w14:textId="77777777" w:rsidR="005A1CF2" w:rsidRDefault="005A1CF2" w:rsidP="005A1CF2">
      <w:pPr>
        <w:pStyle w:val="NormalWeb"/>
      </w:pPr>
      <w:r>
        <w:t xml:space="preserve">This is another area where Selz shines, by contextualizing the </w:t>
      </w:r>
      <w:proofErr w:type="spellStart"/>
      <w:r>
        <w:t>Uruk</w:t>
      </w:r>
      <w:proofErr w:type="spellEnd"/>
      <w:r>
        <w:t xml:space="preserve"> period within Mesopotamian history in general. Together with other developments in the surrounding regions, this enables Selz to present a comprehensive picture of interregional interactions that led up to early urbanization at </w:t>
      </w:r>
      <w:proofErr w:type="spellStart"/>
      <w:r>
        <w:t>Uruk</w:t>
      </w:r>
      <w:proofErr w:type="spellEnd"/>
      <w:r>
        <w:t>.</w:t>
      </w:r>
    </w:p>
    <w:p w14:paraId="5DAD3D6B" w14:textId="77777777" w:rsidR="005A1CF2" w:rsidRDefault="005A1CF2" w:rsidP="005A1CF2">
      <w:pPr>
        <w:pStyle w:val="NormalWeb"/>
      </w:pPr>
      <w:r>
        <w:t>However, the work is not without its weaknesses. A few critics complain that Selz sometimes puts too much emphasis on the economic shape and direction of urban development, overlooking possible cultural or religious consequences. Though the book is detailed with respect to archaeological detail, this same data can render it a demanding read for those unacquainted with technical terms part and parcel of most modern archaeology.</w:t>
      </w:r>
    </w:p>
    <w:p w14:paraId="5A1A2483" w14:textId="77777777" w:rsidR="005A1CF2" w:rsidRDefault="005A1CF2" w:rsidP="005A1CF2">
      <w:pPr>
        <w:pStyle w:val="NormalWeb"/>
      </w:pPr>
      <w:r>
        <w:t>(iii) Content Analysis</w:t>
      </w:r>
    </w:p>
    <w:p w14:paraId="37F78BFC" w14:textId="77777777" w:rsidR="005A1CF2" w:rsidRDefault="005A1CF2" w:rsidP="005A1CF2">
      <w:pPr>
        <w:pStyle w:val="NormalWeb"/>
      </w:pPr>
      <w:r>
        <w:t xml:space="preserve">The Main Points Selz's chief assertion is that the </w:t>
      </w:r>
      <w:proofErr w:type="spellStart"/>
      <w:r>
        <w:t>Uruk</w:t>
      </w:r>
      <w:proofErr w:type="spellEnd"/>
      <w:r>
        <w:t xml:space="preserve"> period "was a pivotal phase, and it provided important building blocks for all ensuing urban cultures of Mesopotamia. He argues that deeply integrative and hierarchical societies as well as the development of monumental building, complex systems for keeping </w:t>
      </w:r>
      <w:proofErr w:type="spellStart"/>
      <w:proofErr w:type="gramStart"/>
      <w:r>
        <w:t>rule,and</w:t>
      </w:r>
      <w:proofErr w:type="spellEnd"/>
      <w:proofErr w:type="gramEnd"/>
      <w:r>
        <w:t xml:space="preserve"> so forth were formative events in Mesopotamia.</w:t>
      </w:r>
    </w:p>
    <w:p w14:paraId="2EC20695" w14:textId="77777777" w:rsidR="005A1CF2" w:rsidRDefault="005A1CF2" w:rsidP="005A1CF2">
      <w:pPr>
        <w:pStyle w:val="NormalWeb"/>
      </w:pPr>
      <w:r>
        <w:t xml:space="preserve">The book is organized into chapters, each addressing a different piece of the </w:t>
      </w:r>
      <w:proofErr w:type="spellStart"/>
      <w:r>
        <w:t>Uruk</w:t>
      </w:r>
      <w:proofErr w:type="spellEnd"/>
      <w:r>
        <w:t xml:space="preserve"> phenomenon. There is an excellent overview of some critical aspects regarding the geography and environmental context of southern Mesopotamia that Selz introduces, where he shows the importance of rivers for this part (Tigris and Euphrates). From there we jump to excavations of the earliest urban settlements and how they went from small village sites where you knew everyone that tried to dig a well beside yours into huge sprawling centres.</w:t>
      </w:r>
    </w:p>
    <w:p w14:paraId="64835945" w14:textId="77777777" w:rsidR="005A1CF2" w:rsidRDefault="005A1CF2" w:rsidP="005A1CF2">
      <w:pPr>
        <w:pStyle w:val="NormalWeb"/>
      </w:pPr>
      <w:r>
        <w:t>A key argument the book makes is that large populations and trade let agriculture develop, irrigation to make agricultural surplus productive. Selz also discusses the appearance of technological inventions; like, e.g., the wheel or writing and in addition he refers to economic and administrative activities.</w:t>
      </w:r>
    </w:p>
    <w:p w14:paraId="1E048F6C" w14:textId="77777777" w:rsidR="005A1CF2" w:rsidRDefault="005A1CF2" w:rsidP="005A1CF2">
      <w:pPr>
        <w:pStyle w:val="NormalWeb"/>
      </w:pPr>
      <w:r>
        <w:t xml:space="preserve">These last chapters cover the sociopolitical structure of </w:t>
      </w:r>
      <w:proofErr w:type="spellStart"/>
      <w:r>
        <w:t>Uruk</w:t>
      </w:r>
      <w:proofErr w:type="spellEnd"/>
      <w:r>
        <w:t xml:space="preserve">, with centralized authorities and monumental buildings rise everywhere (the ziggurats). According to Selz, this indicates the increasing differentiation of </w:t>
      </w:r>
      <w:proofErr w:type="spellStart"/>
      <w:r>
        <w:t>Uruk</w:t>
      </w:r>
      <w:proofErr w:type="spellEnd"/>
      <w:r>
        <w:t xml:space="preserve"> culture and its complexity.</w:t>
      </w:r>
    </w:p>
    <w:p w14:paraId="2FFEF688" w14:textId="77777777" w:rsidR="005A1CF2" w:rsidRDefault="005A1CF2" w:rsidP="005A1CF2">
      <w:pPr>
        <w:pStyle w:val="NormalWeb"/>
      </w:pPr>
      <w:r>
        <w:t xml:space="preserve">Expanded </w:t>
      </w:r>
      <w:proofErr w:type="spellStart"/>
      <w:r>
        <w:t>ContextIn</w:t>
      </w:r>
      <w:proofErr w:type="spellEnd"/>
      <w:r>
        <w:t xml:space="preserve"> order to gain an accurate perspective on the nature of Selz's assertions, it is important place them within a larger context pertaining to Mesopotamian historiography. Here, today most traditional models predicted that the south will be urbanized first in a linear fashion giving way to later urbanization towards north. But aided by new archaeological finds, Selz contends that southern Mesopotamia was not the only cradle of urban development at this time; so too were cites in northern and eastern parts of the region.</w:t>
      </w:r>
    </w:p>
    <w:p w14:paraId="63448024" w14:textId="77777777" w:rsidR="005A1CF2" w:rsidRDefault="005A1CF2" w:rsidP="005A1CF2">
      <w:pPr>
        <w:pStyle w:val="NormalWeb"/>
      </w:pPr>
      <w:r>
        <w:lastRenderedPageBreak/>
        <w:t>(iv) Academic Worth</w:t>
      </w:r>
    </w:p>
    <w:p w14:paraId="55F4E2E2" w14:textId="77777777" w:rsidR="005A1CF2" w:rsidRDefault="005A1CF2" w:rsidP="005A1CF2">
      <w:pPr>
        <w:pStyle w:val="NormalWeb"/>
      </w:pPr>
      <w:r>
        <w:t xml:space="preserve">Correlative "The </w:t>
      </w:r>
      <w:proofErr w:type="spellStart"/>
      <w:r>
        <w:t>Uruk</w:t>
      </w:r>
      <w:proofErr w:type="spellEnd"/>
      <w:r>
        <w:t xml:space="preserve"> Phenomenon" presents a crucial academic resource by way of its accomplished data evaluation and synthesis. By comparison to prior works, whether Oates or Ur's, Selz supplies a more up-to-date and well-structured gateway into the </w:t>
      </w:r>
      <w:proofErr w:type="spellStart"/>
      <w:r>
        <w:t>Uruk</w:t>
      </w:r>
      <w:proofErr w:type="spellEnd"/>
      <w:r>
        <w:t xml:space="preserve"> period. The economic-oriented emphasis of Horii neatly fits with cultural and social approaches by other scholars to round out the picture.</w:t>
      </w:r>
    </w:p>
    <w:p w14:paraId="2EB0D0F8" w14:textId="77777777" w:rsidR="005A1CF2" w:rsidRDefault="005A1CF2" w:rsidP="005A1CF2">
      <w:pPr>
        <w:pStyle w:val="NormalWeb"/>
      </w:pPr>
      <w:r>
        <w:t xml:space="preserve">Theoretical Value Selz's work is useful to students and researchers for an understanding of competing </w:t>
      </w:r>
      <w:proofErr w:type="gramStart"/>
      <w:r>
        <w:t>models</w:t>
      </w:r>
      <w:proofErr w:type="gramEnd"/>
      <w:r>
        <w:t xml:space="preserve"> ancient urbanism. The detailed examination of archaeological evidence along with its theoretical underpinnings render this an important source for those interested in understanding some the complexities associated with ancient Mesopotamian societies. But the density of material in it may direct those who are fresh to this subject right towards additional readings.</w:t>
      </w:r>
    </w:p>
    <w:p w14:paraId="504D7DE7" w14:textId="77777777" w:rsidR="005A1CF2" w:rsidRDefault="005A1CF2" w:rsidP="005A1CF2">
      <w:pPr>
        <w:pStyle w:val="NormalWeb"/>
      </w:pPr>
      <w:r>
        <w:t>Conclusion</w:t>
      </w:r>
    </w:p>
    <w:p w14:paraId="47E3EF85" w14:textId="77777777" w:rsidR="005A1CF2" w:rsidRDefault="005A1CF2" w:rsidP="005A1CF2">
      <w:pPr>
        <w:pStyle w:val="NormalWeb"/>
      </w:pPr>
      <w:r>
        <w:t xml:space="preserve">A key study of the early urbanization process in ancient Mesopotamia is that by J.G. Selz, "The </w:t>
      </w:r>
      <w:proofErr w:type="spellStart"/>
      <w:r>
        <w:t>Uruk</w:t>
      </w:r>
      <w:proofErr w:type="spellEnd"/>
      <w:r>
        <w:t xml:space="preserve"> Phenomenon." The book is strongest in its exhaustive consideration of the archaeological record and putting </w:t>
      </w:r>
      <w:proofErr w:type="spellStart"/>
      <w:r>
        <w:t>Uruk</w:t>
      </w:r>
      <w:proofErr w:type="spellEnd"/>
      <w:r>
        <w:t xml:space="preserve"> into a longer Mesopotamian history. Despite any caveats about economic reductionism, the book is a valuable scholarly asset on 'People Across Time.</w:t>
      </w:r>
    </w:p>
    <w:p w14:paraId="0E688AAD" w14:textId="77777777" w:rsidR="005A1CF2" w:rsidRDefault="005A1CF2" w:rsidP="005A1CF2">
      <w:pPr>
        <w:pStyle w:val="NormalWeb"/>
      </w:pPr>
      <w:r>
        <w:t>Bibliography</w:t>
      </w:r>
    </w:p>
    <w:p w14:paraId="5B9CBBA7" w14:textId="77777777" w:rsidR="005A1CF2" w:rsidRDefault="005A1CF2" w:rsidP="005A1CF2">
      <w:pPr>
        <w:pStyle w:val="NormalWeb"/>
      </w:pPr>
      <w:r>
        <w:t xml:space="preserve">Selz, J. G. (2020). The </w:t>
      </w:r>
      <w:proofErr w:type="spellStart"/>
      <w:r>
        <w:t>Uruk</w:t>
      </w:r>
      <w:proofErr w:type="spellEnd"/>
      <w:r>
        <w:t xml:space="preserve"> Phenomenon. Oxford University Press.</w:t>
      </w:r>
    </w:p>
    <w:p w14:paraId="14683E8B" w14:textId="77777777" w:rsidR="003F5EA4" w:rsidRDefault="003F5EA4"/>
    <w:sectPr w:rsidR="003F5E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AC94C1" w14:textId="77777777" w:rsidR="00727143" w:rsidRDefault="00727143" w:rsidP="00823EB2">
      <w:pPr>
        <w:spacing w:after="0" w:line="240" w:lineRule="auto"/>
      </w:pPr>
      <w:r>
        <w:separator/>
      </w:r>
    </w:p>
  </w:endnote>
  <w:endnote w:type="continuationSeparator" w:id="0">
    <w:p w14:paraId="2473EF64" w14:textId="77777777" w:rsidR="00727143" w:rsidRDefault="00727143" w:rsidP="00823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CB4B6B" w14:textId="77777777" w:rsidR="00727143" w:rsidRDefault="00727143" w:rsidP="00823EB2">
      <w:pPr>
        <w:spacing w:after="0" w:line="240" w:lineRule="auto"/>
      </w:pPr>
      <w:r>
        <w:separator/>
      </w:r>
    </w:p>
  </w:footnote>
  <w:footnote w:type="continuationSeparator" w:id="0">
    <w:p w14:paraId="48710661" w14:textId="77777777" w:rsidR="00727143" w:rsidRDefault="00727143" w:rsidP="00823E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CF2"/>
    <w:rsid w:val="003F5EA4"/>
    <w:rsid w:val="005A1CF2"/>
    <w:rsid w:val="00727143"/>
    <w:rsid w:val="00823EB2"/>
    <w:rsid w:val="0090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332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C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C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C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C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C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C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C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C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C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C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CF2"/>
    <w:rPr>
      <w:rFonts w:eastAsiaTheme="majorEastAsia" w:cstheme="majorBidi"/>
      <w:color w:val="272727" w:themeColor="text1" w:themeTint="D8"/>
    </w:rPr>
  </w:style>
  <w:style w:type="paragraph" w:styleId="Title">
    <w:name w:val="Title"/>
    <w:basedOn w:val="Normal"/>
    <w:next w:val="Normal"/>
    <w:link w:val="TitleChar"/>
    <w:uiPriority w:val="10"/>
    <w:qFormat/>
    <w:rsid w:val="005A1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CF2"/>
    <w:pPr>
      <w:spacing w:before="160"/>
      <w:jc w:val="center"/>
    </w:pPr>
    <w:rPr>
      <w:i/>
      <w:iCs/>
      <w:color w:val="404040" w:themeColor="text1" w:themeTint="BF"/>
    </w:rPr>
  </w:style>
  <w:style w:type="character" w:customStyle="1" w:styleId="QuoteChar">
    <w:name w:val="Quote Char"/>
    <w:basedOn w:val="DefaultParagraphFont"/>
    <w:link w:val="Quote"/>
    <w:uiPriority w:val="29"/>
    <w:rsid w:val="005A1CF2"/>
    <w:rPr>
      <w:i/>
      <w:iCs/>
      <w:color w:val="404040" w:themeColor="text1" w:themeTint="BF"/>
    </w:rPr>
  </w:style>
  <w:style w:type="paragraph" w:styleId="ListParagraph">
    <w:name w:val="List Paragraph"/>
    <w:basedOn w:val="Normal"/>
    <w:uiPriority w:val="34"/>
    <w:qFormat/>
    <w:rsid w:val="005A1CF2"/>
    <w:pPr>
      <w:ind w:left="720"/>
      <w:contextualSpacing/>
    </w:pPr>
  </w:style>
  <w:style w:type="character" w:styleId="IntenseEmphasis">
    <w:name w:val="Intense Emphasis"/>
    <w:basedOn w:val="DefaultParagraphFont"/>
    <w:uiPriority w:val="21"/>
    <w:qFormat/>
    <w:rsid w:val="005A1CF2"/>
    <w:rPr>
      <w:i/>
      <w:iCs/>
      <w:color w:val="0F4761" w:themeColor="accent1" w:themeShade="BF"/>
    </w:rPr>
  </w:style>
  <w:style w:type="paragraph" w:styleId="IntenseQuote">
    <w:name w:val="Intense Quote"/>
    <w:basedOn w:val="Normal"/>
    <w:next w:val="Normal"/>
    <w:link w:val="IntenseQuoteChar"/>
    <w:uiPriority w:val="30"/>
    <w:qFormat/>
    <w:rsid w:val="005A1C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CF2"/>
    <w:rPr>
      <w:i/>
      <w:iCs/>
      <w:color w:val="0F4761" w:themeColor="accent1" w:themeShade="BF"/>
    </w:rPr>
  </w:style>
  <w:style w:type="character" w:styleId="IntenseReference">
    <w:name w:val="Intense Reference"/>
    <w:basedOn w:val="DefaultParagraphFont"/>
    <w:uiPriority w:val="32"/>
    <w:qFormat/>
    <w:rsid w:val="005A1CF2"/>
    <w:rPr>
      <w:b/>
      <w:bCs/>
      <w:smallCaps/>
      <w:color w:val="0F4761" w:themeColor="accent1" w:themeShade="BF"/>
      <w:spacing w:val="5"/>
    </w:rPr>
  </w:style>
  <w:style w:type="paragraph" w:styleId="NormalWeb">
    <w:name w:val="Normal (Web)"/>
    <w:basedOn w:val="Normal"/>
    <w:uiPriority w:val="99"/>
    <w:semiHidden/>
    <w:unhideWhenUsed/>
    <w:rsid w:val="005A1C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23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EB2"/>
  </w:style>
  <w:style w:type="paragraph" w:styleId="Footer">
    <w:name w:val="footer"/>
    <w:basedOn w:val="Normal"/>
    <w:link w:val="FooterChar"/>
    <w:uiPriority w:val="99"/>
    <w:unhideWhenUsed/>
    <w:rsid w:val="00823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954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941</Words>
  <Characters>5367</Characters>
  <Application>Microsoft Office Word</Application>
  <DocSecurity>0</DocSecurity>
  <Lines>44</Lines>
  <Paragraphs>12</Paragraphs>
  <ScaleCrop>false</ScaleCrop>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2024-07-28T16:52:00Z</dcterms:created>
  <dcterms:modified xsi:type="dcterms:W3CDTF">2024-07-28T16:52:00Z</dcterms:modified>
</cp:coreProperties>
</file>