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7B8DEA" w14:textId="18036934" w:rsidR="00A508F7" w:rsidRDefault="006F5D0D" w:rsidP="006F5D0D">
      <w:pPr>
        <w:spacing w:before="4000"/>
        <w:jc w:val="center"/>
      </w:pPr>
      <w:r>
        <w:fldChar w:fldCharType="begin"/>
      </w:r>
      <w:r>
        <w:instrText xml:space="preserve"> INCLUDEPICTURE "https://www.neuroneducare.co.uk/wp-content/uploads/2024/05/uwtsd.webp" \* MERGEFORMATINET </w:instrText>
      </w:r>
      <w:r>
        <w:fldChar w:fldCharType="separate"/>
      </w:r>
      <w:r>
        <w:rPr>
          <w:noProof/>
        </w:rPr>
        <w:drawing>
          <wp:inline distT="0" distB="0" distL="0" distR="0" wp14:anchorId="7A9F33F7" wp14:editId="639ABD04">
            <wp:extent cx="4876187" cy="1641987"/>
            <wp:effectExtent l="0" t="0" r="635" b="0"/>
            <wp:docPr id="2144764342" name="Picture 1" descr="UNIVERSITY OF WALES TRINITY SAINT DAVID (UWTSD) – Neuron Ed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Neuron Edu ..."/>
                    <pic:cNvPicPr>
                      <a:picLocks noChangeAspect="1" noChangeArrowheads="1"/>
                    </pic:cNvPicPr>
                  </pic:nvPicPr>
                  <pic:blipFill rotWithShape="1">
                    <a:blip r:embed="rId7">
                      <a:extLst>
                        <a:ext uri="{28A0092B-C50C-407E-A947-70E740481C1C}">
                          <a14:useLocalDpi xmlns:a14="http://schemas.microsoft.com/office/drawing/2010/main" val="0"/>
                        </a:ext>
                      </a:extLst>
                    </a:blip>
                    <a:srcRect t="33064" b="33262"/>
                    <a:stretch>
                      <a:fillRect/>
                    </a:stretch>
                  </pic:blipFill>
                  <pic:spPr bwMode="auto">
                    <a:xfrm>
                      <a:off x="0" y="0"/>
                      <a:ext cx="4876800" cy="1642193"/>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65004DBB" w14:textId="77777777" w:rsidR="00A508F7" w:rsidRDefault="00000000">
      <w:pPr>
        <w:spacing w:after="200"/>
        <w:jc w:val="center"/>
      </w:pPr>
      <w:r>
        <w:rPr>
          <w:b/>
          <w:bCs/>
          <w:color w:val="1F3864"/>
          <w:sz w:val="52"/>
          <w:szCs w:val="52"/>
        </w:rPr>
        <w:t>RFD Global</w:t>
      </w:r>
    </w:p>
    <w:p w14:paraId="57B2E536" w14:textId="77777777" w:rsidR="00A508F7" w:rsidRDefault="00000000">
      <w:pPr>
        <w:spacing w:after="100"/>
        <w:jc w:val="center"/>
      </w:pPr>
      <w:r>
        <w:rPr>
          <w:color w:val="2E75B6"/>
          <w:sz w:val="32"/>
          <w:szCs w:val="32"/>
        </w:rPr>
        <w:t>Internship Application Report</w:t>
      </w:r>
    </w:p>
    <w:p w14:paraId="05102023" w14:textId="77777777" w:rsidR="00A508F7" w:rsidRDefault="00A508F7">
      <w:pPr>
        <w:spacing w:after="600"/>
      </w:pPr>
    </w:p>
    <w:p w14:paraId="56AD982F" w14:textId="77777777" w:rsidR="00A508F7" w:rsidRDefault="00000000">
      <w:pPr>
        <w:spacing w:after="200"/>
        <w:jc w:val="center"/>
      </w:pPr>
      <w:r>
        <w:rPr>
          <w:b/>
          <w:bCs/>
          <w:color w:val="1F3864"/>
          <w:sz w:val="36"/>
          <w:szCs w:val="36"/>
        </w:rPr>
        <w:t>Artificial Intelligence and Risk Management at HSBC Holdings plc</w:t>
      </w:r>
    </w:p>
    <w:p w14:paraId="5CB42920" w14:textId="77777777" w:rsidR="00A508F7" w:rsidRDefault="00000000">
      <w:pPr>
        <w:spacing w:after="100"/>
        <w:jc w:val="center"/>
      </w:pPr>
      <w:r>
        <w:rPr>
          <w:color w:val="404040"/>
        </w:rPr>
        <w:t>Data governance, ethical AI, regulatory compliance and customer trust in the United Kingdom and Hong Kong</w:t>
      </w:r>
    </w:p>
    <w:p w14:paraId="069A999A" w14:textId="77777777" w:rsidR="00A508F7" w:rsidRDefault="00A508F7">
      <w:pPr>
        <w:spacing w:after="800"/>
      </w:pPr>
    </w:p>
    <w:p w14:paraId="74036EC7" w14:textId="77777777" w:rsidR="00A508F7" w:rsidRDefault="00000000">
      <w:pPr>
        <w:spacing w:after="100"/>
        <w:jc w:val="center"/>
      </w:pPr>
      <w:r>
        <w:rPr>
          <w:sz w:val="22"/>
          <w:szCs w:val="22"/>
        </w:rPr>
        <w:t>Module: Global Business Challenges (BMMB7006)</w:t>
      </w:r>
    </w:p>
    <w:p w14:paraId="42BDAD39" w14:textId="77777777" w:rsidR="00A508F7" w:rsidRDefault="00000000">
      <w:pPr>
        <w:spacing w:after="100"/>
        <w:jc w:val="center"/>
      </w:pPr>
      <w:r>
        <w:rPr>
          <w:sz w:val="22"/>
          <w:szCs w:val="22"/>
        </w:rPr>
        <w:t>Programme: MBA</w:t>
      </w:r>
    </w:p>
    <w:p w14:paraId="01AB30F6" w14:textId="77777777" w:rsidR="00A508F7" w:rsidRDefault="00000000">
      <w:pPr>
        <w:spacing w:after="100"/>
        <w:jc w:val="center"/>
      </w:pPr>
      <w:r>
        <w:rPr>
          <w:sz w:val="22"/>
          <w:szCs w:val="22"/>
        </w:rPr>
        <w:t>Lecturer: Rebecca Francis-Davies</w:t>
      </w:r>
    </w:p>
    <w:p w14:paraId="1F820B43" w14:textId="77777777" w:rsidR="00A508F7" w:rsidRDefault="00000000">
      <w:pPr>
        <w:spacing w:after="100"/>
        <w:jc w:val="center"/>
      </w:pPr>
      <w:r>
        <w:rPr>
          <w:sz w:val="22"/>
          <w:szCs w:val="22"/>
        </w:rPr>
        <w:t>Submission Date: 27th April 2026</w:t>
      </w:r>
    </w:p>
    <w:p w14:paraId="5AF6BE2A" w14:textId="77777777" w:rsidR="00A508F7" w:rsidRDefault="00000000">
      <w:pPr>
        <w:spacing w:after="100"/>
        <w:jc w:val="center"/>
      </w:pPr>
      <w:r>
        <w:rPr>
          <w:sz w:val="22"/>
          <w:szCs w:val="22"/>
        </w:rPr>
        <w:t>Word Count: 5,000</w:t>
      </w:r>
    </w:p>
    <w:p w14:paraId="46EA4446" w14:textId="77777777" w:rsidR="00A508F7" w:rsidRDefault="00A508F7">
      <w:pPr>
        <w:sectPr w:rsidR="00A508F7">
          <w:pgSz w:w="11906" w:h="16838"/>
          <w:pgMar w:top="1440" w:right="1440" w:bottom="1440" w:left="1440" w:header="708" w:footer="708" w:gutter="0"/>
          <w:cols w:space="720"/>
          <w:docGrid w:linePitch="360"/>
        </w:sectPr>
      </w:pPr>
    </w:p>
    <w:p w14:paraId="244A044D" w14:textId="77777777" w:rsidR="00A508F7" w:rsidRDefault="00000000">
      <w:pPr>
        <w:pStyle w:val="Heading1"/>
      </w:pPr>
      <w:bookmarkStart w:id="0" w:name="_Toc228221035"/>
      <w:r>
        <w:lastRenderedPageBreak/>
        <w:t>Executive summary</w:t>
      </w:r>
      <w:bookmarkEnd w:id="0"/>
    </w:p>
    <w:p w14:paraId="4693D3C4" w14:textId="77777777" w:rsidR="00A508F7" w:rsidRDefault="00000000">
      <w:pPr>
        <w:spacing w:after="200" w:line="360" w:lineRule="auto"/>
        <w:jc w:val="both"/>
      </w:pPr>
      <w:r>
        <w:t>This report advises HSBC Holdings plc on how the rapid deployment of artificial intelligence across its operations exposes the bank to risks spanning data governance, algorithmic fairness, regulatory compliance and customer trust. HSBC operates in 62 countries, but its heaviest exposure to AI-related regulatory divergence sits between the United Kingdom and Hong Kong (HSBC, 2025). The UK is building a principles-based supervisory regime enforced by sector regulators. Hong Kong is taking a lighter, more facilitative approach. Both are moving quickly, in different directions.</w:t>
      </w:r>
    </w:p>
    <w:p w14:paraId="302FDF38" w14:textId="77777777" w:rsidR="00A508F7" w:rsidRDefault="00000000">
      <w:pPr>
        <w:spacing w:after="200" w:line="360" w:lineRule="auto"/>
        <w:jc w:val="both"/>
      </w:pPr>
      <w:r>
        <w:t>Using PESTLE analysis, Porter's Five Forces, the Resource-Based View, Institutional Theory, the COSO ERM framework and Hofstede's cultural dimensions, this report identifies that HSBC lacks a dedicated board-level AI oversight mechanism, that staff are already using unapproved public AI tools with client data, and that the bank's compliance architecture was not built for a world where the UK, Hong Kong, the EU and China each impose different rules on algorithmic decision-making.</w:t>
      </w:r>
    </w:p>
    <w:p w14:paraId="37933917" w14:textId="77777777" w:rsidR="00A508F7" w:rsidRDefault="00000000">
      <w:pPr>
        <w:spacing w:after="200" w:line="360" w:lineRule="auto"/>
        <w:jc w:val="both"/>
      </w:pPr>
      <w:r>
        <w:t>The report proposes a three-phase, 24-month implementation plan. Phase 1 (Foundation) establishes a Board AI Governance Committee, deploys data loss prevention controls and conducts a regulatory gap analysis, at an estimated cost of 8-12 million pounds. Phase 2 (Build) rolls out explainable AI architecture, mandatory ethics training and conformity assessments for EU AI Act compliance. Phase 3 (Lead) positions HSBC as an industry leader through publication of an AI Transparency Report, proactive regulatory engagement and an independent external evaluation.</w:t>
      </w:r>
    </w:p>
    <w:p w14:paraId="260207B7" w14:textId="77777777" w:rsidR="00A508F7" w:rsidRDefault="00000000">
      <w:r>
        <w:br w:type="page"/>
      </w:r>
    </w:p>
    <w:p w14:paraId="36EEC196" w14:textId="77777777" w:rsidR="00A508F7" w:rsidRDefault="00000000">
      <w:pPr>
        <w:pStyle w:val="Heading1"/>
      </w:pPr>
      <w:bookmarkStart w:id="1" w:name="_Toc228221036"/>
      <w:r>
        <w:lastRenderedPageBreak/>
        <w:t>Table of contents</w:t>
      </w:r>
      <w:bookmarkEnd w:id="1"/>
    </w:p>
    <w:sdt>
      <w:sdtPr>
        <w:alias w:val="Table of Contents"/>
        <w:id w:val="576711150"/>
      </w:sdtPr>
      <w:sdtContent>
        <w:p w14:paraId="3FB20D4F" w14:textId="5DFC6636" w:rsidR="00C17606" w:rsidRDefault="00000000">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TOC \h \o "1-3"</w:instrText>
          </w:r>
          <w:r>
            <w:fldChar w:fldCharType="separate"/>
          </w:r>
          <w:hyperlink w:anchor="_Toc228221035" w:history="1">
            <w:r w:rsidR="00C17606" w:rsidRPr="005B0C0D">
              <w:rPr>
                <w:rStyle w:val="Hyperlink"/>
                <w:noProof/>
              </w:rPr>
              <w:t>Executive summary</w:t>
            </w:r>
            <w:r w:rsidR="00C17606">
              <w:rPr>
                <w:noProof/>
              </w:rPr>
              <w:tab/>
            </w:r>
            <w:r w:rsidR="00C17606">
              <w:rPr>
                <w:noProof/>
              </w:rPr>
              <w:fldChar w:fldCharType="begin"/>
            </w:r>
            <w:r w:rsidR="00C17606">
              <w:rPr>
                <w:noProof/>
              </w:rPr>
              <w:instrText xml:space="preserve"> PAGEREF _Toc228221035 \h </w:instrText>
            </w:r>
            <w:r w:rsidR="00C17606">
              <w:rPr>
                <w:noProof/>
              </w:rPr>
            </w:r>
            <w:r w:rsidR="00C17606">
              <w:rPr>
                <w:noProof/>
              </w:rPr>
              <w:fldChar w:fldCharType="separate"/>
            </w:r>
            <w:r w:rsidR="00C17606">
              <w:rPr>
                <w:noProof/>
              </w:rPr>
              <w:t>2</w:t>
            </w:r>
            <w:r w:rsidR="00C17606">
              <w:rPr>
                <w:noProof/>
              </w:rPr>
              <w:fldChar w:fldCharType="end"/>
            </w:r>
          </w:hyperlink>
        </w:p>
        <w:p w14:paraId="2CB568B7" w14:textId="4B58AD66" w:rsidR="00C17606" w:rsidRDefault="00C17606">
          <w:pPr>
            <w:pStyle w:val="TOC1"/>
            <w:tabs>
              <w:tab w:val="right" w:leader="dot" w:pos="9016"/>
            </w:tabs>
            <w:rPr>
              <w:rFonts w:asciiTheme="minorHAnsi" w:eastAsiaTheme="minorEastAsia" w:hAnsiTheme="minorHAnsi" w:cstheme="minorBidi"/>
              <w:noProof/>
              <w:kern w:val="2"/>
              <w14:ligatures w14:val="standardContextual"/>
            </w:rPr>
          </w:pPr>
          <w:hyperlink w:anchor="_Toc228221036" w:history="1">
            <w:r w:rsidRPr="005B0C0D">
              <w:rPr>
                <w:rStyle w:val="Hyperlink"/>
                <w:noProof/>
              </w:rPr>
              <w:t>Table of contents</w:t>
            </w:r>
            <w:r>
              <w:rPr>
                <w:noProof/>
              </w:rPr>
              <w:tab/>
            </w:r>
            <w:r>
              <w:rPr>
                <w:noProof/>
              </w:rPr>
              <w:fldChar w:fldCharType="begin"/>
            </w:r>
            <w:r>
              <w:rPr>
                <w:noProof/>
              </w:rPr>
              <w:instrText xml:space="preserve"> PAGEREF _Toc228221036 \h </w:instrText>
            </w:r>
            <w:r>
              <w:rPr>
                <w:noProof/>
              </w:rPr>
            </w:r>
            <w:r>
              <w:rPr>
                <w:noProof/>
              </w:rPr>
              <w:fldChar w:fldCharType="separate"/>
            </w:r>
            <w:r>
              <w:rPr>
                <w:noProof/>
              </w:rPr>
              <w:t>3</w:t>
            </w:r>
            <w:r>
              <w:rPr>
                <w:noProof/>
              </w:rPr>
              <w:fldChar w:fldCharType="end"/>
            </w:r>
          </w:hyperlink>
        </w:p>
        <w:p w14:paraId="467F063A" w14:textId="541FD99F" w:rsidR="00C17606" w:rsidRDefault="00C17606">
          <w:pPr>
            <w:pStyle w:val="TOC1"/>
            <w:tabs>
              <w:tab w:val="right" w:leader="dot" w:pos="9016"/>
            </w:tabs>
            <w:rPr>
              <w:rFonts w:asciiTheme="minorHAnsi" w:eastAsiaTheme="minorEastAsia" w:hAnsiTheme="minorHAnsi" w:cstheme="minorBidi"/>
              <w:noProof/>
              <w:kern w:val="2"/>
              <w14:ligatures w14:val="standardContextual"/>
            </w:rPr>
          </w:pPr>
          <w:hyperlink w:anchor="_Toc228221037" w:history="1">
            <w:r w:rsidRPr="005B0C0D">
              <w:rPr>
                <w:rStyle w:val="Hyperlink"/>
                <w:noProof/>
              </w:rPr>
              <w:t>1. Introduction</w:t>
            </w:r>
            <w:r>
              <w:rPr>
                <w:noProof/>
              </w:rPr>
              <w:tab/>
            </w:r>
            <w:r>
              <w:rPr>
                <w:noProof/>
              </w:rPr>
              <w:fldChar w:fldCharType="begin"/>
            </w:r>
            <w:r>
              <w:rPr>
                <w:noProof/>
              </w:rPr>
              <w:instrText xml:space="preserve"> PAGEREF _Toc228221037 \h </w:instrText>
            </w:r>
            <w:r>
              <w:rPr>
                <w:noProof/>
              </w:rPr>
            </w:r>
            <w:r>
              <w:rPr>
                <w:noProof/>
              </w:rPr>
              <w:fldChar w:fldCharType="separate"/>
            </w:r>
            <w:r>
              <w:rPr>
                <w:noProof/>
              </w:rPr>
              <w:t>4</w:t>
            </w:r>
            <w:r>
              <w:rPr>
                <w:noProof/>
              </w:rPr>
              <w:fldChar w:fldCharType="end"/>
            </w:r>
          </w:hyperlink>
        </w:p>
        <w:p w14:paraId="121EBF6E" w14:textId="62D942E8" w:rsidR="00C17606" w:rsidRDefault="00C17606">
          <w:pPr>
            <w:pStyle w:val="TOC1"/>
            <w:tabs>
              <w:tab w:val="right" w:leader="dot" w:pos="9016"/>
            </w:tabs>
            <w:rPr>
              <w:rFonts w:asciiTheme="minorHAnsi" w:eastAsiaTheme="minorEastAsia" w:hAnsiTheme="minorHAnsi" w:cstheme="minorBidi"/>
              <w:noProof/>
              <w:kern w:val="2"/>
              <w14:ligatures w14:val="standardContextual"/>
            </w:rPr>
          </w:pPr>
          <w:hyperlink w:anchor="_Toc228221038" w:history="1">
            <w:r w:rsidRPr="005B0C0D">
              <w:rPr>
                <w:rStyle w:val="Hyperlink"/>
                <w:noProof/>
              </w:rPr>
              <w:t>2. Main findings</w:t>
            </w:r>
            <w:r>
              <w:rPr>
                <w:noProof/>
              </w:rPr>
              <w:tab/>
            </w:r>
            <w:r>
              <w:rPr>
                <w:noProof/>
              </w:rPr>
              <w:fldChar w:fldCharType="begin"/>
            </w:r>
            <w:r>
              <w:rPr>
                <w:noProof/>
              </w:rPr>
              <w:instrText xml:space="preserve"> PAGEREF _Toc228221038 \h </w:instrText>
            </w:r>
            <w:r>
              <w:rPr>
                <w:noProof/>
              </w:rPr>
            </w:r>
            <w:r>
              <w:rPr>
                <w:noProof/>
              </w:rPr>
              <w:fldChar w:fldCharType="separate"/>
            </w:r>
            <w:r>
              <w:rPr>
                <w:noProof/>
              </w:rPr>
              <w:t>5</w:t>
            </w:r>
            <w:r>
              <w:rPr>
                <w:noProof/>
              </w:rPr>
              <w:fldChar w:fldCharType="end"/>
            </w:r>
          </w:hyperlink>
        </w:p>
        <w:p w14:paraId="40A2A911" w14:textId="4DEFA59F"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39" w:history="1">
            <w:r w:rsidRPr="005B0C0D">
              <w:rPr>
                <w:rStyle w:val="Hyperlink"/>
                <w:noProof/>
              </w:rPr>
              <w:t>2.1 The macro-environment: a PESTLE analysis</w:t>
            </w:r>
            <w:r>
              <w:rPr>
                <w:noProof/>
              </w:rPr>
              <w:tab/>
            </w:r>
            <w:r>
              <w:rPr>
                <w:noProof/>
              </w:rPr>
              <w:fldChar w:fldCharType="begin"/>
            </w:r>
            <w:r>
              <w:rPr>
                <w:noProof/>
              </w:rPr>
              <w:instrText xml:space="preserve"> PAGEREF _Toc228221039 \h </w:instrText>
            </w:r>
            <w:r>
              <w:rPr>
                <w:noProof/>
              </w:rPr>
            </w:r>
            <w:r>
              <w:rPr>
                <w:noProof/>
              </w:rPr>
              <w:fldChar w:fldCharType="separate"/>
            </w:r>
            <w:r>
              <w:rPr>
                <w:noProof/>
              </w:rPr>
              <w:t>5</w:t>
            </w:r>
            <w:r>
              <w:rPr>
                <w:noProof/>
              </w:rPr>
              <w:fldChar w:fldCharType="end"/>
            </w:r>
          </w:hyperlink>
        </w:p>
        <w:p w14:paraId="3B3CBD4E" w14:textId="2393FACF" w:rsidR="00C17606" w:rsidRDefault="00C17606">
          <w:pPr>
            <w:pStyle w:val="TOC3"/>
            <w:tabs>
              <w:tab w:val="right" w:leader="dot" w:pos="9016"/>
            </w:tabs>
            <w:rPr>
              <w:rFonts w:asciiTheme="minorHAnsi" w:eastAsiaTheme="minorEastAsia" w:hAnsiTheme="minorHAnsi" w:cstheme="minorBidi"/>
              <w:noProof/>
              <w:kern w:val="2"/>
              <w14:ligatures w14:val="standardContextual"/>
            </w:rPr>
          </w:pPr>
          <w:hyperlink w:anchor="_Toc228221040" w:history="1">
            <w:r w:rsidRPr="005B0C0D">
              <w:rPr>
                <w:rStyle w:val="Hyperlink"/>
                <w:noProof/>
              </w:rPr>
              <w:t>Political and economic factors</w:t>
            </w:r>
            <w:r>
              <w:rPr>
                <w:noProof/>
              </w:rPr>
              <w:tab/>
            </w:r>
            <w:r>
              <w:rPr>
                <w:noProof/>
              </w:rPr>
              <w:fldChar w:fldCharType="begin"/>
            </w:r>
            <w:r>
              <w:rPr>
                <w:noProof/>
              </w:rPr>
              <w:instrText xml:space="preserve"> PAGEREF _Toc228221040 \h </w:instrText>
            </w:r>
            <w:r>
              <w:rPr>
                <w:noProof/>
              </w:rPr>
            </w:r>
            <w:r>
              <w:rPr>
                <w:noProof/>
              </w:rPr>
              <w:fldChar w:fldCharType="separate"/>
            </w:r>
            <w:r>
              <w:rPr>
                <w:noProof/>
              </w:rPr>
              <w:t>5</w:t>
            </w:r>
            <w:r>
              <w:rPr>
                <w:noProof/>
              </w:rPr>
              <w:fldChar w:fldCharType="end"/>
            </w:r>
          </w:hyperlink>
        </w:p>
        <w:p w14:paraId="243721CB" w14:textId="2C3C5EF8" w:rsidR="00C17606" w:rsidRDefault="00C17606">
          <w:pPr>
            <w:pStyle w:val="TOC3"/>
            <w:tabs>
              <w:tab w:val="right" w:leader="dot" w:pos="9016"/>
            </w:tabs>
            <w:rPr>
              <w:rFonts w:asciiTheme="minorHAnsi" w:eastAsiaTheme="minorEastAsia" w:hAnsiTheme="minorHAnsi" w:cstheme="minorBidi"/>
              <w:noProof/>
              <w:kern w:val="2"/>
              <w14:ligatures w14:val="standardContextual"/>
            </w:rPr>
          </w:pPr>
          <w:hyperlink w:anchor="_Toc228221041" w:history="1">
            <w:r w:rsidRPr="005B0C0D">
              <w:rPr>
                <w:rStyle w:val="Hyperlink"/>
                <w:noProof/>
              </w:rPr>
              <w:t>Social and cultural factors</w:t>
            </w:r>
            <w:r>
              <w:rPr>
                <w:noProof/>
              </w:rPr>
              <w:tab/>
            </w:r>
            <w:r>
              <w:rPr>
                <w:noProof/>
              </w:rPr>
              <w:fldChar w:fldCharType="begin"/>
            </w:r>
            <w:r>
              <w:rPr>
                <w:noProof/>
              </w:rPr>
              <w:instrText xml:space="preserve"> PAGEREF _Toc228221041 \h </w:instrText>
            </w:r>
            <w:r>
              <w:rPr>
                <w:noProof/>
              </w:rPr>
            </w:r>
            <w:r>
              <w:rPr>
                <w:noProof/>
              </w:rPr>
              <w:fldChar w:fldCharType="separate"/>
            </w:r>
            <w:r>
              <w:rPr>
                <w:noProof/>
              </w:rPr>
              <w:t>6</w:t>
            </w:r>
            <w:r>
              <w:rPr>
                <w:noProof/>
              </w:rPr>
              <w:fldChar w:fldCharType="end"/>
            </w:r>
          </w:hyperlink>
        </w:p>
        <w:p w14:paraId="72183505" w14:textId="55DEDB69" w:rsidR="00C17606" w:rsidRDefault="00C17606">
          <w:pPr>
            <w:pStyle w:val="TOC3"/>
            <w:tabs>
              <w:tab w:val="right" w:leader="dot" w:pos="9016"/>
            </w:tabs>
            <w:rPr>
              <w:rFonts w:asciiTheme="minorHAnsi" w:eastAsiaTheme="minorEastAsia" w:hAnsiTheme="minorHAnsi" w:cstheme="minorBidi"/>
              <w:noProof/>
              <w:kern w:val="2"/>
              <w14:ligatures w14:val="standardContextual"/>
            </w:rPr>
          </w:pPr>
          <w:hyperlink w:anchor="_Toc228221042" w:history="1">
            <w:r w:rsidRPr="005B0C0D">
              <w:rPr>
                <w:rStyle w:val="Hyperlink"/>
                <w:noProof/>
              </w:rPr>
              <w:t>Technological factors</w:t>
            </w:r>
            <w:r>
              <w:rPr>
                <w:noProof/>
              </w:rPr>
              <w:tab/>
            </w:r>
            <w:r>
              <w:rPr>
                <w:noProof/>
              </w:rPr>
              <w:fldChar w:fldCharType="begin"/>
            </w:r>
            <w:r>
              <w:rPr>
                <w:noProof/>
              </w:rPr>
              <w:instrText xml:space="preserve"> PAGEREF _Toc228221042 \h </w:instrText>
            </w:r>
            <w:r>
              <w:rPr>
                <w:noProof/>
              </w:rPr>
            </w:r>
            <w:r>
              <w:rPr>
                <w:noProof/>
              </w:rPr>
              <w:fldChar w:fldCharType="separate"/>
            </w:r>
            <w:r>
              <w:rPr>
                <w:noProof/>
              </w:rPr>
              <w:t>6</w:t>
            </w:r>
            <w:r>
              <w:rPr>
                <w:noProof/>
              </w:rPr>
              <w:fldChar w:fldCharType="end"/>
            </w:r>
          </w:hyperlink>
        </w:p>
        <w:p w14:paraId="25B6FD93" w14:textId="0E69860C" w:rsidR="00C17606" w:rsidRDefault="00C17606">
          <w:pPr>
            <w:pStyle w:val="TOC3"/>
            <w:tabs>
              <w:tab w:val="right" w:leader="dot" w:pos="9016"/>
            </w:tabs>
            <w:rPr>
              <w:rFonts w:asciiTheme="minorHAnsi" w:eastAsiaTheme="minorEastAsia" w:hAnsiTheme="minorHAnsi" w:cstheme="minorBidi"/>
              <w:noProof/>
              <w:kern w:val="2"/>
              <w14:ligatures w14:val="standardContextual"/>
            </w:rPr>
          </w:pPr>
          <w:hyperlink w:anchor="_Toc228221043" w:history="1">
            <w:r w:rsidRPr="005B0C0D">
              <w:rPr>
                <w:rStyle w:val="Hyperlink"/>
                <w:noProof/>
              </w:rPr>
              <w:t>Legal, regulatory and environmental factors</w:t>
            </w:r>
            <w:r>
              <w:rPr>
                <w:noProof/>
              </w:rPr>
              <w:tab/>
            </w:r>
            <w:r>
              <w:rPr>
                <w:noProof/>
              </w:rPr>
              <w:fldChar w:fldCharType="begin"/>
            </w:r>
            <w:r>
              <w:rPr>
                <w:noProof/>
              </w:rPr>
              <w:instrText xml:space="preserve"> PAGEREF _Toc228221043 \h </w:instrText>
            </w:r>
            <w:r>
              <w:rPr>
                <w:noProof/>
              </w:rPr>
            </w:r>
            <w:r>
              <w:rPr>
                <w:noProof/>
              </w:rPr>
              <w:fldChar w:fldCharType="separate"/>
            </w:r>
            <w:r>
              <w:rPr>
                <w:noProof/>
              </w:rPr>
              <w:t>7</w:t>
            </w:r>
            <w:r>
              <w:rPr>
                <w:noProof/>
              </w:rPr>
              <w:fldChar w:fldCharType="end"/>
            </w:r>
          </w:hyperlink>
        </w:p>
        <w:p w14:paraId="782AB482" w14:textId="47C00BAD"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44" w:history="1">
            <w:r w:rsidRPr="005B0C0D">
              <w:rPr>
                <w:rStyle w:val="Hyperlink"/>
                <w:noProof/>
              </w:rPr>
              <w:t>2.2 Competitive dynamics and strategic positioning</w:t>
            </w:r>
            <w:r>
              <w:rPr>
                <w:noProof/>
              </w:rPr>
              <w:tab/>
            </w:r>
            <w:r>
              <w:rPr>
                <w:noProof/>
              </w:rPr>
              <w:fldChar w:fldCharType="begin"/>
            </w:r>
            <w:r>
              <w:rPr>
                <w:noProof/>
              </w:rPr>
              <w:instrText xml:space="preserve"> PAGEREF _Toc228221044 \h </w:instrText>
            </w:r>
            <w:r>
              <w:rPr>
                <w:noProof/>
              </w:rPr>
            </w:r>
            <w:r>
              <w:rPr>
                <w:noProof/>
              </w:rPr>
              <w:fldChar w:fldCharType="separate"/>
            </w:r>
            <w:r>
              <w:rPr>
                <w:noProof/>
              </w:rPr>
              <w:t>9</w:t>
            </w:r>
            <w:r>
              <w:rPr>
                <w:noProof/>
              </w:rPr>
              <w:fldChar w:fldCharType="end"/>
            </w:r>
          </w:hyperlink>
        </w:p>
        <w:p w14:paraId="195BE3B4" w14:textId="0A9A6452"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45" w:history="1">
            <w:r w:rsidRPr="005B0C0D">
              <w:rPr>
                <w:rStyle w:val="Hyperlink"/>
                <w:noProof/>
              </w:rPr>
              <w:t>2.3 Data governance</w:t>
            </w:r>
            <w:r>
              <w:rPr>
                <w:noProof/>
              </w:rPr>
              <w:tab/>
            </w:r>
            <w:r>
              <w:rPr>
                <w:noProof/>
              </w:rPr>
              <w:fldChar w:fldCharType="begin"/>
            </w:r>
            <w:r>
              <w:rPr>
                <w:noProof/>
              </w:rPr>
              <w:instrText xml:space="preserve"> PAGEREF _Toc228221045 \h </w:instrText>
            </w:r>
            <w:r>
              <w:rPr>
                <w:noProof/>
              </w:rPr>
            </w:r>
            <w:r>
              <w:rPr>
                <w:noProof/>
              </w:rPr>
              <w:fldChar w:fldCharType="separate"/>
            </w:r>
            <w:r>
              <w:rPr>
                <w:noProof/>
              </w:rPr>
              <w:t>11</w:t>
            </w:r>
            <w:r>
              <w:rPr>
                <w:noProof/>
              </w:rPr>
              <w:fldChar w:fldCharType="end"/>
            </w:r>
          </w:hyperlink>
        </w:p>
        <w:p w14:paraId="753B2942" w14:textId="153DFE70"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46" w:history="1">
            <w:r w:rsidRPr="005B0C0D">
              <w:rPr>
                <w:rStyle w:val="Hyperlink"/>
                <w:noProof/>
              </w:rPr>
              <w:t>2.4 Ethical AI use</w:t>
            </w:r>
            <w:r>
              <w:rPr>
                <w:noProof/>
              </w:rPr>
              <w:tab/>
            </w:r>
            <w:r>
              <w:rPr>
                <w:noProof/>
              </w:rPr>
              <w:fldChar w:fldCharType="begin"/>
            </w:r>
            <w:r>
              <w:rPr>
                <w:noProof/>
              </w:rPr>
              <w:instrText xml:space="preserve"> PAGEREF _Toc228221046 \h </w:instrText>
            </w:r>
            <w:r>
              <w:rPr>
                <w:noProof/>
              </w:rPr>
            </w:r>
            <w:r>
              <w:rPr>
                <w:noProof/>
              </w:rPr>
              <w:fldChar w:fldCharType="separate"/>
            </w:r>
            <w:r>
              <w:rPr>
                <w:noProof/>
              </w:rPr>
              <w:t>12</w:t>
            </w:r>
            <w:r>
              <w:rPr>
                <w:noProof/>
              </w:rPr>
              <w:fldChar w:fldCharType="end"/>
            </w:r>
          </w:hyperlink>
        </w:p>
        <w:p w14:paraId="79AAC401" w14:textId="48E7FC7E"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47" w:history="1">
            <w:r w:rsidRPr="005B0C0D">
              <w:rPr>
                <w:rStyle w:val="Hyperlink"/>
                <w:noProof/>
              </w:rPr>
              <w:t>2.5 Customer trust</w:t>
            </w:r>
            <w:r>
              <w:rPr>
                <w:noProof/>
              </w:rPr>
              <w:tab/>
            </w:r>
            <w:r>
              <w:rPr>
                <w:noProof/>
              </w:rPr>
              <w:fldChar w:fldCharType="begin"/>
            </w:r>
            <w:r>
              <w:rPr>
                <w:noProof/>
              </w:rPr>
              <w:instrText xml:space="preserve"> PAGEREF _Toc228221047 \h </w:instrText>
            </w:r>
            <w:r>
              <w:rPr>
                <w:noProof/>
              </w:rPr>
            </w:r>
            <w:r>
              <w:rPr>
                <w:noProof/>
              </w:rPr>
              <w:fldChar w:fldCharType="separate"/>
            </w:r>
            <w:r>
              <w:rPr>
                <w:noProof/>
              </w:rPr>
              <w:t>14</w:t>
            </w:r>
            <w:r>
              <w:rPr>
                <w:noProof/>
              </w:rPr>
              <w:fldChar w:fldCharType="end"/>
            </w:r>
          </w:hyperlink>
        </w:p>
        <w:p w14:paraId="272E644F" w14:textId="305C5DB4"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48" w:history="1">
            <w:r w:rsidRPr="005B0C0D">
              <w:rPr>
                <w:rStyle w:val="Hyperlink"/>
                <w:noProof/>
              </w:rPr>
              <w:t>2.6 Cross-jurisdictional comparison: UK and Hong Kong</w:t>
            </w:r>
            <w:r>
              <w:rPr>
                <w:noProof/>
              </w:rPr>
              <w:tab/>
            </w:r>
            <w:r>
              <w:rPr>
                <w:noProof/>
              </w:rPr>
              <w:fldChar w:fldCharType="begin"/>
            </w:r>
            <w:r>
              <w:rPr>
                <w:noProof/>
              </w:rPr>
              <w:instrText xml:space="preserve"> PAGEREF _Toc228221048 \h </w:instrText>
            </w:r>
            <w:r>
              <w:rPr>
                <w:noProof/>
              </w:rPr>
            </w:r>
            <w:r>
              <w:rPr>
                <w:noProof/>
              </w:rPr>
              <w:fldChar w:fldCharType="separate"/>
            </w:r>
            <w:r>
              <w:rPr>
                <w:noProof/>
              </w:rPr>
              <w:t>14</w:t>
            </w:r>
            <w:r>
              <w:rPr>
                <w:noProof/>
              </w:rPr>
              <w:fldChar w:fldCharType="end"/>
            </w:r>
          </w:hyperlink>
        </w:p>
        <w:p w14:paraId="39CAED9C" w14:textId="6BA350E8" w:rsidR="00C17606" w:rsidRDefault="00C17606">
          <w:pPr>
            <w:pStyle w:val="TOC1"/>
            <w:tabs>
              <w:tab w:val="right" w:leader="dot" w:pos="9016"/>
            </w:tabs>
            <w:rPr>
              <w:rFonts w:asciiTheme="minorHAnsi" w:eastAsiaTheme="minorEastAsia" w:hAnsiTheme="minorHAnsi" w:cstheme="minorBidi"/>
              <w:noProof/>
              <w:kern w:val="2"/>
              <w14:ligatures w14:val="standardContextual"/>
            </w:rPr>
          </w:pPr>
          <w:hyperlink w:anchor="_Toc228221049" w:history="1">
            <w:r w:rsidRPr="005B0C0D">
              <w:rPr>
                <w:rStyle w:val="Hyperlink"/>
                <w:noProof/>
              </w:rPr>
              <w:t>3. Implementation plan</w:t>
            </w:r>
            <w:r>
              <w:rPr>
                <w:noProof/>
              </w:rPr>
              <w:tab/>
            </w:r>
            <w:r>
              <w:rPr>
                <w:noProof/>
              </w:rPr>
              <w:fldChar w:fldCharType="begin"/>
            </w:r>
            <w:r>
              <w:rPr>
                <w:noProof/>
              </w:rPr>
              <w:instrText xml:space="preserve"> PAGEREF _Toc228221049 \h </w:instrText>
            </w:r>
            <w:r>
              <w:rPr>
                <w:noProof/>
              </w:rPr>
            </w:r>
            <w:r>
              <w:rPr>
                <w:noProof/>
              </w:rPr>
              <w:fldChar w:fldCharType="separate"/>
            </w:r>
            <w:r>
              <w:rPr>
                <w:noProof/>
              </w:rPr>
              <w:t>17</w:t>
            </w:r>
            <w:r>
              <w:rPr>
                <w:noProof/>
              </w:rPr>
              <w:fldChar w:fldCharType="end"/>
            </w:r>
          </w:hyperlink>
        </w:p>
        <w:p w14:paraId="390A5B61" w14:textId="58570528"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50" w:history="1">
            <w:r w:rsidRPr="005B0C0D">
              <w:rPr>
                <w:rStyle w:val="Hyperlink"/>
                <w:noProof/>
              </w:rPr>
              <w:t>3.1 Phase 1: Foundation (months 1-6)</w:t>
            </w:r>
            <w:r>
              <w:rPr>
                <w:noProof/>
              </w:rPr>
              <w:tab/>
            </w:r>
            <w:r>
              <w:rPr>
                <w:noProof/>
              </w:rPr>
              <w:fldChar w:fldCharType="begin"/>
            </w:r>
            <w:r>
              <w:rPr>
                <w:noProof/>
              </w:rPr>
              <w:instrText xml:space="preserve"> PAGEREF _Toc228221050 \h </w:instrText>
            </w:r>
            <w:r>
              <w:rPr>
                <w:noProof/>
              </w:rPr>
            </w:r>
            <w:r>
              <w:rPr>
                <w:noProof/>
              </w:rPr>
              <w:fldChar w:fldCharType="separate"/>
            </w:r>
            <w:r>
              <w:rPr>
                <w:noProof/>
              </w:rPr>
              <w:t>17</w:t>
            </w:r>
            <w:r>
              <w:rPr>
                <w:noProof/>
              </w:rPr>
              <w:fldChar w:fldCharType="end"/>
            </w:r>
          </w:hyperlink>
        </w:p>
        <w:p w14:paraId="5D606CAE" w14:textId="15299A9D"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51" w:history="1">
            <w:r w:rsidRPr="005B0C0D">
              <w:rPr>
                <w:rStyle w:val="Hyperlink"/>
                <w:noProof/>
              </w:rPr>
              <w:t>3.2 Phase 2: Build (months 7-18)</w:t>
            </w:r>
            <w:r>
              <w:rPr>
                <w:noProof/>
              </w:rPr>
              <w:tab/>
            </w:r>
            <w:r>
              <w:rPr>
                <w:noProof/>
              </w:rPr>
              <w:fldChar w:fldCharType="begin"/>
            </w:r>
            <w:r>
              <w:rPr>
                <w:noProof/>
              </w:rPr>
              <w:instrText xml:space="preserve"> PAGEREF _Toc228221051 \h </w:instrText>
            </w:r>
            <w:r>
              <w:rPr>
                <w:noProof/>
              </w:rPr>
            </w:r>
            <w:r>
              <w:rPr>
                <w:noProof/>
              </w:rPr>
              <w:fldChar w:fldCharType="separate"/>
            </w:r>
            <w:r>
              <w:rPr>
                <w:noProof/>
              </w:rPr>
              <w:t>17</w:t>
            </w:r>
            <w:r>
              <w:rPr>
                <w:noProof/>
              </w:rPr>
              <w:fldChar w:fldCharType="end"/>
            </w:r>
          </w:hyperlink>
        </w:p>
        <w:p w14:paraId="5736443F" w14:textId="159448FC"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52" w:history="1">
            <w:r w:rsidRPr="005B0C0D">
              <w:rPr>
                <w:rStyle w:val="Hyperlink"/>
                <w:noProof/>
              </w:rPr>
              <w:t>3.3 Phase 3: Lead (months 19-24)</w:t>
            </w:r>
            <w:r>
              <w:rPr>
                <w:noProof/>
              </w:rPr>
              <w:tab/>
            </w:r>
            <w:r>
              <w:rPr>
                <w:noProof/>
              </w:rPr>
              <w:fldChar w:fldCharType="begin"/>
            </w:r>
            <w:r>
              <w:rPr>
                <w:noProof/>
              </w:rPr>
              <w:instrText xml:space="preserve"> PAGEREF _Toc228221052 \h </w:instrText>
            </w:r>
            <w:r>
              <w:rPr>
                <w:noProof/>
              </w:rPr>
            </w:r>
            <w:r>
              <w:rPr>
                <w:noProof/>
              </w:rPr>
              <w:fldChar w:fldCharType="separate"/>
            </w:r>
            <w:r>
              <w:rPr>
                <w:noProof/>
              </w:rPr>
              <w:t>18</w:t>
            </w:r>
            <w:r>
              <w:rPr>
                <w:noProof/>
              </w:rPr>
              <w:fldChar w:fldCharType="end"/>
            </w:r>
          </w:hyperlink>
        </w:p>
        <w:p w14:paraId="57E51A73" w14:textId="1DBB2E2E" w:rsidR="00C17606" w:rsidRDefault="00C17606">
          <w:pPr>
            <w:pStyle w:val="TOC2"/>
            <w:tabs>
              <w:tab w:val="right" w:leader="dot" w:pos="9016"/>
            </w:tabs>
            <w:rPr>
              <w:rFonts w:asciiTheme="minorHAnsi" w:eastAsiaTheme="minorEastAsia" w:hAnsiTheme="minorHAnsi" w:cstheme="minorBidi"/>
              <w:noProof/>
              <w:kern w:val="2"/>
              <w14:ligatures w14:val="standardContextual"/>
            </w:rPr>
          </w:pPr>
          <w:hyperlink w:anchor="_Toc228221053" w:history="1">
            <w:r w:rsidRPr="005B0C0D">
              <w:rPr>
                <w:rStyle w:val="Hyperlink"/>
                <w:noProof/>
              </w:rPr>
              <w:t>3.4 Implementation timeline</w:t>
            </w:r>
            <w:r>
              <w:rPr>
                <w:noProof/>
              </w:rPr>
              <w:tab/>
            </w:r>
            <w:r>
              <w:rPr>
                <w:noProof/>
              </w:rPr>
              <w:fldChar w:fldCharType="begin"/>
            </w:r>
            <w:r>
              <w:rPr>
                <w:noProof/>
              </w:rPr>
              <w:instrText xml:space="preserve"> PAGEREF _Toc228221053 \h </w:instrText>
            </w:r>
            <w:r>
              <w:rPr>
                <w:noProof/>
              </w:rPr>
            </w:r>
            <w:r>
              <w:rPr>
                <w:noProof/>
              </w:rPr>
              <w:fldChar w:fldCharType="separate"/>
            </w:r>
            <w:r>
              <w:rPr>
                <w:noProof/>
              </w:rPr>
              <w:t>20</w:t>
            </w:r>
            <w:r>
              <w:rPr>
                <w:noProof/>
              </w:rPr>
              <w:fldChar w:fldCharType="end"/>
            </w:r>
          </w:hyperlink>
        </w:p>
        <w:p w14:paraId="0B348765" w14:textId="3755BA97" w:rsidR="00C17606" w:rsidRDefault="00C17606">
          <w:pPr>
            <w:pStyle w:val="TOC1"/>
            <w:tabs>
              <w:tab w:val="right" w:leader="dot" w:pos="9016"/>
            </w:tabs>
            <w:rPr>
              <w:rFonts w:asciiTheme="minorHAnsi" w:eastAsiaTheme="minorEastAsia" w:hAnsiTheme="minorHAnsi" w:cstheme="minorBidi"/>
              <w:noProof/>
              <w:kern w:val="2"/>
              <w14:ligatures w14:val="standardContextual"/>
            </w:rPr>
          </w:pPr>
          <w:hyperlink w:anchor="_Toc228221054" w:history="1">
            <w:r w:rsidRPr="005B0C0D">
              <w:rPr>
                <w:rStyle w:val="Hyperlink"/>
                <w:noProof/>
              </w:rPr>
              <w:t>4. Conclusion</w:t>
            </w:r>
            <w:r>
              <w:rPr>
                <w:noProof/>
              </w:rPr>
              <w:tab/>
            </w:r>
            <w:r>
              <w:rPr>
                <w:noProof/>
              </w:rPr>
              <w:fldChar w:fldCharType="begin"/>
            </w:r>
            <w:r>
              <w:rPr>
                <w:noProof/>
              </w:rPr>
              <w:instrText xml:space="preserve"> PAGEREF _Toc228221054 \h </w:instrText>
            </w:r>
            <w:r>
              <w:rPr>
                <w:noProof/>
              </w:rPr>
            </w:r>
            <w:r>
              <w:rPr>
                <w:noProof/>
              </w:rPr>
              <w:fldChar w:fldCharType="separate"/>
            </w:r>
            <w:r>
              <w:rPr>
                <w:noProof/>
              </w:rPr>
              <w:t>22</w:t>
            </w:r>
            <w:r>
              <w:rPr>
                <w:noProof/>
              </w:rPr>
              <w:fldChar w:fldCharType="end"/>
            </w:r>
          </w:hyperlink>
        </w:p>
        <w:p w14:paraId="793AEA75" w14:textId="3BB13264" w:rsidR="00C17606" w:rsidRDefault="00C17606">
          <w:pPr>
            <w:pStyle w:val="TOC1"/>
            <w:tabs>
              <w:tab w:val="right" w:leader="dot" w:pos="9016"/>
            </w:tabs>
            <w:rPr>
              <w:rFonts w:asciiTheme="minorHAnsi" w:eastAsiaTheme="minorEastAsia" w:hAnsiTheme="minorHAnsi" w:cstheme="minorBidi"/>
              <w:noProof/>
              <w:kern w:val="2"/>
              <w14:ligatures w14:val="standardContextual"/>
            </w:rPr>
          </w:pPr>
          <w:hyperlink w:anchor="_Toc228221055" w:history="1">
            <w:r w:rsidRPr="005B0C0D">
              <w:rPr>
                <w:rStyle w:val="Hyperlink"/>
                <w:noProof/>
              </w:rPr>
              <w:t>5. Bibliography</w:t>
            </w:r>
            <w:r>
              <w:rPr>
                <w:noProof/>
              </w:rPr>
              <w:tab/>
            </w:r>
            <w:r>
              <w:rPr>
                <w:noProof/>
              </w:rPr>
              <w:fldChar w:fldCharType="begin"/>
            </w:r>
            <w:r>
              <w:rPr>
                <w:noProof/>
              </w:rPr>
              <w:instrText xml:space="preserve"> PAGEREF _Toc228221055 \h </w:instrText>
            </w:r>
            <w:r>
              <w:rPr>
                <w:noProof/>
              </w:rPr>
            </w:r>
            <w:r>
              <w:rPr>
                <w:noProof/>
              </w:rPr>
              <w:fldChar w:fldCharType="separate"/>
            </w:r>
            <w:r>
              <w:rPr>
                <w:noProof/>
              </w:rPr>
              <w:t>24</w:t>
            </w:r>
            <w:r>
              <w:rPr>
                <w:noProof/>
              </w:rPr>
              <w:fldChar w:fldCharType="end"/>
            </w:r>
          </w:hyperlink>
        </w:p>
        <w:p w14:paraId="5390B7CE" w14:textId="64417041" w:rsidR="00A508F7" w:rsidRDefault="00000000">
          <w:r>
            <w:fldChar w:fldCharType="end"/>
          </w:r>
        </w:p>
      </w:sdtContent>
    </w:sdt>
    <w:p w14:paraId="71E832C6" w14:textId="77777777" w:rsidR="00A508F7" w:rsidRDefault="00000000">
      <w:r>
        <w:br w:type="page"/>
      </w:r>
    </w:p>
    <w:p w14:paraId="73F0C712" w14:textId="77777777" w:rsidR="00A508F7" w:rsidRDefault="00000000">
      <w:pPr>
        <w:pStyle w:val="Heading1"/>
      </w:pPr>
      <w:bookmarkStart w:id="2" w:name="_Toc228221037"/>
      <w:r>
        <w:lastRenderedPageBreak/>
        <w:t>1. Introduction</w:t>
      </w:r>
      <w:bookmarkEnd w:id="2"/>
    </w:p>
    <w:p w14:paraId="7711E204" w14:textId="77777777" w:rsidR="00A508F7" w:rsidRDefault="00000000">
      <w:pPr>
        <w:spacing w:after="200" w:line="360" w:lineRule="auto"/>
        <w:jc w:val="both"/>
      </w:pPr>
      <w:r>
        <w:t>Banks are adopting AI at speed. Algorithmic credit scoring, chatbot-driven customer service, predictive compliance analytics and generative AI co-pilots have moved from pilot programmes into production within three years (Cao, 2022). At the same time, the World Economic Forum (2026) ranks technological disruption and geoeconomic confrontation among the top global risks for 2026. For a multinational bank, the collision between rapid AI deployment and a fragmenting regulatory order creates real operational danger.</w:t>
      </w:r>
    </w:p>
    <w:p w14:paraId="0418A3A0" w14:textId="77777777" w:rsidR="00A508F7" w:rsidRDefault="00000000">
      <w:pPr>
        <w:spacing w:after="200" w:line="360" w:lineRule="auto"/>
        <w:jc w:val="both"/>
      </w:pPr>
      <w:r>
        <w:t>This report focuses on HSBC Holdings plc, headquartered in London with a principal subsidiary in Hong Kong, serving 39 million customers across 62 countries with total assets exceeding $3 trillion (HSBC, 2025). That dual anchoring makes HSBC a particularly instructive case. The UK's AI Regulation White Paper (DSIT, 2023) sets out five principles enforced by sector regulators such as the FCA. Hong Kong's Monetary Authority (HKMA) has issued guidance that is less prescriptive, reflecting the territory's ambition to compete with Singapore as a fintech hub (Arner, Barberis and Buckley, 2020). HSBC must satisfy both, simultaneously.</w:t>
      </w:r>
    </w:p>
    <w:p w14:paraId="4049E174" w14:textId="77777777" w:rsidR="00A508F7" w:rsidRDefault="00000000">
      <w:pPr>
        <w:spacing w:after="200" w:line="360" w:lineRule="auto"/>
        <w:jc w:val="both"/>
      </w:pPr>
      <w:r>
        <w:t>The report examines four areas: data governance, ethical AI use, regulatory compliance and customer trust. It draws on PESTLE analysis, Porter's Five Forces, the Resource-Based View (Barney, 1991), Institutional Theory (DiMaggio and Powell, 1983), Ghemawat's CAGE framework, Hofstede's cultural dimensions, the GLOBE study, stakeholder theory, the Brussels Effect (Bradford, 2020) and the NIST AI Risk Management Framework (NIST, 2023). The structure follows three stages: an analysis of the external environment; an evaluation of HSBC's risk exposure across each domain; and a costed, three-phase implementation plan with SMART recommendations and measurable KPIs. The methodology relies on secondary research including academic journals, regulatory publications, industry reports and HSBC's corporate disclosures.</w:t>
      </w:r>
    </w:p>
    <w:p w14:paraId="6D5AFF0C" w14:textId="77777777" w:rsidR="00A508F7" w:rsidRDefault="00000000">
      <w:r>
        <w:br w:type="page"/>
      </w:r>
    </w:p>
    <w:p w14:paraId="56F75C61" w14:textId="77777777" w:rsidR="00A508F7" w:rsidRDefault="00000000">
      <w:pPr>
        <w:pStyle w:val="Heading1"/>
      </w:pPr>
      <w:bookmarkStart w:id="3" w:name="_Toc228221038"/>
      <w:r>
        <w:lastRenderedPageBreak/>
        <w:t>2. Main findings</w:t>
      </w:r>
      <w:bookmarkEnd w:id="3"/>
    </w:p>
    <w:p w14:paraId="6A9FDA2A" w14:textId="77777777" w:rsidR="00A508F7" w:rsidRDefault="00000000">
      <w:pPr>
        <w:pStyle w:val="Heading2"/>
      </w:pPr>
      <w:bookmarkStart w:id="4" w:name="_Toc228221039"/>
      <w:r>
        <w:t>2.1 The macro-environment: a PESTLE analysis</w:t>
      </w:r>
      <w:bookmarkEnd w:id="4"/>
    </w:p>
    <w:p w14:paraId="118170CD" w14:textId="77777777" w:rsidR="00A508F7" w:rsidRDefault="00000000">
      <w:pPr>
        <w:spacing w:after="200" w:line="360" w:lineRule="auto"/>
        <w:jc w:val="both"/>
      </w:pPr>
      <w:r>
        <w:t>Aguilar (1967) introduced environmental scanning as a structured way for firms to detect external shifts before they become crises. Applied to HSBC's AI operations across the UK and Hong Kong, the PESTLE framework reveals a business environment changing faster than most governance structures were built to handle.</w:t>
      </w:r>
    </w:p>
    <w:p w14:paraId="2DD11F66" w14:textId="77777777" w:rsidR="00A508F7" w:rsidRDefault="00000000">
      <w:pPr>
        <w:pStyle w:val="Heading3"/>
      </w:pPr>
      <w:bookmarkStart w:id="5" w:name="_Toc228221040"/>
      <w:r>
        <w:t>Political and economic factors</w:t>
      </w:r>
      <w:bookmarkEnd w:id="5"/>
    </w:p>
    <w:p w14:paraId="4AAE4500" w14:textId="77777777" w:rsidR="00A508F7" w:rsidRDefault="00000000">
      <w:pPr>
        <w:spacing w:after="200" w:line="360" w:lineRule="auto"/>
        <w:jc w:val="both"/>
      </w:pPr>
      <w:r>
        <w:t xml:space="preserve">Geoeconomic confrontation is the top-ranked global risk for 2026 (World Economic Forum, 2026). For HSBC, this is most consequential in the growing tension between China and Western governments over data sovereignty. The UK government has become increasingly restrictive towards Chinese technology firms, while Hong Kong is under pressure to align with Beijing's New Generation AI Development Plan (Roberts et al., 2021). HSBC's two home markets are moving apart on who controls data and how AI should be governed. That divergence creates day-to-day compliance friction for a </w:t>
      </w:r>
      <w:proofErr w:type="gramStart"/>
      <w:r>
        <w:t>bank routing transactions</w:t>
      </w:r>
      <w:proofErr w:type="gramEnd"/>
      <w:r>
        <w:t xml:space="preserve"> between the two jurisdictions. A practical example: an AI model trained on combined UK and Hong Kong customer data might breach China's data localisation expectations while simultaneously falling short of GDPR's purpose limitation requirements. The compliance friction is real, but the bigger issue is strategic: the political environment shapes where AI models can be developed, trained and deployed.</w:t>
      </w:r>
    </w:p>
    <w:p w14:paraId="1A99ECA4" w14:textId="77777777" w:rsidR="00A508F7" w:rsidRDefault="00000000">
      <w:pPr>
        <w:spacing w:after="200" w:line="360" w:lineRule="auto"/>
        <w:jc w:val="both"/>
      </w:pPr>
      <w:r>
        <w:t xml:space="preserve">The macroeconomic environment compounds this. With the Bank of England base rate at 4.5% and the Federal Reserve at 4.25-4.50% in early 2026, the two central banks are broadly aligned, but any divergence would expose HSBC to different investment economics in its two principal markets since Hong Kong's currency peg imports Fed policy directly. Fiscal policy also matters: UK government spending shapes the regulatory capacity of the FCA and ICO. In fiscal restraint, regulators may lack resources to supervise AI systems effectively, tempting firms to underinvest in governance. Competition from fintechs is compressing the time available for deliberation (Stulz, 2019), while ESG-focused investors increasingly demand evidence of responsible AI governance (McKinsey, 2024). HSBC reported AI-driven efficiency savings of $700 million in 2024 (HSBC, 2025), but that economic incentive to move fast creates tension with governance imperatives. The </w:t>
      </w:r>
      <w:proofErr w:type="spellStart"/>
      <w:r>
        <w:t>GlobalCo</w:t>
      </w:r>
      <w:proofErr w:type="spellEnd"/>
      <w:r>
        <w:t xml:space="preserve"> case study </w:t>
      </w:r>
      <w:r>
        <w:lastRenderedPageBreak/>
        <w:t>discussed during the module captured this: a CEO's instruction to '</w:t>
      </w:r>
      <w:proofErr w:type="gramStart"/>
      <w:r>
        <w:t>move</w:t>
      </w:r>
      <w:proofErr w:type="gramEnd"/>
      <w:r>
        <w:t xml:space="preserve"> fast' was overriding internal ethics guidelines, and the board had neither the AI literacy nor the committee structure to push back.</w:t>
      </w:r>
    </w:p>
    <w:p w14:paraId="1E1808AD" w14:textId="77777777" w:rsidR="00A508F7" w:rsidRDefault="00000000">
      <w:pPr>
        <w:pStyle w:val="Heading3"/>
      </w:pPr>
      <w:bookmarkStart w:id="6" w:name="_Toc228221041"/>
      <w:r>
        <w:t>Social and cultural factors</w:t>
      </w:r>
      <w:bookmarkEnd w:id="6"/>
    </w:p>
    <w:p w14:paraId="1B119810" w14:textId="77777777" w:rsidR="00A508F7" w:rsidRDefault="00000000">
      <w:pPr>
        <w:spacing w:after="200" w:line="360" w:lineRule="auto"/>
        <w:jc w:val="both"/>
      </w:pPr>
      <w:r>
        <w:t>Public attitudes towards AI in banking are mixed. The Edelman Trust Barometer (2025) finds that trust in algorithmic decision-making remains low where outcomes are consequential and bias is suspected. Cross-cultural variation matters. Hofstede's dimensions show the UK scoring 35 on power distance and 89 on individualism, while Hong Kong scores 68 and 25 respectively (Hofstede Insights, 2024). UK customers are likely to demand granular explanations of algorithmic credit assessments. Hong Kong customers may weight institutional reputation more heavily. The GLOBE study supports this: the Confucian Asia cluster scores highly on institutional collectivism and performance orientation (House et al., 2004), suggesting Hong Kong stakeholders evaluate AI governance through institutional effectiveness rather than individual rights. HSBC's communication about AI must reflect these differences.</w:t>
      </w:r>
    </w:p>
    <w:p w14:paraId="0D034EAB" w14:textId="77777777" w:rsidR="00A508F7" w:rsidRDefault="00000000">
      <w:pPr>
        <w:spacing w:before="120" w:after="240"/>
        <w:jc w:val="center"/>
      </w:pPr>
      <w:r>
        <w:rPr>
          <w:i/>
          <w:iCs/>
          <w:color w:val="404040"/>
          <w:sz w:val="20"/>
          <w:szCs w:val="20"/>
        </w:rPr>
        <w:t>Table 1: Hofstede Cultural Dimensions — UK and Hong Kong Compared (Hofstede Insights, 2024)</w:t>
      </w:r>
    </w:p>
    <w:tbl>
      <w:tblPr>
        <w:tblStyle w:val="TableGrid"/>
        <w:tblW w:w="9026" w:type="dxa"/>
        <w:tblLook w:val="0000" w:firstRow="0" w:lastRow="0" w:firstColumn="0" w:lastColumn="0" w:noHBand="0" w:noVBand="0"/>
      </w:tblPr>
      <w:tblGrid>
        <w:gridCol w:w="1800"/>
        <w:gridCol w:w="1600"/>
        <w:gridCol w:w="1600"/>
        <w:gridCol w:w="4026"/>
      </w:tblGrid>
      <w:tr w:rsidR="00C17606" w:rsidRPr="00C17606" w14:paraId="7D7168C9" w14:textId="77777777" w:rsidTr="00C17606">
        <w:tc>
          <w:tcPr>
            <w:tcW w:w="1800" w:type="dxa"/>
          </w:tcPr>
          <w:p w14:paraId="52EDBA15" w14:textId="77777777" w:rsidR="00A508F7" w:rsidRPr="00C17606" w:rsidRDefault="00000000">
            <w:pPr>
              <w:rPr>
                <w:color w:val="000000" w:themeColor="text1"/>
              </w:rPr>
            </w:pPr>
            <w:r w:rsidRPr="00C17606">
              <w:rPr>
                <w:b/>
                <w:bCs/>
                <w:color w:val="000000" w:themeColor="text1"/>
                <w:sz w:val="18"/>
                <w:szCs w:val="18"/>
              </w:rPr>
              <w:t>Dimension</w:t>
            </w:r>
          </w:p>
        </w:tc>
        <w:tc>
          <w:tcPr>
            <w:tcW w:w="1600" w:type="dxa"/>
          </w:tcPr>
          <w:p w14:paraId="050887CE" w14:textId="77777777" w:rsidR="00A508F7" w:rsidRPr="00C17606" w:rsidRDefault="00000000">
            <w:pPr>
              <w:rPr>
                <w:color w:val="000000" w:themeColor="text1"/>
              </w:rPr>
            </w:pPr>
            <w:r w:rsidRPr="00C17606">
              <w:rPr>
                <w:b/>
                <w:bCs/>
                <w:color w:val="000000" w:themeColor="text1"/>
                <w:sz w:val="18"/>
                <w:szCs w:val="18"/>
              </w:rPr>
              <w:t>United Kingdom</w:t>
            </w:r>
          </w:p>
        </w:tc>
        <w:tc>
          <w:tcPr>
            <w:tcW w:w="1600" w:type="dxa"/>
          </w:tcPr>
          <w:p w14:paraId="334EAAF3" w14:textId="77777777" w:rsidR="00A508F7" w:rsidRPr="00C17606" w:rsidRDefault="00000000">
            <w:pPr>
              <w:rPr>
                <w:color w:val="000000" w:themeColor="text1"/>
              </w:rPr>
            </w:pPr>
            <w:r w:rsidRPr="00C17606">
              <w:rPr>
                <w:b/>
                <w:bCs/>
                <w:color w:val="000000" w:themeColor="text1"/>
                <w:sz w:val="18"/>
                <w:szCs w:val="18"/>
              </w:rPr>
              <w:t>Hong Kong</w:t>
            </w:r>
          </w:p>
        </w:tc>
        <w:tc>
          <w:tcPr>
            <w:tcW w:w="4026" w:type="dxa"/>
          </w:tcPr>
          <w:p w14:paraId="6C010032" w14:textId="77777777" w:rsidR="00A508F7" w:rsidRPr="00C17606" w:rsidRDefault="00000000">
            <w:pPr>
              <w:rPr>
                <w:color w:val="000000" w:themeColor="text1"/>
              </w:rPr>
            </w:pPr>
            <w:r w:rsidRPr="00C17606">
              <w:rPr>
                <w:b/>
                <w:bCs/>
                <w:color w:val="000000" w:themeColor="text1"/>
                <w:sz w:val="18"/>
                <w:szCs w:val="18"/>
              </w:rPr>
              <w:t>Implication for AI governance</w:t>
            </w:r>
          </w:p>
        </w:tc>
      </w:tr>
      <w:tr w:rsidR="00C17606" w:rsidRPr="00C17606" w14:paraId="347354D8" w14:textId="77777777" w:rsidTr="00C17606">
        <w:tc>
          <w:tcPr>
            <w:tcW w:w="1800" w:type="dxa"/>
          </w:tcPr>
          <w:p w14:paraId="02CDD325" w14:textId="77777777" w:rsidR="00A508F7" w:rsidRPr="00C17606" w:rsidRDefault="00000000">
            <w:pPr>
              <w:spacing w:after="30"/>
              <w:rPr>
                <w:color w:val="000000" w:themeColor="text1"/>
              </w:rPr>
            </w:pPr>
            <w:r w:rsidRPr="00C17606">
              <w:rPr>
                <w:b/>
                <w:bCs/>
                <w:color w:val="000000" w:themeColor="text1"/>
                <w:sz w:val="18"/>
                <w:szCs w:val="18"/>
              </w:rPr>
              <w:t>Power Distance</w:t>
            </w:r>
          </w:p>
        </w:tc>
        <w:tc>
          <w:tcPr>
            <w:tcW w:w="1600" w:type="dxa"/>
          </w:tcPr>
          <w:p w14:paraId="2D29EA1D" w14:textId="77777777" w:rsidR="00A508F7" w:rsidRPr="00C17606" w:rsidRDefault="00000000">
            <w:pPr>
              <w:spacing w:after="30"/>
              <w:rPr>
                <w:color w:val="000000" w:themeColor="text1"/>
              </w:rPr>
            </w:pPr>
            <w:r w:rsidRPr="00C17606">
              <w:rPr>
                <w:color w:val="000000" w:themeColor="text1"/>
                <w:sz w:val="18"/>
                <w:szCs w:val="18"/>
              </w:rPr>
              <w:t>35 (low)</w:t>
            </w:r>
          </w:p>
        </w:tc>
        <w:tc>
          <w:tcPr>
            <w:tcW w:w="1600" w:type="dxa"/>
          </w:tcPr>
          <w:p w14:paraId="3C0732CE" w14:textId="77777777" w:rsidR="00A508F7" w:rsidRPr="00C17606" w:rsidRDefault="00000000">
            <w:pPr>
              <w:spacing w:after="30"/>
              <w:rPr>
                <w:color w:val="000000" w:themeColor="text1"/>
              </w:rPr>
            </w:pPr>
            <w:r w:rsidRPr="00C17606">
              <w:rPr>
                <w:color w:val="000000" w:themeColor="text1"/>
                <w:sz w:val="18"/>
                <w:szCs w:val="18"/>
              </w:rPr>
              <w:t>68 (high)</w:t>
            </w:r>
          </w:p>
        </w:tc>
        <w:tc>
          <w:tcPr>
            <w:tcW w:w="4026" w:type="dxa"/>
          </w:tcPr>
          <w:p w14:paraId="7B34D243" w14:textId="77777777" w:rsidR="00A508F7" w:rsidRPr="00C17606" w:rsidRDefault="00000000">
            <w:pPr>
              <w:spacing w:after="30"/>
              <w:rPr>
                <w:color w:val="000000" w:themeColor="text1"/>
              </w:rPr>
            </w:pPr>
            <w:r w:rsidRPr="00C17606">
              <w:rPr>
                <w:color w:val="000000" w:themeColor="text1"/>
                <w:sz w:val="18"/>
                <w:szCs w:val="18"/>
              </w:rPr>
              <w:t>UK customers challenge algorithmic decisions; HK defers to institutional authority</w:t>
            </w:r>
          </w:p>
        </w:tc>
      </w:tr>
      <w:tr w:rsidR="00C17606" w:rsidRPr="00C17606" w14:paraId="07EB30B0" w14:textId="77777777" w:rsidTr="00C17606">
        <w:tc>
          <w:tcPr>
            <w:tcW w:w="1800" w:type="dxa"/>
          </w:tcPr>
          <w:p w14:paraId="478AA9BA" w14:textId="77777777" w:rsidR="00A508F7" w:rsidRPr="00C17606" w:rsidRDefault="00000000">
            <w:pPr>
              <w:spacing w:after="30"/>
              <w:rPr>
                <w:color w:val="000000" w:themeColor="text1"/>
              </w:rPr>
            </w:pPr>
            <w:r w:rsidRPr="00C17606">
              <w:rPr>
                <w:b/>
                <w:bCs/>
                <w:color w:val="000000" w:themeColor="text1"/>
                <w:sz w:val="18"/>
                <w:szCs w:val="18"/>
              </w:rPr>
              <w:t>Individualism</w:t>
            </w:r>
          </w:p>
        </w:tc>
        <w:tc>
          <w:tcPr>
            <w:tcW w:w="1600" w:type="dxa"/>
          </w:tcPr>
          <w:p w14:paraId="2D9E1472" w14:textId="77777777" w:rsidR="00A508F7" w:rsidRPr="00C17606" w:rsidRDefault="00000000">
            <w:pPr>
              <w:spacing w:after="30"/>
              <w:rPr>
                <w:color w:val="000000" w:themeColor="text1"/>
              </w:rPr>
            </w:pPr>
            <w:r w:rsidRPr="00C17606">
              <w:rPr>
                <w:color w:val="000000" w:themeColor="text1"/>
                <w:sz w:val="18"/>
                <w:szCs w:val="18"/>
              </w:rPr>
              <w:t>89 (high)</w:t>
            </w:r>
          </w:p>
        </w:tc>
        <w:tc>
          <w:tcPr>
            <w:tcW w:w="1600" w:type="dxa"/>
          </w:tcPr>
          <w:p w14:paraId="24832505" w14:textId="77777777" w:rsidR="00A508F7" w:rsidRPr="00C17606" w:rsidRDefault="00000000">
            <w:pPr>
              <w:spacing w:after="30"/>
              <w:rPr>
                <w:color w:val="000000" w:themeColor="text1"/>
              </w:rPr>
            </w:pPr>
            <w:r w:rsidRPr="00C17606">
              <w:rPr>
                <w:color w:val="000000" w:themeColor="text1"/>
                <w:sz w:val="18"/>
                <w:szCs w:val="18"/>
              </w:rPr>
              <w:t>25 (low)</w:t>
            </w:r>
          </w:p>
        </w:tc>
        <w:tc>
          <w:tcPr>
            <w:tcW w:w="4026" w:type="dxa"/>
          </w:tcPr>
          <w:p w14:paraId="562FEEDB" w14:textId="77777777" w:rsidR="00A508F7" w:rsidRPr="00C17606" w:rsidRDefault="00000000">
            <w:pPr>
              <w:spacing w:after="30"/>
              <w:rPr>
                <w:color w:val="000000" w:themeColor="text1"/>
              </w:rPr>
            </w:pPr>
            <w:r w:rsidRPr="00C17606">
              <w:rPr>
                <w:color w:val="000000" w:themeColor="text1"/>
                <w:sz w:val="18"/>
                <w:szCs w:val="18"/>
              </w:rPr>
              <w:t>UK expects personal data rights and transparency; HK prioritises collective welfare</w:t>
            </w:r>
          </w:p>
        </w:tc>
      </w:tr>
      <w:tr w:rsidR="00C17606" w:rsidRPr="00C17606" w14:paraId="2962195A" w14:textId="77777777" w:rsidTr="00C17606">
        <w:tc>
          <w:tcPr>
            <w:tcW w:w="1800" w:type="dxa"/>
          </w:tcPr>
          <w:p w14:paraId="64B77D58" w14:textId="77777777" w:rsidR="00A508F7" w:rsidRPr="00C17606" w:rsidRDefault="00000000">
            <w:pPr>
              <w:spacing w:after="30"/>
              <w:rPr>
                <w:color w:val="000000" w:themeColor="text1"/>
              </w:rPr>
            </w:pPr>
            <w:r w:rsidRPr="00C17606">
              <w:rPr>
                <w:b/>
                <w:bCs/>
                <w:color w:val="000000" w:themeColor="text1"/>
                <w:sz w:val="18"/>
                <w:szCs w:val="18"/>
              </w:rPr>
              <w:t>Uncertainty Avoidance</w:t>
            </w:r>
          </w:p>
        </w:tc>
        <w:tc>
          <w:tcPr>
            <w:tcW w:w="1600" w:type="dxa"/>
          </w:tcPr>
          <w:p w14:paraId="6E5075A7" w14:textId="77777777" w:rsidR="00A508F7" w:rsidRPr="00C17606" w:rsidRDefault="00000000">
            <w:pPr>
              <w:spacing w:after="30"/>
              <w:rPr>
                <w:color w:val="000000" w:themeColor="text1"/>
              </w:rPr>
            </w:pPr>
            <w:r w:rsidRPr="00C17606">
              <w:rPr>
                <w:color w:val="000000" w:themeColor="text1"/>
                <w:sz w:val="18"/>
                <w:szCs w:val="18"/>
              </w:rPr>
              <w:t>35 (low)</w:t>
            </w:r>
          </w:p>
        </w:tc>
        <w:tc>
          <w:tcPr>
            <w:tcW w:w="1600" w:type="dxa"/>
          </w:tcPr>
          <w:p w14:paraId="1FBE7BF5" w14:textId="77777777" w:rsidR="00A508F7" w:rsidRPr="00C17606" w:rsidRDefault="00000000">
            <w:pPr>
              <w:spacing w:after="30"/>
              <w:rPr>
                <w:color w:val="000000" w:themeColor="text1"/>
              </w:rPr>
            </w:pPr>
            <w:r w:rsidRPr="00C17606">
              <w:rPr>
                <w:color w:val="000000" w:themeColor="text1"/>
                <w:sz w:val="18"/>
                <w:szCs w:val="18"/>
              </w:rPr>
              <w:t>29 (low)</w:t>
            </w:r>
          </w:p>
        </w:tc>
        <w:tc>
          <w:tcPr>
            <w:tcW w:w="4026" w:type="dxa"/>
          </w:tcPr>
          <w:p w14:paraId="69A63C3F" w14:textId="77777777" w:rsidR="00A508F7" w:rsidRPr="00C17606" w:rsidRDefault="00000000">
            <w:pPr>
              <w:spacing w:after="30"/>
              <w:rPr>
                <w:color w:val="000000" w:themeColor="text1"/>
              </w:rPr>
            </w:pPr>
            <w:r w:rsidRPr="00C17606">
              <w:rPr>
                <w:color w:val="000000" w:themeColor="text1"/>
                <w:sz w:val="18"/>
                <w:szCs w:val="18"/>
              </w:rPr>
              <w:t>Both adopt principles-based regulation rather than rigid rules</w:t>
            </w:r>
          </w:p>
        </w:tc>
      </w:tr>
      <w:tr w:rsidR="00C17606" w:rsidRPr="00C17606" w14:paraId="4842BCED" w14:textId="77777777" w:rsidTr="00C17606">
        <w:tc>
          <w:tcPr>
            <w:tcW w:w="1800" w:type="dxa"/>
          </w:tcPr>
          <w:p w14:paraId="33734AB8" w14:textId="77777777" w:rsidR="00A508F7" w:rsidRPr="00C17606" w:rsidRDefault="00000000">
            <w:pPr>
              <w:spacing w:after="30"/>
              <w:rPr>
                <w:color w:val="000000" w:themeColor="text1"/>
              </w:rPr>
            </w:pPr>
            <w:r w:rsidRPr="00C17606">
              <w:rPr>
                <w:b/>
                <w:bCs/>
                <w:color w:val="000000" w:themeColor="text1"/>
                <w:sz w:val="18"/>
                <w:szCs w:val="18"/>
              </w:rPr>
              <w:t>Long-Term Orientation</w:t>
            </w:r>
          </w:p>
        </w:tc>
        <w:tc>
          <w:tcPr>
            <w:tcW w:w="1600" w:type="dxa"/>
          </w:tcPr>
          <w:p w14:paraId="69063115" w14:textId="77777777" w:rsidR="00A508F7" w:rsidRPr="00C17606" w:rsidRDefault="00000000">
            <w:pPr>
              <w:spacing w:after="30"/>
              <w:rPr>
                <w:color w:val="000000" w:themeColor="text1"/>
              </w:rPr>
            </w:pPr>
            <w:r w:rsidRPr="00C17606">
              <w:rPr>
                <w:color w:val="000000" w:themeColor="text1"/>
                <w:sz w:val="18"/>
                <w:szCs w:val="18"/>
              </w:rPr>
              <w:t>51 (moderate)</w:t>
            </w:r>
          </w:p>
        </w:tc>
        <w:tc>
          <w:tcPr>
            <w:tcW w:w="1600" w:type="dxa"/>
          </w:tcPr>
          <w:p w14:paraId="2D95F455" w14:textId="77777777" w:rsidR="00A508F7" w:rsidRPr="00C17606" w:rsidRDefault="00000000">
            <w:pPr>
              <w:spacing w:after="30"/>
              <w:rPr>
                <w:color w:val="000000" w:themeColor="text1"/>
              </w:rPr>
            </w:pPr>
            <w:r w:rsidRPr="00C17606">
              <w:rPr>
                <w:color w:val="000000" w:themeColor="text1"/>
                <w:sz w:val="18"/>
                <w:szCs w:val="18"/>
              </w:rPr>
              <w:t>61 (high)</w:t>
            </w:r>
          </w:p>
        </w:tc>
        <w:tc>
          <w:tcPr>
            <w:tcW w:w="4026" w:type="dxa"/>
          </w:tcPr>
          <w:p w14:paraId="6CCB2476" w14:textId="77777777" w:rsidR="00A508F7" w:rsidRPr="00C17606" w:rsidRDefault="00000000">
            <w:pPr>
              <w:spacing w:after="30"/>
              <w:rPr>
                <w:color w:val="000000" w:themeColor="text1"/>
              </w:rPr>
            </w:pPr>
            <w:r w:rsidRPr="00C17606">
              <w:rPr>
                <w:color w:val="000000" w:themeColor="text1"/>
                <w:sz w:val="18"/>
                <w:szCs w:val="18"/>
              </w:rPr>
              <w:t>HK may accept longer AI governance investment horizons</w:t>
            </w:r>
          </w:p>
        </w:tc>
      </w:tr>
    </w:tbl>
    <w:p w14:paraId="4356A5E4" w14:textId="77777777" w:rsidR="00A508F7" w:rsidRDefault="00A508F7">
      <w:pPr>
        <w:spacing w:after="200"/>
      </w:pPr>
    </w:p>
    <w:p w14:paraId="6E26F4D7" w14:textId="77777777" w:rsidR="00A508F7" w:rsidRDefault="00000000">
      <w:pPr>
        <w:pStyle w:val="Heading3"/>
      </w:pPr>
      <w:bookmarkStart w:id="7" w:name="_Toc228221042"/>
      <w:r>
        <w:t>Technological factors</w:t>
      </w:r>
      <w:bookmarkEnd w:id="7"/>
    </w:p>
    <w:p w14:paraId="678BD437" w14:textId="77777777" w:rsidR="00A508F7" w:rsidRDefault="00000000">
      <w:pPr>
        <w:spacing w:after="200" w:line="360" w:lineRule="auto"/>
        <w:jc w:val="both"/>
      </w:pPr>
      <w:r>
        <w:t>Generative AI has changed the conversation. Large language models are now deployed for customer interaction, document processing and risk modelling (Cao, 2022), introducing risks that existing governance was never designed for: hallucination, adversarial attacks and opacity that resists conventional auditing. HSBC's AML function must consider whether AI-powered suspicious transaction detection can provide the audit trail regulators require. If the model's reasoning cannot be reconstructed, the system may accelerate processing while undermining the institution's ability to defend its compliance decisions. HSBC must also manage the '</w:t>
      </w:r>
      <w:proofErr w:type="gramStart"/>
      <w:r>
        <w:t>make</w:t>
      </w:r>
      <w:proofErr w:type="gramEnd"/>
      <w:r>
        <w:t xml:space="preserve"> or buy' decision (Tallman, 2011). Outsourcing AI to cloud providers reduces </w:t>
      </w:r>
      <w:r>
        <w:lastRenderedPageBreak/>
        <w:t>costs but transfers control over data handling to a third party, with serious implications for accountability and data sovereignty.</w:t>
      </w:r>
    </w:p>
    <w:p w14:paraId="7A592269" w14:textId="77777777" w:rsidR="00A508F7" w:rsidRDefault="00000000">
      <w:pPr>
        <w:pStyle w:val="Heading3"/>
      </w:pPr>
      <w:bookmarkStart w:id="8" w:name="_Toc228221043"/>
      <w:r>
        <w:t>Legal, regulatory and environmental factors</w:t>
      </w:r>
      <w:bookmarkEnd w:id="8"/>
    </w:p>
    <w:p w14:paraId="488A0D94" w14:textId="77777777" w:rsidR="00A508F7" w:rsidRDefault="00000000">
      <w:pPr>
        <w:spacing w:after="200" w:line="360" w:lineRule="auto"/>
        <w:jc w:val="both"/>
      </w:pPr>
      <w:r>
        <w:t>The UK's approach is non-statutory and sector-specific: the FCA and PRA enforce expectations around model risk management (SS1/23), explainability and consumer outcomes (FCA, 2024). The five UK AI principles (DSIT, 2023) are safety, transparency, fairness, accountability and contestability. The UK AI Safety Institute focuses on frontier model risks but does not yet have binding enforcement powers, and the government's current approach lacks hard deadlines or dedicated AI fines. This creates flexibility but also uncertainty; HSBC should anticipate binding UK AI legislation within three to five years and build governance structures now that can absorb those requirements without costly retrofitting. Bradford (2020) argues that in the interim, the Brussels Effect fills the regulatory gap: the EU AI Act (European Commission, 2024) classifies credit scoring as 'high-risk', requires conformity assessments and imposes fines of up to 7% of global turnover for prohibited AI uses. Because any AI system deployed in the EU market must comply regardless of where the developer is based, the Act effectively becomes a de facto global standard. HSBC should treat it as such rather than waiting for UK-specific legislation to catch up. In Hong Kong, the HKMA's guiding principles are philosophically similar but carry less statutory force, reflecting the territory's facilitative approach to fintech regulation (HKMA, 2024). China's Interim Measures for Generative AI (2023) add content-related obligations for Hong Kong operations serving mainland clients, creating a fourth overlapping regulatory layer.</w:t>
      </w:r>
    </w:p>
    <w:p w14:paraId="7337D522" w14:textId="77777777" w:rsidR="00A508F7" w:rsidRDefault="00000000">
      <w:pPr>
        <w:spacing w:after="200" w:line="360" w:lineRule="auto"/>
        <w:jc w:val="both"/>
      </w:pPr>
      <w:r>
        <w:t xml:space="preserve">The environmental dimension is real but often overlooked. </w:t>
      </w:r>
      <w:proofErr w:type="spellStart"/>
      <w:r>
        <w:t>Strubell</w:t>
      </w:r>
      <w:proofErr w:type="spellEnd"/>
      <w:r>
        <w:t xml:space="preserve">, Ganesh and McCallum (2019) estimated that training a single large language model could produce carbon emissions equivalent to five cars over their lifetimes, and the models studied in that paper are tiny by current standards. The International Energy Agency (IEA, 2024) projects that global data centre electricity consumption could double by 2026, with AI workloads driving much of the increase. HSBC's net-zero commitment by 2050 requires its ESG reporting to account for the carbon footprint of AI infrastructure, consistent with TCFD recommendations (TCFD, 2023) and the UN SDGs, particularly SDG 9 and SDG 13 (United Nations, 2015). Oxford Net Zero (2023) found that while </w:t>
      </w:r>
      <w:r>
        <w:lastRenderedPageBreak/>
        <w:t>65% of annual revenue among the world's 2,000 largest companies is covered by a net-zero target, integrity in implementation remains weak. HSBC's AI governance programme must ensure that its own net-zero claims are not undermined by the computational costs of the AI systems it deploys.</w:t>
      </w:r>
    </w:p>
    <w:p w14:paraId="3FF8688C" w14:textId="77777777" w:rsidR="00A508F7" w:rsidRDefault="00000000">
      <w:r>
        <w:br w:type="page"/>
      </w:r>
    </w:p>
    <w:p w14:paraId="37CF8B9E" w14:textId="77777777" w:rsidR="00A508F7" w:rsidRDefault="00000000">
      <w:pPr>
        <w:pStyle w:val="Heading2"/>
      </w:pPr>
      <w:bookmarkStart w:id="9" w:name="_Toc228221044"/>
      <w:r>
        <w:lastRenderedPageBreak/>
        <w:t>2.2 Competitive dynamics and strategic positioning</w:t>
      </w:r>
      <w:bookmarkEnd w:id="9"/>
    </w:p>
    <w:p w14:paraId="302BEE30" w14:textId="77777777" w:rsidR="00A508F7" w:rsidRDefault="00000000">
      <w:pPr>
        <w:spacing w:after="200" w:line="360" w:lineRule="auto"/>
        <w:jc w:val="both"/>
      </w:pPr>
      <w:r>
        <w:t>Porter's (1979) Five Forces framework, despite its well-documented static limitations (Downes, 1997), maps the structural pressures driving HSBC's AI strategy. Competitive rivalry is high: JPMorgan Chase invested $17 billion in technology in 2024 and employs over 2,000 data scientists (JPMorgan Chase, 2025), deploying AI across fraud detection, trading and customer engagement at a scale HSBC has not yet matched. Standard Chartered, HSBC's most direct competitor in Asia, has invested in AI-powered trade finance automation and established an AI governance framework ahead of HSBC. HSBC's cost-to-income ratio of 41.4% (HSBC, 2025) is competitive by industry standards, but the gap narrows if rivals extract greater efficiency from more aggressive AI deployment. The threat of new entrants has increased because regulatory sandboxes in both the UK and Hong Kong have lowered barriers for technology-driven firms, although HSBC's vast customer datasets remain an ownership advantage in Dunning's (1977) OLI framework, one that is difficult for smaller entrants to replicate. Buyer power is rising as open banking platforms allow digitally literate consumers to switch providers with less friction, raising the cost of getting AI-driven services wrong. Substitution threats come from decentralised finance platforms that bypass traditional risk assessment entirely. Supplier power is concentrated among cloud computing and AI model vendors (AWS, Azure, Google Cloud), creating dependency risks in the technology supply chain.</w:t>
      </w:r>
    </w:p>
    <w:p w14:paraId="205D6D59" w14:textId="77777777" w:rsidR="00A508F7" w:rsidRDefault="00000000">
      <w:pPr>
        <w:spacing w:after="200" w:line="360" w:lineRule="auto"/>
        <w:jc w:val="both"/>
      </w:pPr>
      <w:r>
        <w:t>Barney's (1991) Resource-Based View offers a complementary lens. The question is whether HSBC's AI governance infrastructure can become a source of sustained competitive advantage. The RBV argues that resources must be valuable, rare, inimitable and non-substitutable (VRIN) to generate lasting advantage. A mature AI governance framework is valuable because it reduces regulatory fines and reputational damage; rare because few multinational banks have implemented cross-jurisdictional AI governance at this level; difficult to imitate because it requires the integration of legal, cultural and technical expertise across jurisdictions; and non-substitutable because no alternative exists to governance for managing algorithmic risk. This framing justifies the investment proposed in the implementation plan: AI governance is not a cost centre but a strategic asset.</w:t>
      </w:r>
    </w:p>
    <w:p w14:paraId="3B38B4DE" w14:textId="77777777" w:rsidR="00A508F7" w:rsidRDefault="00000000">
      <w:pPr>
        <w:spacing w:before="120" w:after="240"/>
        <w:jc w:val="center"/>
      </w:pPr>
      <w:r>
        <w:rPr>
          <w:i/>
          <w:iCs/>
          <w:color w:val="404040"/>
          <w:sz w:val="20"/>
          <w:szCs w:val="20"/>
        </w:rPr>
        <w:t>Table 2: Competitive Positioning — HSBC vs Key Rivals (HSBC, 2025; JPMorgan Chase, 2025)</w:t>
      </w:r>
    </w:p>
    <w:tbl>
      <w:tblPr>
        <w:tblStyle w:val="TableGrid"/>
        <w:tblW w:w="9026" w:type="dxa"/>
        <w:tblLook w:val="0000" w:firstRow="0" w:lastRow="0" w:firstColumn="0" w:lastColumn="0" w:noHBand="0" w:noVBand="0"/>
      </w:tblPr>
      <w:tblGrid>
        <w:gridCol w:w="2200"/>
        <w:gridCol w:w="2200"/>
        <w:gridCol w:w="2400"/>
        <w:gridCol w:w="2226"/>
      </w:tblGrid>
      <w:tr w:rsidR="00C17606" w:rsidRPr="00C17606" w14:paraId="28548EF7" w14:textId="77777777" w:rsidTr="00C17606">
        <w:tc>
          <w:tcPr>
            <w:tcW w:w="2200" w:type="dxa"/>
          </w:tcPr>
          <w:p w14:paraId="097F71B5" w14:textId="77777777" w:rsidR="00A508F7" w:rsidRPr="00C17606" w:rsidRDefault="00000000">
            <w:pPr>
              <w:rPr>
                <w:color w:val="000000" w:themeColor="text1"/>
              </w:rPr>
            </w:pPr>
            <w:r w:rsidRPr="00C17606">
              <w:rPr>
                <w:b/>
                <w:bCs/>
                <w:color w:val="000000" w:themeColor="text1"/>
                <w:sz w:val="18"/>
                <w:szCs w:val="18"/>
              </w:rPr>
              <w:lastRenderedPageBreak/>
              <w:t>Metric</w:t>
            </w:r>
          </w:p>
        </w:tc>
        <w:tc>
          <w:tcPr>
            <w:tcW w:w="2200" w:type="dxa"/>
          </w:tcPr>
          <w:p w14:paraId="7939E40C" w14:textId="77777777" w:rsidR="00A508F7" w:rsidRPr="00C17606" w:rsidRDefault="00000000">
            <w:pPr>
              <w:rPr>
                <w:color w:val="000000" w:themeColor="text1"/>
              </w:rPr>
            </w:pPr>
            <w:r w:rsidRPr="00C17606">
              <w:rPr>
                <w:b/>
                <w:bCs/>
                <w:color w:val="000000" w:themeColor="text1"/>
                <w:sz w:val="18"/>
                <w:szCs w:val="18"/>
              </w:rPr>
              <w:t>HSBC</w:t>
            </w:r>
          </w:p>
        </w:tc>
        <w:tc>
          <w:tcPr>
            <w:tcW w:w="2400" w:type="dxa"/>
          </w:tcPr>
          <w:p w14:paraId="3CEEA283" w14:textId="77777777" w:rsidR="00A508F7" w:rsidRPr="00C17606" w:rsidRDefault="00000000">
            <w:pPr>
              <w:rPr>
                <w:color w:val="000000" w:themeColor="text1"/>
              </w:rPr>
            </w:pPr>
            <w:r w:rsidRPr="00C17606">
              <w:rPr>
                <w:b/>
                <w:bCs/>
                <w:color w:val="000000" w:themeColor="text1"/>
                <w:sz w:val="18"/>
                <w:szCs w:val="18"/>
              </w:rPr>
              <w:t>JPMorgan Chase</w:t>
            </w:r>
          </w:p>
        </w:tc>
        <w:tc>
          <w:tcPr>
            <w:tcW w:w="2226" w:type="dxa"/>
          </w:tcPr>
          <w:p w14:paraId="29DD42B3" w14:textId="77777777" w:rsidR="00A508F7" w:rsidRPr="00C17606" w:rsidRDefault="00000000">
            <w:pPr>
              <w:rPr>
                <w:color w:val="000000" w:themeColor="text1"/>
              </w:rPr>
            </w:pPr>
            <w:r w:rsidRPr="00C17606">
              <w:rPr>
                <w:b/>
                <w:bCs/>
                <w:color w:val="000000" w:themeColor="text1"/>
                <w:sz w:val="18"/>
                <w:szCs w:val="18"/>
              </w:rPr>
              <w:t>Standard Chartered</w:t>
            </w:r>
          </w:p>
        </w:tc>
      </w:tr>
      <w:tr w:rsidR="00C17606" w:rsidRPr="00C17606" w14:paraId="6FBEF93E" w14:textId="77777777" w:rsidTr="00C17606">
        <w:tc>
          <w:tcPr>
            <w:tcW w:w="2200" w:type="dxa"/>
          </w:tcPr>
          <w:p w14:paraId="4EFD6D93" w14:textId="77777777" w:rsidR="00A508F7" w:rsidRPr="00C17606" w:rsidRDefault="00000000">
            <w:pPr>
              <w:spacing w:after="30"/>
              <w:rPr>
                <w:color w:val="000000" w:themeColor="text1"/>
              </w:rPr>
            </w:pPr>
            <w:r w:rsidRPr="00C17606">
              <w:rPr>
                <w:b/>
                <w:bCs/>
                <w:color w:val="000000" w:themeColor="text1"/>
                <w:sz w:val="18"/>
                <w:szCs w:val="18"/>
              </w:rPr>
              <w:t>Total assets (2024)</w:t>
            </w:r>
          </w:p>
        </w:tc>
        <w:tc>
          <w:tcPr>
            <w:tcW w:w="2200" w:type="dxa"/>
          </w:tcPr>
          <w:p w14:paraId="6B61840E" w14:textId="77777777" w:rsidR="00A508F7" w:rsidRPr="00C17606" w:rsidRDefault="00000000">
            <w:pPr>
              <w:spacing w:after="30"/>
              <w:rPr>
                <w:color w:val="000000" w:themeColor="text1"/>
              </w:rPr>
            </w:pPr>
            <w:r w:rsidRPr="00C17606">
              <w:rPr>
                <w:color w:val="000000" w:themeColor="text1"/>
                <w:sz w:val="18"/>
                <w:szCs w:val="18"/>
              </w:rPr>
              <w:t>$3.0 trillion</w:t>
            </w:r>
          </w:p>
        </w:tc>
        <w:tc>
          <w:tcPr>
            <w:tcW w:w="2400" w:type="dxa"/>
          </w:tcPr>
          <w:p w14:paraId="1713FD42" w14:textId="77777777" w:rsidR="00A508F7" w:rsidRPr="00C17606" w:rsidRDefault="00000000">
            <w:pPr>
              <w:spacing w:after="30"/>
              <w:rPr>
                <w:color w:val="000000" w:themeColor="text1"/>
              </w:rPr>
            </w:pPr>
            <w:r w:rsidRPr="00C17606">
              <w:rPr>
                <w:color w:val="000000" w:themeColor="text1"/>
                <w:sz w:val="18"/>
                <w:szCs w:val="18"/>
              </w:rPr>
              <w:t>$4.1 trillion</w:t>
            </w:r>
          </w:p>
        </w:tc>
        <w:tc>
          <w:tcPr>
            <w:tcW w:w="2226" w:type="dxa"/>
          </w:tcPr>
          <w:p w14:paraId="74E77D4D" w14:textId="77777777" w:rsidR="00A508F7" w:rsidRPr="00C17606" w:rsidRDefault="00000000">
            <w:pPr>
              <w:spacing w:after="30"/>
              <w:rPr>
                <w:color w:val="000000" w:themeColor="text1"/>
              </w:rPr>
            </w:pPr>
            <w:r w:rsidRPr="00C17606">
              <w:rPr>
                <w:color w:val="000000" w:themeColor="text1"/>
                <w:sz w:val="18"/>
                <w:szCs w:val="18"/>
              </w:rPr>
              <w:t>$835 billion</w:t>
            </w:r>
          </w:p>
        </w:tc>
      </w:tr>
      <w:tr w:rsidR="00C17606" w:rsidRPr="00C17606" w14:paraId="2CF59D4A" w14:textId="77777777" w:rsidTr="00C17606">
        <w:tc>
          <w:tcPr>
            <w:tcW w:w="2200" w:type="dxa"/>
          </w:tcPr>
          <w:p w14:paraId="0C6CAC8C" w14:textId="77777777" w:rsidR="00A508F7" w:rsidRPr="00C17606" w:rsidRDefault="00000000">
            <w:pPr>
              <w:spacing w:after="30"/>
              <w:rPr>
                <w:color w:val="000000" w:themeColor="text1"/>
              </w:rPr>
            </w:pPr>
            <w:r w:rsidRPr="00C17606">
              <w:rPr>
                <w:b/>
                <w:bCs/>
                <w:color w:val="000000" w:themeColor="text1"/>
                <w:sz w:val="18"/>
                <w:szCs w:val="18"/>
              </w:rPr>
              <w:t>Technology investment (2024)</w:t>
            </w:r>
          </w:p>
        </w:tc>
        <w:tc>
          <w:tcPr>
            <w:tcW w:w="2200" w:type="dxa"/>
          </w:tcPr>
          <w:p w14:paraId="4024356D" w14:textId="77777777" w:rsidR="00A508F7" w:rsidRPr="00C17606" w:rsidRDefault="00000000">
            <w:pPr>
              <w:spacing w:after="30"/>
              <w:rPr>
                <w:color w:val="000000" w:themeColor="text1"/>
              </w:rPr>
            </w:pPr>
            <w:r w:rsidRPr="00C17606">
              <w:rPr>
                <w:color w:val="000000" w:themeColor="text1"/>
                <w:sz w:val="18"/>
                <w:szCs w:val="18"/>
              </w:rPr>
              <w:t>Not separately disclosed</w:t>
            </w:r>
          </w:p>
        </w:tc>
        <w:tc>
          <w:tcPr>
            <w:tcW w:w="2400" w:type="dxa"/>
          </w:tcPr>
          <w:p w14:paraId="482263C6" w14:textId="77777777" w:rsidR="00A508F7" w:rsidRPr="00C17606" w:rsidRDefault="00000000">
            <w:pPr>
              <w:spacing w:after="30"/>
              <w:rPr>
                <w:color w:val="000000" w:themeColor="text1"/>
              </w:rPr>
            </w:pPr>
            <w:r w:rsidRPr="00C17606">
              <w:rPr>
                <w:color w:val="000000" w:themeColor="text1"/>
                <w:sz w:val="18"/>
                <w:szCs w:val="18"/>
              </w:rPr>
              <w:t>$17 billion</w:t>
            </w:r>
          </w:p>
        </w:tc>
        <w:tc>
          <w:tcPr>
            <w:tcW w:w="2226" w:type="dxa"/>
          </w:tcPr>
          <w:p w14:paraId="6A5A8037" w14:textId="77777777" w:rsidR="00A508F7" w:rsidRPr="00C17606" w:rsidRDefault="00000000">
            <w:pPr>
              <w:spacing w:after="30"/>
              <w:rPr>
                <w:color w:val="000000" w:themeColor="text1"/>
              </w:rPr>
            </w:pPr>
            <w:r w:rsidRPr="00C17606">
              <w:rPr>
                <w:color w:val="000000" w:themeColor="text1"/>
                <w:sz w:val="18"/>
                <w:szCs w:val="18"/>
              </w:rPr>
              <w:t>Not separately disclosed</w:t>
            </w:r>
          </w:p>
        </w:tc>
      </w:tr>
      <w:tr w:rsidR="00C17606" w:rsidRPr="00C17606" w14:paraId="001CCE98" w14:textId="77777777" w:rsidTr="00C17606">
        <w:tc>
          <w:tcPr>
            <w:tcW w:w="2200" w:type="dxa"/>
          </w:tcPr>
          <w:p w14:paraId="659FFB85" w14:textId="77777777" w:rsidR="00A508F7" w:rsidRPr="00C17606" w:rsidRDefault="00000000">
            <w:pPr>
              <w:spacing w:after="30"/>
              <w:rPr>
                <w:color w:val="000000" w:themeColor="text1"/>
              </w:rPr>
            </w:pPr>
            <w:r w:rsidRPr="00C17606">
              <w:rPr>
                <w:b/>
                <w:bCs/>
                <w:color w:val="000000" w:themeColor="text1"/>
                <w:sz w:val="18"/>
                <w:szCs w:val="18"/>
              </w:rPr>
              <w:t>Cost-to-income ratio</w:t>
            </w:r>
          </w:p>
        </w:tc>
        <w:tc>
          <w:tcPr>
            <w:tcW w:w="2200" w:type="dxa"/>
          </w:tcPr>
          <w:p w14:paraId="4580FCC6" w14:textId="77777777" w:rsidR="00A508F7" w:rsidRPr="00C17606" w:rsidRDefault="00000000">
            <w:pPr>
              <w:spacing w:after="30"/>
              <w:rPr>
                <w:color w:val="000000" w:themeColor="text1"/>
              </w:rPr>
            </w:pPr>
            <w:r w:rsidRPr="00C17606">
              <w:rPr>
                <w:color w:val="000000" w:themeColor="text1"/>
                <w:sz w:val="18"/>
                <w:szCs w:val="18"/>
              </w:rPr>
              <w:t>41.4%</w:t>
            </w:r>
          </w:p>
        </w:tc>
        <w:tc>
          <w:tcPr>
            <w:tcW w:w="2400" w:type="dxa"/>
          </w:tcPr>
          <w:p w14:paraId="006E2182" w14:textId="77777777" w:rsidR="00A508F7" w:rsidRPr="00C17606" w:rsidRDefault="00000000">
            <w:pPr>
              <w:spacing w:after="30"/>
              <w:rPr>
                <w:color w:val="000000" w:themeColor="text1"/>
              </w:rPr>
            </w:pPr>
            <w:r w:rsidRPr="00C17606">
              <w:rPr>
                <w:color w:val="000000" w:themeColor="text1"/>
                <w:sz w:val="18"/>
                <w:szCs w:val="18"/>
              </w:rPr>
              <w:t>55%</w:t>
            </w:r>
          </w:p>
        </w:tc>
        <w:tc>
          <w:tcPr>
            <w:tcW w:w="2226" w:type="dxa"/>
          </w:tcPr>
          <w:p w14:paraId="1C082915" w14:textId="77777777" w:rsidR="00A508F7" w:rsidRPr="00C17606" w:rsidRDefault="00000000">
            <w:pPr>
              <w:spacing w:after="30"/>
              <w:rPr>
                <w:color w:val="000000" w:themeColor="text1"/>
              </w:rPr>
            </w:pPr>
            <w:r w:rsidRPr="00C17606">
              <w:rPr>
                <w:color w:val="000000" w:themeColor="text1"/>
                <w:sz w:val="18"/>
                <w:szCs w:val="18"/>
              </w:rPr>
              <w:t>54%</w:t>
            </w:r>
          </w:p>
        </w:tc>
      </w:tr>
      <w:tr w:rsidR="00C17606" w:rsidRPr="00C17606" w14:paraId="53ECA09F" w14:textId="77777777" w:rsidTr="00C17606">
        <w:tc>
          <w:tcPr>
            <w:tcW w:w="2200" w:type="dxa"/>
          </w:tcPr>
          <w:p w14:paraId="6C2E5287" w14:textId="77777777" w:rsidR="00A508F7" w:rsidRPr="00C17606" w:rsidRDefault="00000000">
            <w:pPr>
              <w:spacing w:after="30"/>
              <w:rPr>
                <w:color w:val="000000" w:themeColor="text1"/>
              </w:rPr>
            </w:pPr>
            <w:r w:rsidRPr="00C17606">
              <w:rPr>
                <w:b/>
                <w:bCs/>
                <w:color w:val="000000" w:themeColor="text1"/>
                <w:sz w:val="18"/>
                <w:szCs w:val="18"/>
              </w:rPr>
              <w:t>AI efficiency savings reported</w:t>
            </w:r>
          </w:p>
        </w:tc>
        <w:tc>
          <w:tcPr>
            <w:tcW w:w="2200" w:type="dxa"/>
          </w:tcPr>
          <w:p w14:paraId="4820FB2B" w14:textId="77777777" w:rsidR="00A508F7" w:rsidRPr="00C17606" w:rsidRDefault="00000000">
            <w:pPr>
              <w:spacing w:after="30"/>
              <w:rPr>
                <w:color w:val="000000" w:themeColor="text1"/>
              </w:rPr>
            </w:pPr>
            <w:r w:rsidRPr="00C17606">
              <w:rPr>
                <w:color w:val="000000" w:themeColor="text1"/>
                <w:sz w:val="18"/>
                <w:szCs w:val="18"/>
              </w:rPr>
              <w:t>$700 million</w:t>
            </w:r>
          </w:p>
        </w:tc>
        <w:tc>
          <w:tcPr>
            <w:tcW w:w="2400" w:type="dxa"/>
          </w:tcPr>
          <w:p w14:paraId="3450834D" w14:textId="77777777" w:rsidR="00A508F7" w:rsidRPr="00C17606" w:rsidRDefault="00000000">
            <w:pPr>
              <w:spacing w:after="30"/>
              <w:rPr>
                <w:color w:val="000000" w:themeColor="text1"/>
              </w:rPr>
            </w:pPr>
            <w:r w:rsidRPr="00C17606">
              <w:rPr>
                <w:color w:val="000000" w:themeColor="text1"/>
                <w:sz w:val="18"/>
                <w:szCs w:val="18"/>
              </w:rPr>
              <w:t>Not separately disclosed</w:t>
            </w:r>
          </w:p>
        </w:tc>
        <w:tc>
          <w:tcPr>
            <w:tcW w:w="2226" w:type="dxa"/>
          </w:tcPr>
          <w:p w14:paraId="0FCA0348" w14:textId="77777777" w:rsidR="00A508F7" w:rsidRPr="00C17606" w:rsidRDefault="00000000">
            <w:pPr>
              <w:spacing w:after="30"/>
              <w:rPr>
                <w:color w:val="000000" w:themeColor="text1"/>
              </w:rPr>
            </w:pPr>
            <w:r w:rsidRPr="00C17606">
              <w:rPr>
                <w:color w:val="000000" w:themeColor="text1"/>
                <w:sz w:val="18"/>
                <w:szCs w:val="18"/>
              </w:rPr>
              <w:t>Not separately disclosed</w:t>
            </w:r>
          </w:p>
        </w:tc>
      </w:tr>
      <w:tr w:rsidR="00C17606" w:rsidRPr="00C17606" w14:paraId="348E5816" w14:textId="77777777" w:rsidTr="00C17606">
        <w:tc>
          <w:tcPr>
            <w:tcW w:w="2200" w:type="dxa"/>
          </w:tcPr>
          <w:p w14:paraId="37DAC7D5" w14:textId="77777777" w:rsidR="00A508F7" w:rsidRPr="00C17606" w:rsidRDefault="00000000">
            <w:pPr>
              <w:spacing w:after="30"/>
              <w:rPr>
                <w:color w:val="000000" w:themeColor="text1"/>
              </w:rPr>
            </w:pPr>
            <w:r w:rsidRPr="00C17606">
              <w:rPr>
                <w:b/>
                <w:bCs/>
                <w:color w:val="000000" w:themeColor="text1"/>
                <w:sz w:val="18"/>
                <w:szCs w:val="18"/>
              </w:rPr>
              <w:t>Dedicated AI governance committee</w:t>
            </w:r>
          </w:p>
        </w:tc>
        <w:tc>
          <w:tcPr>
            <w:tcW w:w="2200" w:type="dxa"/>
          </w:tcPr>
          <w:p w14:paraId="5F310893" w14:textId="77777777" w:rsidR="00A508F7" w:rsidRPr="00C17606" w:rsidRDefault="00000000">
            <w:pPr>
              <w:spacing w:after="30"/>
              <w:rPr>
                <w:color w:val="000000" w:themeColor="text1"/>
              </w:rPr>
            </w:pPr>
            <w:r w:rsidRPr="00C17606">
              <w:rPr>
                <w:color w:val="000000" w:themeColor="text1"/>
                <w:sz w:val="18"/>
                <w:szCs w:val="18"/>
              </w:rPr>
              <w:t>No (recommended)</w:t>
            </w:r>
          </w:p>
        </w:tc>
        <w:tc>
          <w:tcPr>
            <w:tcW w:w="2400" w:type="dxa"/>
          </w:tcPr>
          <w:p w14:paraId="7722D334" w14:textId="77777777" w:rsidR="00A508F7" w:rsidRPr="00C17606" w:rsidRDefault="00000000">
            <w:pPr>
              <w:spacing w:after="30"/>
              <w:rPr>
                <w:color w:val="000000" w:themeColor="text1"/>
              </w:rPr>
            </w:pPr>
            <w:r w:rsidRPr="00C17606">
              <w:rPr>
                <w:color w:val="000000" w:themeColor="text1"/>
                <w:sz w:val="18"/>
                <w:szCs w:val="18"/>
              </w:rPr>
              <w:t>Yes</w:t>
            </w:r>
          </w:p>
        </w:tc>
        <w:tc>
          <w:tcPr>
            <w:tcW w:w="2226" w:type="dxa"/>
          </w:tcPr>
          <w:p w14:paraId="0E0D7000" w14:textId="77777777" w:rsidR="00A508F7" w:rsidRPr="00C17606" w:rsidRDefault="00000000">
            <w:pPr>
              <w:spacing w:after="30"/>
              <w:rPr>
                <w:color w:val="000000" w:themeColor="text1"/>
              </w:rPr>
            </w:pPr>
            <w:r w:rsidRPr="00C17606">
              <w:rPr>
                <w:color w:val="000000" w:themeColor="text1"/>
                <w:sz w:val="18"/>
                <w:szCs w:val="18"/>
              </w:rPr>
              <w:t>Yes</w:t>
            </w:r>
          </w:p>
        </w:tc>
      </w:tr>
      <w:tr w:rsidR="00C17606" w:rsidRPr="00C17606" w14:paraId="306FEB2C" w14:textId="77777777" w:rsidTr="00C17606">
        <w:tc>
          <w:tcPr>
            <w:tcW w:w="2200" w:type="dxa"/>
          </w:tcPr>
          <w:p w14:paraId="53D624A6" w14:textId="77777777" w:rsidR="00A508F7" w:rsidRPr="00C17606" w:rsidRDefault="00000000">
            <w:pPr>
              <w:spacing w:after="30"/>
              <w:rPr>
                <w:color w:val="000000" w:themeColor="text1"/>
              </w:rPr>
            </w:pPr>
            <w:r w:rsidRPr="00C17606">
              <w:rPr>
                <w:b/>
                <w:bCs/>
                <w:color w:val="000000" w:themeColor="text1"/>
                <w:sz w:val="18"/>
                <w:szCs w:val="18"/>
              </w:rPr>
              <w:t>AI data scientists / engineers</w:t>
            </w:r>
          </w:p>
        </w:tc>
        <w:tc>
          <w:tcPr>
            <w:tcW w:w="2200" w:type="dxa"/>
          </w:tcPr>
          <w:p w14:paraId="5948DA48" w14:textId="77777777" w:rsidR="00A508F7" w:rsidRPr="00C17606" w:rsidRDefault="00000000">
            <w:pPr>
              <w:spacing w:after="30"/>
              <w:rPr>
                <w:color w:val="000000" w:themeColor="text1"/>
              </w:rPr>
            </w:pPr>
            <w:r w:rsidRPr="00C17606">
              <w:rPr>
                <w:color w:val="000000" w:themeColor="text1"/>
                <w:sz w:val="18"/>
                <w:szCs w:val="18"/>
              </w:rPr>
              <w:t>Not disclosed</w:t>
            </w:r>
          </w:p>
        </w:tc>
        <w:tc>
          <w:tcPr>
            <w:tcW w:w="2400" w:type="dxa"/>
          </w:tcPr>
          <w:p w14:paraId="5AEADE29" w14:textId="77777777" w:rsidR="00A508F7" w:rsidRPr="00C17606" w:rsidRDefault="00000000">
            <w:pPr>
              <w:spacing w:after="30"/>
              <w:rPr>
                <w:color w:val="000000" w:themeColor="text1"/>
              </w:rPr>
            </w:pPr>
            <w:r w:rsidRPr="00C17606">
              <w:rPr>
                <w:color w:val="000000" w:themeColor="text1"/>
                <w:sz w:val="18"/>
                <w:szCs w:val="18"/>
              </w:rPr>
              <w:t>2,000+</w:t>
            </w:r>
          </w:p>
        </w:tc>
        <w:tc>
          <w:tcPr>
            <w:tcW w:w="2226" w:type="dxa"/>
          </w:tcPr>
          <w:p w14:paraId="7F59BB35" w14:textId="77777777" w:rsidR="00A508F7" w:rsidRPr="00C17606" w:rsidRDefault="00000000">
            <w:pPr>
              <w:spacing w:after="30"/>
              <w:rPr>
                <w:color w:val="000000" w:themeColor="text1"/>
              </w:rPr>
            </w:pPr>
            <w:r w:rsidRPr="00C17606">
              <w:rPr>
                <w:color w:val="000000" w:themeColor="text1"/>
                <w:sz w:val="18"/>
                <w:szCs w:val="18"/>
              </w:rPr>
              <w:t>Not disclosed</w:t>
            </w:r>
          </w:p>
        </w:tc>
      </w:tr>
      <w:tr w:rsidR="00C17606" w:rsidRPr="00C17606" w14:paraId="136A0CF2" w14:textId="77777777" w:rsidTr="00C17606">
        <w:tc>
          <w:tcPr>
            <w:tcW w:w="2200" w:type="dxa"/>
          </w:tcPr>
          <w:p w14:paraId="509DC7AE" w14:textId="77777777" w:rsidR="00A508F7" w:rsidRPr="00C17606" w:rsidRDefault="00000000">
            <w:pPr>
              <w:spacing w:after="30"/>
              <w:rPr>
                <w:color w:val="000000" w:themeColor="text1"/>
              </w:rPr>
            </w:pPr>
            <w:r w:rsidRPr="00C17606">
              <w:rPr>
                <w:b/>
                <w:bCs/>
                <w:color w:val="000000" w:themeColor="text1"/>
                <w:sz w:val="18"/>
                <w:szCs w:val="18"/>
              </w:rPr>
              <w:t>Key AI applications</w:t>
            </w:r>
          </w:p>
        </w:tc>
        <w:tc>
          <w:tcPr>
            <w:tcW w:w="2200" w:type="dxa"/>
          </w:tcPr>
          <w:p w14:paraId="5002501A" w14:textId="77777777" w:rsidR="00A508F7" w:rsidRPr="00C17606" w:rsidRDefault="00000000">
            <w:pPr>
              <w:spacing w:after="30"/>
              <w:rPr>
                <w:color w:val="000000" w:themeColor="text1"/>
              </w:rPr>
            </w:pPr>
            <w:r w:rsidRPr="00C17606">
              <w:rPr>
                <w:color w:val="000000" w:themeColor="text1"/>
                <w:sz w:val="18"/>
                <w:szCs w:val="18"/>
              </w:rPr>
              <w:t>Fraud detection, credit scoring, AML</w:t>
            </w:r>
          </w:p>
        </w:tc>
        <w:tc>
          <w:tcPr>
            <w:tcW w:w="2400" w:type="dxa"/>
          </w:tcPr>
          <w:p w14:paraId="03C7D2E3" w14:textId="77777777" w:rsidR="00A508F7" w:rsidRPr="00C17606" w:rsidRDefault="00000000">
            <w:pPr>
              <w:spacing w:after="30"/>
              <w:rPr>
                <w:color w:val="000000" w:themeColor="text1"/>
              </w:rPr>
            </w:pPr>
            <w:r w:rsidRPr="00C17606">
              <w:rPr>
                <w:color w:val="000000" w:themeColor="text1"/>
                <w:sz w:val="18"/>
                <w:szCs w:val="18"/>
              </w:rPr>
              <w:t>Fraud, trading, customer engagement, risk</w:t>
            </w:r>
          </w:p>
        </w:tc>
        <w:tc>
          <w:tcPr>
            <w:tcW w:w="2226" w:type="dxa"/>
          </w:tcPr>
          <w:p w14:paraId="23F1EEFC" w14:textId="77777777" w:rsidR="00A508F7" w:rsidRPr="00C17606" w:rsidRDefault="00000000">
            <w:pPr>
              <w:spacing w:after="30"/>
              <w:rPr>
                <w:color w:val="000000" w:themeColor="text1"/>
              </w:rPr>
            </w:pPr>
            <w:r w:rsidRPr="00C17606">
              <w:rPr>
                <w:color w:val="000000" w:themeColor="text1"/>
                <w:sz w:val="18"/>
                <w:szCs w:val="18"/>
              </w:rPr>
              <w:t>Trade finance automation, KYC</w:t>
            </w:r>
          </w:p>
        </w:tc>
      </w:tr>
    </w:tbl>
    <w:p w14:paraId="667F59C2" w14:textId="77777777" w:rsidR="00A508F7" w:rsidRDefault="00A508F7">
      <w:pPr>
        <w:spacing w:after="200"/>
      </w:pPr>
    </w:p>
    <w:p w14:paraId="3EA34A02" w14:textId="77777777" w:rsidR="00A508F7" w:rsidRDefault="00000000">
      <w:r>
        <w:br w:type="page"/>
      </w:r>
    </w:p>
    <w:p w14:paraId="195B0319" w14:textId="77777777" w:rsidR="00A508F7" w:rsidRDefault="00000000">
      <w:pPr>
        <w:pStyle w:val="Heading2"/>
      </w:pPr>
      <w:bookmarkStart w:id="10" w:name="_Toc228221045"/>
      <w:r>
        <w:lastRenderedPageBreak/>
        <w:t>2.3 Data governance</w:t>
      </w:r>
      <w:bookmarkEnd w:id="10"/>
    </w:p>
    <w:p w14:paraId="53929DCA" w14:textId="77777777" w:rsidR="00A508F7" w:rsidRDefault="00000000">
      <w:pPr>
        <w:spacing w:after="200" w:line="360" w:lineRule="auto"/>
        <w:jc w:val="both"/>
      </w:pPr>
      <w:r>
        <w:t xml:space="preserve">Every other AI control depends on the quality, provenance and security of underlying data (Janssen et al., 2020). </w:t>
      </w:r>
      <w:proofErr w:type="spellStart"/>
      <w:r>
        <w:t>Floridi</w:t>
      </w:r>
      <w:proofErr w:type="spellEnd"/>
      <w:r>
        <w:t xml:space="preserve"> (2019) argues that data governance should be understood as informational justice: the fair management of the informational environments in which people live, rather than a narrow exercise in legal compliance. For a bank processing billions of transactions annually, the distinction has teeth. It means HSBC's data governance obligations extend beyond what the law requires to what stakeholders are entitled to expect.</w:t>
      </w:r>
    </w:p>
    <w:p w14:paraId="3ABC21B4" w14:textId="77777777" w:rsidR="00A508F7" w:rsidRDefault="00000000">
      <w:pPr>
        <w:spacing w:after="200" w:line="360" w:lineRule="auto"/>
        <w:jc w:val="both"/>
      </w:pPr>
      <w:r>
        <w:t xml:space="preserve">In the UK, the Data Protection Act 2018 (implementing GDPR) imposes requirements around data minimisation, purpose limitation, individual rights of access and erasure, and restrictions on automated decision-making under Article 22 (ICO, 2024). The right to erasure creates a specific technical challenge for AI: once an individual's data has been used to train a model, removing that data's influence is not straightforward. HSBC will need to develop or adopt machine unlearning </w:t>
      </w:r>
      <w:proofErr w:type="gramStart"/>
      <w:r>
        <w:t>capabilities, or</w:t>
      </w:r>
      <w:proofErr w:type="gramEnd"/>
      <w:r>
        <w:t xml:space="preserve"> demonstrate that its models are retrained on compliant datasets at regular intervals. Consent management is equally complex, since the consent given for one purpose (e.g. transaction processing) may not extend to AI model training. Hong Kong's Personal Data (Privacy) Ordinance is less prescriptive, lacking an Article 22 equivalent and mandatory breach notification (PCPD, 2023). Ghemawat (2001) would classify this regulatory divergence as administrative distance within the CAGE framework.</w:t>
      </w:r>
    </w:p>
    <w:p w14:paraId="5E65CFA1" w14:textId="77777777" w:rsidR="00A508F7" w:rsidRDefault="00000000">
      <w:pPr>
        <w:spacing w:after="200" w:line="360" w:lineRule="auto"/>
        <w:jc w:val="both"/>
      </w:pPr>
      <w:r>
        <w:t xml:space="preserve">The most immediate operational risk is employee misuse of public AI tools. The </w:t>
      </w:r>
      <w:proofErr w:type="spellStart"/>
      <w:r>
        <w:t>GlobalCo</w:t>
      </w:r>
      <w:proofErr w:type="spellEnd"/>
      <w:r>
        <w:t xml:space="preserve"> case study described staff pasting sensitive client data into public platforms, and this is not a hypothetical concern. A Deloitte (2024) survey found 38% of financial services employees had used public generative AI tools for work without organisational oversight. For HSBC, one such incident involving customer financial data could trigger GDPR fines of up to 4% of global turnover, reputational damage and loss of client trust that would take years to rebuild. IBM's Cost of a Data Breach Report (IBM, 2024) puts the average cost of a financial services data breach at $6.08 million, the highest of any sector, and that figure excludes regulatory fines and long-term reputational damage. Cross-border data transfers add further complexity: HSBC routinely moves data between the UK and Hong Kong for consolidated risk reporting, but the adequacy of data protection in Hong Kong under UK GDPR transfer </w:t>
      </w:r>
      <w:r>
        <w:lastRenderedPageBreak/>
        <w:t xml:space="preserve">mechanisms </w:t>
      </w:r>
      <w:proofErr w:type="gramStart"/>
      <w:r>
        <w:t>is</w:t>
      </w:r>
      <w:proofErr w:type="gramEnd"/>
      <w:r>
        <w:t xml:space="preserve"> not unconditional, and China's data localisation requirements under the PIPL may restrict what data can leave Hong Kong for UK-based AI systems. The risk management lifecycle discussed in the module (PwC, 2023) provides the methodology for addressing these challenges systematically rather than reactively.</w:t>
      </w:r>
    </w:p>
    <w:p w14:paraId="02DB3A25" w14:textId="77777777" w:rsidR="00A508F7" w:rsidRDefault="00000000">
      <w:pPr>
        <w:pStyle w:val="Heading2"/>
      </w:pPr>
      <w:bookmarkStart w:id="11" w:name="_Toc228221046"/>
      <w:r>
        <w:t>2.4 Ethical AI use</w:t>
      </w:r>
      <w:bookmarkEnd w:id="11"/>
    </w:p>
    <w:p w14:paraId="2F524B13" w14:textId="77777777" w:rsidR="00A508F7" w:rsidRDefault="00000000">
      <w:pPr>
        <w:spacing w:after="200" w:line="360" w:lineRule="auto"/>
        <w:jc w:val="both"/>
      </w:pPr>
      <w:r>
        <w:t xml:space="preserve">The module's ethics sessions drew on utilitarianism (Mill, 1861), deontology (Kant) and virtue ethics (Aristotle). Each produces different conclusions about the same AI system. A credit-scoring algorithm might maximise aggregate efficiency (a utilitarian pass) while systematically disadvantaging applicants from certain postcodes (a deontological failure) within an organisation whose culture fails to notice or investigate the pattern (a virtue ethics failure). That scenario appeared in the </w:t>
      </w:r>
      <w:proofErr w:type="spellStart"/>
      <w:r>
        <w:t>GlobalCo</w:t>
      </w:r>
      <w:proofErr w:type="spellEnd"/>
      <w:r>
        <w:t xml:space="preserve"> case study, where an AI credit model produced systematically lower credit limits based on postcode. Real-world parallels are well-documented. Amazon scrapped an AI recruiting tool in 2018 after it was found to systematically downgrade female candidates, having been trained on a decade of hiring data that reflected existing gender imbalances in the technology sector (Dastin, 2018). </w:t>
      </w:r>
      <w:proofErr w:type="spellStart"/>
      <w:r>
        <w:t>HireVue's</w:t>
      </w:r>
      <w:proofErr w:type="spellEnd"/>
      <w:r>
        <w:t xml:space="preserve"> AI-driven video interview scoring faced regulatory scrutiny because the facial analysis component could not be meaningfully explained to candidates or to the employers relying on its output. Bartlett et al. (2022) documented similar patterns in US fintech lending, finding that algorithmic models charged minority borrowers approximately 5.3 basis points more in interest than comparable non-minority applicants, even after controlling for creditworthiness. These are not edge cases. They are the predictable consequence of deploying AI systems without adequate fairness testing. The FCA's own survey found that 72% of UK financial services firms were using or developing machine learning applications by 2022 (FCA, 2024), which gives some indication of the scale of exposure across the sector. HSBC faces this risk across its credit, AML and HR applications.</w:t>
      </w:r>
    </w:p>
    <w:p w14:paraId="0316E323" w14:textId="77777777" w:rsidR="00A508F7" w:rsidRDefault="00000000">
      <w:pPr>
        <w:spacing w:after="200" w:line="360" w:lineRule="auto"/>
        <w:jc w:val="both"/>
      </w:pPr>
      <w:r>
        <w:t xml:space="preserve">The NIST AI Risk Management Framework (NIST, 2023) provides a structured approach to managing these risks, organised around four core functions: govern (establishing accountability structures), map (identifying and understanding AI risks in context), measure (assessing risks through testing and metrics), and manage (prioritising and acting on identified risks). This complements the Alan Turing Institute's </w:t>
      </w:r>
      <w:r>
        <w:lastRenderedPageBreak/>
        <w:t>SUM values framework (Leslie, 2019), which requires AI to respect individual dignity, connect inclusively, care for wellbeing and protect social values. The UK government's own guidance adds that AI should be ethically permissible, fair, worthy of public trust and justifiable. However, Mittelstadt (2019) argues that principles alone do not guarantee ethical outcomes; corporate ethics programmes frequently amount to 'ethics washing', a superficial engagement that forestalls regulation rather than changing behaviour. For HSBC, the challenge is structural: an AI ethics board only functions if it carries the expert power and legitimate power that French and Raven (1959) identify as prerequisites for genuine authority. Without both, commercial incentives will dominate.</w:t>
      </w:r>
    </w:p>
    <w:p w14:paraId="201467EB" w14:textId="77777777" w:rsidR="00A508F7" w:rsidRDefault="00000000">
      <w:pPr>
        <w:spacing w:after="200" w:line="360" w:lineRule="auto"/>
        <w:jc w:val="both"/>
      </w:pPr>
      <w:r>
        <w:t>Explainable AI (XAI) is central to this. The FCA requires firms to demonstrate that AI-driven consumer outcomes are fair and explainable (FCA, 2024). Techniques such as SHAP values, LIME and counterfactual explanations can provide post-hoc interpretability, but they must be integrated into HSBC's model development pipeline rather than retrofitted. The implementation plan proposes an XAI architecture rollout as a Phase 2 priority.</w:t>
      </w:r>
    </w:p>
    <w:p w14:paraId="49E370AC" w14:textId="77777777" w:rsidR="00A508F7" w:rsidRDefault="00000000">
      <w:r>
        <w:br w:type="page"/>
      </w:r>
    </w:p>
    <w:p w14:paraId="35666036" w14:textId="77777777" w:rsidR="00A508F7" w:rsidRDefault="00000000">
      <w:pPr>
        <w:pStyle w:val="Heading2"/>
      </w:pPr>
      <w:bookmarkStart w:id="12" w:name="_Toc228221047"/>
      <w:r>
        <w:lastRenderedPageBreak/>
        <w:t>2.5 Customer trust</w:t>
      </w:r>
      <w:bookmarkEnd w:id="12"/>
    </w:p>
    <w:p w14:paraId="3385B668" w14:textId="77777777" w:rsidR="00A508F7" w:rsidRDefault="00000000">
      <w:pPr>
        <w:spacing w:after="200" w:line="360" w:lineRule="auto"/>
        <w:jc w:val="both"/>
      </w:pPr>
      <w:r>
        <w:t xml:space="preserve">Freeman's (1984) stakeholder theory maps the competing trust expectations HSBC must manage. Customers expect personalised service without feeling </w:t>
      </w:r>
      <w:proofErr w:type="spellStart"/>
      <w:r>
        <w:t>surveilled</w:t>
      </w:r>
      <w:proofErr w:type="spellEnd"/>
      <w:r>
        <w:t xml:space="preserve">. Regulators expect compliance and the ability to explain algorithmic decisions on demand. Employees expect that AI will augment their work rather than make them redundant, an expectation with </w:t>
      </w:r>
      <w:proofErr w:type="gramStart"/>
      <w:r>
        <w:t>particular sensitivity</w:t>
      </w:r>
      <w:proofErr w:type="gramEnd"/>
      <w:r>
        <w:t xml:space="preserve"> in Hong Kong where HSBC is a major employer. Shareholders expect that AI investments will generate returns without creating catastrophic tail risk. These expectations are not always compatible: the level of personalisation that maximises customer satisfaction may require data processing that regulators consider disproportionate. Elkington's (1994) Triple Bottom Line, discussed in the module's sessions on inequality and corporate responsibility, suggests HSBC should evaluate its AI strategy against financial, social and environmental criteria simultaneously rather than treating them as competing priorities. This aligns with the UN SDGs, particularly SDG 10 on reducing inequalities and SDG 16 on accountable institutions (United Nations, 2015).</w:t>
      </w:r>
    </w:p>
    <w:p w14:paraId="2BB395DD" w14:textId="77777777" w:rsidR="00A508F7" w:rsidRDefault="00000000">
      <w:pPr>
        <w:spacing w:after="200" w:line="360" w:lineRule="auto"/>
        <w:jc w:val="both"/>
      </w:pPr>
      <w:r>
        <w:t>The Edelman Trust Barometer (2025) finds that only 35% of consumers globally trust businesses to use AI responsibly, and that transparency is the strongest predictor of willingness to accept AI-driven outcomes, even unfavourable ones. Customers who understand what an algorithm did and why are substantially more tolerant than those who receive an unexplained decision. The Hofstede and GLOBE data discussed in Section 2.1 indicate that communication approaches must be adapted: UK customers expect direct, detailed personal explanations; Hong Kong stakeholders respond more to demonstrated institutional competence and track record. This has implications for how HSBC designs customer-facing AI interactions in each market, from the language used in credit decision notifications to the availability of human appeal processes.</w:t>
      </w:r>
    </w:p>
    <w:p w14:paraId="23891036" w14:textId="77777777" w:rsidR="00A508F7" w:rsidRDefault="00000000">
      <w:pPr>
        <w:spacing w:after="200" w:line="360" w:lineRule="auto"/>
        <w:jc w:val="both"/>
      </w:pPr>
      <w:r>
        <w:t xml:space="preserve">Past governance failures reinforce the urgency. The Equifax breach of 2017 exposed 147 million people's data due to poor cyber risk culture, resulting in $700 million in settlements (Zou and </w:t>
      </w:r>
      <w:proofErr w:type="spellStart"/>
      <w:r>
        <w:t>Schiebinger</w:t>
      </w:r>
      <w:proofErr w:type="spellEnd"/>
      <w:r>
        <w:t>, 2018). The Barings Bank collapse (1995), discussed in the module, showed how weak internal controls allowed concentrated risk to destroy an institution. Opaque AI systems create similar concentrations of decision-making authority, and when they fail, the failure can be systemic.</w:t>
      </w:r>
    </w:p>
    <w:p w14:paraId="5C3FA1AF" w14:textId="77777777" w:rsidR="00A508F7" w:rsidRDefault="00000000">
      <w:pPr>
        <w:pStyle w:val="Heading2"/>
      </w:pPr>
      <w:bookmarkStart w:id="13" w:name="_Toc228221048"/>
      <w:r>
        <w:t>2.6 Cross-jurisdictional comparison: UK and Hong Kong</w:t>
      </w:r>
      <w:bookmarkEnd w:id="13"/>
    </w:p>
    <w:p w14:paraId="102AAE03" w14:textId="77777777" w:rsidR="00A508F7" w:rsidRDefault="00000000">
      <w:pPr>
        <w:spacing w:after="200" w:line="360" w:lineRule="auto"/>
        <w:jc w:val="both"/>
      </w:pPr>
      <w:r>
        <w:lastRenderedPageBreak/>
        <w:t>Ghemawat's (2001) CAGE framework identifies cultural, administrative, geographic and economic distance. Cultural distance is evident in the Hofstede and GLOBE data discussed above: the UK's individualist, low-power-distance culture demands transparency and contestability, while Hong Kong's collectivist orientation prioritises institutional stability. Administrative distance is substantial: the UK has the ICO, statutory enforcement and active parliamentary scrutiny of AI policy, grounded in a corporate governance tradition running from the Cadbury Report (1992) through the UK Corporate Governance Code (FRC, 2024). Hong Kong's approach relies more on the HKMA, with less statutory force and greater industry self-regulation. Economic distance is material because Hong Kong's gateway role to mainland China requires HSBC to account for China's Personal Information Protection Law (2021) and Generative AI Measures (2023).</w:t>
      </w:r>
    </w:p>
    <w:p w14:paraId="50627118" w14:textId="77777777" w:rsidR="00A508F7" w:rsidRDefault="00000000">
      <w:pPr>
        <w:spacing w:before="120" w:after="240"/>
        <w:jc w:val="center"/>
      </w:pPr>
      <w:r>
        <w:rPr>
          <w:i/>
          <w:iCs/>
          <w:color w:val="404040"/>
          <w:sz w:val="20"/>
          <w:szCs w:val="20"/>
        </w:rPr>
        <w:t>Table 3: AI Regulatory Comparison Matrix — UK, Hong Kong and EU (DSIT, 2023; HKMA, 2024; European Commission, 2024)</w:t>
      </w:r>
    </w:p>
    <w:tbl>
      <w:tblPr>
        <w:tblStyle w:val="TableGrid"/>
        <w:tblW w:w="9026" w:type="dxa"/>
        <w:tblLook w:val="0000" w:firstRow="0" w:lastRow="0" w:firstColumn="0" w:lastColumn="0" w:noHBand="0" w:noVBand="0"/>
      </w:tblPr>
      <w:tblGrid>
        <w:gridCol w:w="1600"/>
        <w:gridCol w:w="2400"/>
        <w:gridCol w:w="2400"/>
        <w:gridCol w:w="2626"/>
      </w:tblGrid>
      <w:tr w:rsidR="00C17606" w:rsidRPr="00C17606" w14:paraId="2BB1095F" w14:textId="77777777" w:rsidTr="00C17606">
        <w:tc>
          <w:tcPr>
            <w:tcW w:w="1600" w:type="dxa"/>
          </w:tcPr>
          <w:p w14:paraId="6B9994E9" w14:textId="77777777" w:rsidR="00A508F7" w:rsidRPr="00C17606" w:rsidRDefault="00000000">
            <w:pPr>
              <w:rPr>
                <w:color w:val="000000" w:themeColor="text1"/>
              </w:rPr>
            </w:pPr>
            <w:r w:rsidRPr="00C17606">
              <w:rPr>
                <w:b/>
                <w:bCs/>
                <w:color w:val="000000" w:themeColor="text1"/>
                <w:sz w:val="18"/>
                <w:szCs w:val="18"/>
              </w:rPr>
              <w:t>Feature</w:t>
            </w:r>
          </w:p>
        </w:tc>
        <w:tc>
          <w:tcPr>
            <w:tcW w:w="2400" w:type="dxa"/>
          </w:tcPr>
          <w:p w14:paraId="7DF29DC2" w14:textId="77777777" w:rsidR="00A508F7" w:rsidRPr="00C17606" w:rsidRDefault="00000000">
            <w:pPr>
              <w:rPr>
                <w:color w:val="000000" w:themeColor="text1"/>
              </w:rPr>
            </w:pPr>
            <w:r w:rsidRPr="00C17606">
              <w:rPr>
                <w:b/>
                <w:bCs/>
                <w:color w:val="000000" w:themeColor="text1"/>
                <w:sz w:val="18"/>
                <w:szCs w:val="18"/>
              </w:rPr>
              <w:t>United Kingdom</w:t>
            </w:r>
          </w:p>
        </w:tc>
        <w:tc>
          <w:tcPr>
            <w:tcW w:w="2400" w:type="dxa"/>
          </w:tcPr>
          <w:p w14:paraId="5F9B2A10" w14:textId="77777777" w:rsidR="00A508F7" w:rsidRPr="00C17606" w:rsidRDefault="00000000">
            <w:pPr>
              <w:rPr>
                <w:color w:val="000000" w:themeColor="text1"/>
              </w:rPr>
            </w:pPr>
            <w:r w:rsidRPr="00C17606">
              <w:rPr>
                <w:b/>
                <w:bCs/>
                <w:color w:val="000000" w:themeColor="text1"/>
                <w:sz w:val="18"/>
                <w:szCs w:val="18"/>
              </w:rPr>
              <w:t>Hong Kong</w:t>
            </w:r>
          </w:p>
        </w:tc>
        <w:tc>
          <w:tcPr>
            <w:tcW w:w="2626" w:type="dxa"/>
          </w:tcPr>
          <w:p w14:paraId="5EA99B20" w14:textId="77777777" w:rsidR="00A508F7" w:rsidRPr="00C17606" w:rsidRDefault="00000000">
            <w:pPr>
              <w:rPr>
                <w:color w:val="000000" w:themeColor="text1"/>
              </w:rPr>
            </w:pPr>
            <w:r w:rsidRPr="00C17606">
              <w:rPr>
                <w:b/>
                <w:bCs/>
                <w:color w:val="000000" w:themeColor="text1"/>
                <w:sz w:val="18"/>
                <w:szCs w:val="18"/>
              </w:rPr>
              <w:t>European Union</w:t>
            </w:r>
          </w:p>
        </w:tc>
      </w:tr>
      <w:tr w:rsidR="00C17606" w:rsidRPr="00C17606" w14:paraId="0B0A9613" w14:textId="77777777" w:rsidTr="00C17606">
        <w:tc>
          <w:tcPr>
            <w:tcW w:w="1600" w:type="dxa"/>
          </w:tcPr>
          <w:p w14:paraId="41C146D2" w14:textId="77777777" w:rsidR="00A508F7" w:rsidRPr="00C17606" w:rsidRDefault="00000000">
            <w:pPr>
              <w:spacing w:after="30"/>
              <w:rPr>
                <w:color w:val="000000" w:themeColor="text1"/>
              </w:rPr>
            </w:pPr>
            <w:r w:rsidRPr="00C17606">
              <w:rPr>
                <w:b/>
                <w:bCs/>
                <w:color w:val="000000" w:themeColor="text1"/>
                <w:sz w:val="18"/>
                <w:szCs w:val="18"/>
              </w:rPr>
              <w:t>Primary framework</w:t>
            </w:r>
          </w:p>
        </w:tc>
        <w:tc>
          <w:tcPr>
            <w:tcW w:w="2400" w:type="dxa"/>
          </w:tcPr>
          <w:p w14:paraId="2EC6C0CE" w14:textId="77777777" w:rsidR="00A508F7" w:rsidRPr="00C17606" w:rsidRDefault="00000000">
            <w:pPr>
              <w:spacing w:after="30"/>
              <w:rPr>
                <w:color w:val="000000" w:themeColor="text1"/>
              </w:rPr>
            </w:pPr>
            <w:r w:rsidRPr="00C17606">
              <w:rPr>
                <w:color w:val="000000" w:themeColor="text1"/>
                <w:sz w:val="18"/>
                <w:szCs w:val="18"/>
              </w:rPr>
              <w:t>AI Regulation White Paper (DSIT, 2023)</w:t>
            </w:r>
          </w:p>
        </w:tc>
        <w:tc>
          <w:tcPr>
            <w:tcW w:w="2400" w:type="dxa"/>
          </w:tcPr>
          <w:p w14:paraId="19DF6280" w14:textId="77777777" w:rsidR="00A508F7" w:rsidRPr="00C17606" w:rsidRDefault="00000000">
            <w:pPr>
              <w:spacing w:after="30"/>
              <w:rPr>
                <w:color w:val="000000" w:themeColor="text1"/>
              </w:rPr>
            </w:pPr>
            <w:r w:rsidRPr="00C17606">
              <w:rPr>
                <w:color w:val="000000" w:themeColor="text1"/>
                <w:sz w:val="18"/>
                <w:szCs w:val="18"/>
              </w:rPr>
              <w:t>HKMA Guiding Principles (2024)</w:t>
            </w:r>
          </w:p>
        </w:tc>
        <w:tc>
          <w:tcPr>
            <w:tcW w:w="2626" w:type="dxa"/>
          </w:tcPr>
          <w:p w14:paraId="29D27CCD" w14:textId="77777777" w:rsidR="00A508F7" w:rsidRPr="00C17606" w:rsidRDefault="00000000">
            <w:pPr>
              <w:spacing w:after="30"/>
              <w:rPr>
                <w:color w:val="000000" w:themeColor="text1"/>
              </w:rPr>
            </w:pPr>
            <w:r w:rsidRPr="00C17606">
              <w:rPr>
                <w:color w:val="000000" w:themeColor="text1"/>
                <w:sz w:val="18"/>
                <w:szCs w:val="18"/>
              </w:rPr>
              <w:t>EU AI Act (Reg. 2024/1689)</w:t>
            </w:r>
          </w:p>
        </w:tc>
      </w:tr>
      <w:tr w:rsidR="00C17606" w:rsidRPr="00C17606" w14:paraId="30E2855C" w14:textId="77777777" w:rsidTr="00C17606">
        <w:tc>
          <w:tcPr>
            <w:tcW w:w="1600" w:type="dxa"/>
          </w:tcPr>
          <w:p w14:paraId="302C02F6" w14:textId="77777777" w:rsidR="00A508F7" w:rsidRPr="00C17606" w:rsidRDefault="00000000">
            <w:pPr>
              <w:spacing w:after="30"/>
              <w:rPr>
                <w:color w:val="000000" w:themeColor="text1"/>
              </w:rPr>
            </w:pPr>
            <w:r w:rsidRPr="00C17606">
              <w:rPr>
                <w:b/>
                <w:bCs/>
                <w:color w:val="000000" w:themeColor="text1"/>
                <w:sz w:val="18"/>
                <w:szCs w:val="18"/>
              </w:rPr>
              <w:t>Approach</w:t>
            </w:r>
          </w:p>
        </w:tc>
        <w:tc>
          <w:tcPr>
            <w:tcW w:w="2400" w:type="dxa"/>
          </w:tcPr>
          <w:p w14:paraId="237A69B7" w14:textId="77777777" w:rsidR="00A508F7" w:rsidRPr="00C17606" w:rsidRDefault="00000000">
            <w:pPr>
              <w:spacing w:after="30"/>
              <w:rPr>
                <w:color w:val="000000" w:themeColor="text1"/>
              </w:rPr>
            </w:pPr>
            <w:r w:rsidRPr="00C17606">
              <w:rPr>
                <w:color w:val="000000" w:themeColor="text1"/>
                <w:sz w:val="18"/>
                <w:szCs w:val="18"/>
              </w:rPr>
              <w:t>Principles-based, sector-specific</w:t>
            </w:r>
          </w:p>
        </w:tc>
        <w:tc>
          <w:tcPr>
            <w:tcW w:w="2400" w:type="dxa"/>
          </w:tcPr>
          <w:p w14:paraId="2A365CDC" w14:textId="77777777" w:rsidR="00A508F7" w:rsidRPr="00C17606" w:rsidRDefault="00000000">
            <w:pPr>
              <w:spacing w:after="30"/>
              <w:rPr>
                <w:color w:val="000000" w:themeColor="text1"/>
              </w:rPr>
            </w:pPr>
            <w:r w:rsidRPr="00C17606">
              <w:rPr>
                <w:color w:val="000000" w:themeColor="text1"/>
                <w:sz w:val="18"/>
                <w:szCs w:val="18"/>
              </w:rPr>
              <w:t>Facilitative, guidance-based</w:t>
            </w:r>
          </w:p>
        </w:tc>
        <w:tc>
          <w:tcPr>
            <w:tcW w:w="2626" w:type="dxa"/>
          </w:tcPr>
          <w:p w14:paraId="0295336D" w14:textId="77777777" w:rsidR="00A508F7" w:rsidRPr="00C17606" w:rsidRDefault="00000000">
            <w:pPr>
              <w:spacing w:after="30"/>
              <w:rPr>
                <w:color w:val="000000" w:themeColor="text1"/>
              </w:rPr>
            </w:pPr>
            <w:r w:rsidRPr="00C17606">
              <w:rPr>
                <w:color w:val="000000" w:themeColor="text1"/>
                <w:sz w:val="18"/>
                <w:szCs w:val="18"/>
              </w:rPr>
              <w:t>Risk-tiered, binding legislation</w:t>
            </w:r>
          </w:p>
        </w:tc>
      </w:tr>
      <w:tr w:rsidR="00C17606" w:rsidRPr="00C17606" w14:paraId="327E831D" w14:textId="77777777" w:rsidTr="00C17606">
        <w:tc>
          <w:tcPr>
            <w:tcW w:w="1600" w:type="dxa"/>
          </w:tcPr>
          <w:p w14:paraId="7D22ED11" w14:textId="77777777" w:rsidR="00A508F7" w:rsidRPr="00C17606" w:rsidRDefault="00000000">
            <w:pPr>
              <w:spacing w:after="30"/>
              <w:rPr>
                <w:color w:val="000000" w:themeColor="text1"/>
              </w:rPr>
            </w:pPr>
            <w:r w:rsidRPr="00C17606">
              <w:rPr>
                <w:b/>
                <w:bCs/>
                <w:color w:val="000000" w:themeColor="text1"/>
                <w:sz w:val="18"/>
                <w:szCs w:val="18"/>
              </w:rPr>
              <w:t>Enforcement body</w:t>
            </w:r>
          </w:p>
        </w:tc>
        <w:tc>
          <w:tcPr>
            <w:tcW w:w="2400" w:type="dxa"/>
          </w:tcPr>
          <w:p w14:paraId="3FEDA36E" w14:textId="77777777" w:rsidR="00A508F7" w:rsidRPr="00C17606" w:rsidRDefault="00000000">
            <w:pPr>
              <w:spacing w:after="30"/>
              <w:rPr>
                <w:color w:val="000000" w:themeColor="text1"/>
              </w:rPr>
            </w:pPr>
            <w:r w:rsidRPr="00C17606">
              <w:rPr>
                <w:color w:val="000000" w:themeColor="text1"/>
                <w:sz w:val="18"/>
                <w:szCs w:val="18"/>
              </w:rPr>
              <w:t>FCA, PRA, ICO (sector regulators)</w:t>
            </w:r>
          </w:p>
        </w:tc>
        <w:tc>
          <w:tcPr>
            <w:tcW w:w="2400" w:type="dxa"/>
          </w:tcPr>
          <w:p w14:paraId="1AA38F5A" w14:textId="77777777" w:rsidR="00A508F7" w:rsidRPr="00C17606" w:rsidRDefault="00000000">
            <w:pPr>
              <w:spacing w:after="30"/>
              <w:rPr>
                <w:color w:val="000000" w:themeColor="text1"/>
              </w:rPr>
            </w:pPr>
            <w:r w:rsidRPr="00C17606">
              <w:rPr>
                <w:color w:val="000000" w:themeColor="text1"/>
                <w:sz w:val="18"/>
                <w:szCs w:val="18"/>
              </w:rPr>
              <w:t>HKMA, Privacy Commissioner</w:t>
            </w:r>
          </w:p>
        </w:tc>
        <w:tc>
          <w:tcPr>
            <w:tcW w:w="2626" w:type="dxa"/>
          </w:tcPr>
          <w:p w14:paraId="0FBF21C0" w14:textId="77777777" w:rsidR="00A508F7" w:rsidRPr="00C17606" w:rsidRDefault="00000000">
            <w:pPr>
              <w:spacing w:after="30"/>
              <w:rPr>
                <w:color w:val="000000" w:themeColor="text1"/>
              </w:rPr>
            </w:pPr>
            <w:r w:rsidRPr="00C17606">
              <w:rPr>
                <w:color w:val="000000" w:themeColor="text1"/>
                <w:sz w:val="18"/>
                <w:szCs w:val="18"/>
              </w:rPr>
              <w:t>National competent authorities</w:t>
            </w:r>
          </w:p>
        </w:tc>
      </w:tr>
      <w:tr w:rsidR="00C17606" w:rsidRPr="00C17606" w14:paraId="3562F49C" w14:textId="77777777" w:rsidTr="00C17606">
        <w:tc>
          <w:tcPr>
            <w:tcW w:w="1600" w:type="dxa"/>
          </w:tcPr>
          <w:p w14:paraId="3A78CA80" w14:textId="77777777" w:rsidR="00A508F7" w:rsidRPr="00C17606" w:rsidRDefault="00000000">
            <w:pPr>
              <w:spacing w:after="30"/>
              <w:rPr>
                <w:color w:val="000000" w:themeColor="text1"/>
              </w:rPr>
            </w:pPr>
            <w:r w:rsidRPr="00C17606">
              <w:rPr>
                <w:b/>
                <w:bCs/>
                <w:color w:val="000000" w:themeColor="text1"/>
                <w:sz w:val="18"/>
                <w:szCs w:val="18"/>
              </w:rPr>
              <w:t>AI-specific fines</w:t>
            </w:r>
          </w:p>
        </w:tc>
        <w:tc>
          <w:tcPr>
            <w:tcW w:w="2400" w:type="dxa"/>
          </w:tcPr>
          <w:p w14:paraId="46FD579B" w14:textId="77777777" w:rsidR="00A508F7" w:rsidRPr="00C17606" w:rsidRDefault="00000000">
            <w:pPr>
              <w:spacing w:after="30"/>
              <w:rPr>
                <w:color w:val="000000" w:themeColor="text1"/>
              </w:rPr>
            </w:pPr>
            <w:r w:rsidRPr="00C17606">
              <w:rPr>
                <w:color w:val="000000" w:themeColor="text1"/>
                <w:sz w:val="18"/>
                <w:szCs w:val="18"/>
              </w:rPr>
              <w:t>None yet (existing regulatory powers)</w:t>
            </w:r>
          </w:p>
        </w:tc>
        <w:tc>
          <w:tcPr>
            <w:tcW w:w="2400" w:type="dxa"/>
          </w:tcPr>
          <w:p w14:paraId="0016BD9D" w14:textId="77777777" w:rsidR="00A508F7" w:rsidRPr="00C17606" w:rsidRDefault="00000000">
            <w:pPr>
              <w:spacing w:after="30"/>
              <w:rPr>
                <w:color w:val="000000" w:themeColor="text1"/>
              </w:rPr>
            </w:pPr>
            <w:r w:rsidRPr="00C17606">
              <w:rPr>
                <w:color w:val="000000" w:themeColor="text1"/>
                <w:sz w:val="18"/>
                <w:szCs w:val="18"/>
              </w:rPr>
              <w:t>None (guidance only)</w:t>
            </w:r>
          </w:p>
        </w:tc>
        <w:tc>
          <w:tcPr>
            <w:tcW w:w="2626" w:type="dxa"/>
          </w:tcPr>
          <w:p w14:paraId="0374DD85" w14:textId="77777777" w:rsidR="00A508F7" w:rsidRPr="00C17606" w:rsidRDefault="00000000">
            <w:pPr>
              <w:spacing w:after="30"/>
              <w:rPr>
                <w:color w:val="000000" w:themeColor="text1"/>
              </w:rPr>
            </w:pPr>
            <w:r w:rsidRPr="00C17606">
              <w:rPr>
                <w:color w:val="000000" w:themeColor="text1"/>
                <w:sz w:val="18"/>
                <w:szCs w:val="18"/>
              </w:rPr>
              <w:t>Up to 7% global turnover (prohibited AI)</w:t>
            </w:r>
          </w:p>
        </w:tc>
      </w:tr>
      <w:tr w:rsidR="00C17606" w:rsidRPr="00C17606" w14:paraId="72D8E2A1" w14:textId="77777777" w:rsidTr="00C17606">
        <w:tc>
          <w:tcPr>
            <w:tcW w:w="1600" w:type="dxa"/>
          </w:tcPr>
          <w:p w14:paraId="304EDC22" w14:textId="77777777" w:rsidR="00A508F7" w:rsidRPr="00C17606" w:rsidRDefault="00000000">
            <w:pPr>
              <w:spacing w:after="30"/>
              <w:rPr>
                <w:color w:val="000000" w:themeColor="text1"/>
              </w:rPr>
            </w:pPr>
            <w:r w:rsidRPr="00C17606">
              <w:rPr>
                <w:b/>
                <w:bCs/>
                <w:color w:val="000000" w:themeColor="text1"/>
                <w:sz w:val="18"/>
                <w:szCs w:val="18"/>
              </w:rPr>
              <w:t>Data protection</w:t>
            </w:r>
          </w:p>
        </w:tc>
        <w:tc>
          <w:tcPr>
            <w:tcW w:w="2400" w:type="dxa"/>
          </w:tcPr>
          <w:p w14:paraId="5C5FD559" w14:textId="77777777" w:rsidR="00A508F7" w:rsidRPr="00C17606" w:rsidRDefault="00000000">
            <w:pPr>
              <w:spacing w:after="30"/>
              <w:rPr>
                <w:color w:val="000000" w:themeColor="text1"/>
              </w:rPr>
            </w:pPr>
            <w:r w:rsidRPr="00C17606">
              <w:rPr>
                <w:color w:val="000000" w:themeColor="text1"/>
                <w:sz w:val="18"/>
                <w:szCs w:val="18"/>
              </w:rPr>
              <w:t>UK GDPR (Art. 22 automated decisions)</w:t>
            </w:r>
          </w:p>
        </w:tc>
        <w:tc>
          <w:tcPr>
            <w:tcW w:w="2400" w:type="dxa"/>
          </w:tcPr>
          <w:p w14:paraId="63889EBB" w14:textId="77777777" w:rsidR="00A508F7" w:rsidRPr="00C17606" w:rsidRDefault="00000000">
            <w:pPr>
              <w:spacing w:after="30"/>
              <w:rPr>
                <w:color w:val="000000" w:themeColor="text1"/>
              </w:rPr>
            </w:pPr>
            <w:r w:rsidRPr="00C17606">
              <w:rPr>
                <w:color w:val="000000" w:themeColor="text1"/>
                <w:sz w:val="18"/>
                <w:szCs w:val="18"/>
              </w:rPr>
              <w:t>PDPO (no Art. 22 equivalent)</w:t>
            </w:r>
          </w:p>
        </w:tc>
        <w:tc>
          <w:tcPr>
            <w:tcW w:w="2626" w:type="dxa"/>
          </w:tcPr>
          <w:p w14:paraId="0B3E5F40" w14:textId="77777777" w:rsidR="00A508F7" w:rsidRPr="00C17606" w:rsidRDefault="00000000">
            <w:pPr>
              <w:spacing w:after="30"/>
              <w:rPr>
                <w:color w:val="000000" w:themeColor="text1"/>
              </w:rPr>
            </w:pPr>
            <w:r w:rsidRPr="00C17606">
              <w:rPr>
                <w:color w:val="000000" w:themeColor="text1"/>
                <w:sz w:val="18"/>
                <w:szCs w:val="18"/>
              </w:rPr>
              <w:t>GDPR (Art. 22 automated decisions)</w:t>
            </w:r>
          </w:p>
        </w:tc>
      </w:tr>
      <w:tr w:rsidR="00C17606" w:rsidRPr="00C17606" w14:paraId="60523D4C" w14:textId="77777777" w:rsidTr="00C17606">
        <w:tc>
          <w:tcPr>
            <w:tcW w:w="1600" w:type="dxa"/>
          </w:tcPr>
          <w:p w14:paraId="057B262A" w14:textId="77777777" w:rsidR="00A508F7" w:rsidRPr="00C17606" w:rsidRDefault="00000000">
            <w:pPr>
              <w:spacing w:after="30"/>
              <w:rPr>
                <w:color w:val="000000" w:themeColor="text1"/>
              </w:rPr>
            </w:pPr>
            <w:r w:rsidRPr="00C17606">
              <w:rPr>
                <w:b/>
                <w:bCs/>
                <w:color w:val="000000" w:themeColor="text1"/>
                <w:sz w:val="18"/>
                <w:szCs w:val="18"/>
              </w:rPr>
              <w:t>Explainability requirement</w:t>
            </w:r>
          </w:p>
        </w:tc>
        <w:tc>
          <w:tcPr>
            <w:tcW w:w="2400" w:type="dxa"/>
          </w:tcPr>
          <w:p w14:paraId="6073CD7B" w14:textId="77777777" w:rsidR="00A508F7" w:rsidRPr="00C17606" w:rsidRDefault="00000000">
            <w:pPr>
              <w:spacing w:after="30"/>
              <w:rPr>
                <w:color w:val="000000" w:themeColor="text1"/>
              </w:rPr>
            </w:pPr>
            <w:r w:rsidRPr="00C17606">
              <w:rPr>
                <w:color w:val="000000" w:themeColor="text1"/>
                <w:sz w:val="18"/>
                <w:szCs w:val="18"/>
              </w:rPr>
              <w:t>Yes (FCA supervisory expectations)</w:t>
            </w:r>
          </w:p>
        </w:tc>
        <w:tc>
          <w:tcPr>
            <w:tcW w:w="2400" w:type="dxa"/>
          </w:tcPr>
          <w:p w14:paraId="559ED8AD" w14:textId="77777777" w:rsidR="00A508F7" w:rsidRPr="00C17606" w:rsidRDefault="00000000">
            <w:pPr>
              <w:spacing w:after="30"/>
              <w:rPr>
                <w:color w:val="000000" w:themeColor="text1"/>
              </w:rPr>
            </w:pPr>
            <w:r w:rsidRPr="00C17606">
              <w:rPr>
                <w:color w:val="000000" w:themeColor="text1"/>
                <w:sz w:val="18"/>
                <w:szCs w:val="18"/>
              </w:rPr>
              <w:t>Recommended (not mandated)</w:t>
            </w:r>
          </w:p>
        </w:tc>
        <w:tc>
          <w:tcPr>
            <w:tcW w:w="2626" w:type="dxa"/>
          </w:tcPr>
          <w:p w14:paraId="49EB3B64" w14:textId="77777777" w:rsidR="00A508F7" w:rsidRPr="00C17606" w:rsidRDefault="00000000">
            <w:pPr>
              <w:spacing w:after="30"/>
              <w:rPr>
                <w:color w:val="000000" w:themeColor="text1"/>
              </w:rPr>
            </w:pPr>
            <w:r w:rsidRPr="00C17606">
              <w:rPr>
                <w:color w:val="000000" w:themeColor="text1"/>
                <w:sz w:val="18"/>
                <w:szCs w:val="18"/>
              </w:rPr>
              <w:t>Yes (mandatory for high-risk AI)</w:t>
            </w:r>
          </w:p>
        </w:tc>
      </w:tr>
      <w:tr w:rsidR="00C17606" w:rsidRPr="00C17606" w14:paraId="309A20A3" w14:textId="77777777" w:rsidTr="00C17606">
        <w:tc>
          <w:tcPr>
            <w:tcW w:w="1600" w:type="dxa"/>
          </w:tcPr>
          <w:p w14:paraId="4E0681DF" w14:textId="77777777" w:rsidR="00A508F7" w:rsidRPr="00C17606" w:rsidRDefault="00000000">
            <w:pPr>
              <w:spacing w:after="30"/>
              <w:rPr>
                <w:color w:val="000000" w:themeColor="text1"/>
              </w:rPr>
            </w:pPr>
            <w:r w:rsidRPr="00C17606">
              <w:rPr>
                <w:b/>
                <w:bCs/>
                <w:color w:val="000000" w:themeColor="text1"/>
                <w:sz w:val="18"/>
                <w:szCs w:val="18"/>
              </w:rPr>
              <w:t>Binding timeline</w:t>
            </w:r>
          </w:p>
        </w:tc>
        <w:tc>
          <w:tcPr>
            <w:tcW w:w="2400" w:type="dxa"/>
          </w:tcPr>
          <w:p w14:paraId="6AB12C1D" w14:textId="77777777" w:rsidR="00A508F7" w:rsidRPr="00C17606" w:rsidRDefault="00000000">
            <w:pPr>
              <w:spacing w:after="30"/>
              <w:rPr>
                <w:color w:val="000000" w:themeColor="text1"/>
              </w:rPr>
            </w:pPr>
            <w:r w:rsidRPr="00C17606">
              <w:rPr>
                <w:color w:val="000000" w:themeColor="text1"/>
                <w:sz w:val="18"/>
                <w:szCs w:val="18"/>
              </w:rPr>
              <w:t>Anticipated within 3-5 years</w:t>
            </w:r>
          </w:p>
        </w:tc>
        <w:tc>
          <w:tcPr>
            <w:tcW w:w="2400" w:type="dxa"/>
          </w:tcPr>
          <w:p w14:paraId="29F64827" w14:textId="77777777" w:rsidR="00A508F7" w:rsidRPr="00C17606" w:rsidRDefault="00000000">
            <w:pPr>
              <w:spacing w:after="30"/>
              <w:rPr>
                <w:color w:val="000000" w:themeColor="text1"/>
              </w:rPr>
            </w:pPr>
            <w:r w:rsidRPr="00C17606">
              <w:rPr>
                <w:color w:val="000000" w:themeColor="text1"/>
                <w:sz w:val="18"/>
                <w:szCs w:val="18"/>
              </w:rPr>
              <w:t>No hard deadlines</w:t>
            </w:r>
          </w:p>
        </w:tc>
        <w:tc>
          <w:tcPr>
            <w:tcW w:w="2626" w:type="dxa"/>
          </w:tcPr>
          <w:p w14:paraId="683ABE0E" w14:textId="77777777" w:rsidR="00A508F7" w:rsidRPr="00C17606" w:rsidRDefault="00000000">
            <w:pPr>
              <w:spacing w:after="30"/>
              <w:rPr>
                <w:color w:val="000000" w:themeColor="text1"/>
              </w:rPr>
            </w:pPr>
            <w:r w:rsidRPr="00C17606">
              <w:rPr>
                <w:color w:val="000000" w:themeColor="text1"/>
                <w:sz w:val="18"/>
                <w:szCs w:val="18"/>
              </w:rPr>
              <w:t>Phased: Aug 2025 - Aug 2027</w:t>
            </w:r>
          </w:p>
        </w:tc>
      </w:tr>
    </w:tbl>
    <w:p w14:paraId="23E2E93B" w14:textId="77777777" w:rsidR="00A508F7" w:rsidRDefault="00A508F7">
      <w:pPr>
        <w:spacing w:after="200"/>
      </w:pPr>
    </w:p>
    <w:p w14:paraId="531A3202" w14:textId="77777777" w:rsidR="00A508F7" w:rsidRDefault="00000000">
      <w:pPr>
        <w:spacing w:after="200" w:line="360" w:lineRule="auto"/>
        <w:jc w:val="both"/>
      </w:pPr>
      <w:r>
        <w:t xml:space="preserve">HSBC's mode of engagement in Hong Kong has direct consequences for AI governance that would not apply under alternative entry arrangements. HSBC operates through a </w:t>
      </w:r>
      <w:proofErr w:type="gramStart"/>
      <w:r>
        <w:t>wholly-owned</w:t>
      </w:r>
      <w:proofErr w:type="gramEnd"/>
      <w:r>
        <w:t xml:space="preserve"> subsidiary, the most capital-intensive form of foreign direct investment. In Dunning's (1977) OLI framework, this choice reflects ownership advantages (proprietary customer data and regulatory relationships), location advantages (access to mainland China's capital markets) and internalisation advantages (the need to control sensitive financial operations rather than entrusting them to a joint venture partner or licensee). The governance implication is that HSBC bears full, undiluted regulatory liability in both jurisdictions. A firm operating through a licensing model could share compliance liability with a local partner; HSBC cannot. </w:t>
      </w:r>
      <w:r>
        <w:lastRenderedPageBreak/>
        <w:t>Every AI system deployed in Hong Kong sits under HSBC's direct accountability to the HKMA, just as every UK deployment answers to the FCA. This doubles the governance obligation. It also means that HSBC's cross-border data flows between London and Hong Kong function as intra-firm trade in intangible services. Emerging data localisation requirements in China and the EU operate as non-tariff barriers to that trade, restricting the free movement of data on which HSBC's global operating model depends. The implementation plan must account for a future in which data cannot move freely between jurisdictions, requiring localised AI development pipelines.</w:t>
      </w:r>
    </w:p>
    <w:p w14:paraId="2EFD4BB2" w14:textId="77777777" w:rsidR="00A508F7" w:rsidRDefault="00000000">
      <w:pPr>
        <w:spacing w:after="200" w:line="360" w:lineRule="auto"/>
        <w:jc w:val="both"/>
      </w:pPr>
      <w:r>
        <w:t>DiMaggio and Powell's (1983) Institutional Theory explains why HSBC cannot simply choose the most convenient regulatory standard. The bank faces three forms of isomorphic pressure. Coercive pressure comes from law: the FCA, the HKMA and the EU AI Act each impose binding or quasi-binding requirements. Normative pressure comes from professional standards: the NIST AI RMF and the Turing Institute's SUM values are becoming industry benchmarks that institutional investors and rating agencies use to evaluate AI governance maturity. Mimetic pressure comes from peer behaviour: when JPMorgan Chase invests $17 billion in AI and publishes responsible AI commitments, HSBC faces pressure to match or exceed that standard to retain market confidence. All three pressures point in the same direction: HSBC requires what Bartlett and Ghoshal (1989) call a transnational approach, centrally defined principles with locally adapted implementation. Porter's (1990) Diamond supports this, arguing that firm strategy must respond to each location's specific institutional environment.</w:t>
      </w:r>
    </w:p>
    <w:p w14:paraId="464DC4C1" w14:textId="77777777" w:rsidR="00A508F7" w:rsidRDefault="00000000">
      <w:r>
        <w:br w:type="page"/>
      </w:r>
    </w:p>
    <w:p w14:paraId="3081F8D4" w14:textId="77777777" w:rsidR="00A508F7" w:rsidRDefault="00000000">
      <w:pPr>
        <w:pStyle w:val="Heading1"/>
      </w:pPr>
      <w:bookmarkStart w:id="14" w:name="_Toc228221049"/>
      <w:r>
        <w:lastRenderedPageBreak/>
        <w:t>3. Implementation plan</w:t>
      </w:r>
      <w:bookmarkEnd w:id="14"/>
    </w:p>
    <w:p w14:paraId="0533B942" w14:textId="77777777" w:rsidR="00A508F7" w:rsidRDefault="00000000">
      <w:pPr>
        <w:spacing w:after="200" w:line="360" w:lineRule="auto"/>
        <w:jc w:val="both"/>
      </w:pPr>
      <w:r>
        <w:t>The following plan applies the SMART framework to translate the analysis into operational actions. It is structured across three phases over 24 months, matching the phasing recommended for enterprise AI governance programmes. Each phase specifies who is responsible, what is delivered, by when, how success is measured, and at what estimated cost. The plan deliberately front-loads governance and data controls with the highest risk exposure.</w:t>
      </w:r>
    </w:p>
    <w:p w14:paraId="2C56BD18" w14:textId="77777777" w:rsidR="00A508F7" w:rsidRDefault="00000000">
      <w:pPr>
        <w:pStyle w:val="Heading2"/>
      </w:pPr>
      <w:bookmarkStart w:id="15" w:name="_Toc228221050"/>
      <w:r>
        <w:t>3.1 Phase 1: Foundation (months 1-6)</w:t>
      </w:r>
      <w:bookmarkEnd w:id="15"/>
    </w:p>
    <w:p w14:paraId="16A10A54" w14:textId="77777777" w:rsidR="00A508F7" w:rsidRDefault="00000000">
      <w:pPr>
        <w:spacing w:after="200" w:line="360" w:lineRule="auto"/>
        <w:jc w:val="both"/>
      </w:pPr>
      <w:r>
        <w:t>HSBC should appoint a Chief AI Officer (CAIO) within month one, reporting to the Group CEO, with direct access to the Board. This is a named governance role, not a committee abstraction. The CAIO should establish a Board-level AI Governance Committee comprising the Group Chief Risk Officer, the Group Chief Technology Officer, a senior legal adviser with cross-jurisdictional experience, and an independent external AI ethics specialist. The committee should meet quarterly, with authority to block high-risk AI deployments before production. This structure is grounded in the UK Corporate Governance Code (FRC, 2024) and the COSO ERM framework's requirement to integrate risk governance with strategy (COSO, 2017).</w:t>
      </w:r>
    </w:p>
    <w:p w14:paraId="3B15EC5E" w14:textId="77777777" w:rsidR="00A508F7" w:rsidRDefault="00000000">
      <w:pPr>
        <w:spacing w:after="200" w:line="360" w:lineRule="auto"/>
        <w:jc w:val="both"/>
      </w:pPr>
      <w:r>
        <w:t>Simultaneously, Phase 1 should deliver: a complete AI model inventory and risk classification across all business units; enterprise-wide data loss prevention controls blocking public generative AI tools from corporate networks; a regulatory gap analysis mapping HSBC's current compliance against UK, Hong Kong and EU AI Act requirements; and a baseline bias audit of consumer-facing credit and AML models. Estimated cost for Phase 1 is 8-12 million pounds, covering the CAIO appointment, governance infrastructure, DLP deployment and the external bias audit. KPIs: AI model inventory 100% complete; DLP deployed across all business units; gap analysis delivered to the Board.</w:t>
      </w:r>
    </w:p>
    <w:p w14:paraId="5319A04C" w14:textId="77777777" w:rsidR="00A508F7" w:rsidRDefault="00000000">
      <w:pPr>
        <w:pStyle w:val="Heading2"/>
      </w:pPr>
      <w:bookmarkStart w:id="16" w:name="_Toc228221051"/>
      <w:r>
        <w:t>3.2 Phase 2: Build (months 7-18)</w:t>
      </w:r>
      <w:bookmarkEnd w:id="16"/>
    </w:p>
    <w:p w14:paraId="19276EC2" w14:textId="77777777" w:rsidR="00A508F7" w:rsidRDefault="00000000">
      <w:pPr>
        <w:spacing w:after="200" w:line="360" w:lineRule="auto"/>
        <w:jc w:val="both"/>
      </w:pPr>
      <w:r>
        <w:t xml:space="preserve">Phase 2 translates the Phase 1 controls into operational capability. Regional AI Risk Sub-Committees for the UK and Asia-Pacific should be operational by month seven, chaired by the respective regional Chief Risk Officers. This federated structure mirrors Bartlett and Ghoshal's (1989) transnational model. A common objection is that this </w:t>
      </w:r>
      <w:r>
        <w:lastRenderedPageBreak/>
        <w:t>adds bureaucratic overhead. That objection has merit if the committee lacks genuine authority. To prevent this, the CAIO's terms of reference should include the power to delay or block AI deployments that fail assessments, backed by the expert and legitimate power that French and Raven (1959) identify as prerequisites for authority to function.</w:t>
      </w:r>
    </w:p>
    <w:p w14:paraId="18D0D894" w14:textId="77777777" w:rsidR="00A508F7" w:rsidRDefault="00000000">
      <w:pPr>
        <w:spacing w:after="200" w:line="360" w:lineRule="auto"/>
        <w:jc w:val="both"/>
      </w:pPr>
      <w:r>
        <w:t>An approved AI tool registry should be launched by month eight: a whitelist of applications that have passed data security, model reliability and regulatory compliance assessments. All employees should be technically prevented from accessing unapproved public AI tools on corporate networks. Data lineage tracking should be implemented across credit and AML systems, with consent management protocols reviewed against GDPR purpose limitation requirements. An XAI architecture rollout should begin by month nine, integrating SHAP and LIME interpretability methods into the model development pipeline for all consumer-facing AI systems. This is not optional: the FCA's supervisory expectations require that firms can explain algorithmic decisions to both consumers and regulators.</w:t>
      </w:r>
    </w:p>
    <w:p w14:paraId="1F115FEA" w14:textId="77777777" w:rsidR="00A508F7" w:rsidRDefault="00000000">
      <w:pPr>
        <w:spacing w:after="200" w:line="360" w:lineRule="auto"/>
        <w:jc w:val="both"/>
      </w:pPr>
      <w:r>
        <w:t>Mandatory AI ethics training, differentiated by role and culturally adapted for UK and Hong Kong contexts as discussed in Section 2.6, should be delivered to all staff. Board members receive strategic training on governance liability; technology teams receive technical training on bias detection and model validation using the NIST AI RMF functions (govern, map, measure, manage); customer-facing staff receive practical training on explaining AI-driven decisions. Conformity assessments should be completed for all systems classified as high-risk under the EU AI Act. Estimated cost for Phase 2 is 15-22 million pounds, covering XAI infrastructure, training delivery across 40,000+ employees, conformity assessments and the ongoing regulatory intelligence function. KPIs: 100% DLP coverage verified by internal audit; XAI deployed on all consumer-facing credit models; 95% staff training completion rate; all EU AI Act conformity assessments submitted.</w:t>
      </w:r>
    </w:p>
    <w:p w14:paraId="789945AF" w14:textId="77777777" w:rsidR="00A508F7" w:rsidRDefault="00000000">
      <w:pPr>
        <w:pStyle w:val="Heading2"/>
      </w:pPr>
      <w:bookmarkStart w:id="17" w:name="_Toc228221052"/>
      <w:r>
        <w:t>3.3 Phase 3: Lead (months 19-24)</w:t>
      </w:r>
      <w:bookmarkEnd w:id="17"/>
    </w:p>
    <w:p w14:paraId="2B1334D3" w14:textId="77777777" w:rsidR="00A508F7" w:rsidRDefault="00000000">
      <w:pPr>
        <w:spacing w:after="200" w:line="360" w:lineRule="auto"/>
        <w:jc w:val="both"/>
      </w:pPr>
      <w:r>
        <w:t xml:space="preserve">Phase 3 moves HSBC from compliance to competitive advantage. The Algorithmic Impact Assessment process should be mandated for all high-risk AI systems, with sign-off from a designated Ethics Lead holding both expert and legitimate power within the organisational structure. HSBC should publish its first annual AI Transparency </w:t>
      </w:r>
      <w:r>
        <w:lastRenderedPageBreak/>
        <w:t>Report, disclosing the types of AI systems in use, governance structures, ethical audit results and remediated incidents. Proactive disclosure of this kind is rare in banking; it positions HSBC as an industry leader. In Barney's (1991) terms, this is a VRIN resource: valuable, rare, hard to imitate and without substitutes. A competitor could replicate HSBC's governance committee structure, but the institutional knowledge, cross-jurisdictional expertise and track record that accrue over 24 months of operation cannot be easily copied.</w:t>
      </w:r>
    </w:p>
    <w:p w14:paraId="1ADE4BDC" w14:textId="77777777" w:rsidR="00A508F7" w:rsidRDefault="00000000">
      <w:pPr>
        <w:spacing w:after="200" w:line="360" w:lineRule="auto"/>
        <w:jc w:val="both"/>
      </w:pPr>
      <w:r>
        <w:t xml:space="preserve">HSBC should proactively engage regulators: hosting roundtables with the FCA and HKMA, participating in consultations, and positioning itself as a credible interlocutor on AI governance policy. Porter (1990) observed that firm strategy and government policy are mutually reinforcing. A consumer trust campaign should communicate HSBC's AI governance commitments in culturally adapted terms for the UK and Hong Kong markets. Finally, an independent external evaluation of the full governance framework should be commissioned, providing third-party assurance for investors, regulators and ESG rating agencies. Estimated cost for Phase 3 is 5-8 million pounds. KPIs: AI Transparency Report published; independent evaluation completed with no critical findings; consumer trust metrics maintained or improved (measured via annual customer survey); at least two formal regulatory consultation responses submitted. Total programme cost across 24 months: estimated 28-42 million pounds, representing less than 0.1% of HSBC's total asset base. Gartner (2024) estimates that mature AI governance programmes typically require 5-10% of an organisation's total AI investment, and </w:t>
      </w:r>
      <w:proofErr w:type="gramStart"/>
      <w:r>
        <w:t>HSBC's</w:t>
      </w:r>
      <w:proofErr w:type="gramEnd"/>
      <w:r>
        <w:t xml:space="preserve"> proposed spend falls within that range. It is also substantially less than the potential cost of a single major governance failure: IBM (2024) places the average financial services data breach at $6.08 million before regulatory fines, and GDPR penalties can reach 4% of global turnover.</w:t>
      </w:r>
    </w:p>
    <w:p w14:paraId="5D10FC27" w14:textId="77777777" w:rsidR="00A508F7" w:rsidRDefault="00000000">
      <w:r>
        <w:br w:type="page"/>
      </w:r>
    </w:p>
    <w:p w14:paraId="6FA65E13" w14:textId="77777777" w:rsidR="00A508F7" w:rsidRDefault="00000000">
      <w:pPr>
        <w:pStyle w:val="Heading2"/>
      </w:pPr>
      <w:bookmarkStart w:id="18" w:name="_Toc228221053"/>
      <w:r>
        <w:lastRenderedPageBreak/>
        <w:t>3.4 Implementation timeline</w:t>
      </w:r>
      <w:bookmarkEnd w:id="18"/>
    </w:p>
    <w:p w14:paraId="5C73ED0C" w14:textId="77777777" w:rsidR="00A508F7" w:rsidRDefault="00000000">
      <w:pPr>
        <w:spacing w:after="200" w:line="360" w:lineRule="auto"/>
        <w:jc w:val="both"/>
      </w:pPr>
      <w:r>
        <w:t>The table below summarises costs, KPIs and milestones across all three phases.</w:t>
      </w:r>
    </w:p>
    <w:p w14:paraId="6659BFA5" w14:textId="77777777" w:rsidR="00A508F7" w:rsidRDefault="00000000">
      <w:pPr>
        <w:spacing w:before="120" w:after="240"/>
        <w:jc w:val="center"/>
      </w:pPr>
      <w:r>
        <w:rPr>
          <w:i/>
          <w:iCs/>
          <w:color w:val="404040"/>
          <w:sz w:val="20"/>
          <w:szCs w:val="20"/>
        </w:rPr>
        <w:t>Table 4: Implementation Cost and KPI Summary</w:t>
      </w:r>
    </w:p>
    <w:tbl>
      <w:tblPr>
        <w:tblStyle w:val="TableGrid"/>
        <w:tblW w:w="9026" w:type="dxa"/>
        <w:tblLook w:val="0000" w:firstRow="0" w:lastRow="0" w:firstColumn="0" w:lastColumn="0" w:noHBand="0" w:noVBand="0"/>
      </w:tblPr>
      <w:tblGrid>
        <w:gridCol w:w="2000"/>
        <w:gridCol w:w="1800"/>
        <w:gridCol w:w="2000"/>
        <w:gridCol w:w="3226"/>
      </w:tblGrid>
      <w:tr w:rsidR="00C17606" w:rsidRPr="00C17606" w14:paraId="20EAFCAA" w14:textId="77777777" w:rsidTr="00C17606">
        <w:tc>
          <w:tcPr>
            <w:tcW w:w="2000" w:type="dxa"/>
          </w:tcPr>
          <w:p w14:paraId="1C1A186D" w14:textId="77777777" w:rsidR="00A508F7" w:rsidRPr="00C17606" w:rsidRDefault="00000000">
            <w:pPr>
              <w:rPr>
                <w:color w:val="000000" w:themeColor="text1"/>
              </w:rPr>
            </w:pPr>
            <w:r w:rsidRPr="00C17606">
              <w:rPr>
                <w:b/>
                <w:bCs/>
                <w:color w:val="000000" w:themeColor="text1"/>
                <w:sz w:val="18"/>
                <w:szCs w:val="18"/>
              </w:rPr>
              <w:t>Phase</w:t>
            </w:r>
          </w:p>
        </w:tc>
        <w:tc>
          <w:tcPr>
            <w:tcW w:w="1800" w:type="dxa"/>
          </w:tcPr>
          <w:p w14:paraId="3027CE43" w14:textId="77777777" w:rsidR="00A508F7" w:rsidRPr="00C17606" w:rsidRDefault="00000000">
            <w:pPr>
              <w:rPr>
                <w:color w:val="000000" w:themeColor="text1"/>
              </w:rPr>
            </w:pPr>
            <w:r w:rsidRPr="00C17606">
              <w:rPr>
                <w:b/>
                <w:bCs/>
                <w:color w:val="000000" w:themeColor="text1"/>
                <w:sz w:val="18"/>
                <w:szCs w:val="18"/>
              </w:rPr>
              <w:t>Timeline</w:t>
            </w:r>
          </w:p>
        </w:tc>
        <w:tc>
          <w:tcPr>
            <w:tcW w:w="2000" w:type="dxa"/>
          </w:tcPr>
          <w:p w14:paraId="0220B0D1" w14:textId="77777777" w:rsidR="00A508F7" w:rsidRPr="00C17606" w:rsidRDefault="00000000">
            <w:pPr>
              <w:rPr>
                <w:color w:val="000000" w:themeColor="text1"/>
              </w:rPr>
            </w:pPr>
            <w:r w:rsidRPr="00C17606">
              <w:rPr>
                <w:b/>
                <w:bCs/>
                <w:color w:val="000000" w:themeColor="text1"/>
                <w:sz w:val="18"/>
                <w:szCs w:val="18"/>
              </w:rPr>
              <w:t>Estimated cost</w:t>
            </w:r>
          </w:p>
        </w:tc>
        <w:tc>
          <w:tcPr>
            <w:tcW w:w="3226" w:type="dxa"/>
          </w:tcPr>
          <w:p w14:paraId="3B2BF88D" w14:textId="77777777" w:rsidR="00A508F7" w:rsidRPr="00C17606" w:rsidRDefault="00000000">
            <w:pPr>
              <w:rPr>
                <w:color w:val="000000" w:themeColor="text1"/>
              </w:rPr>
            </w:pPr>
            <w:r w:rsidRPr="00C17606">
              <w:rPr>
                <w:b/>
                <w:bCs/>
                <w:color w:val="000000" w:themeColor="text1"/>
                <w:sz w:val="18"/>
                <w:szCs w:val="18"/>
              </w:rPr>
              <w:t>Key KPIs</w:t>
            </w:r>
          </w:p>
        </w:tc>
      </w:tr>
      <w:tr w:rsidR="00C17606" w:rsidRPr="00C17606" w14:paraId="4F97C5E9" w14:textId="77777777" w:rsidTr="00C17606">
        <w:tc>
          <w:tcPr>
            <w:tcW w:w="2000" w:type="dxa"/>
          </w:tcPr>
          <w:p w14:paraId="71EBBC27" w14:textId="77777777" w:rsidR="00A508F7" w:rsidRPr="00C17606" w:rsidRDefault="00000000">
            <w:pPr>
              <w:spacing w:after="30"/>
              <w:rPr>
                <w:color w:val="000000" w:themeColor="text1"/>
              </w:rPr>
            </w:pPr>
            <w:r w:rsidRPr="00C17606">
              <w:rPr>
                <w:b/>
                <w:bCs/>
                <w:color w:val="000000" w:themeColor="text1"/>
                <w:sz w:val="18"/>
                <w:szCs w:val="18"/>
              </w:rPr>
              <w:t>Phase 1: Foundation</w:t>
            </w:r>
          </w:p>
        </w:tc>
        <w:tc>
          <w:tcPr>
            <w:tcW w:w="1800" w:type="dxa"/>
          </w:tcPr>
          <w:p w14:paraId="7B9E1F6C" w14:textId="77777777" w:rsidR="00A508F7" w:rsidRPr="00C17606" w:rsidRDefault="00000000">
            <w:pPr>
              <w:spacing w:after="30"/>
              <w:rPr>
                <w:color w:val="000000" w:themeColor="text1"/>
              </w:rPr>
            </w:pPr>
            <w:r w:rsidRPr="00C17606">
              <w:rPr>
                <w:color w:val="000000" w:themeColor="text1"/>
                <w:sz w:val="18"/>
                <w:szCs w:val="18"/>
              </w:rPr>
              <w:t>Months 1-6</w:t>
            </w:r>
          </w:p>
        </w:tc>
        <w:tc>
          <w:tcPr>
            <w:tcW w:w="2000" w:type="dxa"/>
          </w:tcPr>
          <w:p w14:paraId="7C286ACA" w14:textId="77777777" w:rsidR="00A508F7" w:rsidRPr="00C17606" w:rsidRDefault="00000000">
            <w:pPr>
              <w:spacing w:after="30"/>
              <w:rPr>
                <w:color w:val="000000" w:themeColor="text1"/>
              </w:rPr>
            </w:pPr>
            <w:r w:rsidRPr="00C17606">
              <w:rPr>
                <w:color w:val="000000" w:themeColor="text1"/>
                <w:sz w:val="18"/>
                <w:szCs w:val="18"/>
              </w:rPr>
              <w:t>£8-12 million</w:t>
            </w:r>
          </w:p>
        </w:tc>
        <w:tc>
          <w:tcPr>
            <w:tcW w:w="3226" w:type="dxa"/>
          </w:tcPr>
          <w:p w14:paraId="3595D1A0" w14:textId="77777777" w:rsidR="00A508F7" w:rsidRPr="00C17606" w:rsidRDefault="00000000">
            <w:pPr>
              <w:spacing w:after="30"/>
              <w:rPr>
                <w:color w:val="000000" w:themeColor="text1"/>
              </w:rPr>
            </w:pPr>
            <w:r w:rsidRPr="00C17606">
              <w:rPr>
                <w:color w:val="000000" w:themeColor="text1"/>
                <w:sz w:val="18"/>
                <w:szCs w:val="18"/>
              </w:rPr>
              <w:t>AI inventory 100% complete; DLP deployed across all units; gap analysis to Board</w:t>
            </w:r>
          </w:p>
        </w:tc>
      </w:tr>
      <w:tr w:rsidR="00C17606" w:rsidRPr="00C17606" w14:paraId="07CE3D94" w14:textId="77777777" w:rsidTr="00C17606">
        <w:tc>
          <w:tcPr>
            <w:tcW w:w="2000" w:type="dxa"/>
          </w:tcPr>
          <w:p w14:paraId="0C904CDF" w14:textId="77777777" w:rsidR="00A508F7" w:rsidRPr="00C17606" w:rsidRDefault="00000000">
            <w:pPr>
              <w:spacing w:after="30"/>
              <w:rPr>
                <w:color w:val="000000" w:themeColor="text1"/>
              </w:rPr>
            </w:pPr>
            <w:r w:rsidRPr="00C17606">
              <w:rPr>
                <w:b/>
                <w:bCs/>
                <w:color w:val="000000" w:themeColor="text1"/>
                <w:sz w:val="18"/>
                <w:szCs w:val="18"/>
              </w:rPr>
              <w:t>Phase 2: Build</w:t>
            </w:r>
          </w:p>
        </w:tc>
        <w:tc>
          <w:tcPr>
            <w:tcW w:w="1800" w:type="dxa"/>
          </w:tcPr>
          <w:p w14:paraId="16E1B698" w14:textId="77777777" w:rsidR="00A508F7" w:rsidRPr="00C17606" w:rsidRDefault="00000000">
            <w:pPr>
              <w:spacing w:after="30"/>
              <w:rPr>
                <w:color w:val="000000" w:themeColor="text1"/>
              </w:rPr>
            </w:pPr>
            <w:r w:rsidRPr="00C17606">
              <w:rPr>
                <w:color w:val="000000" w:themeColor="text1"/>
                <w:sz w:val="18"/>
                <w:szCs w:val="18"/>
              </w:rPr>
              <w:t>Months 7-18</w:t>
            </w:r>
          </w:p>
        </w:tc>
        <w:tc>
          <w:tcPr>
            <w:tcW w:w="2000" w:type="dxa"/>
          </w:tcPr>
          <w:p w14:paraId="6C26A5CE" w14:textId="77777777" w:rsidR="00A508F7" w:rsidRPr="00C17606" w:rsidRDefault="00000000">
            <w:pPr>
              <w:spacing w:after="30"/>
              <w:rPr>
                <w:color w:val="000000" w:themeColor="text1"/>
              </w:rPr>
            </w:pPr>
            <w:r w:rsidRPr="00C17606">
              <w:rPr>
                <w:color w:val="000000" w:themeColor="text1"/>
                <w:sz w:val="18"/>
                <w:szCs w:val="18"/>
              </w:rPr>
              <w:t>£15-22 million</w:t>
            </w:r>
          </w:p>
        </w:tc>
        <w:tc>
          <w:tcPr>
            <w:tcW w:w="3226" w:type="dxa"/>
          </w:tcPr>
          <w:p w14:paraId="21B3BFB5" w14:textId="77777777" w:rsidR="00A508F7" w:rsidRPr="00C17606" w:rsidRDefault="00000000">
            <w:pPr>
              <w:spacing w:after="30"/>
              <w:rPr>
                <w:color w:val="000000" w:themeColor="text1"/>
              </w:rPr>
            </w:pPr>
            <w:r w:rsidRPr="00C17606">
              <w:rPr>
                <w:color w:val="000000" w:themeColor="text1"/>
                <w:sz w:val="18"/>
                <w:szCs w:val="18"/>
              </w:rPr>
              <w:t>100% DLP coverage audited; XAI on all credit models; 95% training completion; EU conformity assessments submitted</w:t>
            </w:r>
          </w:p>
        </w:tc>
      </w:tr>
      <w:tr w:rsidR="00C17606" w:rsidRPr="00C17606" w14:paraId="15571A76" w14:textId="77777777" w:rsidTr="00C17606">
        <w:tc>
          <w:tcPr>
            <w:tcW w:w="2000" w:type="dxa"/>
          </w:tcPr>
          <w:p w14:paraId="0E1CFA6F" w14:textId="77777777" w:rsidR="00A508F7" w:rsidRPr="00C17606" w:rsidRDefault="00000000">
            <w:pPr>
              <w:spacing w:after="30"/>
              <w:rPr>
                <w:color w:val="000000" w:themeColor="text1"/>
              </w:rPr>
            </w:pPr>
            <w:r w:rsidRPr="00C17606">
              <w:rPr>
                <w:b/>
                <w:bCs/>
                <w:color w:val="000000" w:themeColor="text1"/>
                <w:sz w:val="18"/>
                <w:szCs w:val="18"/>
              </w:rPr>
              <w:t>Phase 3: Lead</w:t>
            </w:r>
          </w:p>
        </w:tc>
        <w:tc>
          <w:tcPr>
            <w:tcW w:w="1800" w:type="dxa"/>
          </w:tcPr>
          <w:p w14:paraId="08C0397D" w14:textId="77777777" w:rsidR="00A508F7" w:rsidRPr="00C17606" w:rsidRDefault="00000000">
            <w:pPr>
              <w:spacing w:after="30"/>
              <w:rPr>
                <w:color w:val="000000" w:themeColor="text1"/>
              </w:rPr>
            </w:pPr>
            <w:r w:rsidRPr="00C17606">
              <w:rPr>
                <w:color w:val="000000" w:themeColor="text1"/>
                <w:sz w:val="18"/>
                <w:szCs w:val="18"/>
              </w:rPr>
              <w:t>Months 19-24</w:t>
            </w:r>
          </w:p>
        </w:tc>
        <w:tc>
          <w:tcPr>
            <w:tcW w:w="2000" w:type="dxa"/>
          </w:tcPr>
          <w:p w14:paraId="516A169F" w14:textId="77777777" w:rsidR="00A508F7" w:rsidRPr="00C17606" w:rsidRDefault="00000000">
            <w:pPr>
              <w:spacing w:after="30"/>
              <w:rPr>
                <w:color w:val="000000" w:themeColor="text1"/>
              </w:rPr>
            </w:pPr>
            <w:r w:rsidRPr="00C17606">
              <w:rPr>
                <w:color w:val="000000" w:themeColor="text1"/>
                <w:sz w:val="18"/>
                <w:szCs w:val="18"/>
              </w:rPr>
              <w:t>£5-8 million</w:t>
            </w:r>
          </w:p>
        </w:tc>
        <w:tc>
          <w:tcPr>
            <w:tcW w:w="3226" w:type="dxa"/>
          </w:tcPr>
          <w:p w14:paraId="6DF2C406" w14:textId="77777777" w:rsidR="00A508F7" w:rsidRPr="00C17606" w:rsidRDefault="00000000">
            <w:pPr>
              <w:spacing w:after="30"/>
              <w:rPr>
                <w:color w:val="000000" w:themeColor="text1"/>
              </w:rPr>
            </w:pPr>
            <w:r w:rsidRPr="00C17606">
              <w:rPr>
                <w:color w:val="000000" w:themeColor="text1"/>
                <w:sz w:val="18"/>
                <w:szCs w:val="18"/>
              </w:rPr>
              <w:t>AI Transparency Report published; independent evaluation with no critical findings; 2+ consultation responses</w:t>
            </w:r>
          </w:p>
        </w:tc>
      </w:tr>
      <w:tr w:rsidR="00C17606" w:rsidRPr="00C17606" w14:paraId="2F647C82" w14:textId="77777777" w:rsidTr="00C17606">
        <w:tc>
          <w:tcPr>
            <w:tcW w:w="2000" w:type="dxa"/>
          </w:tcPr>
          <w:p w14:paraId="499ED325" w14:textId="77777777" w:rsidR="00A508F7" w:rsidRPr="00C17606" w:rsidRDefault="00000000">
            <w:pPr>
              <w:spacing w:after="30"/>
              <w:rPr>
                <w:color w:val="000000" w:themeColor="text1"/>
              </w:rPr>
            </w:pPr>
            <w:r w:rsidRPr="00C17606">
              <w:rPr>
                <w:b/>
                <w:bCs/>
                <w:color w:val="000000" w:themeColor="text1"/>
                <w:sz w:val="18"/>
                <w:szCs w:val="18"/>
              </w:rPr>
              <w:t>Total programme</w:t>
            </w:r>
          </w:p>
        </w:tc>
        <w:tc>
          <w:tcPr>
            <w:tcW w:w="1800" w:type="dxa"/>
          </w:tcPr>
          <w:p w14:paraId="6D1707B5" w14:textId="77777777" w:rsidR="00A508F7" w:rsidRPr="00C17606" w:rsidRDefault="00000000">
            <w:pPr>
              <w:spacing w:after="30"/>
              <w:rPr>
                <w:color w:val="000000" w:themeColor="text1"/>
              </w:rPr>
            </w:pPr>
            <w:r w:rsidRPr="00C17606">
              <w:rPr>
                <w:color w:val="000000" w:themeColor="text1"/>
                <w:sz w:val="18"/>
                <w:szCs w:val="18"/>
              </w:rPr>
              <w:t>24 months</w:t>
            </w:r>
          </w:p>
        </w:tc>
        <w:tc>
          <w:tcPr>
            <w:tcW w:w="2000" w:type="dxa"/>
          </w:tcPr>
          <w:p w14:paraId="278F9FB8" w14:textId="77777777" w:rsidR="00A508F7" w:rsidRPr="00C17606" w:rsidRDefault="00000000">
            <w:pPr>
              <w:spacing w:after="30"/>
              <w:rPr>
                <w:color w:val="000000" w:themeColor="text1"/>
              </w:rPr>
            </w:pPr>
            <w:r w:rsidRPr="00C17606">
              <w:rPr>
                <w:color w:val="000000" w:themeColor="text1"/>
                <w:sz w:val="18"/>
                <w:szCs w:val="18"/>
              </w:rPr>
              <w:t>£28-42 million</w:t>
            </w:r>
          </w:p>
        </w:tc>
        <w:tc>
          <w:tcPr>
            <w:tcW w:w="3226" w:type="dxa"/>
          </w:tcPr>
          <w:p w14:paraId="4BEF1E26" w14:textId="77777777" w:rsidR="00A508F7" w:rsidRPr="00C17606" w:rsidRDefault="00000000">
            <w:pPr>
              <w:spacing w:after="30"/>
              <w:rPr>
                <w:color w:val="000000" w:themeColor="text1"/>
              </w:rPr>
            </w:pPr>
            <w:r w:rsidRPr="00C17606">
              <w:rPr>
                <w:color w:val="000000" w:themeColor="text1"/>
                <w:sz w:val="18"/>
                <w:szCs w:val="18"/>
              </w:rPr>
              <w:t>&lt; 0.1% of total asset base; less than one major governance failure</w:t>
            </w:r>
          </w:p>
        </w:tc>
      </w:tr>
    </w:tbl>
    <w:p w14:paraId="3D0965DD" w14:textId="77777777" w:rsidR="00A508F7" w:rsidRDefault="00A508F7">
      <w:pPr>
        <w:spacing w:after="200"/>
      </w:pPr>
    </w:p>
    <w:p w14:paraId="2C959293" w14:textId="77777777" w:rsidR="00A508F7" w:rsidRDefault="00000000">
      <w:pPr>
        <w:spacing w:before="120" w:after="240"/>
        <w:jc w:val="center"/>
      </w:pPr>
      <w:r>
        <w:rPr>
          <w:i/>
          <w:iCs/>
          <w:color w:val="404040"/>
          <w:sz w:val="20"/>
          <w:szCs w:val="20"/>
        </w:rPr>
        <w:t>Table 5: Detailed Implementation Milestones by Phase</w:t>
      </w:r>
    </w:p>
    <w:tbl>
      <w:tblPr>
        <w:tblStyle w:val="TableGrid"/>
        <w:tblW w:w="9026" w:type="dxa"/>
        <w:tblLook w:val="0000" w:firstRow="0" w:lastRow="0" w:firstColumn="0" w:lastColumn="0" w:noHBand="0" w:noVBand="0"/>
      </w:tblPr>
      <w:tblGrid>
        <w:gridCol w:w="1000"/>
        <w:gridCol w:w="2000"/>
        <w:gridCol w:w="2200"/>
        <w:gridCol w:w="2000"/>
        <w:gridCol w:w="1826"/>
      </w:tblGrid>
      <w:tr w:rsidR="00C17606" w:rsidRPr="00C17606" w14:paraId="2E29E727" w14:textId="77777777" w:rsidTr="00C17606">
        <w:tc>
          <w:tcPr>
            <w:tcW w:w="1000" w:type="dxa"/>
          </w:tcPr>
          <w:p w14:paraId="0124C93A" w14:textId="77777777" w:rsidR="00A508F7" w:rsidRPr="00C17606" w:rsidRDefault="00000000">
            <w:pPr>
              <w:rPr>
                <w:color w:val="000000" w:themeColor="text1"/>
              </w:rPr>
            </w:pPr>
            <w:r w:rsidRPr="00C17606">
              <w:rPr>
                <w:b/>
                <w:bCs/>
                <w:color w:val="000000" w:themeColor="text1"/>
                <w:sz w:val="17"/>
                <w:szCs w:val="17"/>
              </w:rPr>
              <w:t>Phase</w:t>
            </w:r>
          </w:p>
        </w:tc>
        <w:tc>
          <w:tcPr>
            <w:tcW w:w="2000" w:type="dxa"/>
          </w:tcPr>
          <w:p w14:paraId="7B4875E8" w14:textId="77777777" w:rsidR="00A508F7" w:rsidRPr="00C17606" w:rsidRDefault="00000000">
            <w:pPr>
              <w:rPr>
                <w:color w:val="000000" w:themeColor="text1"/>
              </w:rPr>
            </w:pPr>
            <w:r w:rsidRPr="00C17606">
              <w:rPr>
                <w:b/>
                <w:bCs/>
                <w:color w:val="000000" w:themeColor="text1"/>
                <w:sz w:val="17"/>
                <w:szCs w:val="17"/>
              </w:rPr>
              <w:t>Governance</w:t>
            </w:r>
          </w:p>
        </w:tc>
        <w:tc>
          <w:tcPr>
            <w:tcW w:w="2200" w:type="dxa"/>
          </w:tcPr>
          <w:p w14:paraId="25E03C32" w14:textId="77777777" w:rsidR="00A508F7" w:rsidRPr="00C17606" w:rsidRDefault="00000000">
            <w:pPr>
              <w:rPr>
                <w:color w:val="000000" w:themeColor="text1"/>
              </w:rPr>
            </w:pPr>
            <w:r w:rsidRPr="00C17606">
              <w:rPr>
                <w:b/>
                <w:bCs/>
                <w:color w:val="000000" w:themeColor="text1"/>
                <w:sz w:val="17"/>
                <w:szCs w:val="17"/>
              </w:rPr>
              <w:t>Data</w:t>
            </w:r>
          </w:p>
        </w:tc>
        <w:tc>
          <w:tcPr>
            <w:tcW w:w="2000" w:type="dxa"/>
          </w:tcPr>
          <w:p w14:paraId="26721339" w14:textId="77777777" w:rsidR="00A508F7" w:rsidRPr="00C17606" w:rsidRDefault="00000000">
            <w:pPr>
              <w:rPr>
                <w:color w:val="000000" w:themeColor="text1"/>
              </w:rPr>
            </w:pPr>
            <w:r w:rsidRPr="00C17606">
              <w:rPr>
                <w:b/>
                <w:bCs/>
                <w:color w:val="000000" w:themeColor="text1"/>
                <w:sz w:val="17"/>
                <w:szCs w:val="17"/>
              </w:rPr>
              <w:t>Regulatory</w:t>
            </w:r>
          </w:p>
        </w:tc>
        <w:tc>
          <w:tcPr>
            <w:tcW w:w="1826" w:type="dxa"/>
          </w:tcPr>
          <w:p w14:paraId="01582902" w14:textId="77777777" w:rsidR="00A508F7" w:rsidRPr="00C17606" w:rsidRDefault="00000000">
            <w:pPr>
              <w:rPr>
                <w:color w:val="000000" w:themeColor="text1"/>
              </w:rPr>
            </w:pPr>
            <w:r w:rsidRPr="00C17606">
              <w:rPr>
                <w:b/>
                <w:bCs/>
                <w:color w:val="000000" w:themeColor="text1"/>
                <w:sz w:val="17"/>
                <w:szCs w:val="17"/>
              </w:rPr>
              <w:t>Ethics &amp; Trust</w:t>
            </w:r>
          </w:p>
        </w:tc>
      </w:tr>
      <w:tr w:rsidR="00C17606" w:rsidRPr="00C17606" w14:paraId="6CD8866C" w14:textId="77777777" w:rsidTr="00C17606">
        <w:tc>
          <w:tcPr>
            <w:tcW w:w="1000" w:type="dxa"/>
          </w:tcPr>
          <w:p w14:paraId="18958A34" w14:textId="77777777" w:rsidR="00A508F7" w:rsidRPr="00C17606" w:rsidRDefault="00000000">
            <w:pPr>
              <w:spacing w:after="30"/>
              <w:rPr>
                <w:color w:val="000000" w:themeColor="text1"/>
              </w:rPr>
            </w:pPr>
            <w:r w:rsidRPr="00C17606">
              <w:rPr>
                <w:color w:val="000000" w:themeColor="text1"/>
                <w:sz w:val="17"/>
                <w:szCs w:val="17"/>
              </w:rPr>
              <w:t>Months 1-6</w:t>
            </w:r>
          </w:p>
        </w:tc>
        <w:tc>
          <w:tcPr>
            <w:tcW w:w="2000" w:type="dxa"/>
          </w:tcPr>
          <w:p w14:paraId="3BE3B35C" w14:textId="77777777" w:rsidR="00A508F7" w:rsidRPr="00C17606" w:rsidRDefault="00000000">
            <w:pPr>
              <w:spacing w:after="30"/>
              <w:rPr>
                <w:color w:val="000000" w:themeColor="text1"/>
              </w:rPr>
            </w:pPr>
            <w:r w:rsidRPr="00C17606">
              <w:rPr>
                <w:color w:val="000000" w:themeColor="text1"/>
                <w:sz w:val="17"/>
                <w:szCs w:val="17"/>
              </w:rPr>
              <w:t>Appoint Chief AI Officer; establish Board AI Governance Committee</w:t>
            </w:r>
          </w:p>
        </w:tc>
        <w:tc>
          <w:tcPr>
            <w:tcW w:w="2200" w:type="dxa"/>
          </w:tcPr>
          <w:p w14:paraId="2964B70A" w14:textId="77777777" w:rsidR="00A508F7" w:rsidRPr="00C17606" w:rsidRDefault="00000000">
            <w:pPr>
              <w:spacing w:after="30"/>
              <w:rPr>
                <w:color w:val="000000" w:themeColor="text1"/>
              </w:rPr>
            </w:pPr>
            <w:r w:rsidRPr="00C17606">
              <w:rPr>
                <w:color w:val="000000" w:themeColor="text1"/>
                <w:sz w:val="17"/>
                <w:szCs w:val="17"/>
              </w:rPr>
              <w:t>AI inventory and risk classification; deploy DLP controls; block public GenAI tools</w:t>
            </w:r>
          </w:p>
        </w:tc>
        <w:tc>
          <w:tcPr>
            <w:tcW w:w="2000" w:type="dxa"/>
          </w:tcPr>
          <w:p w14:paraId="17CEB800" w14:textId="77777777" w:rsidR="00A508F7" w:rsidRPr="00C17606" w:rsidRDefault="00000000">
            <w:pPr>
              <w:spacing w:after="30"/>
              <w:rPr>
                <w:color w:val="000000" w:themeColor="text1"/>
              </w:rPr>
            </w:pPr>
            <w:r w:rsidRPr="00C17606">
              <w:rPr>
                <w:color w:val="000000" w:themeColor="text1"/>
                <w:sz w:val="17"/>
                <w:szCs w:val="17"/>
              </w:rPr>
              <w:t>Regulatory gap analysis (UK, HK, EU AI Act); launch horizon scanning unit</w:t>
            </w:r>
          </w:p>
        </w:tc>
        <w:tc>
          <w:tcPr>
            <w:tcW w:w="1826" w:type="dxa"/>
          </w:tcPr>
          <w:p w14:paraId="7075A8C5" w14:textId="77777777" w:rsidR="00A508F7" w:rsidRPr="00C17606" w:rsidRDefault="00000000">
            <w:pPr>
              <w:spacing w:after="30"/>
              <w:rPr>
                <w:color w:val="000000" w:themeColor="text1"/>
              </w:rPr>
            </w:pPr>
            <w:r w:rsidRPr="00C17606">
              <w:rPr>
                <w:color w:val="000000" w:themeColor="text1"/>
                <w:sz w:val="17"/>
                <w:szCs w:val="17"/>
              </w:rPr>
              <w:t>Commission baseline bias audit on credit and AML models</w:t>
            </w:r>
          </w:p>
        </w:tc>
      </w:tr>
      <w:tr w:rsidR="00C17606" w:rsidRPr="00C17606" w14:paraId="14977BA0" w14:textId="77777777" w:rsidTr="00C17606">
        <w:tc>
          <w:tcPr>
            <w:tcW w:w="1000" w:type="dxa"/>
          </w:tcPr>
          <w:p w14:paraId="49A9DCFD" w14:textId="77777777" w:rsidR="00A508F7" w:rsidRPr="00C17606" w:rsidRDefault="00000000">
            <w:pPr>
              <w:spacing w:after="30"/>
              <w:rPr>
                <w:color w:val="000000" w:themeColor="text1"/>
              </w:rPr>
            </w:pPr>
            <w:r w:rsidRPr="00C17606">
              <w:rPr>
                <w:color w:val="000000" w:themeColor="text1"/>
                <w:sz w:val="17"/>
                <w:szCs w:val="17"/>
              </w:rPr>
              <w:t>Months 7-12</w:t>
            </w:r>
          </w:p>
        </w:tc>
        <w:tc>
          <w:tcPr>
            <w:tcW w:w="2000" w:type="dxa"/>
          </w:tcPr>
          <w:p w14:paraId="148FA437" w14:textId="77777777" w:rsidR="00A508F7" w:rsidRPr="00C17606" w:rsidRDefault="00000000">
            <w:pPr>
              <w:spacing w:after="30"/>
              <w:rPr>
                <w:color w:val="000000" w:themeColor="text1"/>
              </w:rPr>
            </w:pPr>
            <w:r w:rsidRPr="00C17606">
              <w:rPr>
                <w:color w:val="000000" w:themeColor="text1"/>
                <w:sz w:val="17"/>
                <w:szCs w:val="17"/>
              </w:rPr>
              <w:t>Regional sub-committees operational (UK and Asia-Pacific); first quarterly AI risk dashboard</w:t>
            </w:r>
          </w:p>
        </w:tc>
        <w:tc>
          <w:tcPr>
            <w:tcW w:w="2200" w:type="dxa"/>
          </w:tcPr>
          <w:p w14:paraId="659B7E56" w14:textId="77777777" w:rsidR="00A508F7" w:rsidRPr="00C17606" w:rsidRDefault="00000000">
            <w:pPr>
              <w:spacing w:after="30"/>
              <w:rPr>
                <w:color w:val="000000" w:themeColor="text1"/>
              </w:rPr>
            </w:pPr>
            <w:r w:rsidRPr="00C17606">
              <w:rPr>
                <w:color w:val="000000" w:themeColor="text1"/>
                <w:sz w:val="17"/>
                <w:szCs w:val="17"/>
              </w:rPr>
              <w:t>Approved AI tool registry live; data lineage tracking across credit and AML; consent management review</w:t>
            </w:r>
          </w:p>
        </w:tc>
        <w:tc>
          <w:tcPr>
            <w:tcW w:w="2000" w:type="dxa"/>
          </w:tcPr>
          <w:p w14:paraId="194A9777" w14:textId="77777777" w:rsidR="00A508F7" w:rsidRPr="00C17606" w:rsidRDefault="00000000">
            <w:pPr>
              <w:spacing w:after="30"/>
              <w:rPr>
                <w:color w:val="000000" w:themeColor="text1"/>
              </w:rPr>
            </w:pPr>
            <w:r w:rsidRPr="00C17606">
              <w:rPr>
                <w:color w:val="000000" w:themeColor="text1"/>
                <w:sz w:val="17"/>
                <w:szCs w:val="17"/>
              </w:rPr>
              <w:t>Conformity assessments for EU AI Act high-risk systems; first regulatory consultation response</w:t>
            </w:r>
          </w:p>
        </w:tc>
        <w:tc>
          <w:tcPr>
            <w:tcW w:w="1826" w:type="dxa"/>
          </w:tcPr>
          <w:p w14:paraId="5DA16B1F" w14:textId="77777777" w:rsidR="00A508F7" w:rsidRPr="00C17606" w:rsidRDefault="00000000">
            <w:pPr>
              <w:spacing w:after="30"/>
              <w:rPr>
                <w:color w:val="000000" w:themeColor="text1"/>
              </w:rPr>
            </w:pPr>
            <w:r w:rsidRPr="00C17606">
              <w:rPr>
                <w:color w:val="000000" w:themeColor="text1"/>
                <w:sz w:val="17"/>
                <w:szCs w:val="17"/>
              </w:rPr>
              <w:t>XAI architecture pilot on two consumer-facing models; all-staff ethics training (culturally adapted)</w:t>
            </w:r>
          </w:p>
        </w:tc>
      </w:tr>
      <w:tr w:rsidR="00C17606" w:rsidRPr="00C17606" w14:paraId="348215A4" w14:textId="77777777" w:rsidTr="00C17606">
        <w:tc>
          <w:tcPr>
            <w:tcW w:w="1000" w:type="dxa"/>
          </w:tcPr>
          <w:p w14:paraId="126E6A2A" w14:textId="77777777" w:rsidR="00A508F7" w:rsidRPr="00C17606" w:rsidRDefault="00000000">
            <w:pPr>
              <w:spacing w:after="30"/>
              <w:rPr>
                <w:color w:val="000000" w:themeColor="text1"/>
              </w:rPr>
            </w:pPr>
            <w:r w:rsidRPr="00C17606">
              <w:rPr>
                <w:color w:val="000000" w:themeColor="text1"/>
                <w:sz w:val="17"/>
                <w:szCs w:val="17"/>
              </w:rPr>
              <w:t>Months 13-18</w:t>
            </w:r>
          </w:p>
        </w:tc>
        <w:tc>
          <w:tcPr>
            <w:tcW w:w="2000" w:type="dxa"/>
          </w:tcPr>
          <w:p w14:paraId="30EB9A36" w14:textId="77777777" w:rsidR="00A508F7" w:rsidRPr="00C17606" w:rsidRDefault="00000000">
            <w:pPr>
              <w:spacing w:after="30"/>
              <w:rPr>
                <w:color w:val="000000" w:themeColor="text1"/>
              </w:rPr>
            </w:pPr>
            <w:r w:rsidRPr="00C17606">
              <w:rPr>
                <w:color w:val="000000" w:themeColor="text1"/>
                <w:sz w:val="17"/>
                <w:szCs w:val="17"/>
              </w:rPr>
              <w:t>Refine committee terms of reference; annual governance effectiveness review</w:t>
            </w:r>
          </w:p>
        </w:tc>
        <w:tc>
          <w:tcPr>
            <w:tcW w:w="2200" w:type="dxa"/>
          </w:tcPr>
          <w:p w14:paraId="5987D1FF" w14:textId="77777777" w:rsidR="00A508F7" w:rsidRPr="00C17606" w:rsidRDefault="00000000">
            <w:pPr>
              <w:spacing w:after="30"/>
              <w:rPr>
                <w:color w:val="000000" w:themeColor="text1"/>
              </w:rPr>
            </w:pPr>
            <w:r w:rsidRPr="00C17606">
              <w:rPr>
                <w:color w:val="000000" w:themeColor="text1"/>
                <w:sz w:val="17"/>
                <w:szCs w:val="17"/>
              </w:rPr>
              <w:t>100% DLP coverage verified; annual data governance maturity assessment</w:t>
            </w:r>
          </w:p>
        </w:tc>
        <w:tc>
          <w:tcPr>
            <w:tcW w:w="2000" w:type="dxa"/>
          </w:tcPr>
          <w:p w14:paraId="4A900F4F" w14:textId="77777777" w:rsidR="00A508F7" w:rsidRPr="00C17606" w:rsidRDefault="00000000">
            <w:pPr>
              <w:spacing w:after="30"/>
              <w:rPr>
                <w:color w:val="000000" w:themeColor="text1"/>
              </w:rPr>
            </w:pPr>
            <w:r w:rsidRPr="00C17606">
              <w:rPr>
                <w:color w:val="000000" w:themeColor="text1"/>
                <w:sz w:val="17"/>
                <w:szCs w:val="17"/>
              </w:rPr>
              <w:t>Second regulatory scenario exercise; submit responses to two consultations</w:t>
            </w:r>
          </w:p>
        </w:tc>
        <w:tc>
          <w:tcPr>
            <w:tcW w:w="1826" w:type="dxa"/>
          </w:tcPr>
          <w:p w14:paraId="13A82437" w14:textId="77777777" w:rsidR="00A508F7" w:rsidRPr="00C17606" w:rsidRDefault="00000000">
            <w:pPr>
              <w:spacing w:after="30"/>
              <w:rPr>
                <w:color w:val="000000" w:themeColor="text1"/>
              </w:rPr>
            </w:pPr>
            <w:r w:rsidRPr="00C17606">
              <w:rPr>
                <w:color w:val="000000" w:themeColor="text1"/>
                <w:sz w:val="17"/>
                <w:szCs w:val="17"/>
              </w:rPr>
              <w:t>Algorithmic Impact Assessment mandated for all high-risk systems; Ethics Lead role embedded</w:t>
            </w:r>
          </w:p>
        </w:tc>
      </w:tr>
      <w:tr w:rsidR="00C17606" w:rsidRPr="00C17606" w14:paraId="4DD27C21" w14:textId="77777777" w:rsidTr="00C17606">
        <w:tc>
          <w:tcPr>
            <w:tcW w:w="1000" w:type="dxa"/>
          </w:tcPr>
          <w:p w14:paraId="7D850F3D" w14:textId="77777777" w:rsidR="00A508F7" w:rsidRPr="00C17606" w:rsidRDefault="00000000">
            <w:pPr>
              <w:spacing w:after="30"/>
              <w:rPr>
                <w:color w:val="000000" w:themeColor="text1"/>
              </w:rPr>
            </w:pPr>
            <w:r w:rsidRPr="00C17606">
              <w:rPr>
                <w:color w:val="000000" w:themeColor="text1"/>
                <w:sz w:val="17"/>
                <w:szCs w:val="17"/>
              </w:rPr>
              <w:t>Months 19-24</w:t>
            </w:r>
          </w:p>
        </w:tc>
        <w:tc>
          <w:tcPr>
            <w:tcW w:w="2000" w:type="dxa"/>
          </w:tcPr>
          <w:p w14:paraId="74A68F1E" w14:textId="77777777" w:rsidR="00A508F7" w:rsidRPr="00C17606" w:rsidRDefault="00000000">
            <w:pPr>
              <w:spacing w:after="30"/>
              <w:rPr>
                <w:color w:val="000000" w:themeColor="text1"/>
              </w:rPr>
            </w:pPr>
            <w:r w:rsidRPr="00C17606">
              <w:rPr>
                <w:color w:val="000000" w:themeColor="text1"/>
                <w:sz w:val="17"/>
                <w:szCs w:val="17"/>
              </w:rPr>
              <w:t>External governance benchmarking against peers; present AI governance model at industry forums</w:t>
            </w:r>
          </w:p>
        </w:tc>
        <w:tc>
          <w:tcPr>
            <w:tcW w:w="2200" w:type="dxa"/>
          </w:tcPr>
          <w:p w14:paraId="34CD6AC2" w14:textId="77777777" w:rsidR="00A508F7" w:rsidRPr="00C17606" w:rsidRDefault="00000000">
            <w:pPr>
              <w:spacing w:after="30"/>
              <w:rPr>
                <w:color w:val="000000" w:themeColor="text1"/>
              </w:rPr>
            </w:pPr>
            <w:r w:rsidRPr="00C17606">
              <w:rPr>
                <w:color w:val="000000" w:themeColor="text1"/>
                <w:sz w:val="17"/>
                <w:szCs w:val="17"/>
              </w:rPr>
              <w:t>Recertify approved tool registry; implement automated consent and erasure workflows</w:t>
            </w:r>
          </w:p>
        </w:tc>
        <w:tc>
          <w:tcPr>
            <w:tcW w:w="2000" w:type="dxa"/>
          </w:tcPr>
          <w:p w14:paraId="47856DDE" w14:textId="77777777" w:rsidR="00A508F7" w:rsidRPr="00C17606" w:rsidRDefault="00000000">
            <w:pPr>
              <w:spacing w:after="30"/>
              <w:rPr>
                <w:color w:val="000000" w:themeColor="text1"/>
              </w:rPr>
            </w:pPr>
            <w:r w:rsidRPr="00C17606">
              <w:rPr>
                <w:color w:val="000000" w:themeColor="text1"/>
                <w:sz w:val="17"/>
                <w:szCs w:val="17"/>
              </w:rPr>
              <w:t>Proactive regulatory engagement: host roundtable with FCA and HKMA</w:t>
            </w:r>
          </w:p>
        </w:tc>
        <w:tc>
          <w:tcPr>
            <w:tcW w:w="1826" w:type="dxa"/>
          </w:tcPr>
          <w:p w14:paraId="64D4ABDF" w14:textId="77777777" w:rsidR="00A508F7" w:rsidRPr="00C17606" w:rsidRDefault="00000000">
            <w:pPr>
              <w:spacing w:after="30"/>
              <w:rPr>
                <w:color w:val="000000" w:themeColor="text1"/>
              </w:rPr>
            </w:pPr>
            <w:r w:rsidRPr="00C17606">
              <w:rPr>
                <w:color w:val="000000" w:themeColor="text1"/>
                <w:sz w:val="17"/>
                <w:szCs w:val="17"/>
              </w:rPr>
              <w:t>Publish first AI Transparency Report; launch consumer trust campaign; commission independent evaluation</w:t>
            </w:r>
          </w:p>
        </w:tc>
      </w:tr>
    </w:tbl>
    <w:p w14:paraId="1EF0C9F8" w14:textId="77777777" w:rsidR="00A508F7" w:rsidRDefault="00A508F7">
      <w:pPr>
        <w:spacing w:before="200"/>
      </w:pPr>
    </w:p>
    <w:p w14:paraId="1680E99E" w14:textId="77777777" w:rsidR="00A508F7" w:rsidRDefault="00000000">
      <w:pPr>
        <w:spacing w:after="200" w:line="360" w:lineRule="auto"/>
        <w:jc w:val="both"/>
      </w:pPr>
      <w:r>
        <w:t xml:space="preserve">Regulatory scenario planning should be conducted bi-annually, stress-testing against specific contingencies. What if Hong Kong aligns with China's PIPL data localisation requirements, forcing HSBC to maintain separate AI training datasets per jurisdiction? What if the UK introduces mandatory algorithmic auditing for financial services by 2028? What if the FCA gains dedicated AI enforcement powers with fines matching the EU's 7% threshold? The organisations that cope best with regulatory volatility are </w:t>
      </w:r>
      <w:r>
        <w:lastRenderedPageBreak/>
        <w:t>those that have already worked through these consequences before they arrive (ISO, 2018). The plan is designed to be robust across all three scenarios.</w:t>
      </w:r>
    </w:p>
    <w:p w14:paraId="6A8F008D" w14:textId="77777777" w:rsidR="00A508F7" w:rsidRDefault="00000000">
      <w:r>
        <w:br w:type="page"/>
      </w:r>
    </w:p>
    <w:p w14:paraId="0B151D3C" w14:textId="77777777" w:rsidR="00A508F7" w:rsidRDefault="00000000">
      <w:pPr>
        <w:pStyle w:val="Heading1"/>
      </w:pPr>
      <w:bookmarkStart w:id="19" w:name="_Toc228221054"/>
      <w:r>
        <w:lastRenderedPageBreak/>
        <w:t>4. Conclusion</w:t>
      </w:r>
      <w:bookmarkEnd w:id="19"/>
    </w:p>
    <w:p w14:paraId="440F2B83" w14:textId="77777777" w:rsidR="00A508F7" w:rsidRDefault="00000000">
      <w:pPr>
        <w:spacing w:after="200" w:line="360" w:lineRule="auto"/>
        <w:jc w:val="both"/>
      </w:pPr>
      <w:r>
        <w:t>This report opened with a collision: rapid AI deployment meeting a fragmenting regulatory order. The analysis has shown that collision is real, and that HSBC's current governance structures are not adequate for the complexity of its operating environment.</w:t>
      </w:r>
    </w:p>
    <w:p w14:paraId="15051A95" w14:textId="77777777" w:rsidR="00A508F7" w:rsidRDefault="00000000">
      <w:pPr>
        <w:spacing w:after="200" w:line="360" w:lineRule="auto"/>
        <w:jc w:val="both"/>
      </w:pPr>
      <w:r>
        <w:t xml:space="preserve">The PESTLE analysis demonstrated that HSBC's two principal markets are diverging on technology governance, compounded by macroeconomic pressures that shape both the incentive to invest in AI and the regulatory capacity to oversee it. Institutional Theory (DiMaggio and Powell, 1983) explained why compliance is not optional: coercive, normative and mimetic pressures leave HSBC no credible path to a lower governance standard. The Brussels Effect (Bradford, 2020) confirmed that the EU AI Act is, in practice, a global baseline. The CAGE and Hofstede analyses showed that a uniform global policy would be inappropriate: cultural and administrative distance demands a transnational model (Bartlett and Ghoshal, 1989). HSBC's </w:t>
      </w:r>
      <w:proofErr w:type="gramStart"/>
      <w:r>
        <w:t>wholly-owned</w:t>
      </w:r>
      <w:proofErr w:type="gramEnd"/>
      <w:r>
        <w:t xml:space="preserve"> subsidiary structure means it bears full regulatory liability in both jurisdictions, and its cross-border data flows amount to intangible intra-firm trade that is increasingly subject to localisation barriers. The Resource-Based View (Barney, 1991) reframed the governance investment as a strategic asset rather than a compliance cost.</w:t>
      </w:r>
    </w:p>
    <w:p w14:paraId="7FD97F5F" w14:textId="77777777" w:rsidR="00A508F7" w:rsidRDefault="00000000">
      <w:pPr>
        <w:spacing w:after="200" w:line="360" w:lineRule="auto"/>
        <w:jc w:val="both"/>
      </w:pPr>
      <w:r>
        <w:t>The three-phase, 24-month implementation plan addresses these findings with specific, costed, measurable actions: a Chief AI Officer and Board governance committee in Phase 1; XAI architecture, ethics training and EU AI Act conformity assessments in Phase 2; and an industry-leading transparency programme in Phase 3. Total estimated investment of 28-42 million pounds is modest against HSBC's $3 trillion asset base and the potential downside of a major AI governance failure.</w:t>
      </w:r>
    </w:p>
    <w:p w14:paraId="55F85705" w14:textId="77777777" w:rsidR="00A508F7" w:rsidRDefault="00000000">
      <w:pPr>
        <w:spacing w:after="200" w:line="360" w:lineRule="auto"/>
        <w:jc w:val="both"/>
      </w:pPr>
      <w:r>
        <w:t xml:space="preserve">There are limitations. The analysis relies on public disclosures; HSBC's internal AI maturity is not visible externally. The regulatory environment is moving fast enough that specific provisions cited here may have changed by the time this report is read. The plan assumes board-level support, which is not guaranteed where governance competes with short-term commercial objectives. None of </w:t>
      </w:r>
      <w:proofErr w:type="gramStart"/>
      <w:r>
        <w:t>that changes</w:t>
      </w:r>
      <w:proofErr w:type="gramEnd"/>
      <w:r>
        <w:t xml:space="preserve"> where this is heading. AI governance is moving towards mandatory compliance, international coordination and board-level integration. HSBC has the scale and dual-jurisdiction experience to lead. The organisations that treat AI governance as a competitive </w:t>
      </w:r>
      <w:r>
        <w:lastRenderedPageBreak/>
        <w:t>advantage rather than a cost will be the ones that retain customer trust and regulatory confidence through a period of sustained change (Elkington, 1994; COSO, 2017). This is the kind of problem RFD Global exists to help its clients solve: where economics, regulation and strategic risk converge, and where the quality of the advice determines whether the client leads or follows.</w:t>
      </w:r>
    </w:p>
    <w:p w14:paraId="332F503B" w14:textId="77777777" w:rsidR="00A508F7" w:rsidRDefault="00000000">
      <w:r>
        <w:br w:type="page"/>
      </w:r>
    </w:p>
    <w:p w14:paraId="3925B31D" w14:textId="77777777" w:rsidR="00A508F7" w:rsidRDefault="00000000">
      <w:pPr>
        <w:pStyle w:val="Heading1"/>
      </w:pPr>
      <w:bookmarkStart w:id="20" w:name="_Toc228221055"/>
      <w:r>
        <w:lastRenderedPageBreak/>
        <w:t>5. Bibliography</w:t>
      </w:r>
      <w:bookmarkEnd w:id="20"/>
    </w:p>
    <w:p w14:paraId="7655248B" w14:textId="77777777" w:rsidR="00A508F7" w:rsidRDefault="00000000">
      <w:pPr>
        <w:spacing w:after="120" w:line="276" w:lineRule="auto"/>
        <w:ind w:left="720" w:hanging="720"/>
      </w:pPr>
      <w:r>
        <w:rPr>
          <w:sz w:val="22"/>
          <w:szCs w:val="22"/>
        </w:rPr>
        <w:t>Aguilar, F.J. (1967) Scanning the Business Environment. New York: Macmillan.</w:t>
      </w:r>
    </w:p>
    <w:p w14:paraId="3B67CD80" w14:textId="77777777" w:rsidR="00A508F7" w:rsidRDefault="00000000">
      <w:pPr>
        <w:spacing w:after="120" w:line="276" w:lineRule="auto"/>
        <w:ind w:left="720" w:hanging="720"/>
      </w:pPr>
      <w:r>
        <w:rPr>
          <w:sz w:val="22"/>
          <w:szCs w:val="22"/>
        </w:rPr>
        <w:t xml:space="preserve">Arner, D.W., Barberis, J. and Buckley, R.P. (2020) 'FinTech, </w:t>
      </w:r>
      <w:proofErr w:type="spellStart"/>
      <w:r>
        <w:rPr>
          <w:sz w:val="22"/>
          <w:szCs w:val="22"/>
        </w:rPr>
        <w:t>RegTech</w:t>
      </w:r>
      <w:proofErr w:type="spellEnd"/>
      <w:r>
        <w:rPr>
          <w:sz w:val="22"/>
          <w:szCs w:val="22"/>
        </w:rPr>
        <w:t>, and the Reconceptualization of Financial Regulation', Northwestern Journal of International Law and Business, 37(3), pp. 371-413.</w:t>
      </w:r>
    </w:p>
    <w:p w14:paraId="18437BA6" w14:textId="77777777" w:rsidR="00A508F7" w:rsidRDefault="00000000">
      <w:pPr>
        <w:spacing w:after="120" w:line="276" w:lineRule="auto"/>
        <w:ind w:left="720" w:hanging="720"/>
      </w:pPr>
      <w:r>
        <w:rPr>
          <w:sz w:val="22"/>
          <w:szCs w:val="22"/>
        </w:rPr>
        <w:t>Barney, J. (1991) 'Firm Resources and Sustained Competitive Advantage', Journal of Management, 17(1), pp. 99-120.</w:t>
      </w:r>
    </w:p>
    <w:p w14:paraId="6FEB421A" w14:textId="77777777" w:rsidR="00A508F7" w:rsidRDefault="00000000">
      <w:pPr>
        <w:spacing w:after="120" w:line="276" w:lineRule="auto"/>
        <w:ind w:left="720" w:hanging="720"/>
      </w:pPr>
      <w:r>
        <w:rPr>
          <w:sz w:val="22"/>
          <w:szCs w:val="22"/>
        </w:rPr>
        <w:t>Bartlett, C.A. and Ghoshal, S. (1989) Managing Across Borders: The Transnational Solution. Boston: Harvard Business School Press.</w:t>
      </w:r>
    </w:p>
    <w:p w14:paraId="2F53E57E" w14:textId="77777777" w:rsidR="00A508F7" w:rsidRDefault="00000000">
      <w:pPr>
        <w:spacing w:after="120" w:line="276" w:lineRule="auto"/>
        <w:ind w:left="720" w:hanging="720"/>
      </w:pPr>
      <w:r>
        <w:rPr>
          <w:sz w:val="22"/>
          <w:szCs w:val="22"/>
        </w:rPr>
        <w:t>Bartlett, R., Morse, A., Stanton, R. and Wallace, N. (2022) 'Consumer-Lending Discrimination in the FinTech Era', Journal of Financial Economics, 143(1), pp. 30-56.</w:t>
      </w:r>
    </w:p>
    <w:p w14:paraId="4097EAF7" w14:textId="77777777" w:rsidR="00A508F7" w:rsidRDefault="00000000">
      <w:pPr>
        <w:spacing w:after="120" w:line="276" w:lineRule="auto"/>
        <w:ind w:left="720" w:hanging="720"/>
      </w:pPr>
      <w:r>
        <w:rPr>
          <w:sz w:val="22"/>
          <w:szCs w:val="22"/>
        </w:rPr>
        <w:t>Bradford, A. (2020) The Brussels Effect: How the European Union Rules the World. Oxford: Oxford University Press.</w:t>
      </w:r>
    </w:p>
    <w:p w14:paraId="1F1DD78E" w14:textId="77777777" w:rsidR="00A508F7" w:rsidRDefault="00000000">
      <w:pPr>
        <w:spacing w:after="120" w:line="276" w:lineRule="auto"/>
        <w:ind w:left="720" w:hanging="720"/>
      </w:pPr>
      <w:r>
        <w:rPr>
          <w:sz w:val="22"/>
          <w:szCs w:val="22"/>
        </w:rPr>
        <w:t>Cadbury, A. (1992) Report of the Committee on the Financial Aspects of Corporate Governance. London: Gee.</w:t>
      </w:r>
    </w:p>
    <w:p w14:paraId="56E3238C" w14:textId="77777777" w:rsidR="00A508F7" w:rsidRDefault="00000000">
      <w:pPr>
        <w:spacing w:after="120" w:line="276" w:lineRule="auto"/>
        <w:ind w:left="720" w:hanging="720"/>
      </w:pPr>
      <w:r>
        <w:rPr>
          <w:sz w:val="22"/>
          <w:szCs w:val="22"/>
        </w:rPr>
        <w:t>Cao, L. (2022) 'AI in Finance: Challenges, Techniques, and Opportunities', ACM Computing Surveys, 55(3), pp. 1-38.</w:t>
      </w:r>
    </w:p>
    <w:p w14:paraId="62D79E34" w14:textId="77777777" w:rsidR="00A508F7" w:rsidRDefault="00000000">
      <w:pPr>
        <w:spacing w:after="120" w:line="276" w:lineRule="auto"/>
        <w:ind w:left="720" w:hanging="720"/>
      </w:pPr>
      <w:r>
        <w:rPr>
          <w:sz w:val="22"/>
          <w:szCs w:val="22"/>
        </w:rPr>
        <w:t>COSO (2017) Enterprise Risk Management: Integrating with Strategy and Performance. Committee of Sponsoring Organizations of the Treadway Commission.</w:t>
      </w:r>
    </w:p>
    <w:p w14:paraId="04DD23C2" w14:textId="77777777" w:rsidR="00A508F7" w:rsidRDefault="00000000">
      <w:pPr>
        <w:spacing w:after="120" w:line="276" w:lineRule="auto"/>
        <w:ind w:left="720" w:hanging="720"/>
      </w:pPr>
      <w:r>
        <w:rPr>
          <w:sz w:val="22"/>
          <w:szCs w:val="22"/>
        </w:rPr>
        <w:t>Dastin, J. (2018) 'Amazon scraps secret AI recruiting tool that showed bias against women', Reuters, 11 October.</w:t>
      </w:r>
    </w:p>
    <w:p w14:paraId="32B18E69" w14:textId="77777777" w:rsidR="00A508F7" w:rsidRDefault="00000000">
      <w:pPr>
        <w:spacing w:after="120" w:line="276" w:lineRule="auto"/>
        <w:ind w:left="720" w:hanging="720"/>
      </w:pPr>
      <w:r>
        <w:rPr>
          <w:sz w:val="22"/>
          <w:szCs w:val="22"/>
        </w:rPr>
        <w:t>Deloitte (2024) The State of Generative AI in Financial Services. London: Deloitte LLP.</w:t>
      </w:r>
    </w:p>
    <w:p w14:paraId="60B1302E" w14:textId="77777777" w:rsidR="00A508F7" w:rsidRDefault="00000000">
      <w:pPr>
        <w:spacing w:after="120" w:line="276" w:lineRule="auto"/>
        <w:ind w:left="720" w:hanging="720"/>
      </w:pPr>
      <w:r>
        <w:rPr>
          <w:sz w:val="22"/>
          <w:szCs w:val="22"/>
        </w:rPr>
        <w:t>DiMaggio, P.J. and Powell, W.W. (1983) 'The Iron Cage Revisited: Institutional Isomorphism and Collective Rationality in Organizational Fields', American Sociological Review, 48(2), pp. 147-160.</w:t>
      </w:r>
    </w:p>
    <w:p w14:paraId="08922CFB" w14:textId="77777777" w:rsidR="00A508F7" w:rsidRDefault="00000000">
      <w:pPr>
        <w:spacing w:after="120" w:line="276" w:lineRule="auto"/>
        <w:ind w:left="720" w:hanging="720"/>
      </w:pPr>
      <w:r>
        <w:rPr>
          <w:sz w:val="22"/>
          <w:szCs w:val="22"/>
        </w:rPr>
        <w:t>Downes, L. (1997) 'Beyond Porter', Context Magazine, Winter, pp. 34-39.</w:t>
      </w:r>
    </w:p>
    <w:p w14:paraId="6AD44B9C" w14:textId="77777777" w:rsidR="00A508F7" w:rsidRDefault="00000000">
      <w:pPr>
        <w:spacing w:after="120" w:line="276" w:lineRule="auto"/>
        <w:ind w:left="720" w:hanging="720"/>
      </w:pPr>
      <w:r>
        <w:rPr>
          <w:sz w:val="22"/>
          <w:szCs w:val="22"/>
        </w:rPr>
        <w:t>DSIT (2023) A Pro-Innovation Approach to AI Regulation. London: Department for Science, Innovation and Technology.</w:t>
      </w:r>
    </w:p>
    <w:p w14:paraId="6D6582E0" w14:textId="77777777" w:rsidR="00A508F7" w:rsidRDefault="00000000">
      <w:pPr>
        <w:spacing w:after="120" w:line="276" w:lineRule="auto"/>
        <w:ind w:left="720" w:hanging="720"/>
      </w:pPr>
      <w:r>
        <w:rPr>
          <w:sz w:val="22"/>
          <w:szCs w:val="22"/>
        </w:rPr>
        <w:t xml:space="preserve">Dunning, J.H. (1977) 'Trade, Location of Economic Activity and the MNE: A Search for an Eclectic Approach', in Ohlin, B., </w:t>
      </w:r>
      <w:proofErr w:type="spellStart"/>
      <w:r>
        <w:rPr>
          <w:sz w:val="22"/>
          <w:szCs w:val="22"/>
        </w:rPr>
        <w:t>Hesselborn</w:t>
      </w:r>
      <w:proofErr w:type="spellEnd"/>
      <w:r>
        <w:rPr>
          <w:sz w:val="22"/>
          <w:szCs w:val="22"/>
        </w:rPr>
        <w:t xml:space="preserve">, P.O. and </w:t>
      </w:r>
      <w:proofErr w:type="spellStart"/>
      <w:r>
        <w:rPr>
          <w:sz w:val="22"/>
          <w:szCs w:val="22"/>
        </w:rPr>
        <w:t>Wijkman</w:t>
      </w:r>
      <w:proofErr w:type="spellEnd"/>
      <w:r>
        <w:rPr>
          <w:sz w:val="22"/>
          <w:szCs w:val="22"/>
        </w:rPr>
        <w:t>, P.M. (eds.) The International Allocation of Economic Activity. London: Macmillan, pp. 395-418.</w:t>
      </w:r>
    </w:p>
    <w:p w14:paraId="6A5AB818" w14:textId="77777777" w:rsidR="00A508F7" w:rsidRDefault="00000000">
      <w:pPr>
        <w:spacing w:after="120" w:line="276" w:lineRule="auto"/>
        <w:ind w:left="720" w:hanging="720"/>
      </w:pPr>
      <w:r>
        <w:rPr>
          <w:sz w:val="22"/>
          <w:szCs w:val="22"/>
        </w:rPr>
        <w:t>Edelman (2025) Edelman Trust Barometer 2025: Global Report. New York: Edelman.</w:t>
      </w:r>
    </w:p>
    <w:p w14:paraId="35556023" w14:textId="77777777" w:rsidR="00A508F7" w:rsidRDefault="00000000">
      <w:pPr>
        <w:spacing w:after="120" w:line="276" w:lineRule="auto"/>
        <w:ind w:left="720" w:hanging="720"/>
      </w:pPr>
      <w:r>
        <w:rPr>
          <w:sz w:val="22"/>
          <w:szCs w:val="22"/>
        </w:rPr>
        <w:t>Elkington, J. (1994) 'Towards the Sustainable Corporation: Win-Win-Win Business Strategies for Sustainable Development', California Management Review, 36(2), pp. 90-100.</w:t>
      </w:r>
    </w:p>
    <w:p w14:paraId="2755FC61" w14:textId="77777777" w:rsidR="00A508F7" w:rsidRDefault="00000000">
      <w:pPr>
        <w:spacing w:after="120" w:line="276" w:lineRule="auto"/>
        <w:ind w:left="720" w:hanging="720"/>
      </w:pPr>
      <w:r>
        <w:rPr>
          <w:sz w:val="22"/>
          <w:szCs w:val="22"/>
        </w:rPr>
        <w:t>European Commission (2024) Regulation (EU) 2024/1689 Laying Down Harmonised Rules on Artificial Intelligence (AI Act). Brussels: European Commission.</w:t>
      </w:r>
    </w:p>
    <w:p w14:paraId="28BFCAAA" w14:textId="77777777" w:rsidR="00A508F7" w:rsidRDefault="00000000">
      <w:pPr>
        <w:spacing w:after="120" w:line="276" w:lineRule="auto"/>
        <w:ind w:left="720" w:hanging="720"/>
      </w:pPr>
      <w:r>
        <w:rPr>
          <w:sz w:val="22"/>
          <w:szCs w:val="22"/>
        </w:rPr>
        <w:lastRenderedPageBreak/>
        <w:t>FCA (2024) Artificial Intelligence and Machine Learning in Financial Services: Supervisory Expectations. London: Financial Conduct Authority.</w:t>
      </w:r>
    </w:p>
    <w:p w14:paraId="60CEA2CA" w14:textId="77777777" w:rsidR="00A508F7" w:rsidRDefault="00000000">
      <w:pPr>
        <w:spacing w:after="120" w:line="276" w:lineRule="auto"/>
        <w:ind w:left="720" w:hanging="720"/>
      </w:pPr>
      <w:proofErr w:type="spellStart"/>
      <w:r>
        <w:rPr>
          <w:sz w:val="22"/>
          <w:szCs w:val="22"/>
        </w:rPr>
        <w:t>Floridi</w:t>
      </w:r>
      <w:proofErr w:type="spellEnd"/>
      <w:r>
        <w:rPr>
          <w:sz w:val="22"/>
          <w:szCs w:val="22"/>
        </w:rPr>
        <w:t>, L. (2019) 'Establishing the Rules for Building Trustworthy AI', Nature Machine Intelligence, 1(6), pp. 261-262.</w:t>
      </w:r>
    </w:p>
    <w:p w14:paraId="724800B6" w14:textId="77777777" w:rsidR="00A508F7" w:rsidRDefault="00000000">
      <w:pPr>
        <w:spacing w:after="120" w:line="276" w:lineRule="auto"/>
        <w:ind w:left="720" w:hanging="720"/>
      </w:pPr>
      <w:r>
        <w:rPr>
          <w:sz w:val="22"/>
          <w:szCs w:val="22"/>
        </w:rPr>
        <w:t>FRC (2024) The UK Corporate Governance Code. London: Financial Reporting Council.</w:t>
      </w:r>
    </w:p>
    <w:p w14:paraId="4F504472" w14:textId="77777777" w:rsidR="00A508F7" w:rsidRDefault="00000000">
      <w:pPr>
        <w:spacing w:after="120" w:line="276" w:lineRule="auto"/>
        <w:ind w:left="720" w:hanging="720"/>
      </w:pPr>
      <w:r>
        <w:rPr>
          <w:sz w:val="22"/>
          <w:szCs w:val="22"/>
        </w:rPr>
        <w:t>Freeman, R.E. (1984) Strategic Management: A Stakeholder Approach. Boston: Pitman.</w:t>
      </w:r>
    </w:p>
    <w:p w14:paraId="555EACB1" w14:textId="77777777" w:rsidR="00A508F7" w:rsidRDefault="00000000">
      <w:pPr>
        <w:spacing w:after="120" w:line="276" w:lineRule="auto"/>
        <w:ind w:left="720" w:hanging="720"/>
      </w:pPr>
      <w:r>
        <w:rPr>
          <w:sz w:val="22"/>
          <w:szCs w:val="22"/>
        </w:rPr>
        <w:t>French, J.R.P. and Raven, B. (1959) 'The Bases of Social Power', in Cartwright, D. (ed.) Studies in Social Power. Ann Arbor: University of Michigan Press, pp. 150-167.</w:t>
      </w:r>
    </w:p>
    <w:p w14:paraId="2C13F5FE" w14:textId="77777777" w:rsidR="00A508F7" w:rsidRDefault="00000000">
      <w:pPr>
        <w:spacing w:after="120" w:line="276" w:lineRule="auto"/>
        <w:ind w:left="720" w:hanging="720"/>
      </w:pPr>
      <w:r>
        <w:rPr>
          <w:sz w:val="22"/>
          <w:szCs w:val="22"/>
        </w:rPr>
        <w:t>Ghemawat, P. (2001) 'Distance Still Matters: The Hard Reality of Global Expansion', Harvard Business Review, 79(8), pp. 137-147.</w:t>
      </w:r>
    </w:p>
    <w:p w14:paraId="14D0D623" w14:textId="77777777" w:rsidR="00A508F7" w:rsidRDefault="00000000">
      <w:pPr>
        <w:spacing w:after="120" w:line="276" w:lineRule="auto"/>
        <w:ind w:left="720" w:hanging="720"/>
      </w:pPr>
      <w:r>
        <w:rPr>
          <w:sz w:val="22"/>
          <w:szCs w:val="22"/>
        </w:rPr>
        <w:t>Gartner (2024) Market Guide for AI Governance Solutions. Stamford: Gartner.</w:t>
      </w:r>
    </w:p>
    <w:p w14:paraId="2AB3AD6B" w14:textId="77777777" w:rsidR="00A508F7" w:rsidRDefault="00000000">
      <w:pPr>
        <w:spacing w:after="120" w:line="276" w:lineRule="auto"/>
        <w:ind w:left="720" w:hanging="720"/>
      </w:pPr>
      <w:r>
        <w:rPr>
          <w:sz w:val="22"/>
          <w:szCs w:val="22"/>
        </w:rPr>
        <w:t>HKMA (2024) Guiding Principles on the Ethical Development and Use of Artificial Intelligence by Authorised Institutions. Hong Kong: Hong Kong Monetary Authority.</w:t>
      </w:r>
    </w:p>
    <w:p w14:paraId="4A10BE42" w14:textId="77777777" w:rsidR="00A508F7" w:rsidRDefault="00000000">
      <w:pPr>
        <w:spacing w:after="120" w:line="276" w:lineRule="auto"/>
        <w:ind w:left="720" w:hanging="720"/>
      </w:pPr>
      <w:r>
        <w:rPr>
          <w:sz w:val="22"/>
          <w:szCs w:val="22"/>
        </w:rPr>
        <w:t>Hofstede Insights (2024) Country Comparison Tool. Available at: https://www.hofstede-insights.com/country-comparison/ (Accessed: 15 March 2026).</w:t>
      </w:r>
    </w:p>
    <w:p w14:paraId="7F5FC263" w14:textId="77777777" w:rsidR="00A508F7" w:rsidRDefault="00000000">
      <w:pPr>
        <w:spacing w:after="120" w:line="276" w:lineRule="auto"/>
        <w:ind w:left="720" w:hanging="720"/>
      </w:pPr>
      <w:r>
        <w:rPr>
          <w:sz w:val="22"/>
          <w:szCs w:val="22"/>
        </w:rPr>
        <w:t>House, R.J., Hanges, P.J., Javidan, M., Dorfman, P.W. and Gupta, V. (2004) Culture, Leadership, and Organizations: The GLOBE Study of 62 Societies. Thousand Oaks: Sage.</w:t>
      </w:r>
    </w:p>
    <w:p w14:paraId="17B15D0F" w14:textId="77777777" w:rsidR="00A508F7" w:rsidRDefault="00000000">
      <w:pPr>
        <w:spacing w:after="120" w:line="276" w:lineRule="auto"/>
        <w:ind w:left="720" w:hanging="720"/>
      </w:pPr>
      <w:r>
        <w:rPr>
          <w:sz w:val="22"/>
          <w:szCs w:val="22"/>
        </w:rPr>
        <w:t>HSBC (2025) Annual Report and Accounts 2024. London: HSBC Holdings plc.</w:t>
      </w:r>
    </w:p>
    <w:p w14:paraId="0A4BBD21" w14:textId="77777777" w:rsidR="00A508F7" w:rsidRDefault="00000000">
      <w:pPr>
        <w:spacing w:after="120" w:line="276" w:lineRule="auto"/>
        <w:ind w:left="720" w:hanging="720"/>
      </w:pPr>
      <w:r>
        <w:rPr>
          <w:sz w:val="22"/>
          <w:szCs w:val="22"/>
        </w:rPr>
        <w:t>ICO (2024) Guidance on AI and Data Protection. Wilmslow: Information Commissioner's Office.</w:t>
      </w:r>
    </w:p>
    <w:p w14:paraId="16A342B4" w14:textId="77777777" w:rsidR="00A508F7" w:rsidRDefault="00000000">
      <w:pPr>
        <w:spacing w:after="120" w:line="276" w:lineRule="auto"/>
        <w:ind w:left="720" w:hanging="720"/>
      </w:pPr>
      <w:r>
        <w:rPr>
          <w:sz w:val="22"/>
          <w:szCs w:val="22"/>
        </w:rPr>
        <w:t>IBM (2024) Cost of a Data Breach Report 2024. Armonk: IBM Security.</w:t>
      </w:r>
    </w:p>
    <w:p w14:paraId="1042B136" w14:textId="77777777" w:rsidR="00A508F7" w:rsidRDefault="00000000">
      <w:pPr>
        <w:spacing w:after="120" w:line="276" w:lineRule="auto"/>
        <w:ind w:left="720" w:hanging="720"/>
      </w:pPr>
      <w:r>
        <w:rPr>
          <w:sz w:val="22"/>
          <w:szCs w:val="22"/>
        </w:rPr>
        <w:t>IEA (2024) Electricity 2024: Analysis and Forecast to 2026. Paris: International Energy Agency.</w:t>
      </w:r>
    </w:p>
    <w:p w14:paraId="69951279" w14:textId="77777777" w:rsidR="00A508F7" w:rsidRDefault="00000000">
      <w:pPr>
        <w:spacing w:after="120" w:line="276" w:lineRule="auto"/>
        <w:ind w:left="720" w:hanging="720"/>
      </w:pPr>
      <w:r>
        <w:rPr>
          <w:sz w:val="22"/>
          <w:szCs w:val="22"/>
        </w:rPr>
        <w:t>ISO (2018) ISO 31000:2018 Risk Management - Guidelines. Geneva: International Organization for Standardization.</w:t>
      </w:r>
    </w:p>
    <w:p w14:paraId="16F28C18" w14:textId="77777777" w:rsidR="00A508F7" w:rsidRDefault="00000000">
      <w:pPr>
        <w:spacing w:after="120" w:line="276" w:lineRule="auto"/>
        <w:ind w:left="720" w:hanging="720"/>
      </w:pPr>
      <w:r>
        <w:rPr>
          <w:sz w:val="22"/>
          <w:szCs w:val="22"/>
        </w:rPr>
        <w:t>Janssen, M., Brous, P., Estevez, E., Barbosa, L.S. and Janowski, T. (2020) 'Data Governance: Organizing Data for Trustworthy Artificial Intelligence', Government Information Quarterly, 37(3), 101493.</w:t>
      </w:r>
    </w:p>
    <w:p w14:paraId="71F529EA" w14:textId="77777777" w:rsidR="00A508F7" w:rsidRDefault="00000000">
      <w:pPr>
        <w:spacing w:after="120" w:line="276" w:lineRule="auto"/>
        <w:ind w:left="720" w:hanging="720"/>
      </w:pPr>
      <w:r>
        <w:rPr>
          <w:sz w:val="22"/>
          <w:szCs w:val="22"/>
        </w:rPr>
        <w:t>JPMorgan Chase (2025) Annual Report 2024. New York: JPMorgan Chase &amp; Co.</w:t>
      </w:r>
    </w:p>
    <w:p w14:paraId="6555F4DC" w14:textId="77777777" w:rsidR="00A508F7" w:rsidRDefault="00000000">
      <w:pPr>
        <w:spacing w:after="120" w:line="276" w:lineRule="auto"/>
        <w:ind w:left="720" w:hanging="720"/>
      </w:pPr>
      <w:r>
        <w:rPr>
          <w:sz w:val="22"/>
          <w:szCs w:val="22"/>
        </w:rPr>
        <w:t>Leslie, D. (2019) Understanding Artificial Intelligence Ethics and Safety. London: The Alan Turing Institute.</w:t>
      </w:r>
    </w:p>
    <w:p w14:paraId="2D9F89B1" w14:textId="77777777" w:rsidR="00A508F7" w:rsidRDefault="00000000">
      <w:pPr>
        <w:spacing w:after="120" w:line="276" w:lineRule="auto"/>
        <w:ind w:left="720" w:hanging="720"/>
      </w:pPr>
      <w:r>
        <w:rPr>
          <w:sz w:val="22"/>
          <w:szCs w:val="22"/>
        </w:rPr>
        <w:t>McKinsey (2024) The State of AI in 2024: Generative AI's Breakout Year. New York: McKinsey &amp; Company.</w:t>
      </w:r>
    </w:p>
    <w:p w14:paraId="5C72291C" w14:textId="77777777" w:rsidR="00A508F7" w:rsidRDefault="00000000">
      <w:pPr>
        <w:spacing w:after="120" w:line="276" w:lineRule="auto"/>
        <w:ind w:left="720" w:hanging="720"/>
      </w:pPr>
      <w:r>
        <w:rPr>
          <w:sz w:val="22"/>
          <w:szCs w:val="22"/>
        </w:rPr>
        <w:t>Mill, J.S. (1861) Utilitarianism. London: Parker, Son, and Bourn.</w:t>
      </w:r>
    </w:p>
    <w:p w14:paraId="22A000E6" w14:textId="77777777" w:rsidR="00A508F7" w:rsidRDefault="00000000">
      <w:pPr>
        <w:spacing w:after="120" w:line="276" w:lineRule="auto"/>
        <w:ind w:left="720" w:hanging="720"/>
      </w:pPr>
      <w:r>
        <w:rPr>
          <w:sz w:val="22"/>
          <w:szCs w:val="22"/>
        </w:rPr>
        <w:t>Mittelstadt, B. (2019) 'Principles Alone Cannot Guarantee Ethical AI', Nature Machine Intelligence, 1(11), pp. 501-507.</w:t>
      </w:r>
    </w:p>
    <w:p w14:paraId="6F4F3658" w14:textId="77777777" w:rsidR="00A508F7" w:rsidRDefault="00000000">
      <w:pPr>
        <w:spacing w:after="120" w:line="276" w:lineRule="auto"/>
        <w:ind w:left="720" w:hanging="720"/>
      </w:pPr>
      <w:r>
        <w:rPr>
          <w:sz w:val="22"/>
          <w:szCs w:val="22"/>
        </w:rPr>
        <w:t>NIST (2023) Artificial Intelligence Risk Management Framework (AI RMF 1.0). Gaithersburg: National Institute of Standards and Technology.</w:t>
      </w:r>
    </w:p>
    <w:p w14:paraId="4CE4B00D" w14:textId="77777777" w:rsidR="00A508F7" w:rsidRDefault="00000000">
      <w:pPr>
        <w:spacing w:after="120" w:line="276" w:lineRule="auto"/>
        <w:ind w:left="720" w:hanging="720"/>
      </w:pPr>
      <w:r>
        <w:rPr>
          <w:sz w:val="22"/>
          <w:szCs w:val="22"/>
        </w:rPr>
        <w:lastRenderedPageBreak/>
        <w:t>Oxford Net Zero (2023) Taking Stock: A Global Assessment of Net Zero Targets. Oxford: University of Oxford.</w:t>
      </w:r>
    </w:p>
    <w:p w14:paraId="7C42B3B7" w14:textId="77777777" w:rsidR="00A508F7" w:rsidRDefault="00000000">
      <w:pPr>
        <w:spacing w:after="120" w:line="276" w:lineRule="auto"/>
        <w:ind w:left="720" w:hanging="720"/>
      </w:pPr>
      <w:r>
        <w:rPr>
          <w:sz w:val="22"/>
          <w:szCs w:val="22"/>
        </w:rPr>
        <w:t>PCPD (2023) Guidance on Data Protection in the Age of AI. Hong Kong: Office of the Privacy Commissioner for Personal Data.</w:t>
      </w:r>
    </w:p>
    <w:p w14:paraId="25F5813F" w14:textId="77777777" w:rsidR="00A508F7" w:rsidRDefault="00000000">
      <w:pPr>
        <w:spacing w:after="120" w:line="276" w:lineRule="auto"/>
        <w:ind w:left="720" w:hanging="720"/>
      </w:pPr>
      <w:r>
        <w:rPr>
          <w:sz w:val="22"/>
          <w:szCs w:val="22"/>
        </w:rPr>
        <w:t>Porter, M.E. (1979) 'How Competitive Forces Shape Strategy', Harvard Business Review, 57(2), pp. 137-145.</w:t>
      </w:r>
    </w:p>
    <w:p w14:paraId="566C1AD6" w14:textId="77777777" w:rsidR="00A508F7" w:rsidRDefault="00000000">
      <w:pPr>
        <w:spacing w:after="120" w:line="276" w:lineRule="auto"/>
        <w:ind w:left="720" w:hanging="720"/>
      </w:pPr>
      <w:r>
        <w:rPr>
          <w:sz w:val="22"/>
          <w:szCs w:val="22"/>
        </w:rPr>
        <w:t>Porter, M.E. (1990) The Competitive Advantage of Nations. New York: Free Press.</w:t>
      </w:r>
    </w:p>
    <w:p w14:paraId="0C4E727D" w14:textId="77777777" w:rsidR="00A508F7" w:rsidRDefault="00000000">
      <w:pPr>
        <w:spacing w:after="120" w:line="276" w:lineRule="auto"/>
        <w:ind w:left="720" w:hanging="720"/>
      </w:pPr>
      <w:r>
        <w:rPr>
          <w:sz w:val="22"/>
          <w:szCs w:val="22"/>
        </w:rPr>
        <w:t>PwC (2023) Global Risk Survey 2023: Building Resilience through Risk Management. London: PricewaterhouseCoopers.</w:t>
      </w:r>
    </w:p>
    <w:p w14:paraId="388AEAB8" w14:textId="77777777" w:rsidR="00A508F7" w:rsidRDefault="00000000">
      <w:pPr>
        <w:spacing w:after="120" w:line="276" w:lineRule="auto"/>
        <w:ind w:left="720" w:hanging="720"/>
      </w:pPr>
      <w:r>
        <w:rPr>
          <w:sz w:val="22"/>
          <w:szCs w:val="22"/>
        </w:rPr>
        <w:t xml:space="preserve">Roberts, H., Cowls, J., Morley, J., Taddeo, M., Wang, V. and </w:t>
      </w:r>
      <w:proofErr w:type="spellStart"/>
      <w:r>
        <w:rPr>
          <w:sz w:val="22"/>
          <w:szCs w:val="22"/>
        </w:rPr>
        <w:t>Floridi</w:t>
      </w:r>
      <w:proofErr w:type="spellEnd"/>
      <w:r>
        <w:rPr>
          <w:sz w:val="22"/>
          <w:szCs w:val="22"/>
        </w:rPr>
        <w:t>, L. (2021) 'The Chinese Approach to Artificial Intelligence: An Analysis of Policy, Ethics, and Regulation', AI and Society, 36(1), pp. 59-77.</w:t>
      </w:r>
    </w:p>
    <w:p w14:paraId="445B6F5B" w14:textId="77777777" w:rsidR="00A508F7" w:rsidRDefault="00000000">
      <w:pPr>
        <w:spacing w:after="120" w:line="276" w:lineRule="auto"/>
        <w:ind w:left="720" w:hanging="720"/>
      </w:pPr>
      <w:proofErr w:type="spellStart"/>
      <w:r>
        <w:rPr>
          <w:sz w:val="22"/>
          <w:szCs w:val="22"/>
        </w:rPr>
        <w:t>Strubell</w:t>
      </w:r>
      <w:proofErr w:type="spellEnd"/>
      <w:r>
        <w:rPr>
          <w:sz w:val="22"/>
          <w:szCs w:val="22"/>
        </w:rPr>
        <w:t>, E., Ganesh, A. and McCallum, A. (2019) 'Energy and Policy Considerations for Deep Learning in NLP', Proceedings of the 57th Annual Meeting of the ACL, pp. 3645-3650.</w:t>
      </w:r>
    </w:p>
    <w:p w14:paraId="02CBE016" w14:textId="77777777" w:rsidR="00A508F7" w:rsidRDefault="00000000">
      <w:pPr>
        <w:spacing w:after="120" w:line="276" w:lineRule="auto"/>
        <w:ind w:left="720" w:hanging="720"/>
      </w:pPr>
      <w:r>
        <w:rPr>
          <w:sz w:val="22"/>
          <w:szCs w:val="22"/>
        </w:rPr>
        <w:t xml:space="preserve">Stulz, R.M. (2019) 'FinTech, </w:t>
      </w:r>
      <w:proofErr w:type="spellStart"/>
      <w:r>
        <w:rPr>
          <w:sz w:val="22"/>
          <w:szCs w:val="22"/>
        </w:rPr>
        <w:t>BigTech</w:t>
      </w:r>
      <w:proofErr w:type="spellEnd"/>
      <w:r>
        <w:rPr>
          <w:sz w:val="22"/>
          <w:szCs w:val="22"/>
        </w:rPr>
        <w:t>, and the Future of Banks', Journal of Applied Corporate Finance, 31(4), pp. 86-97.</w:t>
      </w:r>
    </w:p>
    <w:p w14:paraId="6260604A" w14:textId="77777777" w:rsidR="00A508F7" w:rsidRDefault="00000000">
      <w:pPr>
        <w:spacing w:after="120" w:line="276" w:lineRule="auto"/>
        <w:ind w:left="720" w:hanging="720"/>
      </w:pPr>
      <w:r>
        <w:rPr>
          <w:sz w:val="22"/>
          <w:szCs w:val="22"/>
        </w:rPr>
        <w:t xml:space="preserve">Tallman, S. (2011) 'Global Strategy and the Integration of Segments', in Rugman, A.M. (ed.) The Oxford Handbook of International Business. 2nd </w:t>
      </w:r>
      <w:proofErr w:type="spellStart"/>
      <w:r>
        <w:rPr>
          <w:sz w:val="22"/>
          <w:szCs w:val="22"/>
        </w:rPr>
        <w:t>edn</w:t>
      </w:r>
      <w:proofErr w:type="spellEnd"/>
      <w:r>
        <w:rPr>
          <w:sz w:val="22"/>
          <w:szCs w:val="22"/>
        </w:rPr>
        <w:t>. Oxford: Oxford University Press, pp. 403-426.</w:t>
      </w:r>
    </w:p>
    <w:p w14:paraId="265AEED9" w14:textId="77777777" w:rsidR="00A508F7" w:rsidRDefault="00000000">
      <w:pPr>
        <w:spacing w:after="120" w:line="276" w:lineRule="auto"/>
        <w:ind w:left="720" w:hanging="720"/>
      </w:pPr>
      <w:r>
        <w:rPr>
          <w:sz w:val="22"/>
          <w:szCs w:val="22"/>
        </w:rPr>
        <w:t>TCFD (2023) Task Force on Climate-Related Financial Disclosures: 2023 Status Report. Basel: Financial Stability Board.</w:t>
      </w:r>
    </w:p>
    <w:p w14:paraId="0989BDE6" w14:textId="77777777" w:rsidR="00A508F7" w:rsidRDefault="00000000">
      <w:pPr>
        <w:spacing w:after="120" w:line="276" w:lineRule="auto"/>
        <w:ind w:left="720" w:hanging="720"/>
      </w:pPr>
      <w:r>
        <w:rPr>
          <w:sz w:val="22"/>
          <w:szCs w:val="22"/>
        </w:rPr>
        <w:t>United Nations (2015) Transforming Our World: The 2030 Agenda for Sustainable Development. New York: United Nations.</w:t>
      </w:r>
    </w:p>
    <w:p w14:paraId="0446C37A" w14:textId="77777777" w:rsidR="00A508F7" w:rsidRDefault="00000000">
      <w:pPr>
        <w:spacing w:after="120" w:line="276" w:lineRule="auto"/>
        <w:ind w:left="720" w:hanging="720"/>
      </w:pPr>
      <w:r>
        <w:rPr>
          <w:sz w:val="22"/>
          <w:szCs w:val="22"/>
        </w:rPr>
        <w:t xml:space="preserve">World Economic Forum (2026) The Global Risks Report 2026. 21st </w:t>
      </w:r>
      <w:proofErr w:type="spellStart"/>
      <w:r>
        <w:rPr>
          <w:sz w:val="22"/>
          <w:szCs w:val="22"/>
        </w:rPr>
        <w:t>edn</w:t>
      </w:r>
      <w:proofErr w:type="spellEnd"/>
      <w:r>
        <w:rPr>
          <w:sz w:val="22"/>
          <w:szCs w:val="22"/>
        </w:rPr>
        <w:t>. Geneva: World Economic Forum.</w:t>
      </w:r>
    </w:p>
    <w:p w14:paraId="29C5C529" w14:textId="77777777" w:rsidR="00A508F7" w:rsidRDefault="00000000">
      <w:pPr>
        <w:spacing w:after="120" w:line="276" w:lineRule="auto"/>
        <w:ind w:left="720" w:hanging="720"/>
      </w:pPr>
      <w:r>
        <w:rPr>
          <w:sz w:val="22"/>
          <w:szCs w:val="22"/>
        </w:rPr>
        <w:t xml:space="preserve">Zou, J. and </w:t>
      </w:r>
      <w:proofErr w:type="spellStart"/>
      <w:r>
        <w:rPr>
          <w:sz w:val="22"/>
          <w:szCs w:val="22"/>
        </w:rPr>
        <w:t>Schiebinger</w:t>
      </w:r>
      <w:proofErr w:type="spellEnd"/>
      <w:r>
        <w:rPr>
          <w:sz w:val="22"/>
          <w:szCs w:val="22"/>
        </w:rPr>
        <w:t>, L. (2018) 'AI Can Be Sexist and Racist - It's Time to Make It Fair', Nature, 559(7714), pp. 324-326.</w:t>
      </w:r>
    </w:p>
    <w:sectPr w:rsidR="00A508F7">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9D562B" w14:textId="77777777" w:rsidR="00D06B8A" w:rsidRDefault="00D06B8A">
      <w:r>
        <w:separator/>
      </w:r>
    </w:p>
  </w:endnote>
  <w:endnote w:type="continuationSeparator" w:id="0">
    <w:p w14:paraId="6E98129D" w14:textId="77777777" w:rsidR="00D06B8A" w:rsidRDefault="00D06B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95E66B" w14:textId="1AF582B7" w:rsidR="00A508F7" w:rsidRDefault="00000000">
    <w:pPr>
      <w:pBdr>
        <w:top w:val="single" w:sz="4" w:space="4" w:color="CCCCCC"/>
      </w:pBdr>
      <w:jc w:val="center"/>
    </w:pPr>
    <w:r>
      <w:rPr>
        <w:color w:val="808080"/>
        <w:sz w:val="18"/>
        <w:szCs w:val="18"/>
      </w:rPr>
      <w:fldChar w:fldCharType="begin"/>
    </w:r>
    <w:r>
      <w:rPr>
        <w:color w:val="808080"/>
        <w:sz w:val="18"/>
        <w:szCs w:val="18"/>
      </w:rPr>
      <w:instrText>PAGE</w:instrText>
    </w:r>
    <w:r>
      <w:rPr>
        <w:color w:val="808080"/>
        <w:sz w:val="18"/>
        <w:szCs w:val="18"/>
      </w:rPr>
      <w:fldChar w:fldCharType="separate"/>
    </w:r>
    <w:r w:rsidR="00C17606">
      <w:rPr>
        <w:noProof/>
        <w:color w:val="808080"/>
        <w:sz w:val="18"/>
        <w:szCs w:val="18"/>
      </w:rPr>
      <w:t>2</w:t>
    </w:r>
    <w:r>
      <w:rPr>
        <w:color w:val="80808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1BDE5" w14:textId="77777777" w:rsidR="00D06B8A" w:rsidRDefault="00D06B8A">
      <w:r>
        <w:separator/>
      </w:r>
    </w:p>
  </w:footnote>
  <w:footnote w:type="continuationSeparator" w:id="0">
    <w:p w14:paraId="169797C5" w14:textId="77777777" w:rsidR="00D06B8A" w:rsidRDefault="00D06B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D1D64" w14:textId="3FE58B2D" w:rsidR="00A508F7" w:rsidRDefault="0059786F" w:rsidP="0059786F">
    <w:pPr>
      <w:pBdr>
        <w:bottom w:val="single" w:sz="4" w:space="4" w:color="CCCCCC"/>
      </w:pBdr>
      <w:jc w:val="right"/>
    </w:pPr>
    <w:r>
      <w:rPr>
        <w:i/>
        <w:iCs/>
        <w:color w:val="808080"/>
        <w:sz w:val="18"/>
        <w:szCs w:val="18"/>
      </w:rPr>
      <w:t>2589145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D6EA4"/>
    <w:multiLevelType w:val="hybridMultilevel"/>
    <w:tmpl w:val="BC3A7F8A"/>
    <w:lvl w:ilvl="0" w:tplc="55B2232A">
      <w:start w:val="1"/>
      <w:numFmt w:val="bullet"/>
      <w:lvlText w:val="•"/>
      <w:lvlJc w:val="left"/>
      <w:pPr>
        <w:ind w:left="720" w:hanging="360"/>
      </w:pPr>
    </w:lvl>
    <w:lvl w:ilvl="1" w:tplc="7F008A92">
      <w:numFmt w:val="decimal"/>
      <w:lvlText w:val=""/>
      <w:lvlJc w:val="left"/>
    </w:lvl>
    <w:lvl w:ilvl="2" w:tplc="A67C4B12">
      <w:numFmt w:val="decimal"/>
      <w:lvlText w:val=""/>
      <w:lvlJc w:val="left"/>
    </w:lvl>
    <w:lvl w:ilvl="3" w:tplc="5478EECA">
      <w:numFmt w:val="decimal"/>
      <w:lvlText w:val=""/>
      <w:lvlJc w:val="left"/>
    </w:lvl>
    <w:lvl w:ilvl="4" w:tplc="602258A4">
      <w:numFmt w:val="decimal"/>
      <w:lvlText w:val=""/>
      <w:lvlJc w:val="left"/>
    </w:lvl>
    <w:lvl w:ilvl="5" w:tplc="0FB60114">
      <w:numFmt w:val="decimal"/>
      <w:lvlText w:val=""/>
      <w:lvlJc w:val="left"/>
    </w:lvl>
    <w:lvl w:ilvl="6" w:tplc="ACD26EDA">
      <w:numFmt w:val="decimal"/>
      <w:lvlText w:val=""/>
      <w:lvlJc w:val="left"/>
    </w:lvl>
    <w:lvl w:ilvl="7" w:tplc="224C0C88">
      <w:numFmt w:val="decimal"/>
      <w:lvlText w:val=""/>
      <w:lvlJc w:val="left"/>
    </w:lvl>
    <w:lvl w:ilvl="8" w:tplc="06A649CA">
      <w:numFmt w:val="decimal"/>
      <w:lvlText w:val=""/>
      <w:lvlJc w:val="left"/>
    </w:lvl>
  </w:abstractNum>
  <w:abstractNum w:abstractNumId="1" w15:restartNumberingAfterBreak="0">
    <w:nsid w:val="4C983A66"/>
    <w:multiLevelType w:val="hybridMultilevel"/>
    <w:tmpl w:val="41C8E412"/>
    <w:lvl w:ilvl="0" w:tplc="1BB43C02">
      <w:start w:val="1"/>
      <w:numFmt w:val="bullet"/>
      <w:lvlText w:val="●"/>
      <w:lvlJc w:val="left"/>
      <w:pPr>
        <w:ind w:left="720" w:hanging="360"/>
      </w:pPr>
    </w:lvl>
    <w:lvl w:ilvl="1" w:tplc="A0C67794">
      <w:start w:val="1"/>
      <w:numFmt w:val="bullet"/>
      <w:lvlText w:val="○"/>
      <w:lvlJc w:val="left"/>
      <w:pPr>
        <w:ind w:left="1440" w:hanging="360"/>
      </w:pPr>
    </w:lvl>
    <w:lvl w:ilvl="2" w:tplc="E24408AC">
      <w:start w:val="1"/>
      <w:numFmt w:val="bullet"/>
      <w:lvlText w:val="■"/>
      <w:lvlJc w:val="left"/>
      <w:pPr>
        <w:ind w:left="2160" w:hanging="360"/>
      </w:pPr>
    </w:lvl>
    <w:lvl w:ilvl="3" w:tplc="32D21732">
      <w:start w:val="1"/>
      <w:numFmt w:val="bullet"/>
      <w:lvlText w:val="●"/>
      <w:lvlJc w:val="left"/>
      <w:pPr>
        <w:ind w:left="2880" w:hanging="360"/>
      </w:pPr>
    </w:lvl>
    <w:lvl w:ilvl="4" w:tplc="28CECDCC">
      <w:start w:val="1"/>
      <w:numFmt w:val="bullet"/>
      <w:lvlText w:val="○"/>
      <w:lvlJc w:val="left"/>
      <w:pPr>
        <w:ind w:left="3600" w:hanging="360"/>
      </w:pPr>
    </w:lvl>
    <w:lvl w:ilvl="5" w:tplc="9FF4C1E2">
      <w:start w:val="1"/>
      <w:numFmt w:val="bullet"/>
      <w:lvlText w:val="■"/>
      <w:lvlJc w:val="left"/>
      <w:pPr>
        <w:ind w:left="4320" w:hanging="360"/>
      </w:pPr>
    </w:lvl>
    <w:lvl w:ilvl="6" w:tplc="7A70B76E">
      <w:start w:val="1"/>
      <w:numFmt w:val="bullet"/>
      <w:lvlText w:val="●"/>
      <w:lvlJc w:val="left"/>
      <w:pPr>
        <w:ind w:left="5040" w:hanging="360"/>
      </w:pPr>
    </w:lvl>
    <w:lvl w:ilvl="7" w:tplc="929C0694">
      <w:start w:val="1"/>
      <w:numFmt w:val="bullet"/>
      <w:lvlText w:val="●"/>
      <w:lvlJc w:val="left"/>
      <w:pPr>
        <w:ind w:left="5760" w:hanging="360"/>
      </w:pPr>
    </w:lvl>
    <w:lvl w:ilvl="8" w:tplc="986E2EBE">
      <w:start w:val="1"/>
      <w:numFmt w:val="bullet"/>
      <w:lvlText w:val="●"/>
      <w:lvlJc w:val="left"/>
      <w:pPr>
        <w:ind w:left="6480" w:hanging="360"/>
      </w:pPr>
    </w:lvl>
  </w:abstractNum>
  <w:num w:numId="1" w16cid:durableId="410852500">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08F7"/>
    <w:rsid w:val="0059786F"/>
    <w:rsid w:val="006F5D0D"/>
    <w:rsid w:val="00A508F7"/>
    <w:rsid w:val="00B7266E"/>
    <w:rsid w:val="00C17606"/>
    <w:rsid w:val="00D06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0740C8"/>
  <w15:docId w15:val="{B69A676E-A740-A74B-8589-D1FA2D873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3864"/>
      <w:sz w:val="32"/>
      <w:szCs w:val="32"/>
    </w:rPr>
  </w:style>
  <w:style w:type="paragraph" w:styleId="Heading2">
    <w:name w:val="heading 2"/>
    <w:uiPriority w:val="9"/>
    <w:unhideWhenUsed/>
    <w:qFormat/>
    <w:pPr>
      <w:spacing w:before="280" w:after="160"/>
      <w:outlineLvl w:val="1"/>
    </w:pPr>
    <w:rPr>
      <w:b/>
      <w:bCs/>
      <w:color w:val="2E75B6"/>
      <w:sz w:val="28"/>
      <w:szCs w:val="28"/>
    </w:rPr>
  </w:style>
  <w:style w:type="paragraph" w:styleId="Heading3">
    <w:name w:val="heading 3"/>
    <w:uiPriority w:val="9"/>
    <w:unhideWhenUsed/>
    <w:qFormat/>
    <w:pPr>
      <w:spacing w:before="240" w:after="120"/>
      <w:outlineLvl w:val="2"/>
    </w:pPr>
    <w:rPr>
      <w:b/>
      <w:bCs/>
      <w:color w:val="404040"/>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C17606"/>
    <w:pPr>
      <w:spacing w:after="100"/>
    </w:pPr>
  </w:style>
  <w:style w:type="paragraph" w:styleId="TOC2">
    <w:name w:val="toc 2"/>
    <w:basedOn w:val="Normal"/>
    <w:next w:val="Normal"/>
    <w:autoRedefine/>
    <w:uiPriority w:val="39"/>
    <w:unhideWhenUsed/>
    <w:rsid w:val="00C17606"/>
    <w:pPr>
      <w:spacing w:after="100"/>
      <w:ind w:left="240"/>
    </w:pPr>
  </w:style>
  <w:style w:type="paragraph" w:styleId="TOC3">
    <w:name w:val="toc 3"/>
    <w:basedOn w:val="Normal"/>
    <w:next w:val="Normal"/>
    <w:autoRedefine/>
    <w:uiPriority w:val="39"/>
    <w:unhideWhenUsed/>
    <w:rsid w:val="00C17606"/>
    <w:pPr>
      <w:spacing w:after="100"/>
      <w:ind w:left="480"/>
    </w:pPr>
  </w:style>
  <w:style w:type="table" w:styleId="TableGrid">
    <w:name w:val="Table Grid"/>
    <w:basedOn w:val="TableNormal"/>
    <w:uiPriority w:val="39"/>
    <w:rsid w:val="00C176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786F"/>
    <w:pPr>
      <w:tabs>
        <w:tab w:val="center" w:pos="4513"/>
        <w:tab w:val="right" w:pos="9026"/>
      </w:tabs>
    </w:pPr>
  </w:style>
  <w:style w:type="character" w:customStyle="1" w:styleId="HeaderChar">
    <w:name w:val="Header Char"/>
    <w:basedOn w:val="DefaultParagraphFont"/>
    <w:link w:val="Header"/>
    <w:uiPriority w:val="99"/>
    <w:rsid w:val="0059786F"/>
  </w:style>
  <w:style w:type="paragraph" w:styleId="Footer">
    <w:name w:val="footer"/>
    <w:basedOn w:val="Normal"/>
    <w:link w:val="FooterChar"/>
    <w:uiPriority w:val="99"/>
    <w:unhideWhenUsed/>
    <w:rsid w:val="0059786F"/>
    <w:pPr>
      <w:tabs>
        <w:tab w:val="center" w:pos="4513"/>
        <w:tab w:val="right" w:pos="9026"/>
      </w:tabs>
    </w:pPr>
  </w:style>
  <w:style w:type="character" w:customStyle="1" w:styleId="FooterChar">
    <w:name w:val="Footer Char"/>
    <w:basedOn w:val="DefaultParagraphFont"/>
    <w:link w:val="Footer"/>
    <w:uiPriority w:val="99"/>
    <w:rsid w:val="005978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26</Pages>
  <Words>7334</Words>
  <Characters>41879</Characters>
  <Application>Microsoft Office Word</Application>
  <DocSecurity>0</DocSecurity>
  <Lines>821</Lines>
  <Paragraphs>300</Paragraphs>
  <ScaleCrop>false</ScaleCrop>
  <Company/>
  <LinksUpToDate>false</LinksUpToDate>
  <CharactersWithSpaces>48913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Mohsin Ali</cp:lastModifiedBy>
  <cp:revision>4</cp:revision>
  <dcterms:created xsi:type="dcterms:W3CDTF">2026-04-27T21:20:00Z</dcterms:created>
  <dcterms:modified xsi:type="dcterms:W3CDTF">2026-04-27T21:28:00Z</dcterms:modified>
</cp:coreProperties>
</file>