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28A7" w14:textId="77777777" w:rsidR="001637DF" w:rsidRDefault="00565056" w:rsidP="005650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056">
        <w:rPr>
          <w:rFonts w:ascii="Times New Roman" w:hAnsi="Times New Roman" w:cs="Times New Roman"/>
          <w:sz w:val="24"/>
          <w:szCs w:val="24"/>
          <w:highlight w:val="yellow"/>
        </w:rPr>
        <w:t>Smith (2009, p.7)</w:t>
      </w:r>
      <w:r>
        <w:rPr>
          <w:rFonts w:ascii="Times New Roman" w:hAnsi="Times New Roman" w:cs="Times New Roman"/>
          <w:sz w:val="24"/>
          <w:szCs w:val="24"/>
        </w:rPr>
        <w:t xml:space="preserve"> suggests that the Advocacy Charter is a beneficial and supportive document that can aid advocates in their professional practice (Jones, 2013, p.670; Harris, 2023, p.12). </w:t>
      </w:r>
    </w:p>
    <w:p w14:paraId="2533CE6F" w14:textId="77777777" w:rsidR="001637DF" w:rsidRDefault="001637DF" w:rsidP="005650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E17607" w14:textId="11B9C4FE" w:rsidR="00076096" w:rsidRDefault="00565056" w:rsidP="005650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Evans (2023, p.56) argues that the Advocacy Charter is not as robust as it claims to be, stating that </w:t>
      </w:r>
      <w:r w:rsidR="001637DF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the Advocacy Charter does not reflect current best practice</w:t>
      </w:r>
      <w:r w:rsidR="001637DF">
        <w:rPr>
          <w:rFonts w:ascii="Times New Roman" w:hAnsi="Times New Roman" w:cs="Times New Roman"/>
          <w:sz w:val="24"/>
          <w:szCs w:val="24"/>
        </w:rPr>
        <w:t>’ (Evans, 2023, p.57)</w:t>
      </w:r>
      <w:r>
        <w:rPr>
          <w:rFonts w:ascii="Times New Roman" w:hAnsi="Times New Roman" w:cs="Times New Roman"/>
          <w:sz w:val="24"/>
          <w:szCs w:val="24"/>
        </w:rPr>
        <w:t xml:space="preserve">, this is supported by Plough (2023, p.57) who further suggests that following the pandemic, society has changed their societal viewpoint. </w:t>
      </w:r>
    </w:p>
    <w:p w14:paraId="079C4735" w14:textId="77777777" w:rsidR="00D75F4B" w:rsidRDefault="00D75F4B" w:rsidP="005650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808F30" w14:textId="49D081A3" w:rsidR="00D75F4B" w:rsidRDefault="00D75F4B" w:rsidP="005650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Website </w:t>
      </w:r>
    </w:p>
    <w:p w14:paraId="2651D984" w14:textId="71609E53" w:rsidR="00D75F4B" w:rsidRPr="00565056" w:rsidRDefault="00D75F4B" w:rsidP="005650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(Action For Children, 2024, np)</w:t>
      </w:r>
    </w:p>
    <w:sectPr w:rsidR="00D75F4B" w:rsidRPr="005650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056"/>
    <w:rsid w:val="00076096"/>
    <w:rsid w:val="001637DF"/>
    <w:rsid w:val="002E6ACA"/>
    <w:rsid w:val="00565056"/>
    <w:rsid w:val="005A2908"/>
    <w:rsid w:val="00D7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9DB60"/>
  <w15:chartTrackingRefBased/>
  <w15:docId w15:val="{8E972DDF-6586-49D3-9A35-A89177D78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9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st">
    <w:name w:val="Test"/>
    <w:basedOn w:val="Normal"/>
    <w:autoRedefine/>
    <w:qFormat/>
    <w:rsid w:val="005A2908"/>
    <w:pPr>
      <w:spacing w:line="36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 (IEH)</dc:creator>
  <cp:keywords/>
  <dc:description/>
  <cp:lastModifiedBy>Laura Jenkins (IEH)</cp:lastModifiedBy>
  <cp:revision>1</cp:revision>
  <dcterms:created xsi:type="dcterms:W3CDTF">2024-01-15T10:41:00Z</dcterms:created>
  <dcterms:modified xsi:type="dcterms:W3CDTF">2024-01-15T12:15:00Z</dcterms:modified>
</cp:coreProperties>
</file>