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4A7E" w:rsidRPr="00894A7E" w:rsidRDefault="00894A7E" w:rsidP="00894A7E">
      <w:pPr>
        <w:rPr>
          <w:rFonts w:ascii="Times New Roman" w:hAnsi="Times New Roman" w:cs="Times New Roman"/>
          <w:lang w:val="en-US"/>
        </w:rPr>
      </w:pPr>
      <w:r w:rsidRPr="00894A7E">
        <w:rPr>
          <w:rFonts w:ascii="Times New Roman" w:hAnsi="Times New Roman" w:cs="Times New Roman"/>
          <w:lang w:val="en-US"/>
        </w:rPr>
        <w:t xml:space="preserve">Source 2. </w:t>
      </w:r>
    </w:p>
    <w:p w:rsidR="00894A7E" w:rsidRPr="00894A7E" w:rsidRDefault="00894A7E" w:rsidP="00894A7E">
      <w:pPr>
        <w:rPr>
          <w:rFonts w:ascii="Times New Roman" w:hAnsi="Times New Roman" w:cs="Times New Roman"/>
          <w:lang w:val="en-US"/>
        </w:rPr>
      </w:pPr>
      <w:r w:rsidRPr="00894A7E">
        <w:rPr>
          <w:rFonts w:ascii="Times New Roman" w:hAnsi="Times New Roman" w:cs="Times New Roman"/>
          <w:lang w:val="en-US"/>
        </w:rPr>
        <w:t>Lévi-Strauss, C. 1963. Structural Anthropology. New York: Basic Books. p.337.</w:t>
      </w:r>
    </w:p>
    <w:p w:rsidR="00894A7E" w:rsidRDefault="00894A7E" w:rsidP="00894A7E">
      <w:pPr>
        <w:rPr>
          <w:rFonts w:ascii="Times New Roman" w:hAnsi="Times New Roman" w:cs="Times New Roman"/>
          <w:lang w:val="en-US"/>
        </w:rPr>
      </w:pPr>
      <w:r w:rsidRPr="00894A7E">
        <w:rPr>
          <w:rFonts w:ascii="Times New Roman" w:hAnsi="Times New Roman" w:cs="Times New Roman"/>
          <w:lang w:val="en-US"/>
        </w:rPr>
        <w:t>“Actually, Marx and Engels frequently express the idea that primitive, or allegedly primitive, societies are governed by “blood ties” (which, today, we call kinship systems) and not by economic relationships. If these societies were not destroyed from without, they might endure indefinitely. The temporal category applicable to them has nothing to do with the one we employ to understand the development of our own society. Nor does this conception contradict in the least the famous dictum of the Communist Manifesto that “the history of all hitherto existing society is the history of class struggles.” In the light of Hegel’s philosophy of the State, this dictum does not mean that the class struggle is co-extensive with humanity, but that the ideas of history and society can be applied, in the full sense which Marx gives them, only from the time when the class struggle first appeared. The letter to Weydemeyer clearly supports this: “What I did that was new,” Marx wrote, “was prove . . . that the existence of classes is only bound up with particular historical phases in the development of production.”</w:t>
      </w:r>
      <w:r>
        <w:rPr>
          <w:rFonts w:ascii="Times New Roman" w:hAnsi="Times New Roman" w:cs="Times New Roman"/>
          <w:lang w:val="en-US"/>
        </w:rPr>
        <w:t>.</w:t>
      </w:r>
    </w:p>
    <w:p w:rsidR="00307494" w:rsidRPr="00307494" w:rsidRDefault="00307494" w:rsidP="00307494">
      <w:pPr>
        <w:rPr>
          <w:rFonts w:ascii="Times New Roman" w:hAnsi="Times New Roman" w:cs="Times New Roman"/>
          <w:lang w:val="en-US"/>
        </w:rPr>
      </w:pPr>
      <w:r w:rsidRPr="00307494">
        <w:rPr>
          <w:rFonts w:ascii="Times New Roman" w:hAnsi="Times New Roman" w:cs="Times New Roman"/>
          <w:lang w:val="en-US"/>
        </w:rPr>
        <w:t xml:space="preserve">The source is a passage taken from the book “Structural Anthropology” written by Levi-Strauss, Claude in 1963. The source is about how Karl Marx and Friedrich Engels </w:t>
      </w:r>
      <w:proofErr w:type="spellStart"/>
      <w:r w:rsidRPr="00307494">
        <w:rPr>
          <w:rFonts w:ascii="Times New Roman" w:hAnsi="Times New Roman" w:cs="Times New Roman"/>
          <w:lang w:val="en-US"/>
        </w:rPr>
        <w:t>theorised</w:t>
      </w:r>
      <w:proofErr w:type="spellEnd"/>
      <w:r w:rsidRPr="00307494">
        <w:rPr>
          <w:rFonts w:ascii="Times New Roman" w:hAnsi="Times New Roman" w:cs="Times New Roman"/>
          <w:lang w:val="en-US"/>
        </w:rPr>
        <w:t xml:space="preserve"> how the classes were created and how “primitive societies” would survive forever due to their governing system. The main points of the passage were to display the ideas of Marx and Engels about how capitalism and mode of production were the reasons why classes came about. During the time “Structural Anthropology” was written there were changes in the discipline of Anthropology and some of the language used in the original writings would have been too controversial in the 1960s compared to 1840s when Marx and Engels wrote their manifesto. This was due to changes in the ethics and laws for anthropology. An example of this is when Marx is talking about “blood-ties” and Levi-Strauss changes it too “kinship structures”. Kinship studies was also a major part of anthropology at the time the book was written: “Kinship is to anthropology what logic is to philosophy” (Fox, 1967). It was what many early anthropologists based their studies on as it was a way to organize the structure of communities that were vastly different to their own. The 1960s was also a time when there were a large class divide and lots of political issues. Evans stated in his journal about social classes in the 1960’s “Britain has been characterised as a class-conscious society, in which there are large divisions between classes in political attitudes and </w:t>
      </w:r>
      <w:proofErr w:type="spellStart"/>
      <w:r w:rsidRPr="00307494">
        <w:rPr>
          <w:rFonts w:ascii="Times New Roman" w:hAnsi="Times New Roman" w:cs="Times New Roman"/>
          <w:lang w:val="en-US"/>
        </w:rPr>
        <w:t>behaviour</w:t>
      </w:r>
      <w:proofErr w:type="spellEnd"/>
      <w:r w:rsidRPr="00307494">
        <w:rPr>
          <w:rFonts w:ascii="Times New Roman" w:hAnsi="Times New Roman" w:cs="Times New Roman"/>
          <w:lang w:val="en-US"/>
        </w:rPr>
        <w:t>” (Evans, 1993). Levi-Strauss may have been acknowledging this class consciousness in this passage.</w:t>
      </w:r>
    </w:p>
    <w:p w:rsidR="00307494" w:rsidRPr="00307494" w:rsidRDefault="00307494" w:rsidP="00307494">
      <w:pPr>
        <w:rPr>
          <w:rFonts w:ascii="Times New Roman" w:hAnsi="Times New Roman" w:cs="Times New Roman"/>
          <w:lang w:val="en-US"/>
        </w:rPr>
      </w:pPr>
      <w:r w:rsidRPr="00307494">
        <w:rPr>
          <w:rFonts w:ascii="Times New Roman" w:hAnsi="Times New Roman" w:cs="Times New Roman"/>
          <w:lang w:val="en-US"/>
        </w:rPr>
        <w:t>In the passage, Marx spoke about The Communist Manifesto and claimed that it was due to several revolutions in modes of production. Marx believed there were four types of this revolution which were tribal, ancient, feudal and capitalist (Morrison, 1995). Marx even stated in the passage that “the existence of classes is only bound up with particular historical phases in the development of production”.  Levi-Strauss may have included the passage in this book to highlight the points that Marx and Engels were discussing but molded it to fit a more modern audience of anthropologists. This shows the political views of Levi-Strauss, a structuralist, who is known to have a strong political opinion and was a political activist (</w:t>
      </w:r>
      <w:proofErr w:type="spellStart"/>
      <w:r w:rsidRPr="00307494">
        <w:rPr>
          <w:rFonts w:ascii="Times New Roman" w:hAnsi="Times New Roman" w:cs="Times New Roman"/>
          <w:lang w:val="en-US"/>
        </w:rPr>
        <w:t>Robics</w:t>
      </w:r>
      <w:proofErr w:type="spellEnd"/>
      <w:r w:rsidRPr="00307494">
        <w:rPr>
          <w:rFonts w:ascii="Times New Roman" w:hAnsi="Times New Roman" w:cs="Times New Roman"/>
          <w:lang w:val="en-US"/>
        </w:rPr>
        <w:t>, 2013).  The passage also includes a conversation about kinship within “primitive societies” and Levi-Strauss also had strong knowledge of this subject as he wrote a book called “The Elementary Structures of Kinship”.  Levi-Strauss was also focusing his attention on founding a new discipline within anthropology called “social anthropology” (</w:t>
      </w:r>
      <w:proofErr w:type="spellStart"/>
      <w:r w:rsidRPr="00307494">
        <w:rPr>
          <w:rFonts w:ascii="Times New Roman" w:hAnsi="Times New Roman" w:cs="Times New Roman"/>
          <w:lang w:val="en-US"/>
        </w:rPr>
        <w:t>Robics</w:t>
      </w:r>
      <w:proofErr w:type="spellEnd"/>
      <w:r w:rsidRPr="00307494">
        <w:rPr>
          <w:rFonts w:ascii="Times New Roman" w:hAnsi="Times New Roman" w:cs="Times New Roman"/>
          <w:lang w:val="en-US"/>
        </w:rPr>
        <w:t xml:space="preserve">, 2013). This passage is significant to anthropology because Levi-Strauss is a founder of a sub-category of anthropology and this passage may have influenced himself and others to explore more into kinship structures in indigenous communities in a more ethical way than before. Levi-Strauss also created the “Alliance Theory” which has been used by many anthropologists who have studied kinship. The passage not only shows Levi-Strauss’ view on kinship but also his view of the class system. Karl Marx is the father of Marxism and by including his words in his book Levi-Strauss is agreeing with </w:t>
      </w:r>
      <w:r w:rsidRPr="00307494">
        <w:rPr>
          <w:rFonts w:ascii="Times New Roman" w:hAnsi="Times New Roman" w:cs="Times New Roman"/>
          <w:lang w:val="en-US"/>
        </w:rPr>
        <w:lastRenderedPageBreak/>
        <w:t>him on this issue. This means that Levi-Strauss agrees that in indigenous societies there are not class differences because these communities are governed by kinship and not by the person who had the most power. The passage also states that “if these societies were destroyed from without”. This shows Levi-Strauss’ view on people interfering with and destroying indigenous communities which is that he dislikes that.</w:t>
      </w:r>
    </w:p>
    <w:p w:rsidR="00894A7E" w:rsidRPr="00307494" w:rsidRDefault="00307494" w:rsidP="00307494">
      <w:pPr>
        <w:rPr>
          <w:rFonts w:ascii="Times New Roman" w:hAnsi="Times New Roman" w:cs="Times New Roman"/>
          <w:lang w:val="en-US"/>
        </w:rPr>
      </w:pPr>
      <w:r w:rsidRPr="00307494">
        <w:rPr>
          <w:rFonts w:ascii="Times New Roman" w:hAnsi="Times New Roman" w:cs="Times New Roman"/>
          <w:lang w:val="en-US"/>
        </w:rPr>
        <w:t>The passage is very significant to political anthropology because it discusses the reasons as to why classes exist and how they do not exist in indigenous societies that are governed by kinship. It has also aided in the understanding of kinship and how it’s important to indigenous communities as well as inspired anthropologist to explore this topic. The source has some issues with ethics as the quotes from Karl Marx and Friedrich Engels because of the language they use; it’s clear that Levi-Strauss has fixed these issues and made them more ethical. Although, there can be arguments that the passage is treating all indigenous communities as the same because Marx and Levi-Strauss do not include examples of specific communities that rely on kinship as a governing force. This is slightly problematic as it does have any ethnographic evidence to support the claims. This can also be seen in the point where Marx says, “if they were not destroyed from without”. There is no ethnographic evidence given to prove his point. To conclude, the passage is important for anthropology because it helps anthropologists understand more of how kinship in some indigenous societies is important as it governs their communities.</w:t>
      </w: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894A7E" w:rsidRDefault="00894A7E">
      <w:pPr>
        <w:rPr>
          <w:rFonts w:ascii="Times New Roman" w:hAnsi="Times New Roman" w:cs="Times New Roman"/>
          <w:u w:val="single"/>
          <w:lang w:val="en-US"/>
        </w:rPr>
      </w:pPr>
    </w:p>
    <w:p w:rsidR="00126477" w:rsidRDefault="00126477">
      <w:pPr>
        <w:rPr>
          <w:rFonts w:ascii="Times New Roman" w:hAnsi="Times New Roman" w:cs="Times New Roman"/>
          <w:u w:val="single"/>
          <w:lang w:val="en-US"/>
        </w:rPr>
      </w:pPr>
    </w:p>
    <w:p w:rsidR="001D3C9D" w:rsidRDefault="001D3C9D">
      <w:pPr>
        <w:rPr>
          <w:rFonts w:ascii="Times New Roman" w:hAnsi="Times New Roman" w:cs="Times New Roman"/>
          <w:u w:val="single"/>
          <w:lang w:val="en-US"/>
        </w:rPr>
      </w:pPr>
      <w:r w:rsidRPr="001D3C9D">
        <w:rPr>
          <w:rFonts w:ascii="Times New Roman" w:hAnsi="Times New Roman" w:cs="Times New Roman"/>
          <w:u w:val="single"/>
          <w:lang w:val="en-US"/>
        </w:rPr>
        <w:lastRenderedPageBreak/>
        <w:t>Bibliography</w:t>
      </w:r>
    </w:p>
    <w:p w:rsidR="00207631" w:rsidRPr="00207631" w:rsidRDefault="00207631">
      <w:pPr>
        <w:rPr>
          <w:rFonts w:ascii="Times New Roman" w:hAnsi="Times New Roman" w:cs="Times New Roman"/>
          <w:lang w:val="en-US"/>
        </w:rPr>
      </w:pPr>
      <w:r>
        <w:rPr>
          <w:rFonts w:ascii="Times New Roman" w:hAnsi="Times New Roman" w:cs="Times New Roman"/>
          <w:lang w:val="en-US"/>
        </w:rPr>
        <w:t xml:space="preserve">Evans, G. (1993). ‘The Decline of Class Division in Britain? Class and Ideological Preferences in the 1960’s and the 1980’s’. </w:t>
      </w:r>
      <w:r>
        <w:rPr>
          <w:rFonts w:ascii="Times New Roman" w:hAnsi="Times New Roman" w:cs="Times New Roman"/>
          <w:i/>
          <w:lang w:val="en-US"/>
        </w:rPr>
        <w:t xml:space="preserve">The London School of Economics and Political Science. </w:t>
      </w:r>
      <w:r>
        <w:rPr>
          <w:rFonts w:ascii="Times New Roman" w:hAnsi="Times New Roman" w:cs="Times New Roman"/>
          <w:lang w:val="en-US"/>
        </w:rPr>
        <w:t xml:space="preserve">44(3). Pp.449-471. (Accessed: 05/03/2019). </w:t>
      </w:r>
      <w:r w:rsidRPr="00207631">
        <w:rPr>
          <w:rFonts w:ascii="Times New Roman" w:hAnsi="Times New Roman" w:cs="Times New Roman"/>
          <w:lang w:val="en-US"/>
        </w:rPr>
        <w:t>https://www.jstor.org/stable/591812</w:t>
      </w:r>
      <w:r>
        <w:rPr>
          <w:rFonts w:ascii="Times New Roman" w:hAnsi="Times New Roman" w:cs="Times New Roman"/>
          <w:lang w:val="en-US"/>
        </w:rPr>
        <w:t xml:space="preserve">. </w:t>
      </w:r>
    </w:p>
    <w:p w:rsidR="001D3C9D" w:rsidRDefault="001D3C9D">
      <w:pPr>
        <w:rPr>
          <w:rFonts w:ascii="Times New Roman" w:hAnsi="Times New Roman" w:cs="Times New Roman"/>
          <w:lang w:val="en-US"/>
        </w:rPr>
      </w:pPr>
      <w:r>
        <w:rPr>
          <w:rFonts w:ascii="Times New Roman" w:hAnsi="Times New Roman" w:cs="Times New Roman"/>
          <w:lang w:val="en-US"/>
        </w:rPr>
        <w:t xml:space="preserve">Fox, R. (1967). </w:t>
      </w:r>
      <w:r>
        <w:rPr>
          <w:rFonts w:ascii="Times New Roman" w:hAnsi="Times New Roman" w:cs="Times New Roman"/>
          <w:i/>
          <w:lang w:val="en-US"/>
        </w:rPr>
        <w:t xml:space="preserve">Kinship and Marriage: An Anthropological Perspective. </w:t>
      </w:r>
      <w:r>
        <w:rPr>
          <w:rFonts w:ascii="Times New Roman" w:hAnsi="Times New Roman" w:cs="Times New Roman"/>
          <w:lang w:val="en-US"/>
        </w:rPr>
        <w:t>Cambridge University Press.</w:t>
      </w:r>
    </w:p>
    <w:p w:rsidR="005F0000" w:rsidRPr="00E67CAE" w:rsidRDefault="005F0000" w:rsidP="005F0000">
      <w:pPr>
        <w:rPr>
          <w:rFonts w:ascii="Times New Roman" w:hAnsi="Times New Roman" w:cs="Times New Roman"/>
        </w:rPr>
      </w:pPr>
      <w:r w:rsidRPr="00E67CAE">
        <w:rPr>
          <w:rFonts w:ascii="Times New Roman" w:hAnsi="Times New Roman" w:cs="Times New Roman"/>
        </w:rPr>
        <w:t xml:space="preserve">Lévi-Strauss, C. 1963. </w:t>
      </w:r>
      <w:r w:rsidRPr="005F0000">
        <w:rPr>
          <w:rFonts w:ascii="Times New Roman" w:hAnsi="Times New Roman" w:cs="Times New Roman"/>
          <w:i/>
        </w:rPr>
        <w:t>Structural Anthropology</w:t>
      </w:r>
      <w:r w:rsidRPr="00E67CAE">
        <w:rPr>
          <w:rFonts w:ascii="Times New Roman" w:hAnsi="Times New Roman" w:cs="Times New Roman"/>
        </w:rPr>
        <w:t>. New York: Basic Books. p.337.</w:t>
      </w:r>
    </w:p>
    <w:p w:rsidR="005B7E2B" w:rsidRDefault="0000176E">
      <w:pPr>
        <w:rPr>
          <w:rFonts w:ascii="Times New Roman" w:hAnsi="Times New Roman" w:cs="Times New Roman"/>
          <w:lang w:val="en-US"/>
        </w:rPr>
      </w:pPr>
      <w:r>
        <w:rPr>
          <w:rFonts w:ascii="Times New Roman" w:hAnsi="Times New Roman" w:cs="Times New Roman"/>
          <w:lang w:val="en-US"/>
        </w:rPr>
        <w:t xml:space="preserve">Morrison, K. (1995). </w:t>
      </w:r>
      <w:r>
        <w:rPr>
          <w:rFonts w:ascii="Times New Roman" w:hAnsi="Times New Roman" w:cs="Times New Roman"/>
          <w:i/>
          <w:lang w:val="en-US"/>
        </w:rPr>
        <w:t xml:space="preserve">Marx, Durkheim and Weber: Formations of Modern Social Thought. </w:t>
      </w:r>
      <w:r>
        <w:rPr>
          <w:rFonts w:ascii="Times New Roman" w:hAnsi="Times New Roman" w:cs="Times New Roman"/>
          <w:lang w:val="en-US"/>
        </w:rPr>
        <w:t>Sage Publications.</w:t>
      </w:r>
    </w:p>
    <w:p w:rsidR="00A01626" w:rsidRDefault="00A01626">
      <w:pPr>
        <w:rPr>
          <w:rFonts w:ascii="Times New Roman" w:hAnsi="Times New Roman" w:cs="Times New Roman"/>
          <w:lang w:val="en-US"/>
        </w:rPr>
      </w:pPr>
      <w:r>
        <w:rPr>
          <w:rFonts w:ascii="Times New Roman" w:hAnsi="Times New Roman" w:cs="Times New Roman"/>
          <w:lang w:val="en-US"/>
        </w:rPr>
        <w:t xml:space="preserve">Robics, C. (2013). ‘Levi-Strauss’s Structuralist Social Contract’. </w:t>
      </w:r>
      <w:r>
        <w:rPr>
          <w:rFonts w:ascii="Times New Roman" w:hAnsi="Times New Roman" w:cs="Times New Roman"/>
          <w:i/>
          <w:lang w:val="en-US"/>
        </w:rPr>
        <w:t>Yale University Press.</w:t>
      </w:r>
      <w:r>
        <w:rPr>
          <w:rFonts w:ascii="Times New Roman" w:hAnsi="Times New Roman" w:cs="Times New Roman"/>
          <w:lang w:val="en-US"/>
        </w:rPr>
        <w:t xml:space="preserve"> 123. Pp. 145-165. (Accessed: 05/03/2019). </w:t>
      </w:r>
      <w:hyperlink r:id="rId5" w:history="1">
        <w:r w:rsidR="001B2C26" w:rsidRPr="00C018E5">
          <w:rPr>
            <w:rStyle w:val="Hyperlink"/>
            <w:rFonts w:ascii="Times New Roman" w:hAnsi="Times New Roman" w:cs="Times New Roman"/>
            <w:lang w:val="en-US"/>
          </w:rPr>
          <w:t>https://www.jstor.org/stable/23645880</w:t>
        </w:r>
      </w:hyperlink>
      <w:r>
        <w:rPr>
          <w:rFonts w:ascii="Times New Roman" w:hAnsi="Times New Roman" w:cs="Times New Roman"/>
          <w:lang w:val="en-US"/>
        </w:rPr>
        <w:t>.</w:t>
      </w:r>
    </w:p>
    <w:p w:rsidR="001B2C26" w:rsidRDefault="001B2C26">
      <w:pPr>
        <w:rPr>
          <w:rFonts w:ascii="Times New Roman" w:hAnsi="Times New Roman" w:cs="Times New Roman"/>
          <w:lang w:val="en-US"/>
        </w:rPr>
      </w:pPr>
    </w:p>
    <w:p w:rsidR="001B2C26" w:rsidRDefault="001B2C26">
      <w:pPr>
        <w:rPr>
          <w:rFonts w:ascii="Times New Roman" w:hAnsi="Times New Roman" w:cs="Times New Roman"/>
          <w:lang w:val="en-US"/>
        </w:rPr>
      </w:pPr>
      <w:r>
        <w:rPr>
          <w:rFonts w:ascii="Times New Roman" w:hAnsi="Times New Roman" w:cs="Times New Roman"/>
          <w:lang w:val="en-US"/>
        </w:rPr>
        <w:br w:type="page"/>
      </w:r>
    </w:p>
    <w:p w:rsidR="001B2C26" w:rsidRDefault="001B2C26" w:rsidP="00087666">
      <w:pPr>
        <w:jc w:val="center"/>
        <w:rPr>
          <w:rFonts w:ascii="Californian FB" w:hAnsi="Californian FB"/>
          <w:b/>
          <w:sz w:val="28"/>
          <w:u w:val="single"/>
          <w:lang w:val="en-US"/>
        </w:rPr>
      </w:pPr>
      <w:r>
        <w:rPr>
          <w:rFonts w:ascii="Californian FB" w:hAnsi="Californian FB"/>
          <w:noProof/>
          <w:sz w:val="24"/>
          <w:lang w:val="en-US"/>
        </w:rPr>
        <w:lastRenderedPageBreak/>
        <w:drawing>
          <wp:anchor distT="0" distB="0" distL="114300" distR="114300" simplePos="0" relativeHeight="251661312" behindDoc="1" locked="0" layoutInCell="1" allowOverlap="1">
            <wp:simplePos x="0" y="0"/>
            <wp:positionH relativeFrom="leftMargin">
              <wp:align>right</wp:align>
            </wp:positionH>
            <wp:positionV relativeFrom="paragraph">
              <wp:posOffset>0</wp:posOffset>
            </wp:positionV>
            <wp:extent cx="447675" cy="534035"/>
            <wp:effectExtent l="0" t="0" r="9525" b="0"/>
            <wp:wrapTight wrapText="bothSides">
              <wp:wrapPolygon edited="0">
                <wp:start x="0" y="0"/>
                <wp:lineTo x="0" y="20804"/>
                <wp:lineTo x="21140" y="20804"/>
                <wp:lineTo x="211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wer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675" cy="534035"/>
                    </a:xfrm>
                    <a:prstGeom prst="rect">
                      <a:avLst/>
                    </a:prstGeom>
                  </pic:spPr>
                </pic:pic>
              </a:graphicData>
            </a:graphic>
            <wp14:sizeRelH relativeFrom="page">
              <wp14:pctWidth>0</wp14:pctWidth>
            </wp14:sizeRelH>
            <wp14:sizeRelV relativeFrom="page">
              <wp14:pctHeight>0</wp14:pctHeight>
            </wp14:sizeRelV>
          </wp:anchor>
        </w:drawing>
      </w:r>
      <w:r>
        <w:rPr>
          <w:rFonts w:ascii="Californian FB" w:hAnsi="Californian FB"/>
          <w:noProof/>
          <w:sz w:val="24"/>
          <w:lang w:val="en-US"/>
        </w:rPr>
        <w:drawing>
          <wp:anchor distT="0" distB="0" distL="114300" distR="114300" simplePos="0" relativeHeight="251662336" behindDoc="1" locked="0" layoutInCell="1" allowOverlap="1" wp14:anchorId="0D87D90A">
            <wp:simplePos x="0" y="0"/>
            <wp:positionH relativeFrom="rightMargin">
              <wp:align>left</wp:align>
            </wp:positionH>
            <wp:positionV relativeFrom="paragraph">
              <wp:posOffset>19050</wp:posOffset>
            </wp:positionV>
            <wp:extent cx="450850" cy="536575"/>
            <wp:effectExtent l="0" t="0" r="6350" b="0"/>
            <wp:wrapTight wrapText="bothSides">
              <wp:wrapPolygon edited="0">
                <wp:start x="0" y="0"/>
                <wp:lineTo x="0" y="20705"/>
                <wp:lineTo x="20992" y="20705"/>
                <wp:lineTo x="2099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850" cy="536575"/>
                    </a:xfrm>
                    <a:prstGeom prst="rect">
                      <a:avLst/>
                    </a:prstGeom>
                    <a:noFill/>
                  </pic:spPr>
                </pic:pic>
              </a:graphicData>
            </a:graphic>
            <wp14:sizeRelH relativeFrom="page">
              <wp14:pctWidth>0</wp14:pctWidth>
            </wp14:sizeRelH>
            <wp14:sizeRelV relativeFrom="page">
              <wp14:pctHeight>0</wp14:pctHeight>
            </wp14:sizeRelV>
          </wp:anchor>
        </w:drawing>
      </w:r>
      <w:r w:rsidRPr="00087666">
        <w:rPr>
          <w:rFonts w:ascii="Californian FB" w:hAnsi="Californian FB"/>
          <w:b/>
          <w:sz w:val="28"/>
          <w:u w:val="single"/>
          <w:lang w:val="en-US"/>
        </w:rPr>
        <w:t>Fight Back With Flowers</w:t>
      </w:r>
    </w:p>
    <w:p w:rsidR="001B2C26" w:rsidRDefault="001B2C26" w:rsidP="00087666">
      <w:pPr>
        <w:jc w:val="center"/>
        <w:rPr>
          <w:rFonts w:ascii="Californian FB" w:hAnsi="Californian FB"/>
          <w:sz w:val="24"/>
          <w:lang w:val="en-US"/>
        </w:rPr>
      </w:pPr>
      <w:r>
        <w:rPr>
          <w:rFonts w:ascii="Californian FB" w:hAnsi="Californian FB"/>
          <w:noProof/>
          <w:sz w:val="24"/>
          <w:lang w:val="en-US"/>
        </w:rPr>
        <w:drawing>
          <wp:anchor distT="0" distB="0" distL="114300" distR="114300" simplePos="0" relativeHeight="251659264" behindDoc="1" locked="0" layoutInCell="1" allowOverlap="1">
            <wp:simplePos x="0" y="0"/>
            <wp:positionH relativeFrom="column">
              <wp:posOffset>-542925</wp:posOffset>
            </wp:positionH>
            <wp:positionV relativeFrom="paragraph">
              <wp:posOffset>306705</wp:posOffset>
            </wp:positionV>
            <wp:extent cx="2371725" cy="1743075"/>
            <wp:effectExtent l="76200" t="76200" r="142875" b="142875"/>
            <wp:wrapTight wrapText="bothSides">
              <wp:wrapPolygon edited="0">
                <wp:start x="-347" y="-944"/>
                <wp:lineTo x="-694" y="-708"/>
                <wp:lineTo x="-694" y="21954"/>
                <wp:lineTo x="-347" y="23134"/>
                <wp:lineTo x="22381" y="23134"/>
                <wp:lineTo x="22728" y="21954"/>
                <wp:lineTo x="22728" y="3069"/>
                <wp:lineTo x="22381" y="-472"/>
                <wp:lineTo x="22381" y="-944"/>
                <wp:lineTo x="-347" y="-94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rdening.jpg"/>
                    <pic:cNvPicPr/>
                  </pic:nvPicPr>
                  <pic:blipFill rotWithShape="1">
                    <a:blip r:embed="rId8">
                      <a:extLst>
                        <a:ext uri="{28A0092B-C50C-407E-A947-70E740481C1C}">
                          <a14:useLocalDpi xmlns:a14="http://schemas.microsoft.com/office/drawing/2010/main" val="0"/>
                        </a:ext>
                      </a:extLst>
                    </a:blip>
                    <a:srcRect l="9971" t="3158" r="5274" b="28872"/>
                    <a:stretch/>
                  </pic:blipFill>
                  <pic:spPr bwMode="auto">
                    <a:xfrm>
                      <a:off x="0" y="0"/>
                      <a:ext cx="2371725" cy="1743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fornian FB" w:hAnsi="Californian FB"/>
          <w:sz w:val="24"/>
          <w:lang w:val="en-US"/>
        </w:rPr>
        <w:t>Use Guerrilla Warfare tactics to make neglected public land beautiful!</w:t>
      </w:r>
    </w:p>
    <w:p w:rsidR="001B2C26" w:rsidRPr="00087666" w:rsidRDefault="001B2C26" w:rsidP="00087666">
      <w:pPr>
        <w:rPr>
          <w:rFonts w:ascii="Californian FB" w:hAnsi="Californian FB"/>
          <w:sz w:val="24"/>
          <w:lang w:val="en-US"/>
        </w:rPr>
      </w:pPr>
    </w:p>
    <w:p w:rsidR="001B2C26" w:rsidRPr="00C46476" w:rsidRDefault="001B2C26" w:rsidP="00087666">
      <w:pPr>
        <w:jc w:val="center"/>
        <w:rPr>
          <w:rFonts w:ascii="Californian FB" w:hAnsi="Californian FB"/>
          <w:b/>
          <w:sz w:val="24"/>
          <w:u w:val="single"/>
          <w:lang w:val="en-US"/>
        </w:rPr>
      </w:pPr>
      <w:r w:rsidRPr="00C46476">
        <w:rPr>
          <w:rFonts w:ascii="Californian FB" w:hAnsi="Californian FB"/>
          <w:b/>
          <w:sz w:val="24"/>
          <w:u w:val="single"/>
          <w:lang w:val="en-US"/>
        </w:rPr>
        <w:t>Guerrilla Gardening</w:t>
      </w:r>
    </w:p>
    <w:p w:rsidR="001B2C26" w:rsidRPr="00C46476" w:rsidRDefault="001B2C26" w:rsidP="00087666">
      <w:pPr>
        <w:rPr>
          <w:rFonts w:ascii="Californian FB" w:hAnsi="Californian FB"/>
          <w:lang w:val="en-US"/>
        </w:rPr>
      </w:pPr>
      <w:r w:rsidRPr="00C46476">
        <w:rPr>
          <w:rFonts w:ascii="Californian FB" w:hAnsi="Californian FB"/>
          <w:lang w:val="en-US"/>
        </w:rPr>
        <w:t xml:space="preserve">Guerrilla Gardening is the act of planting plants of vegetables in public spaces. Although it is technically illegal many of the people taking part see it as a right especially Richard Reynolds who believes public spaces are “Our land” and that we have a “right to the city” (Reynolds, 2012). </w:t>
      </w:r>
    </w:p>
    <w:p w:rsidR="001B2C26" w:rsidRDefault="001B2C26" w:rsidP="00087666">
      <w:pPr>
        <w:rPr>
          <w:rFonts w:ascii="Californian FB" w:hAnsi="Californian FB"/>
          <w:sz w:val="24"/>
          <w:lang w:val="en-US"/>
        </w:rPr>
      </w:pPr>
      <w:r>
        <w:rPr>
          <w:rFonts w:ascii="Californian FB" w:hAnsi="Californian FB"/>
          <w:noProof/>
          <w:sz w:val="24"/>
          <w:lang w:val="en-US"/>
        </w:rPr>
        <w:drawing>
          <wp:anchor distT="0" distB="0" distL="114300" distR="114300" simplePos="0" relativeHeight="251660288" behindDoc="1" locked="0" layoutInCell="1" allowOverlap="1">
            <wp:simplePos x="0" y="0"/>
            <wp:positionH relativeFrom="margin">
              <wp:align>right</wp:align>
            </wp:positionH>
            <wp:positionV relativeFrom="paragraph">
              <wp:posOffset>62865</wp:posOffset>
            </wp:positionV>
            <wp:extent cx="2905125" cy="1971675"/>
            <wp:effectExtent l="76200" t="76200" r="142875" b="142875"/>
            <wp:wrapTight wrapText="bothSides">
              <wp:wrapPolygon edited="0">
                <wp:start x="-283" y="-835"/>
                <wp:lineTo x="-567" y="-626"/>
                <wp:lineTo x="-567" y="22122"/>
                <wp:lineTo x="-283" y="22957"/>
                <wp:lineTo x="22237" y="22957"/>
                <wp:lineTo x="22237" y="22748"/>
                <wp:lineTo x="22521" y="19617"/>
                <wp:lineTo x="22521" y="2713"/>
                <wp:lineTo x="22237" y="-417"/>
                <wp:lineTo x="22237" y="-835"/>
                <wp:lineTo x="-283" y="-83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og.jpg"/>
                    <pic:cNvPicPr/>
                  </pic:nvPicPr>
                  <pic:blipFill rotWithShape="1">
                    <a:blip r:embed="rId9">
                      <a:extLst>
                        <a:ext uri="{28A0092B-C50C-407E-A947-70E740481C1C}">
                          <a14:useLocalDpi xmlns:a14="http://schemas.microsoft.com/office/drawing/2010/main" val="0"/>
                        </a:ext>
                      </a:extLst>
                    </a:blip>
                    <a:srcRect l="-1" t="32200" r="1796" b="19800"/>
                    <a:stretch/>
                  </pic:blipFill>
                  <pic:spPr bwMode="auto">
                    <a:xfrm>
                      <a:off x="0" y="0"/>
                      <a:ext cx="2905125" cy="1971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B2C26" w:rsidRPr="00C46476" w:rsidRDefault="001B2C26" w:rsidP="00087666">
      <w:pPr>
        <w:rPr>
          <w:rFonts w:ascii="Californian FB" w:hAnsi="Californian FB"/>
          <w:b/>
          <w:sz w:val="24"/>
          <w:u w:val="single"/>
          <w:lang w:val="en-US"/>
        </w:rPr>
      </w:pPr>
      <w:r w:rsidRPr="00C46476">
        <w:rPr>
          <w:rFonts w:ascii="Californian FB" w:hAnsi="Californian FB"/>
          <w:b/>
          <w:sz w:val="24"/>
          <w:u w:val="single"/>
          <w:lang w:val="en-US"/>
        </w:rPr>
        <w:t>Battling Food Poverty</w:t>
      </w:r>
    </w:p>
    <w:p w:rsidR="001B2C26" w:rsidRPr="00C46476" w:rsidRDefault="001B2C26" w:rsidP="00087666">
      <w:pPr>
        <w:rPr>
          <w:rFonts w:ascii="Californian FB" w:hAnsi="Californian FB"/>
          <w:lang w:val="en-US"/>
        </w:rPr>
      </w:pPr>
      <w:r w:rsidRPr="00C46476">
        <w:rPr>
          <w:rFonts w:ascii="Californian FB" w:hAnsi="Californian FB"/>
          <w:noProof/>
          <w:lang w:val="en-US"/>
        </w:rPr>
        <w:drawing>
          <wp:anchor distT="0" distB="0" distL="114300" distR="114300" simplePos="0" relativeHeight="251663360" behindDoc="1" locked="0" layoutInCell="1" allowOverlap="1">
            <wp:simplePos x="0" y="0"/>
            <wp:positionH relativeFrom="column">
              <wp:posOffset>-304800</wp:posOffset>
            </wp:positionH>
            <wp:positionV relativeFrom="paragraph">
              <wp:posOffset>1786255</wp:posOffset>
            </wp:positionV>
            <wp:extent cx="2867025" cy="1962785"/>
            <wp:effectExtent l="76200" t="76200" r="142875" b="132715"/>
            <wp:wrapTight wrapText="bothSides">
              <wp:wrapPolygon edited="0">
                <wp:start x="-287" y="-839"/>
                <wp:lineTo x="-574" y="-629"/>
                <wp:lineTo x="-574" y="22012"/>
                <wp:lineTo x="-287" y="22851"/>
                <wp:lineTo x="22246" y="22851"/>
                <wp:lineTo x="22533" y="19706"/>
                <wp:lineTo x="22533" y="2725"/>
                <wp:lineTo x="22246" y="-419"/>
                <wp:lineTo x="22246" y="-839"/>
                <wp:lineTo x="-287" y="-83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rban gardeni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7025" cy="1962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C46476">
        <w:rPr>
          <w:rFonts w:ascii="Californian FB" w:hAnsi="Californian FB"/>
          <w:lang w:val="en-US"/>
        </w:rPr>
        <w:t>Guerrilla Gardening is also great for helping those who struggle to feed themselves as planting vegetables in public spaces makes them available for anyone who needs them. Hardman et al describes it as part of the urban food growing movement (Hardman et al, 2018).</w:t>
      </w:r>
    </w:p>
    <w:p w:rsidR="001B2C26" w:rsidRDefault="001B2C26" w:rsidP="00087666">
      <w:pPr>
        <w:rPr>
          <w:rFonts w:ascii="Californian FB" w:hAnsi="Californian FB"/>
          <w:sz w:val="24"/>
          <w:lang w:val="en-US"/>
        </w:rPr>
      </w:pPr>
    </w:p>
    <w:p w:rsidR="001B2C26" w:rsidRPr="00C46476" w:rsidRDefault="001B2C26" w:rsidP="005B4494">
      <w:pPr>
        <w:jc w:val="center"/>
        <w:rPr>
          <w:rFonts w:ascii="Californian FB" w:hAnsi="Californian FB"/>
          <w:b/>
          <w:sz w:val="24"/>
          <w:u w:val="single"/>
          <w:lang w:val="en-US"/>
        </w:rPr>
      </w:pPr>
      <w:r w:rsidRPr="00C46476">
        <w:rPr>
          <w:rFonts w:ascii="Californian FB" w:hAnsi="Californian FB"/>
          <w:b/>
          <w:sz w:val="24"/>
          <w:u w:val="single"/>
          <w:lang w:val="en-US"/>
        </w:rPr>
        <w:t>Why do it?</w:t>
      </w:r>
    </w:p>
    <w:p w:rsidR="001B2C26" w:rsidRPr="00C46476" w:rsidRDefault="001B2C26" w:rsidP="005B4494">
      <w:pPr>
        <w:rPr>
          <w:rFonts w:ascii="Californian FB" w:hAnsi="Californian FB"/>
          <w:lang w:val="en-US"/>
        </w:rPr>
      </w:pPr>
      <w:r w:rsidRPr="00C46476">
        <w:rPr>
          <w:rFonts w:ascii="Californian FB" w:hAnsi="Californian FB"/>
          <w:lang w:val="en-US"/>
        </w:rPr>
        <w:t>There is a whole list of reasons why many people around the world engage in Guer</w:t>
      </w:r>
      <w:r>
        <w:rPr>
          <w:rFonts w:ascii="Californian FB" w:hAnsi="Californian FB"/>
          <w:lang w:val="en-US"/>
        </w:rPr>
        <w:t>r</w:t>
      </w:r>
      <w:r w:rsidRPr="00C46476">
        <w:rPr>
          <w:rFonts w:ascii="Californian FB" w:hAnsi="Californian FB"/>
          <w:lang w:val="en-US"/>
        </w:rPr>
        <w:t xml:space="preserve">illa Gardening. </w:t>
      </w:r>
    </w:p>
    <w:p w:rsidR="001B2C26" w:rsidRPr="00C46476" w:rsidRDefault="001B2C26" w:rsidP="001B2C26">
      <w:pPr>
        <w:pStyle w:val="ListParagraph"/>
        <w:numPr>
          <w:ilvl w:val="0"/>
          <w:numId w:val="1"/>
        </w:numPr>
        <w:rPr>
          <w:rFonts w:ascii="Californian FB" w:hAnsi="Californian FB"/>
          <w:lang w:val="en-US"/>
        </w:rPr>
      </w:pPr>
      <w:r w:rsidRPr="00C46476">
        <w:rPr>
          <w:rFonts w:ascii="Californian FB" w:hAnsi="Californian FB"/>
          <w:lang w:val="en-US"/>
        </w:rPr>
        <w:t>It makes forgotten spaces look pretty</w:t>
      </w:r>
    </w:p>
    <w:p w:rsidR="001B2C26" w:rsidRPr="00C46476" w:rsidRDefault="001B2C26" w:rsidP="001B2C26">
      <w:pPr>
        <w:pStyle w:val="ListParagraph"/>
        <w:numPr>
          <w:ilvl w:val="0"/>
          <w:numId w:val="1"/>
        </w:numPr>
        <w:rPr>
          <w:rFonts w:ascii="Californian FB" w:hAnsi="Californian FB"/>
          <w:lang w:val="en-US"/>
        </w:rPr>
      </w:pPr>
      <w:r w:rsidRPr="00C46476">
        <w:rPr>
          <w:rFonts w:ascii="Californian FB" w:hAnsi="Californian FB"/>
          <w:lang w:val="en-US"/>
        </w:rPr>
        <w:t>It brings communities closer.</w:t>
      </w:r>
    </w:p>
    <w:p w:rsidR="001B2C26" w:rsidRPr="00C46476" w:rsidRDefault="001B2C26" w:rsidP="001B2C26">
      <w:pPr>
        <w:pStyle w:val="ListParagraph"/>
        <w:numPr>
          <w:ilvl w:val="0"/>
          <w:numId w:val="1"/>
        </w:numPr>
        <w:rPr>
          <w:rFonts w:ascii="Californian FB" w:hAnsi="Californian FB"/>
          <w:lang w:val="en-US"/>
        </w:rPr>
      </w:pPr>
      <w:r w:rsidRPr="00C46476">
        <w:rPr>
          <w:rFonts w:ascii="Californian FB" w:hAnsi="Californian FB"/>
          <w:noProof/>
          <w:lang w:val="en-US"/>
        </w:rPr>
        <w:drawing>
          <wp:anchor distT="0" distB="0" distL="114300" distR="114300" simplePos="0" relativeHeight="251664384" behindDoc="1" locked="0" layoutInCell="1" allowOverlap="1">
            <wp:simplePos x="0" y="0"/>
            <wp:positionH relativeFrom="page">
              <wp:posOffset>5210175</wp:posOffset>
            </wp:positionH>
            <wp:positionV relativeFrom="paragraph">
              <wp:posOffset>292735</wp:posOffset>
            </wp:positionV>
            <wp:extent cx="1971675" cy="2600325"/>
            <wp:effectExtent l="76200" t="76200" r="142875" b="142875"/>
            <wp:wrapTight wrapText="bothSides">
              <wp:wrapPolygon edited="0">
                <wp:start x="-417" y="-633"/>
                <wp:lineTo x="-835" y="-475"/>
                <wp:lineTo x="-835" y="21996"/>
                <wp:lineTo x="-417" y="22629"/>
                <wp:lineTo x="22539" y="22629"/>
                <wp:lineTo x="22957" y="22312"/>
                <wp:lineTo x="22957" y="2057"/>
                <wp:lineTo x="22539" y="-316"/>
                <wp:lineTo x="22539" y="-633"/>
                <wp:lineTo x="-417" y="-633"/>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pan gardne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71675" cy="2600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C46476">
        <w:rPr>
          <w:rFonts w:ascii="Californian FB" w:hAnsi="Californian FB"/>
          <w:lang w:val="en-US"/>
        </w:rPr>
        <w:t xml:space="preserve">Many people enjoy gardening but do not have a garden and so this is a brilliant opportunity. </w:t>
      </w:r>
    </w:p>
    <w:p w:rsidR="001B2C26" w:rsidRDefault="001B2C26" w:rsidP="005B4494">
      <w:pPr>
        <w:rPr>
          <w:rFonts w:ascii="Californian FB" w:hAnsi="Californian FB"/>
          <w:b/>
          <w:sz w:val="24"/>
          <w:u w:val="single"/>
          <w:lang w:val="en-US"/>
        </w:rPr>
      </w:pPr>
    </w:p>
    <w:p w:rsidR="001B2C26" w:rsidRDefault="001B2C26" w:rsidP="005B4494">
      <w:pPr>
        <w:rPr>
          <w:rFonts w:ascii="Californian FB" w:hAnsi="Californian FB"/>
          <w:b/>
          <w:sz w:val="24"/>
          <w:u w:val="single"/>
          <w:lang w:val="en-US"/>
        </w:rPr>
      </w:pPr>
    </w:p>
    <w:p w:rsidR="001B2C26" w:rsidRPr="00C46476" w:rsidRDefault="001B2C26" w:rsidP="005B4494">
      <w:pPr>
        <w:rPr>
          <w:rFonts w:ascii="Californian FB" w:hAnsi="Californian FB"/>
          <w:b/>
          <w:sz w:val="24"/>
          <w:u w:val="single"/>
          <w:lang w:val="en-US"/>
        </w:rPr>
      </w:pPr>
      <w:r w:rsidRPr="00C46476">
        <w:rPr>
          <w:rFonts w:ascii="Californian FB" w:hAnsi="Californian FB"/>
          <w:b/>
          <w:sz w:val="24"/>
          <w:u w:val="single"/>
          <w:lang w:val="en-US"/>
        </w:rPr>
        <w:t>Tips!</w:t>
      </w:r>
    </w:p>
    <w:p w:rsidR="001B2C26" w:rsidRDefault="001B2C26" w:rsidP="005B4494">
      <w:pPr>
        <w:rPr>
          <w:rFonts w:ascii="Californian FB" w:hAnsi="Californian FB"/>
          <w:lang w:val="en-US"/>
        </w:rPr>
      </w:pPr>
      <w:r w:rsidRPr="00C46476">
        <w:rPr>
          <w:rFonts w:ascii="Californian FB" w:hAnsi="Californian FB"/>
          <w:lang w:val="en-US"/>
        </w:rPr>
        <w:t xml:space="preserve">Find an unloved space. Close to home may be nice as you can work it whenever you need too. </w:t>
      </w:r>
    </w:p>
    <w:p w:rsidR="001B2C26" w:rsidRPr="00C46476" w:rsidRDefault="001B2C26" w:rsidP="00837F89">
      <w:pPr>
        <w:rPr>
          <w:rFonts w:ascii="Californian FB" w:hAnsi="Californian FB"/>
          <w:lang w:val="en-US"/>
        </w:rPr>
      </w:pPr>
      <w:r w:rsidRPr="00C46476">
        <w:rPr>
          <w:rFonts w:ascii="Californian FB" w:hAnsi="Californian FB"/>
          <w:lang w:val="en-US"/>
        </w:rPr>
        <w:t xml:space="preserve">Attack at night! Just in case anybody interrupts you during the day best to garden in darkness until you become brave enough for daylight warfare. </w:t>
      </w:r>
    </w:p>
    <w:p w:rsidR="001B2C26" w:rsidRPr="00C46476" w:rsidRDefault="001B2C26" w:rsidP="00837F89">
      <w:pPr>
        <w:rPr>
          <w:rFonts w:ascii="Californian FB" w:hAnsi="Californian FB"/>
          <w:lang w:val="en-US"/>
        </w:rPr>
      </w:pPr>
      <w:r w:rsidRPr="00C46476">
        <w:rPr>
          <w:rFonts w:ascii="Californian FB" w:hAnsi="Californian FB"/>
          <w:lang w:val="en-US"/>
        </w:rPr>
        <w:t xml:space="preserve">Pick plants that are suited to </w:t>
      </w:r>
      <w:r>
        <w:rPr>
          <w:rFonts w:ascii="Californian FB" w:hAnsi="Californian FB"/>
          <w:lang w:val="en-US"/>
        </w:rPr>
        <w:t>the climate and weather you’re working with. This means the plants are much more likely to survive being in an urban area (Guerrilla Gardening, 2019).</w:t>
      </w:r>
    </w:p>
    <w:p w:rsidR="001B2C26" w:rsidRDefault="001B2C26" w:rsidP="005B4494">
      <w:pPr>
        <w:rPr>
          <w:rFonts w:ascii="Californian FB" w:hAnsi="Californian FB"/>
          <w:lang w:val="en-US"/>
        </w:rPr>
      </w:pPr>
    </w:p>
    <w:p w:rsidR="001B2C26" w:rsidRPr="00837F89" w:rsidRDefault="001B2C26" w:rsidP="005B4494">
      <w:pPr>
        <w:rPr>
          <w:rFonts w:ascii="Californian FB" w:hAnsi="Californian FB"/>
          <w:lang w:val="en-US"/>
        </w:rPr>
      </w:pPr>
      <w:r>
        <w:rPr>
          <w:rFonts w:ascii="Californian FB" w:hAnsi="Californian FB"/>
          <w:sz w:val="24"/>
          <w:lang w:val="en-US"/>
        </w:rPr>
        <w:t>Bibliography</w:t>
      </w:r>
    </w:p>
    <w:p w:rsidR="001B2C26" w:rsidRDefault="001B2C26" w:rsidP="005B4494">
      <w:pPr>
        <w:rPr>
          <w:rFonts w:ascii="Californian FB" w:hAnsi="Californian FB"/>
          <w:lang w:val="en-US"/>
        </w:rPr>
      </w:pPr>
      <w:r w:rsidRPr="00C46476">
        <w:rPr>
          <w:rFonts w:ascii="Californian FB" w:hAnsi="Californian FB"/>
          <w:lang w:val="en-US"/>
        </w:rPr>
        <w:t xml:space="preserve">Reynolds, R. (2012). </w:t>
      </w:r>
      <w:r w:rsidRPr="00C46476">
        <w:rPr>
          <w:rFonts w:ascii="Californian FB" w:hAnsi="Californian FB"/>
          <w:i/>
          <w:lang w:val="en-US"/>
        </w:rPr>
        <w:t xml:space="preserve">Guerrilla gardening -- why people garden without boundaries: Richard Reynolds at TEDxItaewon </w:t>
      </w:r>
      <w:r w:rsidRPr="00C46476">
        <w:rPr>
          <w:rFonts w:ascii="Californian FB" w:hAnsi="Californian FB"/>
          <w:lang w:val="en-US"/>
        </w:rPr>
        <w:t>[Video].</w:t>
      </w:r>
      <w:r>
        <w:rPr>
          <w:rFonts w:ascii="Californian FB" w:hAnsi="Californian FB"/>
          <w:lang w:val="en-US"/>
        </w:rPr>
        <w:t xml:space="preserve"> Available at: </w:t>
      </w:r>
      <w:hyperlink r:id="rId12" w:history="1">
        <w:r w:rsidRPr="00A40C5A">
          <w:rPr>
            <w:rStyle w:val="Hyperlink"/>
            <w:rFonts w:ascii="Californian FB" w:hAnsi="Californian FB"/>
            <w:lang w:val="en-US"/>
          </w:rPr>
          <w:t>https://www.youtube.com/watch?v=mQPZsD8nKu4</w:t>
        </w:r>
      </w:hyperlink>
      <w:r>
        <w:rPr>
          <w:rFonts w:ascii="Californian FB" w:hAnsi="Californian FB"/>
          <w:lang w:val="en-US"/>
        </w:rPr>
        <w:t>. (Accessed: 06/03/2019).</w:t>
      </w:r>
    </w:p>
    <w:p w:rsidR="001B2C26" w:rsidRDefault="001B2C26" w:rsidP="005B4494">
      <w:pPr>
        <w:rPr>
          <w:rFonts w:ascii="Californian FB" w:hAnsi="Californian FB"/>
          <w:lang w:val="en-US"/>
        </w:rPr>
      </w:pPr>
      <w:r>
        <w:rPr>
          <w:rFonts w:ascii="Californian FB" w:hAnsi="Californian FB"/>
          <w:lang w:val="en-US"/>
        </w:rPr>
        <w:t>Hardman, M. Chipungu, L. Migidimisha, H. Larkham, P.J. Scott, A.J. Armitage, R.P. (2018). ‘Guerrilla</w:t>
      </w:r>
      <w:r w:rsidRPr="00BA2737">
        <w:rPr>
          <w:rFonts w:ascii="Californian FB" w:hAnsi="Californian FB"/>
          <w:lang w:val="en-US"/>
        </w:rPr>
        <w:t xml:space="preserve"> gardening and green activism: Rethinking the informal urban growing movement</w:t>
      </w:r>
      <w:r>
        <w:rPr>
          <w:rFonts w:ascii="Californian FB" w:hAnsi="Californian FB"/>
          <w:lang w:val="en-US"/>
        </w:rPr>
        <w:t xml:space="preserve">’. </w:t>
      </w:r>
      <w:r>
        <w:rPr>
          <w:rFonts w:ascii="Californian FB" w:hAnsi="Californian FB"/>
          <w:i/>
          <w:lang w:val="en-US"/>
        </w:rPr>
        <w:t>Landscape and Urban Planning.</w:t>
      </w:r>
      <w:r>
        <w:rPr>
          <w:rFonts w:ascii="Californian FB" w:hAnsi="Californian FB"/>
          <w:lang w:val="en-US"/>
        </w:rPr>
        <w:t xml:space="preserve"> 170. Pp. 6-14. (Accessed: 07/03/2019). </w:t>
      </w:r>
      <w:hyperlink r:id="rId13" w:history="1">
        <w:r w:rsidRPr="00A40C5A">
          <w:rPr>
            <w:rStyle w:val="Hyperlink"/>
            <w:rFonts w:ascii="Californian FB" w:hAnsi="Californian FB"/>
            <w:lang w:val="en-US"/>
          </w:rPr>
          <w:t>https://doi.org/10.1016/j.landurbplan.2017.08.015</w:t>
        </w:r>
      </w:hyperlink>
      <w:r>
        <w:rPr>
          <w:rFonts w:ascii="Californian FB" w:hAnsi="Californian FB"/>
          <w:lang w:val="en-US"/>
        </w:rPr>
        <w:t>.</w:t>
      </w:r>
    </w:p>
    <w:p w:rsidR="001B2C26" w:rsidRPr="00BA2737" w:rsidRDefault="001B2C26" w:rsidP="005B4494">
      <w:pPr>
        <w:rPr>
          <w:rFonts w:ascii="Californian FB" w:hAnsi="Californian FB"/>
          <w:lang w:val="en-US"/>
        </w:rPr>
      </w:pPr>
      <w:r>
        <w:rPr>
          <w:rFonts w:ascii="Californian FB" w:hAnsi="Californian FB"/>
          <w:lang w:val="en-US"/>
        </w:rPr>
        <w:t xml:space="preserve">Guerrilla Gardening. (2019). </w:t>
      </w:r>
      <w:r>
        <w:rPr>
          <w:rFonts w:ascii="Californian FB" w:hAnsi="Californian FB"/>
          <w:i/>
          <w:lang w:val="en-US"/>
        </w:rPr>
        <w:t xml:space="preserve">Tips. </w:t>
      </w:r>
      <w:r>
        <w:rPr>
          <w:rFonts w:ascii="Californian FB" w:hAnsi="Californian FB"/>
          <w:lang w:val="en-US"/>
        </w:rPr>
        <w:t xml:space="preserve">Available at: </w:t>
      </w:r>
      <w:hyperlink r:id="rId14" w:history="1">
        <w:r w:rsidRPr="00A40C5A">
          <w:rPr>
            <w:rStyle w:val="Hyperlink"/>
            <w:rFonts w:ascii="Californian FB" w:hAnsi="Californian FB"/>
            <w:lang w:val="en-US"/>
          </w:rPr>
          <w:t>http://www.guerrillagardening.org/ggtips.html</w:t>
        </w:r>
      </w:hyperlink>
      <w:r>
        <w:rPr>
          <w:rFonts w:ascii="Californian FB" w:hAnsi="Californian FB"/>
          <w:lang w:val="en-US"/>
        </w:rPr>
        <w:t xml:space="preserve"> (Accessed: 07/03/2019).</w:t>
      </w:r>
    </w:p>
    <w:p w:rsidR="001B2C26" w:rsidRPr="00C46476" w:rsidRDefault="001B2C26" w:rsidP="005B4494">
      <w:pPr>
        <w:rPr>
          <w:rFonts w:ascii="Californian FB" w:hAnsi="Californian FB"/>
          <w:lang w:val="en-US"/>
        </w:rPr>
      </w:pPr>
    </w:p>
    <w:p w:rsidR="001B2C26" w:rsidRPr="00A01626" w:rsidRDefault="001B2C26">
      <w:pPr>
        <w:rPr>
          <w:rFonts w:ascii="Times New Roman" w:hAnsi="Times New Roman" w:cs="Times New Roman"/>
          <w:lang w:val="en-US"/>
        </w:rPr>
      </w:pPr>
      <w:bookmarkStart w:id="0" w:name="_GoBack"/>
      <w:bookmarkEnd w:id="0"/>
    </w:p>
    <w:sectPr w:rsidR="001B2C26" w:rsidRPr="00A01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B50C7"/>
    <w:multiLevelType w:val="hybridMultilevel"/>
    <w:tmpl w:val="2EBC35F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E2B"/>
    <w:rsid w:val="0000176E"/>
    <w:rsid w:val="000B5ECF"/>
    <w:rsid w:val="000D1CD7"/>
    <w:rsid w:val="000F1AB8"/>
    <w:rsid w:val="00126477"/>
    <w:rsid w:val="00140EF3"/>
    <w:rsid w:val="0015105E"/>
    <w:rsid w:val="001A7B0F"/>
    <w:rsid w:val="001B11FC"/>
    <w:rsid w:val="001B2C26"/>
    <w:rsid w:val="001D3C9D"/>
    <w:rsid w:val="00207631"/>
    <w:rsid w:val="00307494"/>
    <w:rsid w:val="00323EA1"/>
    <w:rsid w:val="003244C2"/>
    <w:rsid w:val="0035015C"/>
    <w:rsid w:val="004072D3"/>
    <w:rsid w:val="0048173D"/>
    <w:rsid w:val="005171A3"/>
    <w:rsid w:val="005B7E2B"/>
    <w:rsid w:val="005F0000"/>
    <w:rsid w:val="00637D58"/>
    <w:rsid w:val="006864C9"/>
    <w:rsid w:val="006C7F0C"/>
    <w:rsid w:val="00704C69"/>
    <w:rsid w:val="00721967"/>
    <w:rsid w:val="007C4778"/>
    <w:rsid w:val="0081545E"/>
    <w:rsid w:val="00854B0F"/>
    <w:rsid w:val="00894A7E"/>
    <w:rsid w:val="0097770A"/>
    <w:rsid w:val="00A01626"/>
    <w:rsid w:val="00A56786"/>
    <w:rsid w:val="00A604BD"/>
    <w:rsid w:val="00A8723C"/>
    <w:rsid w:val="00AD13C1"/>
    <w:rsid w:val="00B73C14"/>
    <w:rsid w:val="00C74471"/>
    <w:rsid w:val="00DF7DB6"/>
    <w:rsid w:val="00E16A97"/>
    <w:rsid w:val="00F232FC"/>
    <w:rsid w:val="00F70D25"/>
    <w:rsid w:val="00F723DD"/>
    <w:rsid w:val="00F94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12158"/>
  <w15:chartTrackingRefBased/>
  <w15:docId w15:val="{60196AA6-F4E9-40F3-BED7-EFFEE2444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C26"/>
    <w:pPr>
      <w:ind w:left="720"/>
      <w:contextualSpacing/>
    </w:pPr>
  </w:style>
  <w:style w:type="character" w:styleId="Hyperlink">
    <w:name w:val="Hyperlink"/>
    <w:basedOn w:val="DefaultParagraphFont"/>
    <w:uiPriority w:val="99"/>
    <w:unhideWhenUsed/>
    <w:rsid w:val="001B2C26"/>
    <w:rPr>
      <w:color w:val="0563C1" w:themeColor="hyperlink"/>
      <w:u w:val="single"/>
    </w:rPr>
  </w:style>
  <w:style w:type="character" w:styleId="UnresolvedMention">
    <w:name w:val="Unresolved Mention"/>
    <w:basedOn w:val="DefaultParagraphFont"/>
    <w:uiPriority w:val="99"/>
    <w:semiHidden/>
    <w:unhideWhenUsed/>
    <w:rsid w:val="001B2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doi.org/10.1016/j.landurbplan.2017.08.015"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youtube.com/watch?v=mQPZsD8nKu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hyperlink" Target="https://www.jstor.org/stable/23645880" TargetMode="Externa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hyperlink" Target="http://www.guerrillagardening.org/ggtip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1370</Words>
  <Characters>7813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2019-03-08T18:32:00Z</dcterms:created>
  <dcterms:modified xsi:type="dcterms:W3CDTF">2019-03-08T18:32:00Z</dcterms:modified>
</cp:coreProperties>
</file>