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770435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05042">
              <w:rPr>
                <w:rFonts w:ascii="Times New Roman" w:hAnsi="Times New Roman" w:cs="Times New Roman"/>
                <w:b/>
                <w:color w:val="auto"/>
                <w:sz w:val="48"/>
              </w:rPr>
              <w:t>Natalie Louise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6BC845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5042">
              <w:rPr>
                <w:rFonts w:ascii="Times New Roman" w:hAnsi="Times New Roman" w:cs="Times New Roman"/>
                <w:b/>
                <w:color w:val="auto"/>
                <w:sz w:val="48"/>
              </w:rPr>
              <w:t xml:space="preserve"> natalielj97@hotmail.com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D17E62C" w14:textId="77777777" w:rsidR="00E0504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641F44B0"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E05042">
              <w:rPr>
                <w:rFonts w:ascii="Times New Roman" w:hAnsi="Times New Roman" w:cs="Times New Roman"/>
                <w:b/>
                <w:color w:val="auto"/>
                <w:sz w:val="48"/>
              </w:rPr>
              <w:t xml:space="preserve"> 2221579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B0EBD65" w:rsidR="0085230E" w:rsidRPr="005D3F07" w:rsidRDefault="00706BB5" w:rsidP="00E0504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E05042">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7D674409" w14:textId="77777777" w:rsidR="00E05042"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507061A4" w14:textId="77777777" w:rsidR="00E05042" w:rsidRDefault="00E05042" w:rsidP="00FF7EBB">
            <w:pPr>
              <w:jc w:val="both"/>
              <w:rPr>
                <w:sz w:val="24"/>
                <w:szCs w:val="24"/>
              </w:rPr>
            </w:pPr>
          </w:p>
          <w:p w14:paraId="18A094F0" w14:textId="77777777" w:rsidR="00E05042" w:rsidRDefault="00E05042" w:rsidP="00E0504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4F8C4D93" w:rsidR="008B28E7" w:rsidRDefault="00BB7FD2" w:rsidP="00FF7EBB">
            <w:pPr>
              <w:jc w:val="both"/>
              <w:rPr>
                <w:sz w:val="24"/>
                <w:szCs w:val="24"/>
              </w:rPr>
            </w:pPr>
            <w:r>
              <w:rPr>
                <w:sz w:val="24"/>
                <w:szCs w:val="24"/>
              </w:rPr>
              <w:t xml:space="preserve"> </w:t>
            </w:r>
          </w:p>
          <w:p w14:paraId="459EEF08" w14:textId="77777777" w:rsidR="007C7B34" w:rsidRPr="00EA5B84" w:rsidRDefault="007C7B34" w:rsidP="007C7B34">
            <w:pPr>
              <w:spacing w:line="360" w:lineRule="auto"/>
              <w:rPr>
                <w:sz w:val="24"/>
                <w:szCs w:val="24"/>
              </w:rPr>
            </w:pPr>
            <w:r w:rsidRPr="00EA5B84">
              <w:rPr>
                <w:sz w:val="24"/>
                <w:szCs w:val="24"/>
              </w:rPr>
              <w:t xml:space="preserve">‘Everyone who comes into contact with children and families have a role to play in safeguarding’ (Gov.Uk, 2018) with all social workers having a key role to investigate any abuse or neglect children experience, </w:t>
            </w:r>
            <w:r>
              <w:rPr>
                <w:sz w:val="24"/>
                <w:szCs w:val="24"/>
              </w:rPr>
              <w:t xml:space="preserve">even if they do not work within the Children’s Services. </w:t>
            </w:r>
          </w:p>
          <w:p w14:paraId="7D44E8A9" w14:textId="4F0BD838" w:rsidR="007C7B34" w:rsidRPr="00EA5B84" w:rsidRDefault="007C7B34" w:rsidP="007C7B34">
            <w:pPr>
              <w:spacing w:line="360" w:lineRule="auto"/>
              <w:rPr>
                <w:sz w:val="24"/>
                <w:szCs w:val="24"/>
              </w:rPr>
            </w:pPr>
            <w:r w:rsidRPr="00EA5B84">
              <w:rPr>
                <w:sz w:val="24"/>
                <w:szCs w:val="24"/>
              </w:rPr>
              <w:t xml:space="preserve">Similarly to adults, the Social Services and Well-being (Wales) Act 2014 (SSWBA) </w:t>
            </w:r>
            <w:r w:rsidR="00636D05">
              <w:rPr>
                <w:sz w:val="24"/>
                <w:szCs w:val="24"/>
              </w:rPr>
              <w:t>constructs</w:t>
            </w:r>
            <w:r w:rsidRPr="00EA5B84">
              <w:rPr>
                <w:sz w:val="24"/>
                <w:szCs w:val="24"/>
              </w:rPr>
              <w:t xml:space="preserve"> the legal roles, responsibilities and principles of safeguarding practice with children. A ‘child at risk’ is defined under the SSWBA 2014 as –</w:t>
            </w:r>
          </w:p>
          <w:p w14:paraId="579E84AB" w14:textId="77777777" w:rsidR="007C7B34" w:rsidRPr="00EA5B84" w:rsidRDefault="007C7B34" w:rsidP="007C7B34">
            <w:pPr>
              <w:spacing w:line="480" w:lineRule="auto"/>
              <w:rPr>
                <w:i/>
                <w:sz w:val="24"/>
                <w:szCs w:val="24"/>
              </w:rPr>
            </w:pPr>
            <w:r w:rsidRPr="00EA5B84">
              <w:rPr>
                <w:i/>
                <w:sz w:val="24"/>
                <w:szCs w:val="24"/>
              </w:rPr>
              <w:t>‘A child under eighteen who –</w:t>
            </w:r>
          </w:p>
          <w:p w14:paraId="775475E6" w14:textId="1AFB13E2" w:rsidR="007C7B34" w:rsidRPr="007C7B34" w:rsidRDefault="007C7B34" w:rsidP="007C7B34">
            <w:pPr>
              <w:pStyle w:val="ListParagraph"/>
              <w:numPr>
                <w:ilvl w:val="0"/>
                <w:numId w:val="54"/>
              </w:numPr>
              <w:spacing w:line="480" w:lineRule="auto"/>
              <w:rPr>
                <w:rFonts w:ascii="Arial" w:hAnsi="Arial" w:cs="Arial"/>
                <w:i/>
                <w:sz w:val="24"/>
                <w:szCs w:val="24"/>
              </w:rPr>
            </w:pPr>
            <w:r w:rsidRPr="00EA5B84">
              <w:rPr>
                <w:rFonts w:ascii="Arial" w:hAnsi="Arial" w:cs="Arial"/>
                <w:i/>
                <w:sz w:val="24"/>
                <w:szCs w:val="24"/>
              </w:rPr>
              <w:t xml:space="preserve">Is experiencing or is at risk of abuse, neglect </w:t>
            </w:r>
            <w:r>
              <w:rPr>
                <w:rFonts w:ascii="Arial" w:hAnsi="Arial" w:cs="Arial"/>
                <w:i/>
                <w:sz w:val="24"/>
                <w:szCs w:val="24"/>
              </w:rPr>
              <w:t>or ot</w:t>
            </w:r>
            <w:r w:rsidRPr="007C7B34">
              <w:rPr>
                <w:rFonts w:ascii="Arial" w:hAnsi="Arial" w:cs="Arial"/>
                <w:i/>
                <w:sz w:val="24"/>
                <w:szCs w:val="24"/>
              </w:rPr>
              <w:t xml:space="preserve">her kinds of harm; </w:t>
            </w:r>
          </w:p>
          <w:p w14:paraId="7E3BFA54" w14:textId="77777777" w:rsidR="007C7B34" w:rsidRPr="00EA5B84" w:rsidRDefault="007C7B34" w:rsidP="007C7B34">
            <w:pPr>
              <w:pStyle w:val="ListParagraph"/>
              <w:numPr>
                <w:ilvl w:val="0"/>
                <w:numId w:val="54"/>
              </w:numPr>
              <w:spacing w:line="480" w:lineRule="auto"/>
              <w:rPr>
                <w:rFonts w:ascii="Arial" w:hAnsi="Arial" w:cs="Arial"/>
                <w:i/>
                <w:sz w:val="24"/>
                <w:szCs w:val="24"/>
              </w:rPr>
            </w:pPr>
            <w:r w:rsidRPr="00EA5B84">
              <w:rPr>
                <w:rFonts w:ascii="Arial" w:hAnsi="Arial" w:cs="Arial"/>
                <w:i/>
                <w:sz w:val="24"/>
                <w:szCs w:val="24"/>
              </w:rPr>
              <w:t xml:space="preserve">Has needs for care and support (whether or not the authority is meeting any of those needs’. </w:t>
            </w:r>
          </w:p>
          <w:p w14:paraId="5DFF596E" w14:textId="751CB807" w:rsidR="007C7B34" w:rsidRDefault="007C7B34" w:rsidP="007C7B34">
            <w:pPr>
              <w:spacing w:line="360" w:lineRule="auto"/>
              <w:rPr>
                <w:sz w:val="24"/>
                <w:szCs w:val="24"/>
              </w:rPr>
            </w:pPr>
            <w:r w:rsidRPr="00EA5B84">
              <w:rPr>
                <w:sz w:val="24"/>
                <w:szCs w:val="24"/>
              </w:rPr>
              <w:t xml:space="preserve">Types of harm, abuse or neglect include physical, sexual, emotional/psychological, neglectful, and with links to organised crime, radicalisation or slavery (SCW, 2022). The risk of possible harm implements the duty to utilize early intervention as a preventative measure; however, in cases where there are concerns around significant harm (whether this be </w:t>
            </w:r>
            <w:r w:rsidRPr="00EA5B84">
              <w:rPr>
                <w:sz w:val="24"/>
                <w:szCs w:val="24"/>
              </w:rPr>
              <w:lastRenderedPageBreak/>
              <w:t xml:space="preserve">impactful upon health and/or development) which has or is likely to occur, Section.47 of the Children’s Act 1989 (CA) highlight the duty for enquiries to be conducted. </w:t>
            </w:r>
          </w:p>
          <w:p w14:paraId="69CCD6F5" w14:textId="77777777" w:rsidR="007C7B34" w:rsidRPr="00EA5B84" w:rsidRDefault="007C7B34" w:rsidP="007C7B34">
            <w:pPr>
              <w:spacing w:line="360" w:lineRule="auto"/>
              <w:rPr>
                <w:sz w:val="24"/>
                <w:szCs w:val="24"/>
              </w:rPr>
            </w:pPr>
          </w:p>
          <w:p w14:paraId="2816C6FA" w14:textId="3544D02A" w:rsidR="007C7B34" w:rsidRDefault="007C7B34" w:rsidP="007C7B34">
            <w:pPr>
              <w:spacing w:line="360" w:lineRule="auto"/>
              <w:rPr>
                <w:sz w:val="24"/>
                <w:szCs w:val="24"/>
              </w:rPr>
            </w:pPr>
            <w:r>
              <w:rPr>
                <w:sz w:val="24"/>
                <w:szCs w:val="24"/>
              </w:rPr>
              <w:t xml:space="preserve">It is the role for individuals to report any concerns if a child is experiencing harm and abuse to the police or the local authority. </w:t>
            </w:r>
            <w:r w:rsidRPr="00EA5B84">
              <w:rPr>
                <w:sz w:val="24"/>
                <w:szCs w:val="24"/>
              </w:rPr>
              <w:t xml:space="preserve">Examples of indicators that a child might be experiencing harm include changes in behaviour, running away from home, covering up bruises/marks and difficulties with relationships (NSPCC, 2023). </w:t>
            </w:r>
          </w:p>
          <w:p w14:paraId="2BF2AE81" w14:textId="77777777" w:rsidR="007C7B34" w:rsidRPr="00EA5B84" w:rsidRDefault="007C7B34" w:rsidP="007C7B34">
            <w:pPr>
              <w:spacing w:line="360" w:lineRule="auto"/>
              <w:rPr>
                <w:sz w:val="24"/>
                <w:szCs w:val="24"/>
              </w:rPr>
            </w:pPr>
          </w:p>
          <w:p w14:paraId="0CDC1B85" w14:textId="77777777" w:rsidR="007C7B34" w:rsidRPr="00EA5B84" w:rsidRDefault="007C7B34" w:rsidP="007C7B34">
            <w:pPr>
              <w:spacing w:line="360" w:lineRule="auto"/>
              <w:rPr>
                <w:sz w:val="24"/>
                <w:szCs w:val="24"/>
              </w:rPr>
            </w:pPr>
            <w:r w:rsidRPr="00EA5B84">
              <w:rPr>
                <w:sz w:val="24"/>
                <w:szCs w:val="24"/>
              </w:rPr>
              <w:t xml:space="preserve">When a safeguarding report is received, the local authority has one working day to obtain information to determine a plan of action. This information can be gathered from professionals who work with the family. The outcome of these enquiries may be Section 47 enquiry, Immediate Protection, Care and Support Assessment, or No Further Action. </w:t>
            </w:r>
          </w:p>
          <w:p w14:paraId="731887B8" w14:textId="77777777" w:rsidR="007C7B34" w:rsidRPr="00EA5B84" w:rsidRDefault="007C7B34" w:rsidP="007C7B34">
            <w:pPr>
              <w:spacing w:line="360" w:lineRule="auto"/>
              <w:rPr>
                <w:sz w:val="24"/>
                <w:szCs w:val="24"/>
              </w:rPr>
            </w:pPr>
          </w:p>
          <w:p w14:paraId="0F1B85D9" w14:textId="4D9DF334" w:rsidR="007C7B34" w:rsidRDefault="007C7B34" w:rsidP="007C7B34">
            <w:pPr>
              <w:spacing w:line="360" w:lineRule="auto"/>
              <w:rPr>
                <w:sz w:val="24"/>
                <w:szCs w:val="24"/>
              </w:rPr>
            </w:pPr>
            <w:r w:rsidRPr="00EA5B84">
              <w:rPr>
                <w:sz w:val="24"/>
                <w:szCs w:val="24"/>
              </w:rPr>
              <w:t>The Wales Safeguarding Procedures guides professionals to implement a child-centred approach, by focusing on the ‘voice of the child’ and their thoughts, wishes and feelings. This enables the Social Worker to identify the best solution for the child’s circumstances (Wales Safeguarding Procedures, 2019). Enabling the child to communicate their wishes enables the Social Worker to have an insight on how the abuse and neglect is impacting them. A child might require an advocate to support their engagement. Although the child’s views and wishes should be respected,</w:t>
            </w:r>
            <w:r w:rsidR="00636D05">
              <w:rPr>
                <w:sz w:val="24"/>
                <w:szCs w:val="24"/>
              </w:rPr>
              <w:t xml:space="preserve"> decisions made in</w:t>
            </w:r>
            <w:r w:rsidRPr="00EA5B84">
              <w:rPr>
                <w:sz w:val="24"/>
                <w:szCs w:val="24"/>
              </w:rPr>
              <w:t xml:space="preserve"> </w:t>
            </w:r>
            <w:r w:rsidR="00636D05">
              <w:rPr>
                <w:sz w:val="24"/>
                <w:szCs w:val="24"/>
              </w:rPr>
              <w:t xml:space="preserve">the child’s best interest is paramount </w:t>
            </w:r>
            <w:r w:rsidRPr="00EA5B84">
              <w:rPr>
                <w:sz w:val="24"/>
                <w:szCs w:val="24"/>
              </w:rPr>
              <w:t xml:space="preserve">(SSWBA, 2014). </w:t>
            </w:r>
          </w:p>
          <w:p w14:paraId="4F78673E" w14:textId="77777777" w:rsidR="007C7B34" w:rsidRPr="00EA5B84" w:rsidRDefault="007C7B34" w:rsidP="007C7B34">
            <w:pPr>
              <w:spacing w:line="360" w:lineRule="auto"/>
              <w:rPr>
                <w:sz w:val="24"/>
                <w:szCs w:val="24"/>
              </w:rPr>
            </w:pPr>
          </w:p>
          <w:p w14:paraId="2DE7877F" w14:textId="77777777" w:rsidR="007C7B34" w:rsidRDefault="007C7B34" w:rsidP="007C7B34">
            <w:pPr>
              <w:spacing w:line="360" w:lineRule="auto"/>
              <w:rPr>
                <w:sz w:val="24"/>
                <w:szCs w:val="24"/>
              </w:rPr>
            </w:pPr>
            <w:r w:rsidRPr="00EA5B84">
              <w:rPr>
                <w:sz w:val="24"/>
                <w:szCs w:val="24"/>
              </w:rPr>
              <w:t xml:space="preserve">Input from Regional Safeguarding Boards, individual practitioners and effective management equals an effective system to safeguard the child (SCW, 2022). The Local Authority has a duty to co-work with multi-agency members including health, police, youth offending and probation as well as establishing Safeguarding Children Boards (SSWBA 2014). The aim of a multi-agency approach is to ensure that information is shared with all services. </w:t>
            </w:r>
          </w:p>
          <w:p w14:paraId="51623D8D" w14:textId="77777777" w:rsidR="007C7B34" w:rsidRDefault="007C7B34" w:rsidP="007C7B34">
            <w:pPr>
              <w:spacing w:line="360" w:lineRule="auto"/>
              <w:rPr>
                <w:sz w:val="24"/>
                <w:szCs w:val="24"/>
              </w:rPr>
            </w:pPr>
          </w:p>
          <w:p w14:paraId="2DEA8DCE" w14:textId="24E3C751" w:rsidR="007C7B34" w:rsidRPr="00EA5B84" w:rsidRDefault="007C7B34" w:rsidP="007C7B34">
            <w:pPr>
              <w:spacing w:line="360" w:lineRule="auto"/>
              <w:rPr>
                <w:sz w:val="24"/>
                <w:szCs w:val="24"/>
              </w:rPr>
            </w:pPr>
            <w:r w:rsidRPr="00EA5B84">
              <w:rPr>
                <w:sz w:val="24"/>
                <w:szCs w:val="24"/>
              </w:rPr>
              <w:t xml:space="preserve">There is a duty to ensure that all information sharing and gathering must be done in accordance with the Data Protection Act 2018 (DPA) and the General Data Protection Regulations (GDPR). </w:t>
            </w:r>
          </w:p>
          <w:p w14:paraId="1A4EE59D" w14:textId="459F5E8D" w:rsidR="007C7B34" w:rsidRPr="00EA5B84" w:rsidRDefault="007C7B34" w:rsidP="007C7B34">
            <w:pPr>
              <w:spacing w:line="360" w:lineRule="auto"/>
              <w:rPr>
                <w:sz w:val="24"/>
                <w:szCs w:val="24"/>
              </w:rPr>
            </w:pPr>
            <w:r w:rsidRPr="00EA5B84">
              <w:rPr>
                <w:sz w:val="24"/>
                <w:szCs w:val="24"/>
              </w:rPr>
              <w:lastRenderedPageBreak/>
              <w:t xml:space="preserve">The United Nations Conventions of the Rights of the Child (UNCRC) must be taken into consideration when considering early intervention and preventative work to avoid risk of harm, abuse and neglect, </w:t>
            </w:r>
            <w:r w:rsidR="00636D05">
              <w:rPr>
                <w:sz w:val="24"/>
                <w:szCs w:val="24"/>
              </w:rPr>
              <w:t xml:space="preserve">and when assessing and intervening to safeguard children </w:t>
            </w:r>
            <w:r w:rsidRPr="00EA5B84">
              <w:rPr>
                <w:sz w:val="24"/>
                <w:szCs w:val="24"/>
              </w:rPr>
              <w:t>(UNGA, 1982).</w:t>
            </w:r>
          </w:p>
          <w:p w14:paraId="5FCB8057" w14:textId="158D3057" w:rsidR="007C7B34" w:rsidRPr="00EA5B84" w:rsidRDefault="007C7B34" w:rsidP="007C7B34">
            <w:pPr>
              <w:spacing w:line="360" w:lineRule="auto"/>
              <w:rPr>
                <w:b/>
                <w:sz w:val="24"/>
                <w:szCs w:val="24"/>
                <w:u w:val="single"/>
              </w:rPr>
            </w:pPr>
            <w:r>
              <w:rPr>
                <w:b/>
                <w:sz w:val="24"/>
                <w:szCs w:val="24"/>
                <w:u w:val="single"/>
              </w:rPr>
              <w:t>5</w:t>
            </w:r>
            <w:r w:rsidR="00636D05">
              <w:rPr>
                <w:b/>
                <w:sz w:val="24"/>
                <w:szCs w:val="24"/>
                <w:u w:val="single"/>
              </w:rPr>
              <w:t>33</w:t>
            </w:r>
          </w:p>
          <w:p w14:paraId="5488D359" w14:textId="77777777" w:rsidR="007C7B34" w:rsidRDefault="007C7B34" w:rsidP="00FF7EBB">
            <w:pPr>
              <w:jc w:val="both"/>
              <w:rPr>
                <w:sz w:val="24"/>
                <w:szCs w:val="24"/>
              </w:rPr>
            </w:pPr>
          </w:p>
          <w:p w14:paraId="1FBBCFA0" w14:textId="77777777" w:rsidR="006108C9" w:rsidRDefault="006108C9" w:rsidP="00FF7EBB">
            <w:pPr>
              <w:jc w:val="both"/>
              <w:rPr>
                <w:sz w:val="24"/>
                <w:szCs w:val="24"/>
              </w:rPr>
            </w:pPr>
          </w:p>
          <w:p w14:paraId="03BD6D93" w14:textId="2DDAA04F" w:rsidR="007A628F" w:rsidRPr="00E05042" w:rsidRDefault="007A628F" w:rsidP="007C7B34">
            <w:pPr>
              <w:spacing w:line="360" w:lineRule="auto"/>
              <w:rPr>
                <w:b/>
                <w:sz w:val="24"/>
                <w:szCs w:val="24"/>
                <w:u w:val="single"/>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4CD6F530"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D89023C" w14:textId="4444E638" w:rsidR="00E05042" w:rsidRPr="007C7B34" w:rsidRDefault="00E05042" w:rsidP="00FC0334">
            <w:pPr>
              <w:jc w:val="both"/>
              <w:rPr>
                <w:sz w:val="28"/>
                <w:szCs w:val="24"/>
              </w:rPr>
            </w:pPr>
          </w:p>
          <w:p w14:paraId="3D87961F" w14:textId="77777777" w:rsidR="00E05042" w:rsidRDefault="00E05042" w:rsidP="00E05042">
            <w:pPr>
              <w:jc w:val="both"/>
              <w:rPr>
                <w:i/>
                <w:sz w:val="24"/>
                <w:szCs w:val="24"/>
              </w:rPr>
            </w:pPr>
            <w:r w:rsidRPr="007C7B34">
              <w:rPr>
                <w:i/>
                <w:sz w:val="28"/>
                <w:szCs w:val="24"/>
              </w:rPr>
              <w:t>400 words</w:t>
            </w:r>
            <w:r w:rsidRPr="007C7B34">
              <w:rPr>
                <w:sz w:val="28"/>
                <w:szCs w:val="24"/>
              </w:rPr>
              <w:t xml:space="preserve"> </w:t>
            </w:r>
            <w:r w:rsidRPr="007C7B34">
              <w:rPr>
                <w:i/>
                <w:sz w:val="28"/>
                <w:szCs w:val="24"/>
              </w:rPr>
              <w:t>(+/- 10%: include your actual word count at the end of each section</w:t>
            </w:r>
            <w:r w:rsidRPr="006108C9">
              <w:rPr>
                <w:i/>
                <w:sz w:val="24"/>
                <w:szCs w:val="24"/>
              </w:rPr>
              <w:t>)</w:t>
            </w:r>
            <w:r>
              <w:rPr>
                <w:i/>
                <w:sz w:val="24"/>
                <w:szCs w:val="24"/>
              </w:rPr>
              <w:t>.</w:t>
            </w:r>
          </w:p>
          <w:p w14:paraId="2240C7EA" w14:textId="77777777" w:rsidR="00E05042" w:rsidRDefault="00E05042" w:rsidP="00FC0334">
            <w:pPr>
              <w:jc w:val="both"/>
              <w:rPr>
                <w:sz w:val="24"/>
                <w:szCs w:val="24"/>
              </w:rPr>
            </w:pPr>
          </w:p>
          <w:p w14:paraId="187F1BCE" w14:textId="2690A9B7" w:rsidR="007C7B34" w:rsidRDefault="007C7B34" w:rsidP="007C7B34">
            <w:pPr>
              <w:spacing w:line="360" w:lineRule="auto"/>
              <w:rPr>
                <w:sz w:val="24"/>
                <w:szCs w:val="24"/>
              </w:rPr>
            </w:pPr>
            <w:r>
              <w:rPr>
                <w:sz w:val="24"/>
                <w:szCs w:val="24"/>
              </w:rPr>
              <w:t xml:space="preserve">The SSWBA 2014 directs </w:t>
            </w:r>
            <w:r w:rsidRPr="00EA5B84">
              <w:rPr>
                <w:sz w:val="24"/>
                <w:szCs w:val="24"/>
              </w:rPr>
              <w:t xml:space="preserve">the Local Authority to investigate, assess and respond when harm, neglect or abuse or a safeguarding concern is reported. This is the case with both adults and children. There are however differences in policies for safeguarding adults and children. There is a difference in the guidance within the Wales Safeguarding Procedures and there are separate Children’s and Adult Safeguarding Boards which means there are different processes (NSAB, 2021). Although both Children and Adults can experience abuse, they can be subjected to different types, in different contexts, and with different impacts. In this case, there are separate approaches (NSAB, 2021). </w:t>
            </w:r>
          </w:p>
          <w:p w14:paraId="16CB9EBC" w14:textId="77777777" w:rsidR="007C7B34" w:rsidRPr="00EA5B84" w:rsidRDefault="007C7B34" w:rsidP="007C7B34">
            <w:pPr>
              <w:spacing w:line="360" w:lineRule="auto"/>
              <w:rPr>
                <w:sz w:val="24"/>
                <w:szCs w:val="24"/>
              </w:rPr>
            </w:pPr>
          </w:p>
          <w:p w14:paraId="5F5A5B51" w14:textId="0C11B59F" w:rsidR="007C7B34" w:rsidRPr="00EA5B84" w:rsidRDefault="007C7B34" w:rsidP="007C7B34">
            <w:pPr>
              <w:spacing w:line="360" w:lineRule="auto"/>
              <w:rPr>
                <w:sz w:val="24"/>
                <w:szCs w:val="24"/>
              </w:rPr>
            </w:pPr>
            <w:r w:rsidRPr="00EA5B84">
              <w:rPr>
                <w:sz w:val="24"/>
                <w:szCs w:val="24"/>
              </w:rPr>
              <w:t>Research shows that children who experience harm are likely to develop lifelong issues (Children’s Bureau, 2019). Under Part 2 of the SSWBA 2014 which focuses on the ‘well-being outcomes’, children’s outcomes focus on development, whereas one of the outcomes for adults are ‘control over day to day life’. Drawing attention to the Mental Capacity Act 2005, individuals over the age of eighteen have a right to make unwise decisions. Adults may or may not</w:t>
            </w:r>
            <w:r w:rsidR="00A15F5E">
              <w:rPr>
                <w:sz w:val="24"/>
                <w:szCs w:val="24"/>
              </w:rPr>
              <w:t xml:space="preserve"> have the ability to</w:t>
            </w:r>
            <w:r w:rsidRPr="00EA5B84">
              <w:rPr>
                <w:sz w:val="24"/>
                <w:szCs w:val="24"/>
              </w:rPr>
              <w:t xml:space="preserve"> make </w:t>
            </w:r>
            <w:r w:rsidR="00A15F5E">
              <w:rPr>
                <w:sz w:val="24"/>
                <w:szCs w:val="24"/>
              </w:rPr>
              <w:t>decisions to keep themselves safe</w:t>
            </w:r>
            <w:bookmarkStart w:id="0" w:name="_GoBack"/>
            <w:bookmarkEnd w:id="0"/>
            <w:r w:rsidRPr="00EA5B84">
              <w:rPr>
                <w:sz w:val="24"/>
                <w:szCs w:val="24"/>
              </w:rPr>
              <w:t>, however, the law intervenes in extreme circumstances such as when the individual has been assessed as lacking capacity in that area (NSAB 2021).</w:t>
            </w:r>
          </w:p>
          <w:p w14:paraId="286E1615" w14:textId="68579951" w:rsidR="007C7B34" w:rsidRDefault="007C7B34" w:rsidP="007C7B34">
            <w:pPr>
              <w:spacing w:line="360" w:lineRule="auto"/>
              <w:rPr>
                <w:sz w:val="24"/>
                <w:szCs w:val="24"/>
              </w:rPr>
            </w:pPr>
            <w:r w:rsidRPr="00EA5B84">
              <w:rPr>
                <w:sz w:val="24"/>
                <w:szCs w:val="24"/>
              </w:rPr>
              <w:lastRenderedPageBreak/>
              <w:t xml:space="preserve">‘In very simple terms, there are duties to safeguard all children- but not all adults will need safeguarding’ (NSAB, 2021). The voice of the child should be a focus of the safeguarding practice. This is also the case for adults at risk (Wales Safeguarding Procedures, 2019), however, the difference is that the adult has a right to self-determination (NSAB, 2023). Referring to the Gillick Competence, if a child is assessed as having sufficient understanding and capacity to consent, then this is something that should be considered in safeguarding (NSPCC, 2022). </w:t>
            </w:r>
          </w:p>
          <w:p w14:paraId="03A19F9B" w14:textId="77777777" w:rsidR="007C7B34" w:rsidRPr="00EA5B84" w:rsidRDefault="007C7B34" w:rsidP="007C7B34">
            <w:pPr>
              <w:spacing w:line="360" w:lineRule="auto"/>
              <w:rPr>
                <w:sz w:val="24"/>
                <w:szCs w:val="24"/>
              </w:rPr>
            </w:pPr>
          </w:p>
          <w:p w14:paraId="2251ED6F" w14:textId="77777777" w:rsidR="007C7B34" w:rsidRPr="00EA5B84" w:rsidRDefault="007C7B34" w:rsidP="007C7B34">
            <w:pPr>
              <w:spacing w:line="360" w:lineRule="auto"/>
              <w:rPr>
                <w:sz w:val="24"/>
                <w:szCs w:val="24"/>
              </w:rPr>
            </w:pPr>
            <w:r w:rsidRPr="00EA5B84">
              <w:rPr>
                <w:sz w:val="24"/>
                <w:szCs w:val="24"/>
              </w:rPr>
              <w:t xml:space="preserve">The Human Rights Act 1998 (HRA) is equally as important for adults and children in safeguarding. However, the different articles within the different conventions relate differently depending on the circumstances (NSAB, 2021). Within the UNCRC, there are additional rights set out to give children extra security as they depend on others for guidance and development (UNICEF, 2023). Article 5 of the HRA 1998 highlights that individuals over the age of 18 are protected by Deprivation of Liberty Safeguards. This does not apply to children under the age of 18. However, ‘a deprivation of liberty will be warranted under statue, for example under Section 25 of the CA 1989 and the Mental Health Act 1983’ (Schwehr, 2016). </w:t>
            </w:r>
          </w:p>
          <w:p w14:paraId="3C0E91F1" w14:textId="77777777" w:rsidR="007C7B34" w:rsidRPr="00EA5B84" w:rsidRDefault="007C7B34" w:rsidP="007C7B34">
            <w:pPr>
              <w:spacing w:line="360" w:lineRule="auto"/>
              <w:rPr>
                <w:b/>
                <w:sz w:val="24"/>
                <w:szCs w:val="24"/>
                <w:u w:val="single"/>
              </w:rPr>
            </w:pPr>
            <w:r w:rsidRPr="00EA5B84">
              <w:rPr>
                <w:b/>
                <w:sz w:val="24"/>
                <w:szCs w:val="24"/>
                <w:u w:val="single"/>
              </w:rPr>
              <w:t>41</w:t>
            </w:r>
            <w:r>
              <w:rPr>
                <w:b/>
                <w:sz w:val="24"/>
                <w:szCs w:val="24"/>
                <w:u w:val="single"/>
              </w:rPr>
              <w:t>5</w:t>
            </w:r>
          </w:p>
          <w:p w14:paraId="1601A37E" w14:textId="77777777" w:rsidR="007C7B34" w:rsidRPr="00386419" w:rsidRDefault="007C7B34" w:rsidP="007C7B34">
            <w:pPr>
              <w:spacing w:line="360" w:lineRule="auto"/>
              <w:rPr>
                <w:b/>
                <w:sz w:val="24"/>
                <w:szCs w:val="24"/>
                <w:u w:val="single"/>
              </w:rPr>
            </w:pPr>
          </w:p>
          <w:p w14:paraId="4CABE426" w14:textId="401952F1" w:rsidR="00FC0334" w:rsidRDefault="00FC0334" w:rsidP="00FC0334">
            <w:pPr>
              <w:jc w:val="both"/>
              <w:rPr>
                <w:sz w:val="24"/>
                <w:szCs w:val="24"/>
              </w:rPr>
            </w:pPr>
          </w:p>
          <w:p w14:paraId="08760B3D" w14:textId="18FD7704" w:rsidR="00FC0334" w:rsidRPr="006108C9" w:rsidRDefault="00FC0334" w:rsidP="007C7B34">
            <w:pPr>
              <w:spacing w:line="360" w:lineRule="auto"/>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6717A2D" w:rsidR="00A5656A" w:rsidRDefault="00A5656A">
    <w:pPr>
      <w:pStyle w:val="Footer"/>
      <w:jc w:val="right"/>
    </w:pPr>
    <w:r>
      <w:fldChar w:fldCharType="begin"/>
    </w:r>
    <w:r>
      <w:instrText xml:space="preserve"> PAGE   \* MERGEFORMAT </w:instrText>
    </w:r>
    <w:r>
      <w:fldChar w:fldCharType="separate"/>
    </w:r>
    <w:r w:rsidR="00A15F5E">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86E3594"/>
    <w:multiLevelType w:val="hybridMultilevel"/>
    <w:tmpl w:val="98D82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2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D0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7B34"/>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F5E"/>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042"/>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05042"/>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A0219A900AC5747B983C60DB270CD55" ma:contentTypeVersion="12" ma:contentTypeDescription="Create a new document." ma:contentTypeScope="" ma:versionID="25b7de78fc5d8a50199432abbbdb9627">
  <xsd:schema xmlns:xsd="http://www.w3.org/2001/XMLSchema" xmlns:xs="http://www.w3.org/2001/XMLSchema" xmlns:p="http://schemas.microsoft.com/office/2006/metadata/properties" xmlns:ns3="aa17f930-a522-4400-b53a-76e5beaf93d4" xmlns:ns4="ef0263f5-c802-4597-a0f1-bd5b627be345" targetNamespace="http://schemas.microsoft.com/office/2006/metadata/properties" ma:root="true" ma:fieldsID="b18f41abe17014a6f7066cbd948cb5bc" ns3:_="" ns4:_="">
    <xsd:import namespace="aa17f930-a522-4400-b53a-76e5beaf93d4"/>
    <xsd:import namespace="ef0263f5-c802-4597-a0f1-bd5b627be34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17f930-a522-4400-b53a-76e5beaf93d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0263f5-c802-4597-a0f1-bd5b627be34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5835D477-A096-472E-9CB3-65E82276BF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17f930-a522-4400-b53a-76e5beaf93d4"/>
    <ds:schemaRef ds:uri="ef0263f5-c802-4597-a0f1-bd5b627be3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E8E065-841C-4388-9CDB-B80E89042047}">
  <ds:schemaRefs>
    <ds:schemaRef ds:uri="http://schemas.microsoft.com/office/2006/metadata/properties"/>
    <ds:schemaRef ds:uri="ef0263f5-c802-4597-a0f1-bd5b627be345"/>
    <ds:schemaRef ds:uri="http://purl.org/dc/terms/"/>
    <ds:schemaRef ds:uri="aa17f930-a522-4400-b53a-76e5beaf93d4"/>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ABF4FC0B-FBC4-41AD-9C10-024DB9BDC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5</Pages>
  <Words>1105</Words>
  <Characters>6300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Jones</cp:lastModifiedBy>
  <cp:revision>4</cp:revision>
  <cp:lastPrinted>2020-02-11T19:20:00Z</cp:lastPrinted>
  <dcterms:created xsi:type="dcterms:W3CDTF">2023-10-18T17:03:00Z</dcterms:created>
  <dcterms:modified xsi:type="dcterms:W3CDTF">2023-10-18T18:36:00Z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0x0101001A0219A900AC5747B983C60DB270CD55</vt:lpwstr>
  </property>
</Properties>
</file>