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200595" w14:textId="5DE238E2" w:rsidR="00F459B6" w:rsidRDefault="00F459B6" w:rsidP="000821FB">
      <w:pPr>
        <w:jc w:val="center"/>
        <w:rPr>
          <w:rFonts w:ascii="Arial" w:hAnsi="Arial" w:cs="Arial"/>
          <w:sz w:val="28"/>
          <w:szCs w:val="28"/>
        </w:rPr>
      </w:pPr>
      <w:r w:rsidRPr="00F459B6">
        <w:rPr>
          <w:rFonts w:ascii="Arial" w:hAnsi="Arial" w:cs="Arial"/>
          <w:noProof/>
          <w:sz w:val="28"/>
          <w:szCs w:val="28"/>
        </w:rPr>
        <w:drawing>
          <wp:inline distT="0" distB="0" distL="0" distR="0" wp14:anchorId="4AAD2BD0" wp14:editId="75C75519">
            <wp:extent cx="3136900" cy="1617454"/>
            <wp:effectExtent l="0" t="0" r="6350" b="1905"/>
            <wp:docPr id="6297155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9715561" name=""/>
                    <pic:cNvPicPr/>
                  </pic:nvPicPr>
                  <pic:blipFill>
                    <a:blip r:embed="rId6"/>
                    <a:stretch>
                      <a:fillRect/>
                    </a:stretch>
                  </pic:blipFill>
                  <pic:spPr>
                    <a:xfrm>
                      <a:off x="0" y="0"/>
                      <a:ext cx="3152083" cy="1625283"/>
                    </a:xfrm>
                    <a:prstGeom prst="rect">
                      <a:avLst/>
                    </a:prstGeom>
                  </pic:spPr>
                </pic:pic>
              </a:graphicData>
            </a:graphic>
          </wp:inline>
        </w:drawing>
      </w:r>
    </w:p>
    <w:p w14:paraId="59BAB75C" w14:textId="7A987727" w:rsidR="00E36531" w:rsidRDefault="00E36531" w:rsidP="000821FB">
      <w:pPr>
        <w:jc w:val="center"/>
        <w:rPr>
          <w:rFonts w:ascii="Arial" w:hAnsi="Arial" w:cs="Arial"/>
          <w:sz w:val="28"/>
          <w:szCs w:val="28"/>
        </w:rPr>
      </w:pPr>
      <w:r w:rsidRPr="00E36531">
        <w:rPr>
          <w:rFonts w:ascii="Arial" w:hAnsi="Arial" w:cs="Arial"/>
          <w:sz w:val="28"/>
          <w:szCs w:val="28"/>
        </w:rPr>
        <w:t>University of Wales Trinity Saint David</w:t>
      </w:r>
    </w:p>
    <w:p w14:paraId="6F4F1F61" w14:textId="77777777" w:rsidR="000821FB" w:rsidRPr="000821FB" w:rsidRDefault="000821FB" w:rsidP="000821FB">
      <w:pPr>
        <w:jc w:val="center"/>
        <w:rPr>
          <w:rFonts w:ascii="Arial" w:hAnsi="Arial" w:cs="Arial"/>
          <w:sz w:val="28"/>
          <w:szCs w:val="28"/>
        </w:rPr>
      </w:pPr>
      <w:r w:rsidRPr="000821FB">
        <w:rPr>
          <w:rFonts w:ascii="Arial" w:hAnsi="Arial" w:cs="Arial"/>
          <w:sz w:val="28"/>
          <w:szCs w:val="28"/>
        </w:rPr>
        <w:t>MSc Property and Facilities Management</w:t>
      </w:r>
    </w:p>
    <w:p w14:paraId="7E0FF64A" w14:textId="4973C014" w:rsidR="000821FB" w:rsidRPr="00E36531" w:rsidRDefault="000821FB" w:rsidP="000821FB">
      <w:pPr>
        <w:jc w:val="center"/>
        <w:rPr>
          <w:rFonts w:ascii="Arial" w:hAnsi="Arial" w:cs="Arial"/>
          <w:sz w:val="28"/>
          <w:szCs w:val="28"/>
        </w:rPr>
      </w:pPr>
      <w:r w:rsidRPr="000821FB">
        <w:rPr>
          <w:rFonts w:ascii="Arial" w:hAnsi="Arial" w:cs="Arial"/>
          <w:sz w:val="28"/>
          <w:szCs w:val="28"/>
        </w:rPr>
        <w:t>Strategic Property and Financial Management</w:t>
      </w:r>
    </w:p>
    <w:p w14:paraId="6647B60D" w14:textId="4B1E747E" w:rsidR="00CE79CD" w:rsidRPr="001833CF" w:rsidRDefault="00E36531" w:rsidP="000821FB">
      <w:pPr>
        <w:jc w:val="center"/>
        <w:rPr>
          <w:rFonts w:ascii="Arial" w:hAnsi="Arial" w:cs="Arial"/>
        </w:rPr>
      </w:pPr>
      <w:r w:rsidRPr="00E36531">
        <w:rPr>
          <w:rFonts w:ascii="Arial" w:hAnsi="Arial" w:cs="Arial"/>
        </w:rPr>
        <w:t>Student Name: Jean</w:t>
      </w:r>
      <w:r w:rsidRPr="00E36531">
        <w:rPr>
          <w:rFonts w:ascii="Arial" w:hAnsi="Arial" w:cs="Arial"/>
        </w:rPr>
        <w:noBreakHyphen/>
        <w:t>Paul Marshall</w:t>
      </w:r>
    </w:p>
    <w:p w14:paraId="212B6BEC" w14:textId="1A4E66DC" w:rsidR="00CE79CD" w:rsidRPr="001833CF" w:rsidRDefault="00E36531" w:rsidP="000821FB">
      <w:pPr>
        <w:jc w:val="center"/>
        <w:rPr>
          <w:rFonts w:ascii="Arial" w:hAnsi="Arial" w:cs="Arial"/>
        </w:rPr>
      </w:pPr>
      <w:r w:rsidRPr="00E36531">
        <w:rPr>
          <w:rFonts w:ascii="Arial" w:hAnsi="Arial" w:cs="Arial"/>
        </w:rPr>
        <w:t>Student Number:</w:t>
      </w:r>
      <w:r w:rsidR="000821FB">
        <w:rPr>
          <w:rFonts w:ascii="Arial" w:hAnsi="Arial" w:cs="Arial"/>
        </w:rPr>
        <w:t xml:space="preserve"> 2023697</w:t>
      </w:r>
    </w:p>
    <w:p w14:paraId="29A1FE61" w14:textId="6E7737DE" w:rsidR="000821FB" w:rsidRDefault="00E36531" w:rsidP="000821FB">
      <w:pPr>
        <w:jc w:val="center"/>
        <w:rPr>
          <w:rFonts w:ascii="Arial" w:hAnsi="Arial" w:cs="Arial"/>
        </w:rPr>
      </w:pPr>
      <w:r w:rsidRPr="00E36531">
        <w:rPr>
          <w:rFonts w:ascii="Arial" w:hAnsi="Arial" w:cs="Arial"/>
        </w:rPr>
        <w:t>Word Count</w:t>
      </w:r>
      <w:r w:rsidR="000821FB" w:rsidRPr="00E36531">
        <w:rPr>
          <w:rFonts w:ascii="Arial" w:hAnsi="Arial" w:cs="Arial"/>
        </w:rPr>
        <w:t>:</w:t>
      </w:r>
    </w:p>
    <w:p w14:paraId="60DE8D4E" w14:textId="2472EE48" w:rsidR="00E36531" w:rsidRPr="00E36531" w:rsidRDefault="00E36531" w:rsidP="000821FB">
      <w:pPr>
        <w:jc w:val="center"/>
        <w:rPr>
          <w:rFonts w:ascii="Arial" w:hAnsi="Arial" w:cs="Arial"/>
        </w:rPr>
      </w:pPr>
      <w:r w:rsidRPr="00E36531">
        <w:rPr>
          <w:rFonts w:ascii="Arial" w:hAnsi="Arial" w:cs="Arial"/>
        </w:rPr>
        <w:t>Submission Date:</w:t>
      </w:r>
      <w:r w:rsidR="00266274">
        <w:rPr>
          <w:rFonts w:ascii="Arial" w:hAnsi="Arial" w:cs="Arial"/>
        </w:rPr>
        <w:t>31-03-2026</w:t>
      </w:r>
    </w:p>
    <w:p w14:paraId="1F7F6E2E" w14:textId="77777777" w:rsidR="006E0ED6" w:rsidRPr="001833CF" w:rsidRDefault="006E0ED6" w:rsidP="00E36531">
      <w:pPr>
        <w:rPr>
          <w:rFonts w:ascii="Arial" w:hAnsi="Arial" w:cs="Arial"/>
        </w:rPr>
      </w:pPr>
    </w:p>
    <w:p w14:paraId="224CA15A" w14:textId="77777777" w:rsidR="00E36531" w:rsidRPr="001833CF" w:rsidRDefault="00E36531" w:rsidP="00E36531">
      <w:pPr>
        <w:rPr>
          <w:rFonts w:ascii="Arial" w:hAnsi="Arial" w:cs="Arial"/>
        </w:rPr>
      </w:pPr>
    </w:p>
    <w:p w14:paraId="7722DE20" w14:textId="77777777" w:rsidR="00E36531" w:rsidRPr="001833CF" w:rsidRDefault="00E36531" w:rsidP="00E36531">
      <w:pPr>
        <w:rPr>
          <w:rFonts w:ascii="Arial" w:hAnsi="Arial" w:cs="Arial"/>
        </w:rPr>
      </w:pPr>
    </w:p>
    <w:p w14:paraId="32BC768F" w14:textId="77777777" w:rsidR="00E36531" w:rsidRPr="001833CF" w:rsidRDefault="00E36531" w:rsidP="00E36531">
      <w:pPr>
        <w:rPr>
          <w:rFonts w:ascii="Arial" w:hAnsi="Arial" w:cs="Arial"/>
        </w:rPr>
      </w:pPr>
    </w:p>
    <w:p w14:paraId="11509BC6" w14:textId="77777777" w:rsidR="00E36531" w:rsidRPr="001833CF" w:rsidRDefault="00E36531" w:rsidP="00E36531">
      <w:pPr>
        <w:rPr>
          <w:rFonts w:ascii="Arial" w:hAnsi="Arial" w:cs="Arial"/>
        </w:rPr>
      </w:pPr>
    </w:p>
    <w:p w14:paraId="0214A2D1" w14:textId="77777777" w:rsidR="00E36531" w:rsidRPr="001833CF" w:rsidRDefault="00E36531" w:rsidP="00E36531">
      <w:pPr>
        <w:rPr>
          <w:rFonts w:ascii="Arial" w:hAnsi="Arial" w:cs="Arial"/>
        </w:rPr>
      </w:pPr>
    </w:p>
    <w:p w14:paraId="3CC81990" w14:textId="77777777" w:rsidR="00E36531" w:rsidRPr="001833CF" w:rsidRDefault="00E36531" w:rsidP="00E36531">
      <w:pPr>
        <w:rPr>
          <w:rFonts w:ascii="Arial" w:hAnsi="Arial" w:cs="Arial"/>
        </w:rPr>
      </w:pPr>
    </w:p>
    <w:p w14:paraId="2A26671F" w14:textId="77777777" w:rsidR="00E36531" w:rsidRPr="001833CF" w:rsidRDefault="00E36531" w:rsidP="00E36531">
      <w:pPr>
        <w:rPr>
          <w:rFonts w:ascii="Arial" w:hAnsi="Arial" w:cs="Arial"/>
        </w:rPr>
      </w:pPr>
    </w:p>
    <w:p w14:paraId="533B8758" w14:textId="77777777" w:rsidR="00E36531" w:rsidRPr="001833CF" w:rsidRDefault="00E36531" w:rsidP="00E36531">
      <w:pPr>
        <w:rPr>
          <w:rFonts w:ascii="Arial" w:hAnsi="Arial" w:cs="Arial"/>
        </w:rPr>
      </w:pPr>
    </w:p>
    <w:p w14:paraId="553FA7CD" w14:textId="77777777" w:rsidR="00E36531" w:rsidRPr="001833CF" w:rsidRDefault="00E36531" w:rsidP="00E36531">
      <w:pPr>
        <w:rPr>
          <w:rFonts w:ascii="Arial" w:hAnsi="Arial" w:cs="Arial"/>
        </w:rPr>
      </w:pPr>
    </w:p>
    <w:p w14:paraId="7C11075D" w14:textId="77777777" w:rsidR="00E36531" w:rsidRPr="001833CF" w:rsidRDefault="00E36531" w:rsidP="00E36531">
      <w:pPr>
        <w:rPr>
          <w:rFonts w:ascii="Arial" w:hAnsi="Arial" w:cs="Arial"/>
        </w:rPr>
      </w:pPr>
    </w:p>
    <w:p w14:paraId="26EB1A13" w14:textId="77777777" w:rsidR="00E36531" w:rsidRDefault="00E36531" w:rsidP="00E36531">
      <w:pPr>
        <w:rPr>
          <w:rFonts w:ascii="Arial" w:hAnsi="Arial" w:cs="Arial"/>
        </w:rPr>
      </w:pPr>
    </w:p>
    <w:p w14:paraId="77434ADF" w14:textId="77777777" w:rsidR="00F50FFC" w:rsidRDefault="00F50FFC" w:rsidP="00E36531">
      <w:pPr>
        <w:rPr>
          <w:rFonts w:ascii="Arial" w:hAnsi="Arial" w:cs="Arial"/>
        </w:rPr>
      </w:pPr>
    </w:p>
    <w:p w14:paraId="6A12A37C" w14:textId="77777777" w:rsidR="008426A3" w:rsidRDefault="008426A3" w:rsidP="00E36531">
      <w:pPr>
        <w:rPr>
          <w:rFonts w:ascii="Arial" w:hAnsi="Arial" w:cs="Arial"/>
        </w:rPr>
      </w:pPr>
    </w:p>
    <w:p w14:paraId="4FAA5F52" w14:textId="77777777" w:rsidR="00196D24" w:rsidRDefault="00196D24" w:rsidP="00E36531">
      <w:pPr>
        <w:rPr>
          <w:rFonts w:ascii="Arial" w:hAnsi="Arial" w:cs="Arial"/>
        </w:rPr>
      </w:pPr>
    </w:p>
    <w:sdt>
      <w:sdtPr>
        <w:rPr>
          <w:rFonts w:asciiTheme="minorHAnsi" w:eastAsiaTheme="minorHAnsi" w:hAnsiTheme="minorHAnsi" w:cstheme="minorBidi"/>
          <w:color w:val="auto"/>
          <w:kern w:val="2"/>
          <w:sz w:val="24"/>
          <w:szCs w:val="24"/>
          <w:lang w:val="en-GB"/>
          <w14:ligatures w14:val="standardContextual"/>
        </w:rPr>
        <w:id w:val="710921526"/>
        <w:docPartObj>
          <w:docPartGallery w:val="Table of Contents"/>
          <w:docPartUnique/>
        </w:docPartObj>
      </w:sdtPr>
      <w:sdtEndPr>
        <w:rPr>
          <w:b/>
          <w:bCs/>
          <w:noProof/>
        </w:rPr>
      </w:sdtEndPr>
      <w:sdtContent>
        <w:p w14:paraId="4F666C9B" w14:textId="3808D9E5" w:rsidR="00196D24" w:rsidRDefault="00196D24">
          <w:pPr>
            <w:pStyle w:val="TOCHeading"/>
          </w:pPr>
          <w:r>
            <w:t>Contents</w:t>
          </w:r>
        </w:p>
        <w:p w14:paraId="1ACA4F56" w14:textId="32D34CCA" w:rsidR="000B486C" w:rsidRDefault="00196D24">
          <w:pPr>
            <w:pStyle w:val="TOC1"/>
            <w:tabs>
              <w:tab w:val="right" w:leader="dot" w:pos="9016"/>
            </w:tabs>
            <w:rPr>
              <w:noProof/>
            </w:rPr>
          </w:pPr>
          <w:r>
            <w:fldChar w:fldCharType="begin"/>
          </w:r>
          <w:r>
            <w:instrText xml:space="preserve"> TOC \o "1-3" \h \z \u </w:instrText>
          </w:r>
          <w:r>
            <w:fldChar w:fldCharType="separate"/>
          </w:r>
          <w:hyperlink w:anchor="_Toc223447496" w:history="1">
            <w:r w:rsidR="000B486C" w:rsidRPr="005B0D4E">
              <w:rPr>
                <w:rStyle w:val="Hyperlink"/>
                <w:noProof/>
              </w:rPr>
              <w:t>Executive Summary</w:t>
            </w:r>
            <w:r w:rsidR="000B486C">
              <w:rPr>
                <w:noProof/>
                <w:webHidden/>
              </w:rPr>
              <w:tab/>
            </w:r>
            <w:r w:rsidR="000B486C">
              <w:rPr>
                <w:noProof/>
                <w:webHidden/>
              </w:rPr>
              <w:fldChar w:fldCharType="begin"/>
            </w:r>
            <w:r w:rsidR="000B486C">
              <w:rPr>
                <w:noProof/>
                <w:webHidden/>
              </w:rPr>
              <w:instrText xml:space="preserve"> PAGEREF _Toc223447496 \h </w:instrText>
            </w:r>
            <w:r w:rsidR="000B486C">
              <w:rPr>
                <w:noProof/>
                <w:webHidden/>
              </w:rPr>
            </w:r>
            <w:r w:rsidR="000B486C">
              <w:rPr>
                <w:noProof/>
                <w:webHidden/>
              </w:rPr>
              <w:fldChar w:fldCharType="separate"/>
            </w:r>
            <w:r w:rsidR="000B486C">
              <w:rPr>
                <w:noProof/>
                <w:webHidden/>
              </w:rPr>
              <w:t>4</w:t>
            </w:r>
            <w:r w:rsidR="000B486C">
              <w:rPr>
                <w:noProof/>
                <w:webHidden/>
              </w:rPr>
              <w:fldChar w:fldCharType="end"/>
            </w:r>
          </w:hyperlink>
        </w:p>
        <w:p w14:paraId="5E526883" w14:textId="7762B928" w:rsidR="000B486C" w:rsidRDefault="000B486C">
          <w:pPr>
            <w:pStyle w:val="TOC1"/>
            <w:tabs>
              <w:tab w:val="right" w:leader="dot" w:pos="9016"/>
            </w:tabs>
            <w:rPr>
              <w:noProof/>
            </w:rPr>
          </w:pPr>
          <w:hyperlink w:anchor="_Toc223447497" w:history="1">
            <w:r w:rsidRPr="005B0D4E">
              <w:rPr>
                <w:rStyle w:val="Hyperlink"/>
                <w:noProof/>
              </w:rPr>
              <w:t>1. Introduction and Context</w:t>
            </w:r>
            <w:r>
              <w:rPr>
                <w:noProof/>
                <w:webHidden/>
              </w:rPr>
              <w:tab/>
            </w:r>
            <w:r>
              <w:rPr>
                <w:noProof/>
                <w:webHidden/>
              </w:rPr>
              <w:fldChar w:fldCharType="begin"/>
            </w:r>
            <w:r>
              <w:rPr>
                <w:noProof/>
                <w:webHidden/>
              </w:rPr>
              <w:instrText xml:space="preserve"> PAGEREF _Toc223447497 \h </w:instrText>
            </w:r>
            <w:r>
              <w:rPr>
                <w:noProof/>
                <w:webHidden/>
              </w:rPr>
            </w:r>
            <w:r>
              <w:rPr>
                <w:noProof/>
                <w:webHidden/>
              </w:rPr>
              <w:fldChar w:fldCharType="separate"/>
            </w:r>
            <w:r>
              <w:rPr>
                <w:noProof/>
                <w:webHidden/>
              </w:rPr>
              <w:t>6</w:t>
            </w:r>
            <w:r>
              <w:rPr>
                <w:noProof/>
                <w:webHidden/>
              </w:rPr>
              <w:fldChar w:fldCharType="end"/>
            </w:r>
          </w:hyperlink>
        </w:p>
        <w:p w14:paraId="1A80545E" w14:textId="68F28402" w:rsidR="000B486C" w:rsidRDefault="000B486C">
          <w:pPr>
            <w:pStyle w:val="TOC1"/>
            <w:tabs>
              <w:tab w:val="right" w:leader="dot" w:pos="9016"/>
            </w:tabs>
            <w:rPr>
              <w:noProof/>
            </w:rPr>
          </w:pPr>
          <w:hyperlink w:anchor="_Toc223447498" w:history="1">
            <w:r w:rsidRPr="005B0D4E">
              <w:rPr>
                <w:rStyle w:val="Hyperlink"/>
                <w:noProof/>
              </w:rPr>
              <w:t>2. Requirements for the New Construction Teaching Facility</w:t>
            </w:r>
            <w:r>
              <w:rPr>
                <w:noProof/>
                <w:webHidden/>
              </w:rPr>
              <w:tab/>
            </w:r>
            <w:r>
              <w:rPr>
                <w:noProof/>
                <w:webHidden/>
              </w:rPr>
              <w:fldChar w:fldCharType="begin"/>
            </w:r>
            <w:r>
              <w:rPr>
                <w:noProof/>
                <w:webHidden/>
              </w:rPr>
              <w:instrText xml:space="preserve"> PAGEREF _Toc223447498 \h </w:instrText>
            </w:r>
            <w:r>
              <w:rPr>
                <w:noProof/>
                <w:webHidden/>
              </w:rPr>
            </w:r>
            <w:r>
              <w:rPr>
                <w:noProof/>
                <w:webHidden/>
              </w:rPr>
              <w:fldChar w:fldCharType="separate"/>
            </w:r>
            <w:r>
              <w:rPr>
                <w:noProof/>
                <w:webHidden/>
              </w:rPr>
              <w:t>7</w:t>
            </w:r>
            <w:r>
              <w:rPr>
                <w:noProof/>
                <w:webHidden/>
              </w:rPr>
              <w:fldChar w:fldCharType="end"/>
            </w:r>
          </w:hyperlink>
        </w:p>
        <w:p w14:paraId="48314768" w14:textId="523409C9" w:rsidR="000B486C" w:rsidRDefault="000B486C">
          <w:pPr>
            <w:pStyle w:val="TOC1"/>
            <w:tabs>
              <w:tab w:val="right" w:leader="dot" w:pos="9016"/>
            </w:tabs>
            <w:rPr>
              <w:noProof/>
            </w:rPr>
          </w:pPr>
          <w:hyperlink w:anchor="_Toc223447499" w:history="1">
            <w:r w:rsidRPr="005B0D4E">
              <w:rPr>
                <w:rStyle w:val="Hyperlink"/>
                <w:noProof/>
              </w:rPr>
              <w:t>3. Procurement Strategy for the Climate-Controlled Research and Teaching Facility</w:t>
            </w:r>
            <w:r>
              <w:rPr>
                <w:noProof/>
                <w:webHidden/>
              </w:rPr>
              <w:tab/>
            </w:r>
            <w:r>
              <w:rPr>
                <w:noProof/>
                <w:webHidden/>
              </w:rPr>
              <w:fldChar w:fldCharType="begin"/>
            </w:r>
            <w:r>
              <w:rPr>
                <w:noProof/>
                <w:webHidden/>
              </w:rPr>
              <w:instrText xml:space="preserve"> PAGEREF _Toc223447499 \h </w:instrText>
            </w:r>
            <w:r>
              <w:rPr>
                <w:noProof/>
                <w:webHidden/>
              </w:rPr>
            </w:r>
            <w:r>
              <w:rPr>
                <w:noProof/>
                <w:webHidden/>
              </w:rPr>
              <w:fldChar w:fldCharType="separate"/>
            </w:r>
            <w:r>
              <w:rPr>
                <w:noProof/>
                <w:webHidden/>
              </w:rPr>
              <w:t>8</w:t>
            </w:r>
            <w:r>
              <w:rPr>
                <w:noProof/>
                <w:webHidden/>
              </w:rPr>
              <w:fldChar w:fldCharType="end"/>
            </w:r>
          </w:hyperlink>
        </w:p>
        <w:p w14:paraId="258D2F88" w14:textId="0692D8AD" w:rsidR="000B486C" w:rsidRDefault="000B486C">
          <w:pPr>
            <w:pStyle w:val="TOC2"/>
            <w:tabs>
              <w:tab w:val="right" w:leader="dot" w:pos="9016"/>
            </w:tabs>
            <w:rPr>
              <w:noProof/>
            </w:rPr>
          </w:pPr>
          <w:hyperlink w:anchor="_Toc223447500" w:history="1">
            <w:r w:rsidRPr="005B0D4E">
              <w:rPr>
                <w:rStyle w:val="Hyperlink"/>
                <w:noProof/>
              </w:rPr>
              <w:t>3.1 Project Context and Strategic Considerations</w:t>
            </w:r>
            <w:r>
              <w:rPr>
                <w:noProof/>
                <w:webHidden/>
              </w:rPr>
              <w:tab/>
            </w:r>
            <w:r>
              <w:rPr>
                <w:noProof/>
                <w:webHidden/>
              </w:rPr>
              <w:fldChar w:fldCharType="begin"/>
            </w:r>
            <w:r>
              <w:rPr>
                <w:noProof/>
                <w:webHidden/>
              </w:rPr>
              <w:instrText xml:space="preserve"> PAGEREF _Toc223447500 \h </w:instrText>
            </w:r>
            <w:r>
              <w:rPr>
                <w:noProof/>
                <w:webHidden/>
              </w:rPr>
            </w:r>
            <w:r>
              <w:rPr>
                <w:noProof/>
                <w:webHidden/>
              </w:rPr>
              <w:fldChar w:fldCharType="separate"/>
            </w:r>
            <w:r>
              <w:rPr>
                <w:noProof/>
                <w:webHidden/>
              </w:rPr>
              <w:t>8</w:t>
            </w:r>
            <w:r>
              <w:rPr>
                <w:noProof/>
                <w:webHidden/>
              </w:rPr>
              <w:fldChar w:fldCharType="end"/>
            </w:r>
          </w:hyperlink>
        </w:p>
        <w:p w14:paraId="34654A93" w14:textId="6EDB975D" w:rsidR="000B486C" w:rsidRDefault="000B486C">
          <w:pPr>
            <w:pStyle w:val="TOC2"/>
            <w:tabs>
              <w:tab w:val="right" w:leader="dot" w:pos="9016"/>
            </w:tabs>
            <w:rPr>
              <w:noProof/>
            </w:rPr>
          </w:pPr>
          <w:hyperlink w:anchor="_Toc223447501" w:history="1">
            <w:r w:rsidRPr="005B0D4E">
              <w:rPr>
                <w:rStyle w:val="Hyperlink"/>
                <w:noProof/>
              </w:rPr>
              <w:t>3.2 Evaluation of Procurement Options</w:t>
            </w:r>
            <w:r>
              <w:rPr>
                <w:noProof/>
                <w:webHidden/>
              </w:rPr>
              <w:tab/>
            </w:r>
            <w:r>
              <w:rPr>
                <w:noProof/>
                <w:webHidden/>
              </w:rPr>
              <w:fldChar w:fldCharType="begin"/>
            </w:r>
            <w:r>
              <w:rPr>
                <w:noProof/>
                <w:webHidden/>
              </w:rPr>
              <w:instrText xml:space="preserve"> PAGEREF _Toc223447501 \h </w:instrText>
            </w:r>
            <w:r>
              <w:rPr>
                <w:noProof/>
                <w:webHidden/>
              </w:rPr>
            </w:r>
            <w:r>
              <w:rPr>
                <w:noProof/>
                <w:webHidden/>
              </w:rPr>
              <w:fldChar w:fldCharType="separate"/>
            </w:r>
            <w:r>
              <w:rPr>
                <w:noProof/>
                <w:webHidden/>
              </w:rPr>
              <w:t>8</w:t>
            </w:r>
            <w:r>
              <w:rPr>
                <w:noProof/>
                <w:webHidden/>
              </w:rPr>
              <w:fldChar w:fldCharType="end"/>
            </w:r>
          </w:hyperlink>
        </w:p>
        <w:p w14:paraId="2CEABEE6" w14:textId="450C8113" w:rsidR="000B486C" w:rsidRDefault="000B486C">
          <w:pPr>
            <w:pStyle w:val="TOC2"/>
            <w:tabs>
              <w:tab w:val="right" w:leader="dot" w:pos="9016"/>
            </w:tabs>
            <w:rPr>
              <w:noProof/>
            </w:rPr>
          </w:pPr>
          <w:hyperlink w:anchor="_Toc223447502" w:history="1">
            <w:r w:rsidRPr="005B0D4E">
              <w:rPr>
                <w:rStyle w:val="Hyperlink"/>
                <w:noProof/>
              </w:rPr>
              <w:t>3.3 Recommended Route: Two-Stage Design and Build</w:t>
            </w:r>
            <w:r>
              <w:rPr>
                <w:noProof/>
                <w:webHidden/>
              </w:rPr>
              <w:tab/>
            </w:r>
            <w:r>
              <w:rPr>
                <w:noProof/>
                <w:webHidden/>
              </w:rPr>
              <w:fldChar w:fldCharType="begin"/>
            </w:r>
            <w:r>
              <w:rPr>
                <w:noProof/>
                <w:webHidden/>
              </w:rPr>
              <w:instrText xml:space="preserve"> PAGEREF _Toc223447502 \h </w:instrText>
            </w:r>
            <w:r>
              <w:rPr>
                <w:noProof/>
                <w:webHidden/>
              </w:rPr>
            </w:r>
            <w:r>
              <w:rPr>
                <w:noProof/>
                <w:webHidden/>
              </w:rPr>
              <w:fldChar w:fldCharType="separate"/>
            </w:r>
            <w:r>
              <w:rPr>
                <w:noProof/>
                <w:webHidden/>
              </w:rPr>
              <w:t>9</w:t>
            </w:r>
            <w:r>
              <w:rPr>
                <w:noProof/>
                <w:webHidden/>
              </w:rPr>
              <w:fldChar w:fldCharType="end"/>
            </w:r>
          </w:hyperlink>
        </w:p>
        <w:p w14:paraId="44AA3AB2" w14:textId="74B644EF" w:rsidR="000B486C" w:rsidRDefault="000B486C">
          <w:pPr>
            <w:pStyle w:val="TOC2"/>
            <w:tabs>
              <w:tab w:val="right" w:leader="dot" w:pos="9016"/>
            </w:tabs>
            <w:rPr>
              <w:noProof/>
            </w:rPr>
          </w:pPr>
          <w:hyperlink w:anchor="_Toc223447503" w:history="1">
            <w:r w:rsidRPr="005B0D4E">
              <w:rPr>
                <w:rStyle w:val="Hyperlink"/>
                <w:noProof/>
              </w:rPr>
              <w:t>3.4 Strategic Justification</w:t>
            </w:r>
            <w:r>
              <w:rPr>
                <w:noProof/>
                <w:webHidden/>
              </w:rPr>
              <w:tab/>
            </w:r>
            <w:r>
              <w:rPr>
                <w:noProof/>
                <w:webHidden/>
              </w:rPr>
              <w:fldChar w:fldCharType="begin"/>
            </w:r>
            <w:r>
              <w:rPr>
                <w:noProof/>
                <w:webHidden/>
              </w:rPr>
              <w:instrText xml:space="preserve"> PAGEREF _Toc223447503 \h </w:instrText>
            </w:r>
            <w:r>
              <w:rPr>
                <w:noProof/>
                <w:webHidden/>
              </w:rPr>
            </w:r>
            <w:r>
              <w:rPr>
                <w:noProof/>
                <w:webHidden/>
              </w:rPr>
              <w:fldChar w:fldCharType="separate"/>
            </w:r>
            <w:r>
              <w:rPr>
                <w:noProof/>
                <w:webHidden/>
              </w:rPr>
              <w:t>11</w:t>
            </w:r>
            <w:r>
              <w:rPr>
                <w:noProof/>
                <w:webHidden/>
              </w:rPr>
              <w:fldChar w:fldCharType="end"/>
            </w:r>
          </w:hyperlink>
        </w:p>
        <w:p w14:paraId="519AA0E5" w14:textId="2A24EF08" w:rsidR="000B486C" w:rsidRDefault="000B486C">
          <w:pPr>
            <w:pStyle w:val="TOC1"/>
            <w:tabs>
              <w:tab w:val="right" w:leader="dot" w:pos="9016"/>
            </w:tabs>
            <w:rPr>
              <w:noProof/>
            </w:rPr>
          </w:pPr>
          <w:hyperlink w:anchor="_Toc223447504" w:history="1">
            <w:r w:rsidRPr="005B0D4E">
              <w:rPr>
                <w:rStyle w:val="Hyperlink"/>
                <w:noProof/>
              </w:rPr>
              <w:t>4. Tendering Strategy for the New Construction Teaching Facility</w:t>
            </w:r>
            <w:r>
              <w:rPr>
                <w:noProof/>
                <w:webHidden/>
              </w:rPr>
              <w:tab/>
            </w:r>
            <w:r>
              <w:rPr>
                <w:noProof/>
                <w:webHidden/>
              </w:rPr>
              <w:fldChar w:fldCharType="begin"/>
            </w:r>
            <w:r>
              <w:rPr>
                <w:noProof/>
                <w:webHidden/>
              </w:rPr>
              <w:instrText xml:space="preserve"> PAGEREF _Toc223447504 \h </w:instrText>
            </w:r>
            <w:r>
              <w:rPr>
                <w:noProof/>
                <w:webHidden/>
              </w:rPr>
            </w:r>
            <w:r>
              <w:rPr>
                <w:noProof/>
                <w:webHidden/>
              </w:rPr>
              <w:fldChar w:fldCharType="separate"/>
            </w:r>
            <w:r>
              <w:rPr>
                <w:noProof/>
                <w:webHidden/>
              </w:rPr>
              <w:t>11</w:t>
            </w:r>
            <w:r>
              <w:rPr>
                <w:noProof/>
                <w:webHidden/>
              </w:rPr>
              <w:fldChar w:fldCharType="end"/>
            </w:r>
          </w:hyperlink>
        </w:p>
        <w:p w14:paraId="341B500D" w14:textId="313C5709" w:rsidR="000B486C" w:rsidRDefault="000B486C">
          <w:pPr>
            <w:pStyle w:val="TOC1"/>
            <w:tabs>
              <w:tab w:val="right" w:leader="dot" w:pos="9016"/>
            </w:tabs>
            <w:rPr>
              <w:noProof/>
            </w:rPr>
          </w:pPr>
          <w:hyperlink w:anchor="_Toc223447505" w:history="1">
            <w:r w:rsidRPr="005B0D4E">
              <w:rPr>
                <w:rStyle w:val="Hyperlink"/>
                <w:noProof/>
              </w:rPr>
              <w:t>5. Contract Selection for the New Construction Teaching Facility</w:t>
            </w:r>
            <w:r>
              <w:rPr>
                <w:noProof/>
                <w:webHidden/>
              </w:rPr>
              <w:tab/>
            </w:r>
            <w:r>
              <w:rPr>
                <w:noProof/>
                <w:webHidden/>
              </w:rPr>
              <w:fldChar w:fldCharType="begin"/>
            </w:r>
            <w:r>
              <w:rPr>
                <w:noProof/>
                <w:webHidden/>
              </w:rPr>
              <w:instrText xml:space="preserve"> PAGEREF _Toc223447505 \h </w:instrText>
            </w:r>
            <w:r>
              <w:rPr>
                <w:noProof/>
                <w:webHidden/>
              </w:rPr>
            </w:r>
            <w:r>
              <w:rPr>
                <w:noProof/>
                <w:webHidden/>
              </w:rPr>
              <w:fldChar w:fldCharType="separate"/>
            </w:r>
            <w:r>
              <w:rPr>
                <w:noProof/>
                <w:webHidden/>
              </w:rPr>
              <w:t>13</w:t>
            </w:r>
            <w:r>
              <w:rPr>
                <w:noProof/>
                <w:webHidden/>
              </w:rPr>
              <w:fldChar w:fldCharType="end"/>
            </w:r>
          </w:hyperlink>
        </w:p>
        <w:p w14:paraId="16DADAEB" w14:textId="254A9DAB" w:rsidR="000B486C" w:rsidRDefault="000B486C">
          <w:pPr>
            <w:pStyle w:val="TOC1"/>
            <w:tabs>
              <w:tab w:val="right" w:leader="dot" w:pos="9016"/>
            </w:tabs>
            <w:rPr>
              <w:noProof/>
            </w:rPr>
          </w:pPr>
          <w:hyperlink w:anchor="_Toc223447506" w:history="1">
            <w:r w:rsidRPr="005B0D4E">
              <w:rPr>
                <w:rStyle w:val="Hyperlink"/>
                <w:noProof/>
              </w:rPr>
              <w:t>6. SA1 Asset Portfolio Review</w:t>
            </w:r>
            <w:r>
              <w:rPr>
                <w:noProof/>
                <w:webHidden/>
              </w:rPr>
              <w:tab/>
            </w:r>
            <w:r>
              <w:rPr>
                <w:noProof/>
                <w:webHidden/>
              </w:rPr>
              <w:fldChar w:fldCharType="begin"/>
            </w:r>
            <w:r>
              <w:rPr>
                <w:noProof/>
                <w:webHidden/>
              </w:rPr>
              <w:instrText xml:space="preserve"> PAGEREF _Toc223447506 \h </w:instrText>
            </w:r>
            <w:r>
              <w:rPr>
                <w:noProof/>
                <w:webHidden/>
              </w:rPr>
            </w:r>
            <w:r>
              <w:rPr>
                <w:noProof/>
                <w:webHidden/>
              </w:rPr>
              <w:fldChar w:fldCharType="separate"/>
            </w:r>
            <w:r>
              <w:rPr>
                <w:noProof/>
                <w:webHidden/>
              </w:rPr>
              <w:t>14</w:t>
            </w:r>
            <w:r>
              <w:rPr>
                <w:noProof/>
                <w:webHidden/>
              </w:rPr>
              <w:fldChar w:fldCharType="end"/>
            </w:r>
          </w:hyperlink>
        </w:p>
        <w:p w14:paraId="650D14D4" w14:textId="2D2A39DA" w:rsidR="000B486C" w:rsidRDefault="000B486C">
          <w:pPr>
            <w:pStyle w:val="TOC2"/>
            <w:tabs>
              <w:tab w:val="right" w:leader="dot" w:pos="9016"/>
            </w:tabs>
            <w:rPr>
              <w:noProof/>
            </w:rPr>
          </w:pPr>
          <w:hyperlink w:anchor="_Toc223447507" w:history="1">
            <w:r w:rsidRPr="005B0D4E">
              <w:rPr>
                <w:rStyle w:val="Hyperlink"/>
                <w:noProof/>
              </w:rPr>
              <w:t>6.1 Swansea Business Centre</w:t>
            </w:r>
            <w:r>
              <w:rPr>
                <w:noProof/>
                <w:webHidden/>
              </w:rPr>
              <w:tab/>
            </w:r>
            <w:r>
              <w:rPr>
                <w:noProof/>
                <w:webHidden/>
              </w:rPr>
              <w:fldChar w:fldCharType="begin"/>
            </w:r>
            <w:r>
              <w:rPr>
                <w:noProof/>
                <w:webHidden/>
              </w:rPr>
              <w:instrText xml:space="preserve"> PAGEREF _Toc223447507 \h </w:instrText>
            </w:r>
            <w:r>
              <w:rPr>
                <w:noProof/>
                <w:webHidden/>
              </w:rPr>
            </w:r>
            <w:r>
              <w:rPr>
                <w:noProof/>
                <w:webHidden/>
              </w:rPr>
              <w:fldChar w:fldCharType="separate"/>
            </w:r>
            <w:r>
              <w:rPr>
                <w:noProof/>
                <w:webHidden/>
              </w:rPr>
              <w:t>15</w:t>
            </w:r>
            <w:r>
              <w:rPr>
                <w:noProof/>
                <w:webHidden/>
              </w:rPr>
              <w:fldChar w:fldCharType="end"/>
            </w:r>
          </w:hyperlink>
        </w:p>
        <w:p w14:paraId="41E4F058" w14:textId="654C400B" w:rsidR="000B486C" w:rsidRDefault="000B486C">
          <w:pPr>
            <w:pStyle w:val="TOC2"/>
            <w:tabs>
              <w:tab w:val="right" w:leader="dot" w:pos="9016"/>
            </w:tabs>
            <w:rPr>
              <w:noProof/>
            </w:rPr>
          </w:pPr>
          <w:hyperlink w:anchor="_Toc223447508" w:history="1">
            <w:r w:rsidRPr="005B0D4E">
              <w:rPr>
                <w:rStyle w:val="Hyperlink"/>
                <w:noProof/>
              </w:rPr>
              <w:t>6.2 Llys Glas</w:t>
            </w:r>
            <w:r>
              <w:rPr>
                <w:noProof/>
                <w:webHidden/>
              </w:rPr>
              <w:tab/>
            </w:r>
            <w:r>
              <w:rPr>
                <w:noProof/>
                <w:webHidden/>
              </w:rPr>
              <w:fldChar w:fldCharType="begin"/>
            </w:r>
            <w:r>
              <w:rPr>
                <w:noProof/>
                <w:webHidden/>
              </w:rPr>
              <w:instrText xml:space="preserve"> PAGEREF _Toc223447508 \h </w:instrText>
            </w:r>
            <w:r>
              <w:rPr>
                <w:noProof/>
                <w:webHidden/>
              </w:rPr>
            </w:r>
            <w:r>
              <w:rPr>
                <w:noProof/>
                <w:webHidden/>
              </w:rPr>
              <w:fldChar w:fldCharType="separate"/>
            </w:r>
            <w:r>
              <w:rPr>
                <w:noProof/>
                <w:webHidden/>
              </w:rPr>
              <w:t>15</w:t>
            </w:r>
            <w:r>
              <w:rPr>
                <w:noProof/>
                <w:webHidden/>
              </w:rPr>
              <w:fldChar w:fldCharType="end"/>
            </w:r>
          </w:hyperlink>
        </w:p>
        <w:p w14:paraId="06E525F5" w14:textId="2DAAE0E9" w:rsidR="000B486C" w:rsidRDefault="000B486C">
          <w:pPr>
            <w:pStyle w:val="TOC2"/>
            <w:tabs>
              <w:tab w:val="right" w:leader="dot" w:pos="9016"/>
            </w:tabs>
            <w:rPr>
              <w:noProof/>
            </w:rPr>
          </w:pPr>
          <w:hyperlink w:anchor="_Toc223447509" w:history="1">
            <w:r w:rsidRPr="005B0D4E">
              <w:rPr>
                <w:rStyle w:val="Hyperlink"/>
                <w:noProof/>
              </w:rPr>
              <w:t>6.3 Alex Building</w:t>
            </w:r>
            <w:r>
              <w:rPr>
                <w:noProof/>
                <w:webHidden/>
              </w:rPr>
              <w:tab/>
            </w:r>
            <w:r>
              <w:rPr>
                <w:noProof/>
                <w:webHidden/>
              </w:rPr>
              <w:fldChar w:fldCharType="begin"/>
            </w:r>
            <w:r>
              <w:rPr>
                <w:noProof/>
                <w:webHidden/>
              </w:rPr>
              <w:instrText xml:space="preserve"> PAGEREF _Toc223447509 \h </w:instrText>
            </w:r>
            <w:r>
              <w:rPr>
                <w:noProof/>
                <w:webHidden/>
              </w:rPr>
            </w:r>
            <w:r>
              <w:rPr>
                <w:noProof/>
                <w:webHidden/>
              </w:rPr>
              <w:fldChar w:fldCharType="separate"/>
            </w:r>
            <w:r>
              <w:rPr>
                <w:noProof/>
                <w:webHidden/>
              </w:rPr>
              <w:t>15</w:t>
            </w:r>
            <w:r>
              <w:rPr>
                <w:noProof/>
                <w:webHidden/>
              </w:rPr>
              <w:fldChar w:fldCharType="end"/>
            </w:r>
          </w:hyperlink>
        </w:p>
        <w:p w14:paraId="1FEDCE25" w14:textId="342A0595" w:rsidR="000B486C" w:rsidRDefault="000B486C">
          <w:pPr>
            <w:pStyle w:val="TOC2"/>
            <w:tabs>
              <w:tab w:val="right" w:leader="dot" w:pos="9016"/>
            </w:tabs>
            <w:rPr>
              <w:noProof/>
            </w:rPr>
          </w:pPr>
          <w:hyperlink w:anchor="_Toc223447510" w:history="1">
            <w:r w:rsidRPr="005B0D4E">
              <w:rPr>
                <w:rStyle w:val="Hyperlink"/>
                <w:noProof/>
              </w:rPr>
              <w:t>6.4 BBC Building</w:t>
            </w:r>
            <w:r>
              <w:rPr>
                <w:noProof/>
                <w:webHidden/>
              </w:rPr>
              <w:tab/>
            </w:r>
            <w:r>
              <w:rPr>
                <w:noProof/>
                <w:webHidden/>
              </w:rPr>
              <w:fldChar w:fldCharType="begin"/>
            </w:r>
            <w:r>
              <w:rPr>
                <w:noProof/>
                <w:webHidden/>
              </w:rPr>
              <w:instrText xml:space="preserve"> PAGEREF _Toc223447510 \h </w:instrText>
            </w:r>
            <w:r>
              <w:rPr>
                <w:noProof/>
                <w:webHidden/>
              </w:rPr>
            </w:r>
            <w:r>
              <w:rPr>
                <w:noProof/>
                <w:webHidden/>
              </w:rPr>
              <w:fldChar w:fldCharType="separate"/>
            </w:r>
            <w:r>
              <w:rPr>
                <w:noProof/>
                <w:webHidden/>
              </w:rPr>
              <w:t>15</w:t>
            </w:r>
            <w:r>
              <w:rPr>
                <w:noProof/>
                <w:webHidden/>
              </w:rPr>
              <w:fldChar w:fldCharType="end"/>
            </w:r>
          </w:hyperlink>
        </w:p>
        <w:p w14:paraId="010A2661" w14:textId="656780FD" w:rsidR="000B486C" w:rsidRDefault="000B486C">
          <w:pPr>
            <w:pStyle w:val="TOC2"/>
            <w:tabs>
              <w:tab w:val="right" w:leader="dot" w:pos="9016"/>
            </w:tabs>
            <w:rPr>
              <w:noProof/>
            </w:rPr>
          </w:pPr>
          <w:hyperlink w:anchor="_Toc223447511" w:history="1">
            <w:r w:rsidRPr="005B0D4E">
              <w:rPr>
                <w:rStyle w:val="Hyperlink"/>
                <w:noProof/>
              </w:rPr>
              <w:t>6.5 Dynevor</w:t>
            </w:r>
            <w:r>
              <w:rPr>
                <w:noProof/>
                <w:webHidden/>
              </w:rPr>
              <w:tab/>
            </w:r>
            <w:r>
              <w:rPr>
                <w:noProof/>
                <w:webHidden/>
              </w:rPr>
              <w:fldChar w:fldCharType="begin"/>
            </w:r>
            <w:r>
              <w:rPr>
                <w:noProof/>
                <w:webHidden/>
              </w:rPr>
              <w:instrText xml:space="preserve"> PAGEREF _Toc223447511 \h </w:instrText>
            </w:r>
            <w:r>
              <w:rPr>
                <w:noProof/>
                <w:webHidden/>
              </w:rPr>
            </w:r>
            <w:r>
              <w:rPr>
                <w:noProof/>
                <w:webHidden/>
              </w:rPr>
              <w:fldChar w:fldCharType="separate"/>
            </w:r>
            <w:r>
              <w:rPr>
                <w:noProof/>
                <w:webHidden/>
              </w:rPr>
              <w:t>16</w:t>
            </w:r>
            <w:r>
              <w:rPr>
                <w:noProof/>
                <w:webHidden/>
              </w:rPr>
              <w:fldChar w:fldCharType="end"/>
            </w:r>
          </w:hyperlink>
        </w:p>
        <w:p w14:paraId="7D6F0EE8" w14:textId="0F49D7AA" w:rsidR="000B486C" w:rsidRDefault="000B486C">
          <w:pPr>
            <w:pStyle w:val="TOC2"/>
            <w:tabs>
              <w:tab w:val="right" w:leader="dot" w:pos="9016"/>
            </w:tabs>
            <w:rPr>
              <w:noProof/>
            </w:rPr>
          </w:pPr>
          <w:hyperlink w:anchor="_Toc223447512" w:history="1">
            <w:r w:rsidRPr="005B0D4E">
              <w:rPr>
                <w:rStyle w:val="Hyperlink"/>
                <w:noProof/>
              </w:rPr>
              <w:t>6.6 Dylan Thomas Centre</w:t>
            </w:r>
            <w:r>
              <w:rPr>
                <w:noProof/>
                <w:webHidden/>
              </w:rPr>
              <w:tab/>
            </w:r>
            <w:r>
              <w:rPr>
                <w:noProof/>
                <w:webHidden/>
              </w:rPr>
              <w:fldChar w:fldCharType="begin"/>
            </w:r>
            <w:r>
              <w:rPr>
                <w:noProof/>
                <w:webHidden/>
              </w:rPr>
              <w:instrText xml:space="preserve"> PAGEREF _Toc223447512 \h </w:instrText>
            </w:r>
            <w:r>
              <w:rPr>
                <w:noProof/>
                <w:webHidden/>
              </w:rPr>
            </w:r>
            <w:r>
              <w:rPr>
                <w:noProof/>
                <w:webHidden/>
              </w:rPr>
              <w:fldChar w:fldCharType="separate"/>
            </w:r>
            <w:r>
              <w:rPr>
                <w:noProof/>
                <w:webHidden/>
              </w:rPr>
              <w:t>16</w:t>
            </w:r>
            <w:r>
              <w:rPr>
                <w:noProof/>
                <w:webHidden/>
              </w:rPr>
              <w:fldChar w:fldCharType="end"/>
            </w:r>
          </w:hyperlink>
        </w:p>
        <w:p w14:paraId="289BD8EA" w14:textId="10CFB20A" w:rsidR="000B486C" w:rsidRDefault="000B486C">
          <w:pPr>
            <w:pStyle w:val="TOC2"/>
            <w:tabs>
              <w:tab w:val="right" w:leader="dot" w:pos="9016"/>
            </w:tabs>
            <w:rPr>
              <w:noProof/>
            </w:rPr>
          </w:pPr>
          <w:hyperlink w:anchor="_Toc223447513" w:history="1">
            <w:r w:rsidRPr="005B0D4E">
              <w:rPr>
                <w:rStyle w:val="Hyperlink"/>
                <w:noProof/>
              </w:rPr>
              <w:t>6.7 Technium 1</w:t>
            </w:r>
            <w:r>
              <w:rPr>
                <w:noProof/>
                <w:webHidden/>
              </w:rPr>
              <w:tab/>
            </w:r>
            <w:r>
              <w:rPr>
                <w:noProof/>
                <w:webHidden/>
              </w:rPr>
              <w:fldChar w:fldCharType="begin"/>
            </w:r>
            <w:r>
              <w:rPr>
                <w:noProof/>
                <w:webHidden/>
              </w:rPr>
              <w:instrText xml:space="preserve"> PAGEREF _Toc223447513 \h </w:instrText>
            </w:r>
            <w:r>
              <w:rPr>
                <w:noProof/>
                <w:webHidden/>
              </w:rPr>
            </w:r>
            <w:r>
              <w:rPr>
                <w:noProof/>
                <w:webHidden/>
              </w:rPr>
              <w:fldChar w:fldCharType="separate"/>
            </w:r>
            <w:r>
              <w:rPr>
                <w:noProof/>
                <w:webHidden/>
              </w:rPr>
              <w:t>16</w:t>
            </w:r>
            <w:r>
              <w:rPr>
                <w:noProof/>
                <w:webHidden/>
              </w:rPr>
              <w:fldChar w:fldCharType="end"/>
            </w:r>
          </w:hyperlink>
        </w:p>
        <w:p w14:paraId="7DDD46F8" w14:textId="6505AD49" w:rsidR="000B486C" w:rsidRDefault="000B486C">
          <w:pPr>
            <w:pStyle w:val="TOC2"/>
            <w:tabs>
              <w:tab w:val="right" w:leader="dot" w:pos="9016"/>
            </w:tabs>
            <w:rPr>
              <w:noProof/>
            </w:rPr>
          </w:pPr>
          <w:hyperlink w:anchor="_Toc223447514" w:history="1">
            <w:r w:rsidRPr="005B0D4E">
              <w:rPr>
                <w:rStyle w:val="Hyperlink"/>
                <w:noProof/>
              </w:rPr>
              <w:t>6.8 Technium 2</w:t>
            </w:r>
            <w:r>
              <w:rPr>
                <w:noProof/>
                <w:webHidden/>
              </w:rPr>
              <w:tab/>
            </w:r>
            <w:r>
              <w:rPr>
                <w:noProof/>
                <w:webHidden/>
              </w:rPr>
              <w:fldChar w:fldCharType="begin"/>
            </w:r>
            <w:r>
              <w:rPr>
                <w:noProof/>
                <w:webHidden/>
              </w:rPr>
              <w:instrText xml:space="preserve"> PAGEREF _Toc223447514 \h </w:instrText>
            </w:r>
            <w:r>
              <w:rPr>
                <w:noProof/>
                <w:webHidden/>
              </w:rPr>
            </w:r>
            <w:r>
              <w:rPr>
                <w:noProof/>
                <w:webHidden/>
              </w:rPr>
              <w:fldChar w:fldCharType="separate"/>
            </w:r>
            <w:r>
              <w:rPr>
                <w:noProof/>
                <w:webHidden/>
              </w:rPr>
              <w:t>16</w:t>
            </w:r>
            <w:r>
              <w:rPr>
                <w:noProof/>
                <w:webHidden/>
              </w:rPr>
              <w:fldChar w:fldCharType="end"/>
            </w:r>
          </w:hyperlink>
        </w:p>
        <w:p w14:paraId="2CF8A09D" w14:textId="1460DEA0" w:rsidR="000B486C" w:rsidRDefault="000B486C">
          <w:pPr>
            <w:pStyle w:val="TOC2"/>
            <w:tabs>
              <w:tab w:val="right" w:leader="dot" w:pos="9016"/>
            </w:tabs>
            <w:rPr>
              <w:noProof/>
            </w:rPr>
          </w:pPr>
          <w:hyperlink w:anchor="_Toc223447515" w:history="1">
            <w:r w:rsidRPr="005B0D4E">
              <w:rPr>
                <w:rStyle w:val="Hyperlink"/>
                <w:noProof/>
              </w:rPr>
              <w:t>6.9 IQ Building</w:t>
            </w:r>
            <w:r>
              <w:rPr>
                <w:noProof/>
                <w:webHidden/>
              </w:rPr>
              <w:tab/>
            </w:r>
            <w:r>
              <w:rPr>
                <w:noProof/>
                <w:webHidden/>
              </w:rPr>
              <w:fldChar w:fldCharType="begin"/>
            </w:r>
            <w:r>
              <w:rPr>
                <w:noProof/>
                <w:webHidden/>
              </w:rPr>
              <w:instrText xml:space="preserve"> PAGEREF _Toc223447515 \h </w:instrText>
            </w:r>
            <w:r>
              <w:rPr>
                <w:noProof/>
                <w:webHidden/>
              </w:rPr>
            </w:r>
            <w:r>
              <w:rPr>
                <w:noProof/>
                <w:webHidden/>
              </w:rPr>
              <w:fldChar w:fldCharType="separate"/>
            </w:r>
            <w:r>
              <w:rPr>
                <w:noProof/>
                <w:webHidden/>
              </w:rPr>
              <w:t>16</w:t>
            </w:r>
            <w:r>
              <w:rPr>
                <w:noProof/>
                <w:webHidden/>
              </w:rPr>
              <w:fldChar w:fldCharType="end"/>
            </w:r>
          </w:hyperlink>
        </w:p>
        <w:p w14:paraId="59367F13" w14:textId="1071FD1A" w:rsidR="000B486C" w:rsidRDefault="000B486C">
          <w:pPr>
            <w:pStyle w:val="TOC2"/>
            <w:tabs>
              <w:tab w:val="right" w:leader="dot" w:pos="9016"/>
            </w:tabs>
            <w:rPr>
              <w:noProof/>
            </w:rPr>
          </w:pPr>
          <w:hyperlink w:anchor="_Toc223447516" w:history="1">
            <w:r w:rsidRPr="005B0D4E">
              <w:rPr>
                <w:rStyle w:val="Hyperlink"/>
                <w:noProof/>
              </w:rPr>
              <w:t>6.10 Fforwm</w:t>
            </w:r>
            <w:r>
              <w:rPr>
                <w:noProof/>
                <w:webHidden/>
              </w:rPr>
              <w:tab/>
            </w:r>
            <w:r>
              <w:rPr>
                <w:noProof/>
                <w:webHidden/>
              </w:rPr>
              <w:fldChar w:fldCharType="begin"/>
            </w:r>
            <w:r>
              <w:rPr>
                <w:noProof/>
                <w:webHidden/>
              </w:rPr>
              <w:instrText xml:space="preserve"> PAGEREF _Toc223447516 \h </w:instrText>
            </w:r>
            <w:r>
              <w:rPr>
                <w:noProof/>
                <w:webHidden/>
              </w:rPr>
            </w:r>
            <w:r>
              <w:rPr>
                <w:noProof/>
                <w:webHidden/>
              </w:rPr>
              <w:fldChar w:fldCharType="separate"/>
            </w:r>
            <w:r>
              <w:rPr>
                <w:noProof/>
                <w:webHidden/>
              </w:rPr>
              <w:t>17</w:t>
            </w:r>
            <w:r>
              <w:rPr>
                <w:noProof/>
                <w:webHidden/>
              </w:rPr>
              <w:fldChar w:fldCharType="end"/>
            </w:r>
          </w:hyperlink>
        </w:p>
        <w:p w14:paraId="1AB5E627" w14:textId="3B9FC5F1" w:rsidR="000B486C" w:rsidRDefault="000B486C">
          <w:pPr>
            <w:pStyle w:val="TOC2"/>
            <w:tabs>
              <w:tab w:val="right" w:leader="dot" w:pos="9016"/>
            </w:tabs>
            <w:rPr>
              <w:noProof/>
            </w:rPr>
          </w:pPr>
          <w:hyperlink w:anchor="_Toc223447517" w:history="1">
            <w:r w:rsidRPr="005B0D4E">
              <w:rPr>
                <w:rStyle w:val="Hyperlink"/>
                <w:noProof/>
              </w:rPr>
              <w:t>6.11 Summary Table</w:t>
            </w:r>
            <w:r>
              <w:rPr>
                <w:noProof/>
                <w:webHidden/>
              </w:rPr>
              <w:tab/>
            </w:r>
            <w:r>
              <w:rPr>
                <w:noProof/>
                <w:webHidden/>
              </w:rPr>
              <w:fldChar w:fldCharType="begin"/>
            </w:r>
            <w:r>
              <w:rPr>
                <w:noProof/>
                <w:webHidden/>
              </w:rPr>
              <w:instrText xml:space="preserve"> PAGEREF _Toc223447517 \h </w:instrText>
            </w:r>
            <w:r>
              <w:rPr>
                <w:noProof/>
                <w:webHidden/>
              </w:rPr>
            </w:r>
            <w:r>
              <w:rPr>
                <w:noProof/>
                <w:webHidden/>
              </w:rPr>
              <w:fldChar w:fldCharType="separate"/>
            </w:r>
            <w:r>
              <w:rPr>
                <w:noProof/>
                <w:webHidden/>
              </w:rPr>
              <w:t>17</w:t>
            </w:r>
            <w:r>
              <w:rPr>
                <w:noProof/>
                <w:webHidden/>
              </w:rPr>
              <w:fldChar w:fldCharType="end"/>
            </w:r>
          </w:hyperlink>
        </w:p>
        <w:p w14:paraId="4F4B2F5F" w14:textId="7E3EDCFB" w:rsidR="000B486C" w:rsidRDefault="000B486C">
          <w:pPr>
            <w:pStyle w:val="TOC1"/>
            <w:tabs>
              <w:tab w:val="right" w:leader="dot" w:pos="9016"/>
            </w:tabs>
            <w:rPr>
              <w:noProof/>
            </w:rPr>
          </w:pPr>
          <w:hyperlink w:anchor="_Toc223447518" w:history="1">
            <w:r w:rsidRPr="005B0D4E">
              <w:rPr>
                <w:rStyle w:val="Hyperlink"/>
                <w:noProof/>
              </w:rPr>
              <w:t>7. DDA Compliance Assessment: Dylan Thomas Centre</w:t>
            </w:r>
            <w:r>
              <w:rPr>
                <w:noProof/>
                <w:webHidden/>
              </w:rPr>
              <w:tab/>
            </w:r>
            <w:r>
              <w:rPr>
                <w:noProof/>
                <w:webHidden/>
              </w:rPr>
              <w:fldChar w:fldCharType="begin"/>
            </w:r>
            <w:r>
              <w:rPr>
                <w:noProof/>
                <w:webHidden/>
              </w:rPr>
              <w:instrText xml:space="preserve"> PAGEREF _Toc223447518 \h </w:instrText>
            </w:r>
            <w:r>
              <w:rPr>
                <w:noProof/>
                <w:webHidden/>
              </w:rPr>
            </w:r>
            <w:r>
              <w:rPr>
                <w:noProof/>
                <w:webHidden/>
              </w:rPr>
              <w:fldChar w:fldCharType="separate"/>
            </w:r>
            <w:r>
              <w:rPr>
                <w:noProof/>
                <w:webHidden/>
              </w:rPr>
              <w:t>18</w:t>
            </w:r>
            <w:r>
              <w:rPr>
                <w:noProof/>
                <w:webHidden/>
              </w:rPr>
              <w:fldChar w:fldCharType="end"/>
            </w:r>
          </w:hyperlink>
        </w:p>
        <w:p w14:paraId="12653B1D" w14:textId="2C28E5FD" w:rsidR="000B486C" w:rsidRDefault="000B486C">
          <w:pPr>
            <w:pStyle w:val="TOC1"/>
            <w:tabs>
              <w:tab w:val="right" w:leader="dot" w:pos="9016"/>
            </w:tabs>
            <w:rPr>
              <w:noProof/>
            </w:rPr>
          </w:pPr>
          <w:hyperlink w:anchor="_Toc223447519" w:history="1">
            <w:r w:rsidRPr="005B0D4E">
              <w:rPr>
                <w:rStyle w:val="Hyperlink"/>
                <w:noProof/>
              </w:rPr>
              <w:t>8. Key Accessibility Issues at the Dylan Thomas Centre</w:t>
            </w:r>
            <w:r>
              <w:rPr>
                <w:noProof/>
                <w:webHidden/>
              </w:rPr>
              <w:tab/>
            </w:r>
            <w:r>
              <w:rPr>
                <w:noProof/>
                <w:webHidden/>
              </w:rPr>
              <w:fldChar w:fldCharType="begin"/>
            </w:r>
            <w:r>
              <w:rPr>
                <w:noProof/>
                <w:webHidden/>
              </w:rPr>
              <w:instrText xml:space="preserve"> PAGEREF _Toc223447519 \h </w:instrText>
            </w:r>
            <w:r>
              <w:rPr>
                <w:noProof/>
                <w:webHidden/>
              </w:rPr>
            </w:r>
            <w:r>
              <w:rPr>
                <w:noProof/>
                <w:webHidden/>
              </w:rPr>
              <w:fldChar w:fldCharType="separate"/>
            </w:r>
            <w:r>
              <w:rPr>
                <w:noProof/>
                <w:webHidden/>
              </w:rPr>
              <w:t>19</w:t>
            </w:r>
            <w:r>
              <w:rPr>
                <w:noProof/>
                <w:webHidden/>
              </w:rPr>
              <w:fldChar w:fldCharType="end"/>
            </w:r>
          </w:hyperlink>
        </w:p>
        <w:p w14:paraId="509974B7" w14:textId="3B54F6F8" w:rsidR="000B486C" w:rsidRDefault="000B486C">
          <w:pPr>
            <w:pStyle w:val="TOC2"/>
            <w:tabs>
              <w:tab w:val="right" w:leader="dot" w:pos="9016"/>
            </w:tabs>
            <w:rPr>
              <w:noProof/>
            </w:rPr>
          </w:pPr>
          <w:hyperlink w:anchor="_Toc223447520" w:history="1">
            <w:r w:rsidRPr="005B0D4E">
              <w:rPr>
                <w:rStyle w:val="Hyperlink"/>
                <w:noProof/>
              </w:rPr>
              <w:t>8.1 Entrances and External Access</w:t>
            </w:r>
            <w:r>
              <w:rPr>
                <w:noProof/>
                <w:webHidden/>
              </w:rPr>
              <w:tab/>
            </w:r>
            <w:r>
              <w:rPr>
                <w:noProof/>
                <w:webHidden/>
              </w:rPr>
              <w:fldChar w:fldCharType="begin"/>
            </w:r>
            <w:r>
              <w:rPr>
                <w:noProof/>
                <w:webHidden/>
              </w:rPr>
              <w:instrText xml:space="preserve"> PAGEREF _Toc223447520 \h </w:instrText>
            </w:r>
            <w:r>
              <w:rPr>
                <w:noProof/>
                <w:webHidden/>
              </w:rPr>
            </w:r>
            <w:r>
              <w:rPr>
                <w:noProof/>
                <w:webHidden/>
              </w:rPr>
              <w:fldChar w:fldCharType="separate"/>
            </w:r>
            <w:r>
              <w:rPr>
                <w:noProof/>
                <w:webHidden/>
              </w:rPr>
              <w:t>19</w:t>
            </w:r>
            <w:r>
              <w:rPr>
                <w:noProof/>
                <w:webHidden/>
              </w:rPr>
              <w:fldChar w:fldCharType="end"/>
            </w:r>
          </w:hyperlink>
        </w:p>
        <w:p w14:paraId="2A1F7EA0" w14:textId="41604829" w:rsidR="000B486C" w:rsidRDefault="000B486C">
          <w:pPr>
            <w:pStyle w:val="TOC2"/>
            <w:tabs>
              <w:tab w:val="right" w:leader="dot" w:pos="9016"/>
            </w:tabs>
            <w:rPr>
              <w:noProof/>
            </w:rPr>
          </w:pPr>
          <w:hyperlink w:anchor="_Toc223447521" w:history="1">
            <w:r w:rsidRPr="005B0D4E">
              <w:rPr>
                <w:rStyle w:val="Hyperlink"/>
                <w:noProof/>
              </w:rPr>
              <w:t>8.2 Internal Circulation and Wayfinding</w:t>
            </w:r>
            <w:r>
              <w:rPr>
                <w:noProof/>
                <w:webHidden/>
              </w:rPr>
              <w:tab/>
            </w:r>
            <w:r>
              <w:rPr>
                <w:noProof/>
                <w:webHidden/>
              </w:rPr>
              <w:fldChar w:fldCharType="begin"/>
            </w:r>
            <w:r>
              <w:rPr>
                <w:noProof/>
                <w:webHidden/>
              </w:rPr>
              <w:instrText xml:space="preserve"> PAGEREF _Toc223447521 \h </w:instrText>
            </w:r>
            <w:r>
              <w:rPr>
                <w:noProof/>
                <w:webHidden/>
              </w:rPr>
            </w:r>
            <w:r>
              <w:rPr>
                <w:noProof/>
                <w:webHidden/>
              </w:rPr>
              <w:fldChar w:fldCharType="separate"/>
            </w:r>
            <w:r>
              <w:rPr>
                <w:noProof/>
                <w:webHidden/>
              </w:rPr>
              <w:t>19</w:t>
            </w:r>
            <w:r>
              <w:rPr>
                <w:noProof/>
                <w:webHidden/>
              </w:rPr>
              <w:fldChar w:fldCharType="end"/>
            </w:r>
          </w:hyperlink>
        </w:p>
        <w:p w14:paraId="15499A6B" w14:textId="6594DFAE" w:rsidR="000B486C" w:rsidRDefault="000B486C">
          <w:pPr>
            <w:pStyle w:val="TOC2"/>
            <w:tabs>
              <w:tab w:val="right" w:leader="dot" w:pos="9016"/>
            </w:tabs>
            <w:rPr>
              <w:noProof/>
            </w:rPr>
          </w:pPr>
          <w:hyperlink w:anchor="_Toc223447522" w:history="1">
            <w:r w:rsidRPr="005B0D4E">
              <w:rPr>
                <w:rStyle w:val="Hyperlink"/>
                <w:noProof/>
              </w:rPr>
              <w:t>8.3 Vertical Access and Lift Provision</w:t>
            </w:r>
            <w:r>
              <w:rPr>
                <w:noProof/>
                <w:webHidden/>
              </w:rPr>
              <w:tab/>
            </w:r>
            <w:r>
              <w:rPr>
                <w:noProof/>
                <w:webHidden/>
              </w:rPr>
              <w:fldChar w:fldCharType="begin"/>
            </w:r>
            <w:r>
              <w:rPr>
                <w:noProof/>
                <w:webHidden/>
              </w:rPr>
              <w:instrText xml:space="preserve"> PAGEREF _Toc223447522 \h </w:instrText>
            </w:r>
            <w:r>
              <w:rPr>
                <w:noProof/>
                <w:webHidden/>
              </w:rPr>
            </w:r>
            <w:r>
              <w:rPr>
                <w:noProof/>
                <w:webHidden/>
              </w:rPr>
              <w:fldChar w:fldCharType="separate"/>
            </w:r>
            <w:r>
              <w:rPr>
                <w:noProof/>
                <w:webHidden/>
              </w:rPr>
              <w:t>20</w:t>
            </w:r>
            <w:r>
              <w:rPr>
                <w:noProof/>
                <w:webHidden/>
              </w:rPr>
              <w:fldChar w:fldCharType="end"/>
            </w:r>
          </w:hyperlink>
        </w:p>
        <w:p w14:paraId="43B5A9A0" w14:textId="4F67A089" w:rsidR="000B486C" w:rsidRDefault="000B486C">
          <w:pPr>
            <w:pStyle w:val="TOC2"/>
            <w:tabs>
              <w:tab w:val="right" w:leader="dot" w:pos="9016"/>
            </w:tabs>
            <w:rPr>
              <w:noProof/>
            </w:rPr>
          </w:pPr>
          <w:hyperlink w:anchor="_Toc223447523" w:history="1">
            <w:r w:rsidRPr="005B0D4E">
              <w:rPr>
                <w:rStyle w:val="Hyperlink"/>
                <w:noProof/>
              </w:rPr>
              <w:t>8.4 Sanitary Facilities</w:t>
            </w:r>
            <w:r>
              <w:rPr>
                <w:noProof/>
                <w:webHidden/>
              </w:rPr>
              <w:tab/>
            </w:r>
            <w:r>
              <w:rPr>
                <w:noProof/>
                <w:webHidden/>
              </w:rPr>
              <w:fldChar w:fldCharType="begin"/>
            </w:r>
            <w:r>
              <w:rPr>
                <w:noProof/>
                <w:webHidden/>
              </w:rPr>
              <w:instrText xml:space="preserve"> PAGEREF _Toc223447523 \h </w:instrText>
            </w:r>
            <w:r>
              <w:rPr>
                <w:noProof/>
                <w:webHidden/>
              </w:rPr>
            </w:r>
            <w:r>
              <w:rPr>
                <w:noProof/>
                <w:webHidden/>
              </w:rPr>
              <w:fldChar w:fldCharType="separate"/>
            </w:r>
            <w:r>
              <w:rPr>
                <w:noProof/>
                <w:webHidden/>
              </w:rPr>
              <w:t>20</w:t>
            </w:r>
            <w:r>
              <w:rPr>
                <w:noProof/>
                <w:webHidden/>
              </w:rPr>
              <w:fldChar w:fldCharType="end"/>
            </w:r>
          </w:hyperlink>
        </w:p>
        <w:p w14:paraId="2B394627" w14:textId="23A5B52A" w:rsidR="000B486C" w:rsidRDefault="000B486C">
          <w:pPr>
            <w:pStyle w:val="TOC2"/>
            <w:tabs>
              <w:tab w:val="right" w:leader="dot" w:pos="9016"/>
            </w:tabs>
            <w:rPr>
              <w:noProof/>
            </w:rPr>
          </w:pPr>
          <w:hyperlink w:anchor="_Toc223447524" w:history="1">
            <w:r w:rsidRPr="005B0D4E">
              <w:rPr>
                <w:rStyle w:val="Hyperlink"/>
                <w:noProof/>
              </w:rPr>
              <w:t>8.5 Lighting, Acoustics and Sensory Accessibility</w:t>
            </w:r>
            <w:r>
              <w:rPr>
                <w:noProof/>
                <w:webHidden/>
              </w:rPr>
              <w:tab/>
            </w:r>
            <w:r>
              <w:rPr>
                <w:noProof/>
                <w:webHidden/>
              </w:rPr>
              <w:fldChar w:fldCharType="begin"/>
            </w:r>
            <w:r>
              <w:rPr>
                <w:noProof/>
                <w:webHidden/>
              </w:rPr>
              <w:instrText xml:space="preserve"> PAGEREF _Toc223447524 \h </w:instrText>
            </w:r>
            <w:r>
              <w:rPr>
                <w:noProof/>
                <w:webHidden/>
              </w:rPr>
            </w:r>
            <w:r>
              <w:rPr>
                <w:noProof/>
                <w:webHidden/>
              </w:rPr>
              <w:fldChar w:fldCharType="separate"/>
            </w:r>
            <w:r>
              <w:rPr>
                <w:noProof/>
                <w:webHidden/>
              </w:rPr>
              <w:t>20</w:t>
            </w:r>
            <w:r>
              <w:rPr>
                <w:noProof/>
                <w:webHidden/>
              </w:rPr>
              <w:fldChar w:fldCharType="end"/>
            </w:r>
          </w:hyperlink>
        </w:p>
        <w:p w14:paraId="4F4516A4" w14:textId="26398A86" w:rsidR="000B486C" w:rsidRDefault="000B486C">
          <w:pPr>
            <w:pStyle w:val="TOC2"/>
            <w:tabs>
              <w:tab w:val="right" w:leader="dot" w:pos="9016"/>
            </w:tabs>
            <w:rPr>
              <w:noProof/>
            </w:rPr>
          </w:pPr>
          <w:hyperlink w:anchor="_Toc223447525" w:history="1">
            <w:r w:rsidRPr="005B0D4E">
              <w:rPr>
                <w:rStyle w:val="Hyperlink"/>
                <w:noProof/>
              </w:rPr>
              <w:t>8.6 Emergency Egress</w:t>
            </w:r>
            <w:r>
              <w:rPr>
                <w:noProof/>
                <w:webHidden/>
              </w:rPr>
              <w:tab/>
            </w:r>
            <w:r>
              <w:rPr>
                <w:noProof/>
                <w:webHidden/>
              </w:rPr>
              <w:fldChar w:fldCharType="begin"/>
            </w:r>
            <w:r>
              <w:rPr>
                <w:noProof/>
                <w:webHidden/>
              </w:rPr>
              <w:instrText xml:space="preserve"> PAGEREF _Toc223447525 \h </w:instrText>
            </w:r>
            <w:r>
              <w:rPr>
                <w:noProof/>
                <w:webHidden/>
              </w:rPr>
            </w:r>
            <w:r>
              <w:rPr>
                <w:noProof/>
                <w:webHidden/>
              </w:rPr>
              <w:fldChar w:fldCharType="separate"/>
            </w:r>
            <w:r>
              <w:rPr>
                <w:noProof/>
                <w:webHidden/>
              </w:rPr>
              <w:t>20</w:t>
            </w:r>
            <w:r>
              <w:rPr>
                <w:noProof/>
                <w:webHidden/>
              </w:rPr>
              <w:fldChar w:fldCharType="end"/>
            </w:r>
          </w:hyperlink>
        </w:p>
        <w:p w14:paraId="28826E91" w14:textId="4C1EBFA3" w:rsidR="000B486C" w:rsidRDefault="000B486C">
          <w:pPr>
            <w:pStyle w:val="TOC2"/>
            <w:tabs>
              <w:tab w:val="right" w:leader="dot" w:pos="9016"/>
            </w:tabs>
            <w:rPr>
              <w:noProof/>
            </w:rPr>
          </w:pPr>
          <w:hyperlink w:anchor="_Toc223447526" w:history="1">
            <w:r w:rsidRPr="005B0D4E">
              <w:rPr>
                <w:rStyle w:val="Hyperlink"/>
                <w:noProof/>
              </w:rPr>
              <w:t>8.7 Heritage Constraints</w:t>
            </w:r>
            <w:r>
              <w:rPr>
                <w:noProof/>
                <w:webHidden/>
              </w:rPr>
              <w:tab/>
            </w:r>
            <w:r>
              <w:rPr>
                <w:noProof/>
                <w:webHidden/>
              </w:rPr>
              <w:fldChar w:fldCharType="begin"/>
            </w:r>
            <w:r>
              <w:rPr>
                <w:noProof/>
                <w:webHidden/>
              </w:rPr>
              <w:instrText xml:space="preserve"> PAGEREF _Toc223447526 \h </w:instrText>
            </w:r>
            <w:r>
              <w:rPr>
                <w:noProof/>
                <w:webHidden/>
              </w:rPr>
            </w:r>
            <w:r>
              <w:rPr>
                <w:noProof/>
                <w:webHidden/>
              </w:rPr>
              <w:fldChar w:fldCharType="separate"/>
            </w:r>
            <w:r>
              <w:rPr>
                <w:noProof/>
                <w:webHidden/>
              </w:rPr>
              <w:t>21</w:t>
            </w:r>
            <w:r>
              <w:rPr>
                <w:noProof/>
                <w:webHidden/>
              </w:rPr>
              <w:fldChar w:fldCharType="end"/>
            </w:r>
          </w:hyperlink>
        </w:p>
        <w:p w14:paraId="2ED8741D" w14:textId="78368DA9" w:rsidR="000B486C" w:rsidRDefault="000B486C">
          <w:pPr>
            <w:pStyle w:val="TOC2"/>
            <w:tabs>
              <w:tab w:val="right" w:leader="dot" w:pos="9016"/>
            </w:tabs>
            <w:rPr>
              <w:noProof/>
            </w:rPr>
          </w:pPr>
          <w:hyperlink w:anchor="_Toc223447527" w:history="1">
            <w:r w:rsidRPr="005B0D4E">
              <w:rPr>
                <w:rStyle w:val="Hyperlink"/>
                <w:noProof/>
              </w:rPr>
              <w:t>8.8 Summary of Key Issues</w:t>
            </w:r>
            <w:r>
              <w:rPr>
                <w:noProof/>
                <w:webHidden/>
              </w:rPr>
              <w:tab/>
            </w:r>
            <w:r>
              <w:rPr>
                <w:noProof/>
                <w:webHidden/>
              </w:rPr>
              <w:fldChar w:fldCharType="begin"/>
            </w:r>
            <w:r>
              <w:rPr>
                <w:noProof/>
                <w:webHidden/>
              </w:rPr>
              <w:instrText xml:space="preserve"> PAGEREF _Toc223447527 \h </w:instrText>
            </w:r>
            <w:r>
              <w:rPr>
                <w:noProof/>
                <w:webHidden/>
              </w:rPr>
            </w:r>
            <w:r>
              <w:rPr>
                <w:noProof/>
                <w:webHidden/>
              </w:rPr>
              <w:fldChar w:fldCharType="separate"/>
            </w:r>
            <w:r>
              <w:rPr>
                <w:noProof/>
                <w:webHidden/>
              </w:rPr>
              <w:t>21</w:t>
            </w:r>
            <w:r>
              <w:rPr>
                <w:noProof/>
                <w:webHidden/>
              </w:rPr>
              <w:fldChar w:fldCharType="end"/>
            </w:r>
          </w:hyperlink>
        </w:p>
        <w:p w14:paraId="40EB424B" w14:textId="02D14C9C" w:rsidR="000B486C" w:rsidRDefault="000B486C">
          <w:pPr>
            <w:pStyle w:val="TOC1"/>
            <w:tabs>
              <w:tab w:val="right" w:leader="dot" w:pos="9016"/>
            </w:tabs>
            <w:rPr>
              <w:noProof/>
            </w:rPr>
          </w:pPr>
          <w:hyperlink w:anchor="_Toc223447528" w:history="1">
            <w:r w:rsidRPr="005B0D4E">
              <w:rPr>
                <w:rStyle w:val="Hyperlink"/>
                <w:noProof/>
              </w:rPr>
              <w:t>9. Procurement, Tendering and Contract Strategy for the Refurbishment of the Dylan Thomas Centre</w:t>
            </w:r>
            <w:r>
              <w:rPr>
                <w:noProof/>
                <w:webHidden/>
              </w:rPr>
              <w:tab/>
            </w:r>
            <w:r>
              <w:rPr>
                <w:noProof/>
                <w:webHidden/>
              </w:rPr>
              <w:fldChar w:fldCharType="begin"/>
            </w:r>
            <w:r>
              <w:rPr>
                <w:noProof/>
                <w:webHidden/>
              </w:rPr>
              <w:instrText xml:space="preserve"> PAGEREF _Toc223447528 \h </w:instrText>
            </w:r>
            <w:r>
              <w:rPr>
                <w:noProof/>
                <w:webHidden/>
              </w:rPr>
            </w:r>
            <w:r>
              <w:rPr>
                <w:noProof/>
                <w:webHidden/>
              </w:rPr>
              <w:fldChar w:fldCharType="separate"/>
            </w:r>
            <w:r>
              <w:rPr>
                <w:noProof/>
                <w:webHidden/>
              </w:rPr>
              <w:t>22</w:t>
            </w:r>
            <w:r>
              <w:rPr>
                <w:noProof/>
                <w:webHidden/>
              </w:rPr>
              <w:fldChar w:fldCharType="end"/>
            </w:r>
          </w:hyperlink>
        </w:p>
        <w:p w14:paraId="1C5B1535" w14:textId="3F82AB68" w:rsidR="000B486C" w:rsidRDefault="000B486C">
          <w:pPr>
            <w:pStyle w:val="TOC2"/>
            <w:tabs>
              <w:tab w:val="right" w:leader="dot" w:pos="9016"/>
            </w:tabs>
            <w:rPr>
              <w:noProof/>
            </w:rPr>
          </w:pPr>
          <w:hyperlink w:anchor="_Toc223447529" w:history="1">
            <w:r w:rsidRPr="005B0D4E">
              <w:rPr>
                <w:rStyle w:val="Hyperlink"/>
                <w:noProof/>
              </w:rPr>
              <w:t>9.1 Procurement Route</w:t>
            </w:r>
            <w:r>
              <w:rPr>
                <w:noProof/>
                <w:webHidden/>
              </w:rPr>
              <w:tab/>
            </w:r>
            <w:r>
              <w:rPr>
                <w:noProof/>
                <w:webHidden/>
              </w:rPr>
              <w:fldChar w:fldCharType="begin"/>
            </w:r>
            <w:r>
              <w:rPr>
                <w:noProof/>
                <w:webHidden/>
              </w:rPr>
              <w:instrText xml:space="preserve"> PAGEREF _Toc223447529 \h </w:instrText>
            </w:r>
            <w:r>
              <w:rPr>
                <w:noProof/>
                <w:webHidden/>
              </w:rPr>
            </w:r>
            <w:r>
              <w:rPr>
                <w:noProof/>
                <w:webHidden/>
              </w:rPr>
              <w:fldChar w:fldCharType="separate"/>
            </w:r>
            <w:r>
              <w:rPr>
                <w:noProof/>
                <w:webHidden/>
              </w:rPr>
              <w:t>22</w:t>
            </w:r>
            <w:r>
              <w:rPr>
                <w:noProof/>
                <w:webHidden/>
              </w:rPr>
              <w:fldChar w:fldCharType="end"/>
            </w:r>
          </w:hyperlink>
        </w:p>
        <w:p w14:paraId="6D49638C" w14:textId="14B0DF21" w:rsidR="000B486C" w:rsidRDefault="000B486C">
          <w:pPr>
            <w:pStyle w:val="TOC2"/>
            <w:tabs>
              <w:tab w:val="right" w:leader="dot" w:pos="9016"/>
            </w:tabs>
            <w:rPr>
              <w:noProof/>
            </w:rPr>
          </w:pPr>
          <w:hyperlink w:anchor="_Toc223447530" w:history="1">
            <w:r w:rsidRPr="005B0D4E">
              <w:rPr>
                <w:rStyle w:val="Hyperlink"/>
                <w:noProof/>
              </w:rPr>
              <w:t>9.2 Tendering Strategy</w:t>
            </w:r>
            <w:r>
              <w:rPr>
                <w:noProof/>
                <w:webHidden/>
              </w:rPr>
              <w:tab/>
            </w:r>
            <w:r>
              <w:rPr>
                <w:noProof/>
                <w:webHidden/>
              </w:rPr>
              <w:fldChar w:fldCharType="begin"/>
            </w:r>
            <w:r>
              <w:rPr>
                <w:noProof/>
                <w:webHidden/>
              </w:rPr>
              <w:instrText xml:space="preserve"> PAGEREF _Toc223447530 \h </w:instrText>
            </w:r>
            <w:r>
              <w:rPr>
                <w:noProof/>
                <w:webHidden/>
              </w:rPr>
            </w:r>
            <w:r>
              <w:rPr>
                <w:noProof/>
                <w:webHidden/>
              </w:rPr>
              <w:fldChar w:fldCharType="separate"/>
            </w:r>
            <w:r>
              <w:rPr>
                <w:noProof/>
                <w:webHidden/>
              </w:rPr>
              <w:t>22</w:t>
            </w:r>
            <w:r>
              <w:rPr>
                <w:noProof/>
                <w:webHidden/>
              </w:rPr>
              <w:fldChar w:fldCharType="end"/>
            </w:r>
          </w:hyperlink>
        </w:p>
        <w:p w14:paraId="337CF523" w14:textId="4730C4BE" w:rsidR="000B486C" w:rsidRDefault="000B486C">
          <w:pPr>
            <w:pStyle w:val="TOC2"/>
            <w:tabs>
              <w:tab w:val="right" w:leader="dot" w:pos="9016"/>
            </w:tabs>
            <w:rPr>
              <w:noProof/>
            </w:rPr>
          </w:pPr>
          <w:hyperlink w:anchor="_Toc223447531" w:history="1">
            <w:r w:rsidRPr="005B0D4E">
              <w:rPr>
                <w:rStyle w:val="Hyperlink"/>
                <w:noProof/>
              </w:rPr>
              <w:t>9.3 Contract Form</w:t>
            </w:r>
            <w:r>
              <w:rPr>
                <w:noProof/>
                <w:webHidden/>
              </w:rPr>
              <w:tab/>
            </w:r>
            <w:r>
              <w:rPr>
                <w:noProof/>
                <w:webHidden/>
              </w:rPr>
              <w:fldChar w:fldCharType="begin"/>
            </w:r>
            <w:r>
              <w:rPr>
                <w:noProof/>
                <w:webHidden/>
              </w:rPr>
              <w:instrText xml:space="preserve"> PAGEREF _Toc223447531 \h </w:instrText>
            </w:r>
            <w:r>
              <w:rPr>
                <w:noProof/>
                <w:webHidden/>
              </w:rPr>
            </w:r>
            <w:r>
              <w:rPr>
                <w:noProof/>
                <w:webHidden/>
              </w:rPr>
              <w:fldChar w:fldCharType="separate"/>
            </w:r>
            <w:r>
              <w:rPr>
                <w:noProof/>
                <w:webHidden/>
              </w:rPr>
              <w:t>22</w:t>
            </w:r>
            <w:r>
              <w:rPr>
                <w:noProof/>
                <w:webHidden/>
              </w:rPr>
              <w:fldChar w:fldCharType="end"/>
            </w:r>
          </w:hyperlink>
        </w:p>
        <w:p w14:paraId="5BD4FC2E" w14:textId="3D2CA007" w:rsidR="000B486C" w:rsidRDefault="000B486C">
          <w:pPr>
            <w:pStyle w:val="TOC1"/>
            <w:tabs>
              <w:tab w:val="right" w:leader="dot" w:pos="9016"/>
            </w:tabs>
            <w:rPr>
              <w:noProof/>
            </w:rPr>
          </w:pPr>
          <w:hyperlink w:anchor="_Toc223447532" w:history="1">
            <w:r w:rsidRPr="005B0D4E">
              <w:rPr>
                <w:rStyle w:val="Hyperlink"/>
                <w:noProof/>
              </w:rPr>
              <w:t>10. Risk Analysis</w:t>
            </w:r>
            <w:r>
              <w:rPr>
                <w:noProof/>
                <w:webHidden/>
              </w:rPr>
              <w:tab/>
            </w:r>
            <w:r>
              <w:rPr>
                <w:noProof/>
                <w:webHidden/>
              </w:rPr>
              <w:fldChar w:fldCharType="begin"/>
            </w:r>
            <w:r>
              <w:rPr>
                <w:noProof/>
                <w:webHidden/>
              </w:rPr>
              <w:instrText xml:space="preserve"> PAGEREF _Toc223447532 \h </w:instrText>
            </w:r>
            <w:r>
              <w:rPr>
                <w:noProof/>
                <w:webHidden/>
              </w:rPr>
            </w:r>
            <w:r>
              <w:rPr>
                <w:noProof/>
                <w:webHidden/>
              </w:rPr>
              <w:fldChar w:fldCharType="separate"/>
            </w:r>
            <w:r>
              <w:rPr>
                <w:noProof/>
                <w:webHidden/>
              </w:rPr>
              <w:t>23</w:t>
            </w:r>
            <w:r>
              <w:rPr>
                <w:noProof/>
                <w:webHidden/>
              </w:rPr>
              <w:fldChar w:fldCharType="end"/>
            </w:r>
          </w:hyperlink>
        </w:p>
        <w:p w14:paraId="14DB60F5" w14:textId="57C682AC" w:rsidR="000B486C" w:rsidRDefault="000B486C">
          <w:pPr>
            <w:pStyle w:val="TOC2"/>
            <w:tabs>
              <w:tab w:val="right" w:leader="dot" w:pos="9016"/>
            </w:tabs>
            <w:rPr>
              <w:noProof/>
            </w:rPr>
          </w:pPr>
          <w:hyperlink w:anchor="_Toc223447533" w:history="1">
            <w:r w:rsidRPr="005B0D4E">
              <w:rPr>
                <w:rStyle w:val="Hyperlink"/>
                <w:noProof/>
              </w:rPr>
              <w:t>10.1 Main Risk Categories</w:t>
            </w:r>
            <w:r>
              <w:rPr>
                <w:noProof/>
                <w:webHidden/>
              </w:rPr>
              <w:tab/>
            </w:r>
            <w:r>
              <w:rPr>
                <w:noProof/>
                <w:webHidden/>
              </w:rPr>
              <w:fldChar w:fldCharType="begin"/>
            </w:r>
            <w:r>
              <w:rPr>
                <w:noProof/>
                <w:webHidden/>
              </w:rPr>
              <w:instrText xml:space="preserve"> PAGEREF _Toc223447533 \h </w:instrText>
            </w:r>
            <w:r>
              <w:rPr>
                <w:noProof/>
                <w:webHidden/>
              </w:rPr>
            </w:r>
            <w:r>
              <w:rPr>
                <w:noProof/>
                <w:webHidden/>
              </w:rPr>
              <w:fldChar w:fldCharType="separate"/>
            </w:r>
            <w:r>
              <w:rPr>
                <w:noProof/>
                <w:webHidden/>
              </w:rPr>
              <w:t>23</w:t>
            </w:r>
            <w:r>
              <w:rPr>
                <w:noProof/>
                <w:webHidden/>
              </w:rPr>
              <w:fldChar w:fldCharType="end"/>
            </w:r>
          </w:hyperlink>
        </w:p>
        <w:p w14:paraId="3F234E3A" w14:textId="2B4CED1A" w:rsidR="000B486C" w:rsidRDefault="000B486C">
          <w:pPr>
            <w:pStyle w:val="TOC2"/>
            <w:tabs>
              <w:tab w:val="right" w:leader="dot" w:pos="9016"/>
            </w:tabs>
            <w:rPr>
              <w:noProof/>
            </w:rPr>
          </w:pPr>
          <w:hyperlink w:anchor="_Toc223447534" w:history="1">
            <w:r w:rsidRPr="005B0D4E">
              <w:rPr>
                <w:rStyle w:val="Hyperlink"/>
                <w:noProof/>
              </w:rPr>
              <w:t>10.2 Risk Profile: New Construction Teaching Facility</w:t>
            </w:r>
            <w:r>
              <w:rPr>
                <w:noProof/>
                <w:webHidden/>
              </w:rPr>
              <w:tab/>
            </w:r>
            <w:r>
              <w:rPr>
                <w:noProof/>
                <w:webHidden/>
              </w:rPr>
              <w:fldChar w:fldCharType="begin"/>
            </w:r>
            <w:r>
              <w:rPr>
                <w:noProof/>
                <w:webHidden/>
              </w:rPr>
              <w:instrText xml:space="preserve"> PAGEREF _Toc223447534 \h </w:instrText>
            </w:r>
            <w:r>
              <w:rPr>
                <w:noProof/>
                <w:webHidden/>
              </w:rPr>
            </w:r>
            <w:r>
              <w:rPr>
                <w:noProof/>
                <w:webHidden/>
              </w:rPr>
              <w:fldChar w:fldCharType="separate"/>
            </w:r>
            <w:r>
              <w:rPr>
                <w:noProof/>
                <w:webHidden/>
              </w:rPr>
              <w:t>24</w:t>
            </w:r>
            <w:r>
              <w:rPr>
                <w:noProof/>
                <w:webHidden/>
              </w:rPr>
              <w:fldChar w:fldCharType="end"/>
            </w:r>
          </w:hyperlink>
        </w:p>
        <w:p w14:paraId="487CDBE4" w14:textId="067C6183" w:rsidR="000B486C" w:rsidRDefault="000B486C">
          <w:pPr>
            <w:pStyle w:val="TOC2"/>
            <w:tabs>
              <w:tab w:val="right" w:leader="dot" w:pos="9016"/>
            </w:tabs>
            <w:rPr>
              <w:noProof/>
            </w:rPr>
          </w:pPr>
          <w:hyperlink w:anchor="_Toc223447535" w:history="1">
            <w:r w:rsidRPr="005B0D4E">
              <w:rPr>
                <w:rStyle w:val="Hyperlink"/>
                <w:noProof/>
              </w:rPr>
              <w:t>10.3 Risk Profile: Dylan Thomas Centre Refurbishment</w:t>
            </w:r>
            <w:r>
              <w:rPr>
                <w:noProof/>
                <w:webHidden/>
              </w:rPr>
              <w:tab/>
            </w:r>
            <w:r>
              <w:rPr>
                <w:noProof/>
                <w:webHidden/>
              </w:rPr>
              <w:fldChar w:fldCharType="begin"/>
            </w:r>
            <w:r>
              <w:rPr>
                <w:noProof/>
                <w:webHidden/>
              </w:rPr>
              <w:instrText xml:space="preserve"> PAGEREF _Toc223447535 \h </w:instrText>
            </w:r>
            <w:r>
              <w:rPr>
                <w:noProof/>
                <w:webHidden/>
              </w:rPr>
            </w:r>
            <w:r>
              <w:rPr>
                <w:noProof/>
                <w:webHidden/>
              </w:rPr>
              <w:fldChar w:fldCharType="separate"/>
            </w:r>
            <w:r>
              <w:rPr>
                <w:noProof/>
                <w:webHidden/>
              </w:rPr>
              <w:t>24</w:t>
            </w:r>
            <w:r>
              <w:rPr>
                <w:noProof/>
                <w:webHidden/>
              </w:rPr>
              <w:fldChar w:fldCharType="end"/>
            </w:r>
          </w:hyperlink>
        </w:p>
        <w:p w14:paraId="790C84FA" w14:textId="0AA63F63" w:rsidR="000B486C" w:rsidRDefault="000B486C">
          <w:pPr>
            <w:pStyle w:val="TOC2"/>
            <w:tabs>
              <w:tab w:val="right" w:leader="dot" w:pos="9016"/>
            </w:tabs>
            <w:rPr>
              <w:noProof/>
            </w:rPr>
          </w:pPr>
          <w:hyperlink w:anchor="_Toc223447536" w:history="1">
            <w:r w:rsidRPr="005B0D4E">
              <w:rPr>
                <w:rStyle w:val="Hyperlink"/>
                <w:noProof/>
              </w:rPr>
              <w:t>10.4 Risk Matrix</w:t>
            </w:r>
            <w:r>
              <w:rPr>
                <w:noProof/>
                <w:webHidden/>
              </w:rPr>
              <w:tab/>
            </w:r>
            <w:r>
              <w:rPr>
                <w:noProof/>
                <w:webHidden/>
              </w:rPr>
              <w:fldChar w:fldCharType="begin"/>
            </w:r>
            <w:r>
              <w:rPr>
                <w:noProof/>
                <w:webHidden/>
              </w:rPr>
              <w:instrText xml:space="preserve"> PAGEREF _Toc223447536 \h </w:instrText>
            </w:r>
            <w:r>
              <w:rPr>
                <w:noProof/>
                <w:webHidden/>
              </w:rPr>
            </w:r>
            <w:r>
              <w:rPr>
                <w:noProof/>
                <w:webHidden/>
              </w:rPr>
              <w:fldChar w:fldCharType="separate"/>
            </w:r>
            <w:r>
              <w:rPr>
                <w:noProof/>
                <w:webHidden/>
              </w:rPr>
              <w:t>25</w:t>
            </w:r>
            <w:r>
              <w:rPr>
                <w:noProof/>
                <w:webHidden/>
              </w:rPr>
              <w:fldChar w:fldCharType="end"/>
            </w:r>
          </w:hyperlink>
        </w:p>
        <w:p w14:paraId="70567223" w14:textId="27985908" w:rsidR="000B486C" w:rsidRDefault="000B486C">
          <w:pPr>
            <w:pStyle w:val="TOC2"/>
            <w:tabs>
              <w:tab w:val="right" w:leader="dot" w:pos="9016"/>
            </w:tabs>
            <w:rPr>
              <w:noProof/>
            </w:rPr>
          </w:pPr>
          <w:hyperlink w:anchor="_Toc223447537" w:history="1">
            <w:r w:rsidRPr="005B0D4E">
              <w:rPr>
                <w:rStyle w:val="Hyperlink"/>
                <w:noProof/>
              </w:rPr>
              <w:t>10.5 Risk Allocation</w:t>
            </w:r>
            <w:r>
              <w:rPr>
                <w:noProof/>
                <w:webHidden/>
              </w:rPr>
              <w:tab/>
            </w:r>
            <w:r>
              <w:rPr>
                <w:noProof/>
                <w:webHidden/>
              </w:rPr>
              <w:fldChar w:fldCharType="begin"/>
            </w:r>
            <w:r>
              <w:rPr>
                <w:noProof/>
                <w:webHidden/>
              </w:rPr>
              <w:instrText xml:space="preserve"> PAGEREF _Toc223447537 \h </w:instrText>
            </w:r>
            <w:r>
              <w:rPr>
                <w:noProof/>
                <w:webHidden/>
              </w:rPr>
            </w:r>
            <w:r>
              <w:rPr>
                <w:noProof/>
                <w:webHidden/>
              </w:rPr>
              <w:fldChar w:fldCharType="separate"/>
            </w:r>
            <w:r>
              <w:rPr>
                <w:noProof/>
                <w:webHidden/>
              </w:rPr>
              <w:t>25</w:t>
            </w:r>
            <w:r>
              <w:rPr>
                <w:noProof/>
                <w:webHidden/>
              </w:rPr>
              <w:fldChar w:fldCharType="end"/>
            </w:r>
          </w:hyperlink>
        </w:p>
        <w:p w14:paraId="3F65AAB7" w14:textId="789319C4" w:rsidR="000B486C" w:rsidRDefault="000B486C">
          <w:pPr>
            <w:pStyle w:val="TOC2"/>
            <w:tabs>
              <w:tab w:val="right" w:leader="dot" w:pos="9016"/>
            </w:tabs>
            <w:rPr>
              <w:noProof/>
            </w:rPr>
          </w:pPr>
          <w:hyperlink w:anchor="_Toc223447538" w:history="1">
            <w:r w:rsidRPr="005B0D4E">
              <w:rPr>
                <w:rStyle w:val="Hyperlink"/>
                <w:noProof/>
              </w:rPr>
              <w:t>10.6 Mitigation Measures</w:t>
            </w:r>
            <w:r>
              <w:rPr>
                <w:noProof/>
                <w:webHidden/>
              </w:rPr>
              <w:tab/>
            </w:r>
            <w:r>
              <w:rPr>
                <w:noProof/>
                <w:webHidden/>
              </w:rPr>
              <w:fldChar w:fldCharType="begin"/>
            </w:r>
            <w:r>
              <w:rPr>
                <w:noProof/>
                <w:webHidden/>
              </w:rPr>
              <w:instrText xml:space="preserve"> PAGEREF _Toc223447538 \h </w:instrText>
            </w:r>
            <w:r>
              <w:rPr>
                <w:noProof/>
                <w:webHidden/>
              </w:rPr>
            </w:r>
            <w:r>
              <w:rPr>
                <w:noProof/>
                <w:webHidden/>
              </w:rPr>
              <w:fldChar w:fldCharType="separate"/>
            </w:r>
            <w:r>
              <w:rPr>
                <w:noProof/>
                <w:webHidden/>
              </w:rPr>
              <w:t>26</w:t>
            </w:r>
            <w:r>
              <w:rPr>
                <w:noProof/>
                <w:webHidden/>
              </w:rPr>
              <w:fldChar w:fldCharType="end"/>
            </w:r>
          </w:hyperlink>
        </w:p>
        <w:p w14:paraId="3A530E04" w14:textId="314377DF" w:rsidR="000B486C" w:rsidRDefault="000B486C">
          <w:pPr>
            <w:pStyle w:val="TOC1"/>
            <w:tabs>
              <w:tab w:val="right" w:leader="dot" w:pos="9016"/>
            </w:tabs>
            <w:rPr>
              <w:noProof/>
            </w:rPr>
          </w:pPr>
          <w:hyperlink w:anchor="_Toc223447539" w:history="1">
            <w:r w:rsidRPr="005B0D4E">
              <w:rPr>
                <w:rStyle w:val="Hyperlink"/>
                <w:noProof/>
              </w:rPr>
              <w:t>11. Sustainability and Social Value</w:t>
            </w:r>
            <w:r>
              <w:rPr>
                <w:noProof/>
                <w:webHidden/>
              </w:rPr>
              <w:tab/>
            </w:r>
            <w:r>
              <w:rPr>
                <w:noProof/>
                <w:webHidden/>
              </w:rPr>
              <w:fldChar w:fldCharType="begin"/>
            </w:r>
            <w:r>
              <w:rPr>
                <w:noProof/>
                <w:webHidden/>
              </w:rPr>
              <w:instrText xml:space="preserve"> PAGEREF _Toc223447539 \h </w:instrText>
            </w:r>
            <w:r>
              <w:rPr>
                <w:noProof/>
                <w:webHidden/>
              </w:rPr>
            </w:r>
            <w:r>
              <w:rPr>
                <w:noProof/>
                <w:webHidden/>
              </w:rPr>
              <w:fldChar w:fldCharType="separate"/>
            </w:r>
            <w:r>
              <w:rPr>
                <w:noProof/>
                <w:webHidden/>
              </w:rPr>
              <w:t>26</w:t>
            </w:r>
            <w:r>
              <w:rPr>
                <w:noProof/>
                <w:webHidden/>
              </w:rPr>
              <w:fldChar w:fldCharType="end"/>
            </w:r>
          </w:hyperlink>
        </w:p>
        <w:p w14:paraId="1F4D79A2" w14:textId="1DFECA58" w:rsidR="000B486C" w:rsidRDefault="000B486C">
          <w:pPr>
            <w:pStyle w:val="TOC2"/>
            <w:tabs>
              <w:tab w:val="right" w:leader="dot" w:pos="9016"/>
            </w:tabs>
            <w:rPr>
              <w:noProof/>
            </w:rPr>
          </w:pPr>
          <w:hyperlink w:anchor="_Toc223447540" w:history="1">
            <w:r w:rsidRPr="005B0D4E">
              <w:rPr>
                <w:rStyle w:val="Hyperlink"/>
                <w:noProof/>
              </w:rPr>
              <w:t>11.1 Environmental Sustainability</w:t>
            </w:r>
            <w:r>
              <w:rPr>
                <w:noProof/>
                <w:webHidden/>
              </w:rPr>
              <w:tab/>
            </w:r>
            <w:r>
              <w:rPr>
                <w:noProof/>
                <w:webHidden/>
              </w:rPr>
              <w:fldChar w:fldCharType="begin"/>
            </w:r>
            <w:r>
              <w:rPr>
                <w:noProof/>
                <w:webHidden/>
              </w:rPr>
              <w:instrText xml:space="preserve"> PAGEREF _Toc223447540 \h </w:instrText>
            </w:r>
            <w:r>
              <w:rPr>
                <w:noProof/>
                <w:webHidden/>
              </w:rPr>
            </w:r>
            <w:r>
              <w:rPr>
                <w:noProof/>
                <w:webHidden/>
              </w:rPr>
              <w:fldChar w:fldCharType="separate"/>
            </w:r>
            <w:r>
              <w:rPr>
                <w:noProof/>
                <w:webHidden/>
              </w:rPr>
              <w:t>27</w:t>
            </w:r>
            <w:r>
              <w:rPr>
                <w:noProof/>
                <w:webHidden/>
              </w:rPr>
              <w:fldChar w:fldCharType="end"/>
            </w:r>
          </w:hyperlink>
        </w:p>
        <w:p w14:paraId="7A400EF2" w14:textId="2D5CAA6F" w:rsidR="000B486C" w:rsidRDefault="000B486C">
          <w:pPr>
            <w:pStyle w:val="TOC2"/>
            <w:tabs>
              <w:tab w:val="right" w:leader="dot" w:pos="9016"/>
            </w:tabs>
            <w:rPr>
              <w:noProof/>
            </w:rPr>
          </w:pPr>
          <w:hyperlink w:anchor="_Toc223447541" w:history="1">
            <w:r w:rsidRPr="005B0D4E">
              <w:rPr>
                <w:rStyle w:val="Hyperlink"/>
                <w:noProof/>
              </w:rPr>
              <w:t>11.2 Social Value and Community Benefit</w:t>
            </w:r>
            <w:r>
              <w:rPr>
                <w:noProof/>
                <w:webHidden/>
              </w:rPr>
              <w:tab/>
            </w:r>
            <w:r>
              <w:rPr>
                <w:noProof/>
                <w:webHidden/>
              </w:rPr>
              <w:fldChar w:fldCharType="begin"/>
            </w:r>
            <w:r>
              <w:rPr>
                <w:noProof/>
                <w:webHidden/>
              </w:rPr>
              <w:instrText xml:space="preserve"> PAGEREF _Toc223447541 \h </w:instrText>
            </w:r>
            <w:r>
              <w:rPr>
                <w:noProof/>
                <w:webHidden/>
              </w:rPr>
            </w:r>
            <w:r>
              <w:rPr>
                <w:noProof/>
                <w:webHidden/>
              </w:rPr>
              <w:fldChar w:fldCharType="separate"/>
            </w:r>
            <w:r>
              <w:rPr>
                <w:noProof/>
                <w:webHidden/>
              </w:rPr>
              <w:t>28</w:t>
            </w:r>
            <w:r>
              <w:rPr>
                <w:noProof/>
                <w:webHidden/>
              </w:rPr>
              <w:fldChar w:fldCharType="end"/>
            </w:r>
          </w:hyperlink>
        </w:p>
        <w:p w14:paraId="068A449E" w14:textId="32D93E68" w:rsidR="000B486C" w:rsidRDefault="000B486C">
          <w:pPr>
            <w:pStyle w:val="TOC2"/>
            <w:tabs>
              <w:tab w:val="right" w:leader="dot" w:pos="9016"/>
            </w:tabs>
            <w:rPr>
              <w:noProof/>
            </w:rPr>
          </w:pPr>
          <w:hyperlink w:anchor="_Toc223447542" w:history="1">
            <w:r w:rsidRPr="005B0D4E">
              <w:rPr>
                <w:rStyle w:val="Hyperlink"/>
                <w:noProof/>
              </w:rPr>
              <w:t>11.3 Long</w:t>
            </w:r>
            <w:r w:rsidRPr="005B0D4E">
              <w:rPr>
                <w:rStyle w:val="Hyperlink"/>
                <w:noProof/>
              </w:rPr>
              <w:noBreakHyphen/>
              <w:t>Term Value and Well</w:t>
            </w:r>
            <w:r w:rsidRPr="005B0D4E">
              <w:rPr>
                <w:rStyle w:val="Hyperlink"/>
                <w:noProof/>
              </w:rPr>
              <w:noBreakHyphen/>
              <w:t>Being</w:t>
            </w:r>
            <w:r>
              <w:rPr>
                <w:noProof/>
                <w:webHidden/>
              </w:rPr>
              <w:tab/>
            </w:r>
            <w:r>
              <w:rPr>
                <w:noProof/>
                <w:webHidden/>
              </w:rPr>
              <w:fldChar w:fldCharType="begin"/>
            </w:r>
            <w:r>
              <w:rPr>
                <w:noProof/>
                <w:webHidden/>
              </w:rPr>
              <w:instrText xml:space="preserve"> PAGEREF _Toc223447542 \h </w:instrText>
            </w:r>
            <w:r>
              <w:rPr>
                <w:noProof/>
                <w:webHidden/>
              </w:rPr>
            </w:r>
            <w:r>
              <w:rPr>
                <w:noProof/>
                <w:webHidden/>
              </w:rPr>
              <w:fldChar w:fldCharType="separate"/>
            </w:r>
            <w:r>
              <w:rPr>
                <w:noProof/>
                <w:webHidden/>
              </w:rPr>
              <w:t>29</w:t>
            </w:r>
            <w:r>
              <w:rPr>
                <w:noProof/>
                <w:webHidden/>
              </w:rPr>
              <w:fldChar w:fldCharType="end"/>
            </w:r>
          </w:hyperlink>
        </w:p>
        <w:p w14:paraId="017707B1" w14:textId="39DB3985" w:rsidR="000B486C" w:rsidRDefault="000B486C">
          <w:pPr>
            <w:pStyle w:val="TOC2"/>
            <w:tabs>
              <w:tab w:val="right" w:leader="dot" w:pos="9016"/>
            </w:tabs>
            <w:rPr>
              <w:noProof/>
            </w:rPr>
          </w:pPr>
          <w:hyperlink w:anchor="_Toc223447543" w:history="1">
            <w:r w:rsidRPr="005B0D4E">
              <w:rPr>
                <w:rStyle w:val="Hyperlink"/>
                <w:noProof/>
              </w:rPr>
              <w:t>11.4 Summary Table</w:t>
            </w:r>
            <w:r>
              <w:rPr>
                <w:noProof/>
                <w:webHidden/>
              </w:rPr>
              <w:tab/>
            </w:r>
            <w:r>
              <w:rPr>
                <w:noProof/>
                <w:webHidden/>
              </w:rPr>
              <w:fldChar w:fldCharType="begin"/>
            </w:r>
            <w:r>
              <w:rPr>
                <w:noProof/>
                <w:webHidden/>
              </w:rPr>
              <w:instrText xml:space="preserve"> PAGEREF _Toc223447543 \h </w:instrText>
            </w:r>
            <w:r>
              <w:rPr>
                <w:noProof/>
                <w:webHidden/>
              </w:rPr>
            </w:r>
            <w:r>
              <w:rPr>
                <w:noProof/>
                <w:webHidden/>
              </w:rPr>
              <w:fldChar w:fldCharType="separate"/>
            </w:r>
            <w:r>
              <w:rPr>
                <w:noProof/>
                <w:webHidden/>
              </w:rPr>
              <w:t>29</w:t>
            </w:r>
            <w:r>
              <w:rPr>
                <w:noProof/>
                <w:webHidden/>
              </w:rPr>
              <w:fldChar w:fldCharType="end"/>
            </w:r>
          </w:hyperlink>
        </w:p>
        <w:p w14:paraId="4E6EBDCF" w14:textId="1D8A7F9E" w:rsidR="000B486C" w:rsidRDefault="000B486C">
          <w:pPr>
            <w:pStyle w:val="TOC1"/>
            <w:tabs>
              <w:tab w:val="right" w:leader="dot" w:pos="9016"/>
            </w:tabs>
            <w:rPr>
              <w:noProof/>
            </w:rPr>
          </w:pPr>
          <w:hyperlink w:anchor="_Toc223447544" w:history="1">
            <w:r w:rsidRPr="005B0D4E">
              <w:rPr>
                <w:rStyle w:val="Hyperlink"/>
                <w:noProof/>
              </w:rPr>
              <w:t>12. Conclusion</w:t>
            </w:r>
            <w:r>
              <w:rPr>
                <w:noProof/>
                <w:webHidden/>
              </w:rPr>
              <w:tab/>
            </w:r>
            <w:r>
              <w:rPr>
                <w:noProof/>
                <w:webHidden/>
              </w:rPr>
              <w:fldChar w:fldCharType="begin"/>
            </w:r>
            <w:r>
              <w:rPr>
                <w:noProof/>
                <w:webHidden/>
              </w:rPr>
              <w:instrText xml:space="preserve"> PAGEREF _Toc223447544 \h </w:instrText>
            </w:r>
            <w:r>
              <w:rPr>
                <w:noProof/>
                <w:webHidden/>
              </w:rPr>
            </w:r>
            <w:r>
              <w:rPr>
                <w:noProof/>
                <w:webHidden/>
              </w:rPr>
              <w:fldChar w:fldCharType="separate"/>
            </w:r>
            <w:r>
              <w:rPr>
                <w:noProof/>
                <w:webHidden/>
              </w:rPr>
              <w:t>30</w:t>
            </w:r>
            <w:r>
              <w:rPr>
                <w:noProof/>
                <w:webHidden/>
              </w:rPr>
              <w:fldChar w:fldCharType="end"/>
            </w:r>
          </w:hyperlink>
        </w:p>
        <w:p w14:paraId="097483FF" w14:textId="0F87E12A" w:rsidR="000B486C" w:rsidRDefault="000B486C">
          <w:pPr>
            <w:pStyle w:val="TOC1"/>
            <w:tabs>
              <w:tab w:val="right" w:leader="dot" w:pos="9016"/>
            </w:tabs>
            <w:rPr>
              <w:noProof/>
            </w:rPr>
          </w:pPr>
          <w:hyperlink w:anchor="_Toc223447545" w:history="1">
            <w:r w:rsidRPr="005B0D4E">
              <w:rPr>
                <w:rStyle w:val="Hyperlink"/>
                <w:noProof/>
              </w:rPr>
              <w:t>13. Reference List</w:t>
            </w:r>
            <w:r>
              <w:rPr>
                <w:noProof/>
                <w:webHidden/>
              </w:rPr>
              <w:tab/>
            </w:r>
            <w:r>
              <w:rPr>
                <w:noProof/>
                <w:webHidden/>
              </w:rPr>
              <w:fldChar w:fldCharType="begin"/>
            </w:r>
            <w:r>
              <w:rPr>
                <w:noProof/>
                <w:webHidden/>
              </w:rPr>
              <w:instrText xml:space="preserve"> PAGEREF _Toc223447545 \h </w:instrText>
            </w:r>
            <w:r>
              <w:rPr>
                <w:noProof/>
                <w:webHidden/>
              </w:rPr>
            </w:r>
            <w:r>
              <w:rPr>
                <w:noProof/>
                <w:webHidden/>
              </w:rPr>
              <w:fldChar w:fldCharType="separate"/>
            </w:r>
            <w:r>
              <w:rPr>
                <w:noProof/>
                <w:webHidden/>
              </w:rPr>
              <w:t>31</w:t>
            </w:r>
            <w:r>
              <w:rPr>
                <w:noProof/>
                <w:webHidden/>
              </w:rPr>
              <w:fldChar w:fldCharType="end"/>
            </w:r>
          </w:hyperlink>
        </w:p>
        <w:p w14:paraId="27615073" w14:textId="55F88BC0" w:rsidR="00196D24" w:rsidRDefault="00196D24">
          <w:r>
            <w:rPr>
              <w:b/>
              <w:bCs/>
              <w:noProof/>
            </w:rPr>
            <w:fldChar w:fldCharType="end"/>
          </w:r>
        </w:p>
      </w:sdtContent>
    </w:sdt>
    <w:p w14:paraId="3539360C" w14:textId="77777777" w:rsidR="00E36531" w:rsidRPr="001833CF" w:rsidRDefault="00E36531" w:rsidP="00E36531">
      <w:pPr>
        <w:rPr>
          <w:rFonts w:ascii="Arial" w:hAnsi="Arial" w:cs="Arial"/>
        </w:rPr>
      </w:pPr>
    </w:p>
    <w:p w14:paraId="6A7B653A" w14:textId="77777777" w:rsidR="00E36531" w:rsidRPr="001833CF" w:rsidRDefault="00E36531" w:rsidP="00E36531">
      <w:pPr>
        <w:rPr>
          <w:rFonts w:ascii="Arial" w:hAnsi="Arial" w:cs="Arial"/>
        </w:rPr>
      </w:pPr>
    </w:p>
    <w:p w14:paraId="367BCE17" w14:textId="77777777" w:rsidR="00E36531" w:rsidRPr="001833CF" w:rsidRDefault="00E36531" w:rsidP="00E36531">
      <w:pPr>
        <w:rPr>
          <w:rFonts w:ascii="Arial" w:hAnsi="Arial" w:cs="Arial"/>
        </w:rPr>
      </w:pPr>
    </w:p>
    <w:p w14:paraId="39E93CFA" w14:textId="77777777" w:rsidR="00E36531" w:rsidRPr="001833CF" w:rsidRDefault="00E36531" w:rsidP="00E36531">
      <w:pPr>
        <w:rPr>
          <w:rFonts w:ascii="Arial" w:hAnsi="Arial" w:cs="Arial"/>
        </w:rPr>
      </w:pPr>
    </w:p>
    <w:p w14:paraId="61129891" w14:textId="77777777" w:rsidR="00E36531" w:rsidRPr="001833CF" w:rsidRDefault="00E36531" w:rsidP="00E36531">
      <w:pPr>
        <w:rPr>
          <w:rFonts w:ascii="Arial" w:hAnsi="Arial" w:cs="Arial"/>
        </w:rPr>
      </w:pPr>
    </w:p>
    <w:p w14:paraId="73BBA723" w14:textId="77777777" w:rsidR="00E36531" w:rsidRPr="001833CF" w:rsidRDefault="00E36531" w:rsidP="00E36531">
      <w:pPr>
        <w:rPr>
          <w:rFonts w:ascii="Arial" w:hAnsi="Arial" w:cs="Arial"/>
        </w:rPr>
      </w:pPr>
    </w:p>
    <w:p w14:paraId="276670F7" w14:textId="77777777" w:rsidR="00E36531" w:rsidRPr="001833CF" w:rsidRDefault="00E36531" w:rsidP="00E36531">
      <w:pPr>
        <w:rPr>
          <w:rFonts w:ascii="Arial" w:hAnsi="Arial" w:cs="Arial"/>
        </w:rPr>
      </w:pPr>
    </w:p>
    <w:p w14:paraId="007CF620" w14:textId="77777777" w:rsidR="00E36531" w:rsidRPr="001833CF" w:rsidRDefault="00E36531" w:rsidP="00E36531">
      <w:pPr>
        <w:rPr>
          <w:rFonts w:ascii="Arial" w:hAnsi="Arial" w:cs="Arial"/>
        </w:rPr>
      </w:pPr>
    </w:p>
    <w:p w14:paraId="3741AD36" w14:textId="77777777" w:rsidR="00E36531" w:rsidRPr="001833CF" w:rsidRDefault="00E36531" w:rsidP="00E36531">
      <w:pPr>
        <w:rPr>
          <w:rFonts w:ascii="Arial" w:hAnsi="Arial" w:cs="Arial"/>
        </w:rPr>
      </w:pPr>
    </w:p>
    <w:p w14:paraId="5C91F640" w14:textId="77777777" w:rsidR="00196D24" w:rsidRDefault="00196D24" w:rsidP="00E36531">
      <w:pPr>
        <w:rPr>
          <w:rFonts w:ascii="Arial" w:hAnsi="Arial" w:cs="Arial"/>
        </w:rPr>
      </w:pPr>
    </w:p>
    <w:p w14:paraId="0BF9208D" w14:textId="54FF2DEE" w:rsidR="00E36531" w:rsidRPr="00E36531" w:rsidRDefault="00E36531" w:rsidP="004341C0">
      <w:pPr>
        <w:pStyle w:val="Heading1"/>
      </w:pPr>
      <w:bookmarkStart w:id="0" w:name="_Toc223447496"/>
      <w:r w:rsidRPr="00E36531">
        <w:lastRenderedPageBreak/>
        <w:t>Executive Summary</w:t>
      </w:r>
      <w:bookmarkEnd w:id="0"/>
    </w:p>
    <w:p w14:paraId="6F627572" w14:textId="77777777" w:rsidR="00E36531" w:rsidRPr="00E36531" w:rsidRDefault="00E36531" w:rsidP="00E36531">
      <w:pPr>
        <w:rPr>
          <w:rFonts w:ascii="Arial" w:hAnsi="Arial" w:cs="Arial"/>
        </w:rPr>
      </w:pPr>
      <w:r w:rsidRPr="00E36531">
        <w:rPr>
          <w:rFonts w:ascii="Arial" w:hAnsi="Arial" w:cs="Arial"/>
        </w:rPr>
        <w:t>This report examines the procurement, tendering and contract strategies for two linked projects at the University of Wales Trinity Saint David’s SA1 campus: the development of a new construction teaching facility and the refurbishment of the Dylan Thomas Centre to bring it up to modern accessibility standards. Although both projects sit within the same estate and contribute to the University’s wider ambitions for SA1, they differ significantly in terms of complexity, constraints and the type of control required during design and delivery. As a result, each project demands a tailored approach rather than a single procurement route applied across the board.</w:t>
      </w:r>
    </w:p>
    <w:p w14:paraId="2F408768" w14:textId="77777777" w:rsidR="00E36531" w:rsidRPr="00E36531" w:rsidRDefault="00E36531" w:rsidP="00E36531">
      <w:pPr>
        <w:rPr>
          <w:rFonts w:ascii="Arial" w:hAnsi="Arial" w:cs="Arial"/>
        </w:rPr>
      </w:pPr>
      <w:r w:rsidRPr="00E36531">
        <w:rPr>
          <w:rFonts w:ascii="Arial" w:hAnsi="Arial" w:cs="Arial"/>
        </w:rPr>
        <w:t>The new construction teaching facility is a relatively complex build, mainly because it needs to accommodate specialist workshop spaces, digital construction technologies and robust mechanical and electrical systems. These requirements make early contractor involvement particularly valuable. A two</w:t>
      </w:r>
      <w:r w:rsidRPr="00E36531">
        <w:rPr>
          <w:rFonts w:ascii="Arial" w:hAnsi="Arial" w:cs="Arial"/>
        </w:rPr>
        <w:noBreakHyphen/>
        <w:t>stage Design and Build route offers the University a practical balance between cost certainty, buildability and programme control. It allows the contractor to contribute to the technical development of the design at an early stage, reducing the risk of clashes or late</w:t>
      </w:r>
      <w:r w:rsidRPr="00E36531">
        <w:rPr>
          <w:rFonts w:ascii="Arial" w:hAnsi="Arial" w:cs="Arial"/>
        </w:rPr>
        <w:noBreakHyphen/>
        <w:t>stage redesign. A restricted tender through a public</w:t>
      </w:r>
      <w:r w:rsidRPr="00E36531">
        <w:rPr>
          <w:rFonts w:ascii="Arial" w:hAnsi="Arial" w:cs="Arial"/>
        </w:rPr>
        <w:noBreakHyphen/>
        <w:t>sector framework, such as SEWSCAP, provides a compliant and efficient way of selecting experienced contractors. The JCT Design and Build Contract 2016 aligns well with this approach, offering a familiar structure and clear allocation of design responsibility.</w:t>
      </w:r>
    </w:p>
    <w:p w14:paraId="59977752" w14:textId="77777777" w:rsidR="00E36531" w:rsidRPr="00E36531" w:rsidRDefault="00E36531" w:rsidP="00E36531">
      <w:pPr>
        <w:rPr>
          <w:rFonts w:ascii="Arial" w:hAnsi="Arial" w:cs="Arial"/>
        </w:rPr>
      </w:pPr>
      <w:r w:rsidRPr="00E36531">
        <w:rPr>
          <w:rFonts w:ascii="Arial" w:hAnsi="Arial" w:cs="Arial"/>
        </w:rPr>
        <w:t>The refurbishment of the Dylan Thomas Centre presents a different set of challenges. As a heritage building with significant accessibility shortcomings, it requires careful design development and close coordination with conservation officers. The nature of the work—particularly the need to address circulation, entrances, sanitary provision and vertical access—means that the University needs strong control over the design before going out to tender. A Traditional procurement route is therefore more appropriate, supported by a single</w:t>
      </w:r>
      <w:r w:rsidRPr="00E36531">
        <w:rPr>
          <w:rFonts w:ascii="Arial" w:hAnsi="Arial" w:cs="Arial"/>
        </w:rPr>
        <w:noBreakHyphen/>
        <w:t>stage competitive tender through a Minor Works framework. The JCT Intermediate Building Contract 2016 provides the right level of structure for a project of this scale and complexity, allowing the University’s design team to retain responsibility for the detailed design while giving the contractor a clear scope to price against.</w:t>
      </w:r>
    </w:p>
    <w:p w14:paraId="22C97D20" w14:textId="30291873" w:rsidR="00E36531" w:rsidRPr="00E36531" w:rsidRDefault="00E36531" w:rsidP="00E36531">
      <w:pPr>
        <w:rPr>
          <w:rFonts w:ascii="Arial" w:hAnsi="Arial" w:cs="Arial"/>
        </w:rPr>
      </w:pPr>
      <w:r w:rsidRPr="00E36531">
        <w:rPr>
          <w:rFonts w:ascii="Arial" w:hAnsi="Arial" w:cs="Arial"/>
        </w:rPr>
        <w:t>Alongside the procurement and contract considerations, the report also reviews the wider SA1 estate. This includes an assessment of the condition, suitability and strategic value of key buildings such as the IQ Building, Fforwm, Dynevor, the BBC Building and the Technium facilities. While the modern buildings generally perform well and support the University’s long</w:t>
      </w:r>
      <w:r w:rsidRPr="00E36531">
        <w:rPr>
          <w:rFonts w:ascii="Arial" w:hAnsi="Arial" w:cs="Arial"/>
        </w:rPr>
        <w:noBreakHyphen/>
        <w:t xml:space="preserve">term plans, several heritage assets—including the Dylan Thomas Centre—require targeted investment to remain fit for purpose. The accessibility assessment highlights </w:t>
      </w:r>
      <w:r w:rsidR="008E4BD6" w:rsidRPr="00E36531">
        <w:rPr>
          <w:rFonts w:ascii="Arial" w:hAnsi="Arial" w:cs="Arial"/>
        </w:rPr>
        <w:t>several</w:t>
      </w:r>
      <w:r w:rsidRPr="00E36531">
        <w:rPr>
          <w:rFonts w:ascii="Arial" w:hAnsi="Arial" w:cs="Arial"/>
        </w:rPr>
        <w:t xml:space="preserve"> critical issues, including non</w:t>
      </w:r>
      <w:r w:rsidRPr="00E36531">
        <w:rPr>
          <w:rFonts w:ascii="Arial" w:hAnsi="Arial" w:cs="Arial"/>
        </w:rPr>
        <w:noBreakHyphen/>
        <w:t xml:space="preserve">compliant entrances, limited lift capacity, inadequate sanitary provision and poor wayfinding. Addressing these issues is essential not only for legal compliance but </w:t>
      </w:r>
      <w:r w:rsidRPr="00E36531">
        <w:rPr>
          <w:rFonts w:ascii="Arial" w:hAnsi="Arial" w:cs="Arial"/>
        </w:rPr>
        <w:lastRenderedPageBreak/>
        <w:t>also for ensuring that the building remains inclusive and usable for students, staff and the wider community.</w:t>
      </w:r>
    </w:p>
    <w:p w14:paraId="26D20387" w14:textId="77777777" w:rsidR="00E36531" w:rsidRPr="00E36531" w:rsidRDefault="00E36531" w:rsidP="00E36531">
      <w:pPr>
        <w:rPr>
          <w:rFonts w:ascii="Arial" w:hAnsi="Arial" w:cs="Arial"/>
        </w:rPr>
      </w:pPr>
      <w:r w:rsidRPr="00E36531">
        <w:rPr>
          <w:rFonts w:ascii="Arial" w:hAnsi="Arial" w:cs="Arial"/>
        </w:rPr>
        <w:t>The report also considers risk, sustainability and social value. Both projects carry risks relating to cost, programme, design coordination and stakeholder expectations, although the nature of these risks differs between the new build and the refurbishment. Sustainability and social value are central to public</w:t>
      </w:r>
      <w:r w:rsidRPr="00E36531">
        <w:rPr>
          <w:rFonts w:ascii="Arial" w:hAnsi="Arial" w:cs="Arial"/>
        </w:rPr>
        <w:noBreakHyphen/>
        <w:t>sector projects in Wales, and both schemes offer opportunities to support local employment, reduce carbon emissions and contribute to the University’s role as an anchor institution in Swansea.</w:t>
      </w:r>
    </w:p>
    <w:p w14:paraId="61DE0FC8" w14:textId="77777777" w:rsidR="00E36531" w:rsidRPr="00E36531" w:rsidRDefault="00E36531" w:rsidP="00E36531">
      <w:pPr>
        <w:rPr>
          <w:rFonts w:ascii="Arial" w:hAnsi="Arial" w:cs="Arial"/>
        </w:rPr>
      </w:pPr>
      <w:r w:rsidRPr="00E36531">
        <w:rPr>
          <w:rFonts w:ascii="Arial" w:hAnsi="Arial" w:cs="Arial"/>
        </w:rPr>
        <w:t>Overall, the recommended strategies provide a coherent and practical approach to delivering both projects. The combination of a two</w:t>
      </w:r>
      <w:r w:rsidRPr="00E36531">
        <w:rPr>
          <w:rFonts w:ascii="Arial" w:hAnsi="Arial" w:cs="Arial"/>
        </w:rPr>
        <w:noBreakHyphen/>
        <w:t>stage Design and Build route for the new facility and a Traditional route for the refurbishment reflects the different demands of each project. Together, these approaches support the University’s ambitions for a modern, inclusive and sustainable SA1 campus.</w:t>
      </w:r>
    </w:p>
    <w:p w14:paraId="157B412D" w14:textId="77777777" w:rsidR="00E36531" w:rsidRPr="001833CF" w:rsidRDefault="00E36531" w:rsidP="00E36531">
      <w:pPr>
        <w:rPr>
          <w:rFonts w:ascii="Arial" w:hAnsi="Arial" w:cs="Arial"/>
        </w:rPr>
      </w:pPr>
    </w:p>
    <w:p w14:paraId="559B5E97" w14:textId="77777777" w:rsidR="00E36531" w:rsidRPr="00E36531" w:rsidRDefault="00E36531" w:rsidP="004341C0">
      <w:pPr>
        <w:pStyle w:val="Heading1"/>
      </w:pPr>
      <w:bookmarkStart w:id="1" w:name="_Toc223447497"/>
      <w:r w:rsidRPr="00E36531">
        <w:t>1. Introduction and Context</w:t>
      </w:r>
      <w:bookmarkEnd w:id="1"/>
    </w:p>
    <w:p w14:paraId="4488A664" w14:textId="77777777" w:rsidR="00E36531" w:rsidRPr="00E36531" w:rsidRDefault="00E36531" w:rsidP="00E36531">
      <w:pPr>
        <w:rPr>
          <w:rFonts w:ascii="Arial" w:hAnsi="Arial" w:cs="Arial"/>
        </w:rPr>
      </w:pPr>
      <w:r w:rsidRPr="00E36531">
        <w:rPr>
          <w:rFonts w:ascii="Arial" w:hAnsi="Arial" w:cs="Arial"/>
        </w:rPr>
        <w:t>The SA1 Waterfront development has become an important part of how the University of Wales Trinity Saint David positions itself within Swansea. Over the past decade, the University has gradually shifted more of its teaching, research and public</w:t>
      </w:r>
      <w:r w:rsidRPr="00E36531">
        <w:rPr>
          <w:rFonts w:ascii="Arial" w:hAnsi="Arial" w:cs="Arial"/>
        </w:rPr>
        <w:noBreakHyphen/>
        <w:t>facing activity into this area, partly to modernise its estate and partly to strengthen its links with local industry and the wider community. The campus brings together a mix of new buildings, refurbished heritage assets and shared spaces that support collaboration between students, staff and external partners. Because of this, decisions about how new projects are procured and delivered have a direct impact not only on the University’s physical estate but also on its long</w:t>
      </w:r>
      <w:r w:rsidRPr="00E36531">
        <w:rPr>
          <w:rFonts w:ascii="Arial" w:hAnsi="Arial" w:cs="Arial"/>
        </w:rPr>
        <w:noBreakHyphen/>
        <w:t>term strategic direction.</w:t>
      </w:r>
    </w:p>
    <w:p w14:paraId="49641482" w14:textId="77777777" w:rsidR="00E36531" w:rsidRPr="00E36531" w:rsidRDefault="00E36531" w:rsidP="00E36531">
      <w:pPr>
        <w:rPr>
          <w:rFonts w:ascii="Arial" w:hAnsi="Arial" w:cs="Arial"/>
        </w:rPr>
      </w:pPr>
      <w:r w:rsidRPr="00E36531">
        <w:rPr>
          <w:rFonts w:ascii="Arial" w:hAnsi="Arial" w:cs="Arial"/>
        </w:rPr>
        <w:t>The two projects considered in this report—the development of a new construction teaching facility and the refurbishment of the Dylan Thomas Centre—sit within this broader context. Both are intended to support the University’s academic ambitions, but they do so in different ways. The new facility is designed to strengthen the University’s capacity in construction education, particularly in areas such as digital construction, modern methods of construction and practical workshop</w:t>
      </w:r>
      <w:r w:rsidRPr="00E36531">
        <w:rPr>
          <w:rFonts w:ascii="Arial" w:hAnsi="Arial" w:cs="Arial"/>
        </w:rPr>
        <w:noBreakHyphen/>
        <w:t>based learning. These are areas where industry expectations are changing quickly, and the University needs spaces that can adapt to new technologies and teaching methods.</w:t>
      </w:r>
    </w:p>
    <w:p w14:paraId="1F739253" w14:textId="77777777" w:rsidR="00E36531" w:rsidRPr="00E36531" w:rsidRDefault="00E36531" w:rsidP="00E36531">
      <w:pPr>
        <w:rPr>
          <w:rFonts w:ascii="Arial" w:hAnsi="Arial" w:cs="Arial"/>
        </w:rPr>
      </w:pPr>
      <w:r w:rsidRPr="00E36531">
        <w:rPr>
          <w:rFonts w:ascii="Arial" w:hAnsi="Arial" w:cs="Arial"/>
        </w:rPr>
        <w:t>The Dylan Thomas Centre, on the other hand, is a long</w:t>
      </w:r>
      <w:r w:rsidRPr="00E36531">
        <w:rPr>
          <w:rFonts w:ascii="Arial" w:hAnsi="Arial" w:cs="Arial"/>
        </w:rPr>
        <w:noBreakHyphen/>
        <w:t xml:space="preserve">standing heritage building that already plays a role in the University’s cultural and community engagement. However, its current layout and condition make it difficult to use fully and inclusively. Accessibility issues, ageing infrastructure and the constraints of a listed structure mean that significant work is required to bring it up to modern standards. The </w:t>
      </w:r>
      <w:r w:rsidRPr="00E36531">
        <w:rPr>
          <w:rFonts w:ascii="Arial" w:hAnsi="Arial" w:cs="Arial"/>
        </w:rPr>
        <w:lastRenderedPageBreak/>
        <w:t>University’s commitment to equality, inclusion and public engagement makes this refurbishment more than just a compliance exercise—it is part of ensuring that the building remains relevant and usable for years to come.</w:t>
      </w:r>
    </w:p>
    <w:p w14:paraId="2FC13E7D" w14:textId="77777777" w:rsidR="00E36531" w:rsidRPr="00E36531" w:rsidRDefault="00E36531" w:rsidP="00E36531">
      <w:pPr>
        <w:rPr>
          <w:rFonts w:ascii="Arial" w:hAnsi="Arial" w:cs="Arial"/>
        </w:rPr>
      </w:pPr>
      <w:r w:rsidRPr="00E36531">
        <w:rPr>
          <w:rFonts w:ascii="Arial" w:hAnsi="Arial" w:cs="Arial"/>
        </w:rPr>
        <w:t>Both projects also reflect the University’s responsibilities as a public</w:t>
      </w:r>
      <w:r w:rsidRPr="00E36531">
        <w:rPr>
          <w:rFonts w:ascii="Arial" w:hAnsi="Arial" w:cs="Arial"/>
        </w:rPr>
        <w:noBreakHyphen/>
        <w:t>sector organisation in Wales. Procurement decisions must align with Welsh Government policy, including the Well</w:t>
      </w:r>
      <w:r w:rsidRPr="00E36531">
        <w:rPr>
          <w:rFonts w:ascii="Arial" w:hAnsi="Arial" w:cs="Arial"/>
        </w:rPr>
        <w:noBreakHyphen/>
        <w:t>being of Future Generations Act, social value requirements and sustainability commitments. These policies encourage organisations to think beyond cost alone and consider how projects contribute to long</w:t>
      </w:r>
      <w:r w:rsidRPr="00E36531">
        <w:rPr>
          <w:rFonts w:ascii="Arial" w:hAnsi="Arial" w:cs="Arial"/>
        </w:rPr>
        <w:noBreakHyphen/>
        <w:t>term environmental, social and economic outcomes. For the University, this means choosing procurement routes that support local supply chains, reduce carbon emissions and create opportunities for students and the wider community.</w:t>
      </w:r>
    </w:p>
    <w:p w14:paraId="23870E10" w14:textId="77777777" w:rsidR="00E36531" w:rsidRPr="00E36531" w:rsidRDefault="00E36531" w:rsidP="00E36531">
      <w:pPr>
        <w:rPr>
          <w:rFonts w:ascii="Arial" w:hAnsi="Arial" w:cs="Arial"/>
        </w:rPr>
      </w:pPr>
      <w:r w:rsidRPr="00E36531">
        <w:rPr>
          <w:rFonts w:ascii="Arial" w:hAnsi="Arial" w:cs="Arial"/>
        </w:rPr>
        <w:t>At the same time, the University must manage practical constraints such as budget pressures, programme requirements and the need to minimise disruption to ongoing teaching and public use. The SA1 estate is already a busy environment, and both projects will need to be planned carefully to avoid unnecessary operational impacts. This is particularly important for the Dylan Thomas Centre, which continues to host events and exhibitions.</w:t>
      </w:r>
    </w:p>
    <w:p w14:paraId="0F334EB0" w14:textId="77777777" w:rsidR="00E36531" w:rsidRPr="00E36531" w:rsidRDefault="00E36531" w:rsidP="00E36531">
      <w:pPr>
        <w:rPr>
          <w:rFonts w:ascii="Arial" w:hAnsi="Arial" w:cs="Arial"/>
        </w:rPr>
      </w:pPr>
      <w:r w:rsidRPr="00E36531">
        <w:rPr>
          <w:rFonts w:ascii="Arial" w:hAnsi="Arial" w:cs="Arial"/>
        </w:rPr>
        <w:t>Overall, the context for these projects is one of balancing ambition with practicality. The University wants to invest in high</w:t>
      </w:r>
      <w:r w:rsidRPr="00E36531">
        <w:rPr>
          <w:rFonts w:ascii="Arial" w:hAnsi="Arial" w:cs="Arial"/>
        </w:rPr>
        <w:noBreakHyphen/>
        <w:t>quality, future</w:t>
      </w:r>
      <w:r w:rsidRPr="00E36531">
        <w:rPr>
          <w:rFonts w:ascii="Arial" w:hAnsi="Arial" w:cs="Arial"/>
        </w:rPr>
        <w:noBreakHyphen/>
        <w:t>proofed facilities, but it must do so in a way that is financially responsible, compliant with public</w:t>
      </w:r>
      <w:r w:rsidRPr="00E36531">
        <w:rPr>
          <w:rFonts w:ascii="Arial" w:hAnsi="Arial" w:cs="Arial"/>
        </w:rPr>
        <w:noBreakHyphen/>
        <w:t>sector requirements and sensitive to the unique characteristics of each building. This report explores how procurement, tendering and contract strategies can support these aims and ensure that both projects are delivered effectively.</w:t>
      </w:r>
    </w:p>
    <w:p w14:paraId="4F1EA451" w14:textId="77777777" w:rsidR="00E36531" w:rsidRPr="001833CF" w:rsidRDefault="00E36531" w:rsidP="00E36531">
      <w:pPr>
        <w:rPr>
          <w:rFonts w:ascii="Arial" w:hAnsi="Arial" w:cs="Arial"/>
        </w:rPr>
      </w:pPr>
    </w:p>
    <w:p w14:paraId="6BBE1163" w14:textId="77777777" w:rsidR="00E36531" w:rsidRPr="00E36531" w:rsidRDefault="00E36531" w:rsidP="004341C0">
      <w:pPr>
        <w:pStyle w:val="Heading1"/>
      </w:pPr>
      <w:bookmarkStart w:id="2" w:name="_Toc223447498"/>
      <w:r w:rsidRPr="00E36531">
        <w:t>2. Requirements for the New Construction Teaching Facility</w:t>
      </w:r>
      <w:bookmarkEnd w:id="2"/>
    </w:p>
    <w:p w14:paraId="75ADEA4A" w14:textId="77777777" w:rsidR="00E36531" w:rsidRPr="00E36531" w:rsidRDefault="00E36531" w:rsidP="00E36531">
      <w:pPr>
        <w:rPr>
          <w:rFonts w:ascii="Arial" w:hAnsi="Arial" w:cs="Arial"/>
        </w:rPr>
      </w:pPr>
      <w:r w:rsidRPr="00E36531">
        <w:rPr>
          <w:rFonts w:ascii="Arial" w:hAnsi="Arial" w:cs="Arial"/>
        </w:rPr>
        <w:t>The new construction teaching facility is intended to strengthen the University’s capacity to deliver modern, industry</w:t>
      </w:r>
      <w:r w:rsidRPr="00E36531">
        <w:rPr>
          <w:rFonts w:ascii="Arial" w:hAnsi="Arial" w:cs="Arial"/>
        </w:rPr>
        <w:noBreakHyphen/>
        <w:t>aligned construction education. The construction sector is changing quickly, with digital tools, sustainability expectations and modern methods of construction becoming central to how students are trained. Because of this, the building needs to do more than simply provide classrooms; it must support a blend of practical, technical and digital learning in a way that is flexible enough to adapt over time.</w:t>
      </w:r>
    </w:p>
    <w:p w14:paraId="2C02054E" w14:textId="77777777" w:rsidR="00E36531" w:rsidRPr="00E36531" w:rsidRDefault="00E36531" w:rsidP="00E36531">
      <w:pPr>
        <w:rPr>
          <w:rFonts w:ascii="Arial" w:hAnsi="Arial" w:cs="Arial"/>
        </w:rPr>
      </w:pPr>
      <w:r w:rsidRPr="00E36531">
        <w:rPr>
          <w:rFonts w:ascii="Arial" w:hAnsi="Arial" w:cs="Arial"/>
        </w:rPr>
        <w:t>The core requirement is to create a space that brings together workshop areas, specialist equipment zones and digitally enabled teaching rooms. These spaces need to be robust enough to handle hands</w:t>
      </w:r>
      <w:r w:rsidRPr="00E36531">
        <w:rPr>
          <w:rFonts w:ascii="Arial" w:hAnsi="Arial" w:cs="Arial"/>
        </w:rPr>
        <w:noBreakHyphen/>
        <w:t>on construction activities while still offering the kind of controlled environment needed for precision</w:t>
      </w:r>
      <w:r w:rsidRPr="00E36531">
        <w:rPr>
          <w:rFonts w:ascii="Arial" w:hAnsi="Arial" w:cs="Arial"/>
        </w:rPr>
        <w:noBreakHyphen/>
        <w:t xml:space="preserve">based tasks. This includes areas for carpentry, brickwork, surveying, digital fabrication and potentially </w:t>
      </w:r>
      <w:r w:rsidRPr="00E36531">
        <w:rPr>
          <w:rFonts w:ascii="Arial" w:hAnsi="Arial" w:cs="Arial"/>
        </w:rPr>
        <w:lastRenderedPageBreak/>
        <w:t>small</w:t>
      </w:r>
      <w:r w:rsidRPr="00E36531">
        <w:rPr>
          <w:rFonts w:ascii="Arial" w:hAnsi="Arial" w:cs="Arial"/>
        </w:rPr>
        <w:noBreakHyphen/>
        <w:t>scale off</w:t>
      </w:r>
      <w:r w:rsidRPr="00E36531">
        <w:rPr>
          <w:rFonts w:ascii="Arial" w:hAnsi="Arial" w:cs="Arial"/>
        </w:rPr>
        <w:noBreakHyphen/>
        <w:t>site construction demonstrations. The building also needs strong mechanical and electrical systems, particularly ventilation, extraction and power distribution, to support workshop activities safely.</w:t>
      </w:r>
    </w:p>
    <w:p w14:paraId="649254E1" w14:textId="77777777" w:rsidR="00E36531" w:rsidRPr="00E36531" w:rsidRDefault="00E36531" w:rsidP="00E36531">
      <w:pPr>
        <w:rPr>
          <w:rFonts w:ascii="Arial" w:hAnsi="Arial" w:cs="Arial"/>
        </w:rPr>
      </w:pPr>
      <w:r w:rsidRPr="00E36531">
        <w:rPr>
          <w:rFonts w:ascii="Arial" w:hAnsi="Arial" w:cs="Arial"/>
        </w:rPr>
        <w:t>Alongside the practical spaces, the University wants the facility to reflect the direction of the construction industry. This means integrating digital construction technologies such as BIM suites, VR/AR teaching tools and spaces for collaborative project work. These areas should feel connected to the workshops rather than separate from them, allowing students to move easily between digital design and physical construction tasks.</w:t>
      </w:r>
    </w:p>
    <w:p w14:paraId="5CCF29E2" w14:textId="77777777" w:rsidR="00E36531" w:rsidRPr="00E36531" w:rsidRDefault="00E36531" w:rsidP="00E36531">
      <w:pPr>
        <w:rPr>
          <w:rFonts w:ascii="Arial" w:hAnsi="Arial" w:cs="Arial"/>
        </w:rPr>
      </w:pPr>
      <w:r w:rsidRPr="00E36531">
        <w:rPr>
          <w:rFonts w:ascii="Arial" w:hAnsi="Arial" w:cs="Arial"/>
        </w:rPr>
        <w:t>Flexibility is another key requirement. Construction education evolves quickly, and the University needs a building that can adapt without major refurbishment every few years. This includes movable partitions, adaptable workshop layouts, accessible service routes and the ability to upgrade digital infrastructure as technology changes. The building should also support industry engagement, with areas that can be used for demonstrations, employer events and collaborative projects.</w:t>
      </w:r>
    </w:p>
    <w:p w14:paraId="12869D65" w14:textId="3C90D7E6" w:rsidR="00E36531" w:rsidRPr="00E36531" w:rsidRDefault="00E36531" w:rsidP="00E36531">
      <w:pPr>
        <w:rPr>
          <w:rFonts w:ascii="Arial" w:hAnsi="Arial" w:cs="Arial"/>
        </w:rPr>
      </w:pPr>
      <w:r w:rsidRPr="00E36531">
        <w:rPr>
          <w:rFonts w:ascii="Arial" w:hAnsi="Arial" w:cs="Arial"/>
        </w:rPr>
        <w:t>Sustainability is a major consideration, both because of Welsh Government policy and because the construction industry itself is moving towards low</w:t>
      </w:r>
      <w:r w:rsidRPr="00E36531">
        <w:rPr>
          <w:rFonts w:ascii="Arial" w:hAnsi="Arial" w:cs="Arial"/>
        </w:rPr>
        <w:noBreakHyphen/>
        <w:t xml:space="preserve">carbon methods. The facility should aim for high energy performance, efficient building systems and the use of sustainable materials where possible. It should also act as a teaching </w:t>
      </w:r>
      <w:r w:rsidR="00CE79CD" w:rsidRPr="001833CF">
        <w:rPr>
          <w:rFonts w:ascii="Arial" w:hAnsi="Arial" w:cs="Arial"/>
        </w:rPr>
        <w:t>tool, allowing</w:t>
      </w:r>
      <w:r w:rsidRPr="00E36531">
        <w:rPr>
          <w:rFonts w:ascii="Arial" w:hAnsi="Arial" w:cs="Arial"/>
        </w:rPr>
        <w:t xml:space="preserve"> students to see and understand the building’s environmental features.</w:t>
      </w:r>
    </w:p>
    <w:p w14:paraId="5150DA72" w14:textId="77777777" w:rsidR="00E36531" w:rsidRPr="00E36531" w:rsidRDefault="00E36531" w:rsidP="00E36531">
      <w:pPr>
        <w:rPr>
          <w:rFonts w:ascii="Arial" w:hAnsi="Arial" w:cs="Arial"/>
        </w:rPr>
      </w:pPr>
      <w:r w:rsidRPr="00E36531">
        <w:rPr>
          <w:rFonts w:ascii="Arial" w:hAnsi="Arial" w:cs="Arial"/>
        </w:rPr>
        <w:t>Finally, the building must integrate well with the existing SA1 campus. It should be easy to access, safe to move around and positioned in a way that supports the wider estate strategy. This includes considering pedestrian routes, service access, noise impacts and how the building contributes to the overall character of the campus.</w:t>
      </w:r>
    </w:p>
    <w:p w14:paraId="22F2B6C9" w14:textId="77777777" w:rsidR="00E36531" w:rsidRPr="001833CF" w:rsidRDefault="00E36531" w:rsidP="00E36531">
      <w:pPr>
        <w:rPr>
          <w:rFonts w:ascii="Arial" w:hAnsi="Arial" w:cs="Arial"/>
        </w:rPr>
      </w:pPr>
    </w:p>
    <w:p w14:paraId="4EFFDAC0" w14:textId="77777777" w:rsidR="00CE79CD" w:rsidRPr="00CE79CD" w:rsidRDefault="00CE79CD" w:rsidP="004341C0">
      <w:pPr>
        <w:pStyle w:val="Heading1"/>
      </w:pPr>
      <w:bookmarkStart w:id="3" w:name="_Toc223447499"/>
      <w:r w:rsidRPr="00CE79CD">
        <w:t>3. Procurement Strategy for the Climate-Controlled Research and Teaching Facility</w:t>
      </w:r>
      <w:bookmarkEnd w:id="3"/>
    </w:p>
    <w:p w14:paraId="4877D87B" w14:textId="77777777" w:rsidR="00CE79CD" w:rsidRPr="00CE79CD" w:rsidRDefault="00CE79CD" w:rsidP="004341C0">
      <w:pPr>
        <w:pStyle w:val="Heading2"/>
      </w:pPr>
      <w:bookmarkStart w:id="4" w:name="_Toc223447500"/>
      <w:r w:rsidRPr="00CE79CD">
        <w:t>3.1 Project Context and Strategic Considerations</w:t>
      </w:r>
      <w:bookmarkEnd w:id="4"/>
    </w:p>
    <w:p w14:paraId="38B8D3A1" w14:textId="77777777" w:rsidR="00CE79CD" w:rsidRPr="00CE79CD" w:rsidRDefault="00CE79CD" w:rsidP="00CE79CD">
      <w:pPr>
        <w:rPr>
          <w:rFonts w:ascii="Arial" w:hAnsi="Arial" w:cs="Arial"/>
        </w:rPr>
      </w:pPr>
      <w:r w:rsidRPr="00CE79CD">
        <w:rPr>
          <w:rFonts w:ascii="Arial" w:hAnsi="Arial" w:cs="Arial"/>
        </w:rPr>
        <w:t>The proposed climate-controlled research and teaching facility represents a technically complex and strategically significant development. The building will house two internal test structures within a large environmental envelope designed to simulate UK weather conditions. It will also incorporate teaching space and a dedicated digital laboratory to explore emerging construction technologies. As the only facility of its type in Wales, reputational and operational performance risks are substantial.</w:t>
      </w:r>
    </w:p>
    <w:p w14:paraId="259BA560" w14:textId="77777777" w:rsidR="00CE79CD" w:rsidRPr="00CE79CD" w:rsidRDefault="00CE79CD" w:rsidP="00CE79CD">
      <w:pPr>
        <w:rPr>
          <w:rFonts w:ascii="Arial" w:hAnsi="Arial" w:cs="Arial"/>
        </w:rPr>
      </w:pPr>
      <w:r w:rsidRPr="00CE79CD">
        <w:rPr>
          <w:rFonts w:ascii="Arial" w:hAnsi="Arial" w:cs="Arial"/>
        </w:rPr>
        <w:lastRenderedPageBreak/>
        <w:t>Funding for the project is contingent upon the University producing a robust business case prior to release of industry contributions. Accordingly, cost certainty must be established before full contractual commitment. In addition, while the University possesses a procurement and facilities team, it does not have direct experience in delivering highly specialist environmental testing infrastructure. These factors materially influence procurement strategy selection.</w:t>
      </w:r>
    </w:p>
    <w:p w14:paraId="5F241E34" w14:textId="77777777" w:rsidR="00CE79CD" w:rsidRPr="00CE79CD" w:rsidRDefault="00CE79CD" w:rsidP="00CE79CD">
      <w:pPr>
        <w:rPr>
          <w:rFonts w:ascii="Arial" w:hAnsi="Arial" w:cs="Arial"/>
        </w:rPr>
      </w:pPr>
      <w:r w:rsidRPr="00CE79CD">
        <w:rPr>
          <w:rFonts w:ascii="Arial" w:hAnsi="Arial" w:cs="Arial"/>
        </w:rPr>
        <w:t>Procurement decisions must align with principles of risk allocation, cost certainty, time control and quality performance (Morledge and Smith, 2013). Furthermore, public sector best practice emphasises early supply chain engagement and collaborative risk management to improve outcomes (Cabinet Office, 2022).</w:t>
      </w:r>
    </w:p>
    <w:p w14:paraId="43C7E4EC" w14:textId="77777777" w:rsidR="00196D24" w:rsidRDefault="00196D24" w:rsidP="00CE79CD">
      <w:pPr>
        <w:rPr>
          <w:rFonts w:ascii="Arial" w:hAnsi="Arial" w:cs="Arial"/>
        </w:rPr>
      </w:pPr>
    </w:p>
    <w:p w14:paraId="4295ED31" w14:textId="66A0D994" w:rsidR="00CE79CD" w:rsidRPr="00CE79CD" w:rsidRDefault="00CE79CD" w:rsidP="004341C0">
      <w:pPr>
        <w:pStyle w:val="Heading2"/>
      </w:pPr>
      <w:bookmarkStart w:id="5" w:name="_Toc223447501"/>
      <w:r w:rsidRPr="00CE79CD">
        <w:t>3.2 Evaluation of Procurement Options</w:t>
      </w:r>
      <w:bookmarkEnd w:id="5"/>
    </w:p>
    <w:p w14:paraId="0CB93E35" w14:textId="77777777" w:rsidR="00CE79CD" w:rsidRPr="00CE79CD" w:rsidRDefault="00CE79CD" w:rsidP="00CE79CD">
      <w:pPr>
        <w:rPr>
          <w:rFonts w:ascii="Arial" w:hAnsi="Arial" w:cs="Arial"/>
        </w:rPr>
      </w:pPr>
      <w:r w:rsidRPr="00CE79CD">
        <w:rPr>
          <w:rFonts w:ascii="Arial" w:hAnsi="Arial" w:cs="Arial"/>
        </w:rPr>
        <w:t>Traditional Procurement</w:t>
      </w:r>
    </w:p>
    <w:p w14:paraId="39941CB8" w14:textId="77777777" w:rsidR="00CE79CD" w:rsidRPr="00CE79CD" w:rsidRDefault="00CE79CD" w:rsidP="00CE79CD">
      <w:pPr>
        <w:rPr>
          <w:rFonts w:ascii="Arial" w:hAnsi="Arial" w:cs="Arial"/>
        </w:rPr>
      </w:pPr>
      <w:r w:rsidRPr="00CE79CD">
        <w:rPr>
          <w:rFonts w:ascii="Arial" w:hAnsi="Arial" w:cs="Arial"/>
        </w:rPr>
        <w:t>Traditional procurement would allow the University’s design team to fully develop the design prior to contractor appointment, supporting early cost benchmarking. However, for a facility incorporating specialist climate systems, structural testing infrastructure and integrated digital environments, the separation of design and construction may increase coordination risk. Research demonstrates that fragmented responsibility can generate interface disputes and reduce buildability efficiency in technically complex projects (Hughes, Champion and Murdoch, 2015).</w:t>
      </w:r>
    </w:p>
    <w:p w14:paraId="021E91CB" w14:textId="77777777" w:rsidR="00CE79CD" w:rsidRPr="00CE79CD" w:rsidRDefault="00CE79CD" w:rsidP="00CE79CD">
      <w:pPr>
        <w:rPr>
          <w:rFonts w:ascii="Arial" w:hAnsi="Arial" w:cs="Arial"/>
        </w:rPr>
      </w:pPr>
      <w:r w:rsidRPr="00CE79CD">
        <w:rPr>
          <w:rFonts w:ascii="Arial" w:hAnsi="Arial" w:cs="Arial"/>
        </w:rPr>
        <w:t>While Traditional procurement offers pre-tender cost clarity, it limits early contractor input into sequencing, logistics and specialist installation strategies, which are critical in this project context.</w:t>
      </w:r>
    </w:p>
    <w:p w14:paraId="69CBCF24" w14:textId="1D9A5F7A" w:rsidR="00CE79CD" w:rsidRPr="00CE79CD" w:rsidRDefault="00CE79CD" w:rsidP="00CE79CD">
      <w:pPr>
        <w:rPr>
          <w:rFonts w:ascii="Arial" w:hAnsi="Arial" w:cs="Arial"/>
        </w:rPr>
      </w:pPr>
    </w:p>
    <w:p w14:paraId="4AD69356" w14:textId="77777777" w:rsidR="00CE79CD" w:rsidRPr="00CE79CD" w:rsidRDefault="00CE79CD" w:rsidP="00CE79CD">
      <w:pPr>
        <w:rPr>
          <w:rFonts w:ascii="Arial" w:hAnsi="Arial" w:cs="Arial"/>
        </w:rPr>
      </w:pPr>
      <w:r w:rsidRPr="00CE79CD">
        <w:rPr>
          <w:rFonts w:ascii="Arial" w:hAnsi="Arial" w:cs="Arial"/>
        </w:rPr>
        <w:t>Management Contracting / Construction Management</w:t>
      </w:r>
    </w:p>
    <w:p w14:paraId="24DF335E" w14:textId="77777777" w:rsidR="00CE79CD" w:rsidRPr="00CE79CD" w:rsidRDefault="00CE79CD" w:rsidP="00CE79CD">
      <w:pPr>
        <w:rPr>
          <w:rFonts w:ascii="Arial" w:hAnsi="Arial" w:cs="Arial"/>
        </w:rPr>
      </w:pPr>
      <w:r w:rsidRPr="00CE79CD">
        <w:rPr>
          <w:rFonts w:ascii="Arial" w:hAnsi="Arial" w:cs="Arial"/>
        </w:rPr>
        <w:t>Management-based procurement routes provide flexibility and potential programme acceleration. However, these approaches expose the client to greater financial uncertainty, as trade packages are procured progressively rather than under a single fixed contract sum (CIOB, 2018).</w:t>
      </w:r>
    </w:p>
    <w:p w14:paraId="21C270EC" w14:textId="77777777" w:rsidR="00CE79CD" w:rsidRPr="00CE79CD" w:rsidRDefault="00CE79CD" w:rsidP="00CE79CD">
      <w:pPr>
        <w:rPr>
          <w:rFonts w:ascii="Arial" w:hAnsi="Arial" w:cs="Arial"/>
        </w:rPr>
      </w:pPr>
      <w:r w:rsidRPr="00CE79CD">
        <w:rPr>
          <w:rFonts w:ascii="Arial" w:hAnsi="Arial" w:cs="Arial"/>
        </w:rPr>
        <w:t>Given that external funding release depends on demonstrable cost certainty within a business case, this increased exposure to market volatility presents a governance risk. Such routes also demand strong in-house technical management capability, which may exceed the University’s current experience with specialist environmental facilities.</w:t>
      </w:r>
    </w:p>
    <w:p w14:paraId="3B72C40F" w14:textId="278B1466" w:rsidR="00CE79CD" w:rsidRPr="00CE79CD" w:rsidRDefault="00CE79CD" w:rsidP="00CE79CD">
      <w:pPr>
        <w:rPr>
          <w:rFonts w:ascii="Arial" w:hAnsi="Arial" w:cs="Arial"/>
        </w:rPr>
      </w:pPr>
    </w:p>
    <w:p w14:paraId="3CD84160" w14:textId="77777777" w:rsidR="00CE79CD" w:rsidRPr="00CE79CD" w:rsidRDefault="00CE79CD" w:rsidP="00CE79CD">
      <w:pPr>
        <w:rPr>
          <w:rFonts w:ascii="Arial" w:hAnsi="Arial" w:cs="Arial"/>
        </w:rPr>
      </w:pPr>
      <w:r w:rsidRPr="00CE79CD">
        <w:rPr>
          <w:rFonts w:ascii="Arial" w:hAnsi="Arial" w:cs="Arial"/>
        </w:rPr>
        <w:t>Single-Stage Design and Build</w:t>
      </w:r>
    </w:p>
    <w:p w14:paraId="4F50D61E" w14:textId="77777777" w:rsidR="00CE79CD" w:rsidRDefault="00CE79CD" w:rsidP="00CE79CD">
      <w:pPr>
        <w:rPr>
          <w:rFonts w:ascii="Arial" w:hAnsi="Arial" w:cs="Arial"/>
        </w:rPr>
      </w:pPr>
      <w:r w:rsidRPr="00CE79CD">
        <w:rPr>
          <w:rFonts w:ascii="Arial" w:hAnsi="Arial" w:cs="Arial"/>
        </w:rPr>
        <w:lastRenderedPageBreak/>
        <w:t>Single-stage Design and Build provides single point responsibility and earlier cost commitment. However, literature cautions that risk transfer under Design and Build is only effective where Employer’s Requirements are clearly defined (Hughes et al., 2015). For an innovative facility of this type, insufficient pre-construction design development could compromise quality or performance.</w:t>
      </w:r>
    </w:p>
    <w:p w14:paraId="0ACC1B71" w14:textId="77777777" w:rsidR="00196D24" w:rsidRDefault="00196D24" w:rsidP="00CE79CD">
      <w:pPr>
        <w:rPr>
          <w:rFonts w:ascii="Arial" w:hAnsi="Arial" w:cs="Arial"/>
        </w:rPr>
      </w:pPr>
    </w:p>
    <w:p w14:paraId="28DF2833" w14:textId="77777777" w:rsidR="00196D24" w:rsidRPr="00CE79CD" w:rsidRDefault="00196D24" w:rsidP="00CE79CD">
      <w:pPr>
        <w:rPr>
          <w:rFonts w:ascii="Arial" w:hAnsi="Arial" w:cs="Arial"/>
        </w:rPr>
      </w:pPr>
    </w:p>
    <w:p w14:paraId="6B33195C" w14:textId="21ADE731" w:rsidR="00CE79CD" w:rsidRPr="00CE79CD" w:rsidRDefault="00CE79CD" w:rsidP="00CE79CD">
      <w:pPr>
        <w:rPr>
          <w:rFonts w:ascii="Arial" w:hAnsi="Arial" w:cs="Arial"/>
        </w:rPr>
      </w:pPr>
    </w:p>
    <w:p w14:paraId="2C1BD487" w14:textId="42B51596" w:rsidR="00196D24" w:rsidRPr="00CE79CD" w:rsidRDefault="00CE79CD" w:rsidP="004341C0">
      <w:pPr>
        <w:pStyle w:val="Heading2"/>
      </w:pPr>
      <w:bookmarkStart w:id="6" w:name="_Toc223447502"/>
      <w:r w:rsidRPr="00CE79CD">
        <w:t>3.3 Recommended Route: Two-Stage Design and Build</w:t>
      </w:r>
      <w:bookmarkEnd w:id="6"/>
    </w:p>
    <w:p w14:paraId="745E6A83" w14:textId="77777777" w:rsidR="00CE79CD" w:rsidRPr="00CE79CD" w:rsidRDefault="00CE79CD" w:rsidP="00CE79CD">
      <w:pPr>
        <w:rPr>
          <w:rFonts w:ascii="Arial" w:hAnsi="Arial" w:cs="Arial"/>
        </w:rPr>
      </w:pPr>
      <w:r w:rsidRPr="00CE79CD">
        <w:rPr>
          <w:rFonts w:ascii="Arial" w:hAnsi="Arial" w:cs="Arial"/>
        </w:rPr>
        <w:t>A two-stage Design and Build procurement route is recommended as the most balanced and strategically appropriate approach.</w:t>
      </w:r>
    </w:p>
    <w:p w14:paraId="65292C42" w14:textId="77777777" w:rsidR="00CE79CD" w:rsidRPr="00CE79CD" w:rsidRDefault="00CE79CD" w:rsidP="00CE79CD">
      <w:pPr>
        <w:rPr>
          <w:rFonts w:ascii="Arial" w:hAnsi="Arial" w:cs="Arial"/>
        </w:rPr>
      </w:pPr>
      <w:r w:rsidRPr="00CE79CD">
        <w:rPr>
          <w:rFonts w:ascii="Arial" w:hAnsi="Arial" w:cs="Arial"/>
        </w:rPr>
        <w:t>Early Contractor Involvement and Technical Coordination</w:t>
      </w:r>
    </w:p>
    <w:p w14:paraId="7793C5CD" w14:textId="77777777" w:rsidR="00CE79CD" w:rsidRPr="00CE79CD" w:rsidRDefault="00CE79CD" w:rsidP="00CE79CD">
      <w:pPr>
        <w:rPr>
          <w:rFonts w:ascii="Arial" w:hAnsi="Arial" w:cs="Arial"/>
        </w:rPr>
      </w:pPr>
      <w:r w:rsidRPr="00CE79CD">
        <w:rPr>
          <w:rFonts w:ascii="Arial" w:hAnsi="Arial" w:cs="Arial"/>
        </w:rPr>
        <w:t>Stage One enables early contractor involvement (ECI), allowing integration of specialist subcontractors responsible for climate control systems, environmental simulation technologies and structural testing apparatus. Early supply chain engagement is actively promoted in government procurement guidance to enhance constructability and reduce adversarial risk (Cabinet Office, 2022).</w:t>
      </w:r>
    </w:p>
    <w:p w14:paraId="7B1843E7" w14:textId="77777777" w:rsidR="00CE79CD" w:rsidRPr="00CE79CD" w:rsidRDefault="00CE79CD" w:rsidP="00CE79CD">
      <w:pPr>
        <w:rPr>
          <w:rFonts w:ascii="Arial" w:hAnsi="Arial" w:cs="Arial"/>
        </w:rPr>
      </w:pPr>
      <w:r w:rsidRPr="00CE79CD">
        <w:rPr>
          <w:rFonts w:ascii="Arial" w:hAnsi="Arial" w:cs="Arial"/>
        </w:rPr>
        <w:t>The internal test buildings introduce complex sequencing and structural interface requirements. Contractor input at pre-construction stage supports coordinated methodology development and minimises latent coordination risk.</w:t>
      </w:r>
    </w:p>
    <w:p w14:paraId="6CF1EDA0" w14:textId="27988833" w:rsidR="00CE79CD" w:rsidRPr="00CE79CD" w:rsidRDefault="00CE79CD" w:rsidP="00CE79CD">
      <w:pPr>
        <w:rPr>
          <w:rFonts w:ascii="Arial" w:hAnsi="Arial" w:cs="Arial"/>
        </w:rPr>
      </w:pPr>
    </w:p>
    <w:p w14:paraId="183604F2" w14:textId="77777777" w:rsidR="00CE79CD" w:rsidRPr="00CE79CD" w:rsidRDefault="00CE79CD" w:rsidP="00CE79CD">
      <w:pPr>
        <w:rPr>
          <w:rFonts w:ascii="Arial" w:hAnsi="Arial" w:cs="Arial"/>
        </w:rPr>
      </w:pPr>
      <w:r w:rsidRPr="00CE79CD">
        <w:rPr>
          <w:rFonts w:ascii="Arial" w:hAnsi="Arial" w:cs="Arial"/>
        </w:rPr>
        <w:t>Cost Certainty and Business Case Governance</w:t>
      </w:r>
    </w:p>
    <w:p w14:paraId="6B686817" w14:textId="77777777" w:rsidR="00CE79CD" w:rsidRPr="00CE79CD" w:rsidRDefault="00CE79CD" w:rsidP="00CE79CD">
      <w:pPr>
        <w:rPr>
          <w:rFonts w:ascii="Arial" w:hAnsi="Arial" w:cs="Arial"/>
        </w:rPr>
      </w:pPr>
      <w:r w:rsidRPr="00CE79CD">
        <w:rPr>
          <w:rFonts w:ascii="Arial" w:hAnsi="Arial" w:cs="Arial"/>
        </w:rPr>
        <w:t>Crucially, Stage One facilitates detailed cost planning prior to final contract execution. Open-book pricing, risk workshops and value engineering exercises enable refinement of scope and establishment of a robust cost plan aligned with the University’s business case requirements.</w:t>
      </w:r>
    </w:p>
    <w:p w14:paraId="1F6E32B1" w14:textId="79CA67F9" w:rsidR="00CE79CD" w:rsidRPr="00CE79CD" w:rsidRDefault="00CE79CD" w:rsidP="00CE79CD">
      <w:pPr>
        <w:rPr>
          <w:rFonts w:ascii="Arial" w:hAnsi="Arial" w:cs="Arial"/>
        </w:rPr>
      </w:pPr>
      <w:r w:rsidRPr="00CE79CD">
        <w:rPr>
          <w:rFonts w:ascii="Arial" w:hAnsi="Arial" w:cs="Arial"/>
        </w:rPr>
        <w:t xml:space="preserve">A Guaranteed Maximum Price (GMP) or fixed contract sum can be agreed at the conclusion of Stage One before </w:t>
      </w:r>
      <w:r w:rsidR="008E4BD6" w:rsidRPr="00CE79CD">
        <w:rPr>
          <w:rFonts w:ascii="Arial" w:hAnsi="Arial" w:cs="Arial"/>
        </w:rPr>
        <w:t>entering</w:t>
      </w:r>
      <w:r w:rsidRPr="00CE79CD">
        <w:rPr>
          <w:rFonts w:ascii="Arial" w:hAnsi="Arial" w:cs="Arial"/>
        </w:rPr>
        <w:t xml:space="preserve"> the main works contract. This approach ensures:</w:t>
      </w:r>
    </w:p>
    <w:p w14:paraId="619B7F59" w14:textId="77777777" w:rsidR="00CE79CD" w:rsidRPr="00CE79CD" w:rsidRDefault="00CE79CD" w:rsidP="00CE79CD">
      <w:pPr>
        <w:numPr>
          <w:ilvl w:val="0"/>
          <w:numId w:val="80"/>
        </w:numPr>
        <w:rPr>
          <w:rFonts w:ascii="Arial" w:hAnsi="Arial" w:cs="Arial"/>
        </w:rPr>
      </w:pPr>
      <w:r w:rsidRPr="00CE79CD">
        <w:rPr>
          <w:rFonts w:ascii="Arial" w:hAnsi="Arial" w:cs="Arial"/>
        </w:rPr>
        <w:t>Demonstrable affordability prior to funding release</w:t>
      </w:r>
    </w:p>
    <w:p w14:paraId="25716B60" w14:textId="77777777" w:rsidR="00CE79CD" w:rsidRPr="00CE79CD" w:rsidRDefault="00CE79CD" w:rsidP="00CE79CD">
      <w:pPr>
        <w:numPr>
          <w:ilvl w:val="0"/>
          <w:numId w:val="80"/>
        </w:numPr>
        <w:rPr>
          <w:rFonts w:ascii="Arial" w:hAnsi="Arial" w:cs="Arial"/>
        </w:rPr>
      </w:pPr>
      <w:r w:rsidRPr="00CE79CD">
        <w:rPr>
          <w:rFonts w:ascii="Arial" w:hAnsi="Arial" w:cs="Arial"/>
        </w:rPr>
        <w:t>Transparent cost development</w:t>
      </w:r>
    </w:p>
    <w:p w14:paraId="0B3106E3" w14:textId="77777777" w:rsidR="00CE79CD" w:rsidRPr="00CE79CD" w:rsidRDefault="00CE79CD" w:rsidP="00CE79CD">
      <w:pPr>
        <w:numPr>
          <w:ilvl w:val="0"/>
          <w:numId w:val="80"/>
        </w:numPr>
        <w:rPr>
          <w:rFonts w:ascii="Arial" w:hAnsi="Arial" w:cs="Arial"/>
        </w:rPr>
      </w:pPr>
      <w:r w:rsidRPr="00CE79CD">
        <w:rPr>
          <w:rFonts w:ascii="Arial" w:hAnsi="Arial" w:cs="Arial"/>
        </w:rPr>
        <w:t>Controlled financial exposure</w:t>
      </w:r>
    </w:p>
    <w:p w14:paraId="72E1F11A" w14:textId="77777777" w:rsidR="00CE79CD" w:rsidRPr="00CE79CD" w:rsidRDefault="00CE79CD" w:rsidP="00CE79CD">
      <w:pPr>
        <w:numPr>
          <w:ilvl w:val="0"/>
          <w:numId w:val="80"/>
        </w:numPr>
        <w:rPr>
          <w:rFonts w:ascii="Arial" w:hAnsi="Arial" w:cs="Arial"/>
        </w:rPr>
      </w:pPr>
      <w:r w:rsidRPr="00CE79CD">
        <w:rPr>
          <w:rFonts w:ascii="Arial" w:hAnsi="Arial" w:cs="Arial"/>
        </w:rPr>
        <w:t>Alignment with public governance expectations</w:t>
      </w:r>
    </w:p>
    <w:p w14:paraId="60EB6CF4" w14:textId="77777777" w:rsidR="00CE79CD" w:rsidRPr="00CE79CD" w:rsidRDefault="00CE79CD" w:rsidP="00CE79CD">
      <w:pPr>
        <w:rPr>
          <w:rFonts w:ascii="Arial" w:hAnsi="Arial" w:cs="Arial"/>
        </w:rPr>
      </w:pPr>
      <w:r w:rsidRPr="00CE79CD">
        <w:rPr>
          <w:rFonts w:ascii="Arial" w:hAnsi="Arial" w:cs="Arial"/>
        </w:rPr>
        <w:lastRenderedPageBreak/>
        <w:t>Whole-life costing considerations should also be incorporated at this stage to ensure long-term operational efficiency, as lifecycle expenditure often exceeds initial capital cost (RICS, 2014).</w:t>
      </w:r>
    </w:p>
    <w:p w14:paraId="42BFA5E1" w14:textId="25B83A12" w:rsidR="00CE79CD" w:rsidRPr="00CE79CD" w:rsidRDefault="00CE79CD" w:rsidP="00CE79CD">
      <w:pPr>
        <w:rPr>
          <w:rFonts w:ascii="Arial" w:hAnsi="Arial" w:cs="Arial"/>
        </w:rPr>
      </w:pPr>
    </w:p>
    <w:p w14:paraId="4D4B8F64" w14:textId="77777777" w:rsidR="00CE79CD" w:rsidRPr="00CE79CD" w:rsidRDefault="00CE79CD" w:rsidP="00CE79CD">
      <w:pPr>
        <w:rPr>
          <w:rFonts w:ascii="Arial" w:hAnsi="Arial" w:cs="Arial"/>
        </w:rPr>
      </w:pPr>
      <w:r w:rsidRPr="00CE79CD">
        <w:rPr>
          <w:rFonts w:ascii="Arial" w:hAnsi="Arial" w:cs="Arial"/>
        </w:rPr>
        <w:t>Risk Allocation and Client Capability</w:t>
      </w:r>
    </w:p>
    <w:p w14:paraId="66C8C352" w14:textId="77777777" w:rsidR="00CE79CD" w:rsidRPr="00CE79CD" w:rsidRDefault="00CE79CD" w:rsidP="00CE79CD">
      <w:pPr>
        <w:rPr>
          <w:rFonts w:ascii="Arial" w:hAnsi="Arial" w:cs="Arial"/>
        </w:rPr>
      </w:pPr>
      <w:r w:rsidRPr="00CE79CD">
        <w:rPr>
          <w:rFonts w:ascii="Arial" w:hAnsi="Arial" w:cs="Arial"/>
        </w:rPr>
        <w:t>The two-stage Design and Build route allocates detailed design responsibility and construction risk to the contractor following contract execution, providing single point responsibility (JCT, 2016a). This is particularly advantageous given the University’s limited experience in delivering specialist climate-controlled research facilities.</w:t>
      </w:r>
    </w:p>
    <w:p w14:paraId="3EFA1261" w14:textId="77777777" w:rsidR="00CE79CD" w:rsidRPr="00CE79CD" w:rsidRDefault="00CE79CD" w:rsidP="00CE79CD">
      <w:pPr>
        <w:rPr>
          <w:rFonts w:ascii="Arial" w:hAnsi="Arial" w:cs="Arial"/>
        </w:rPr>
      </w:pPr>
      <w:r w:rsidRPr="00CE79CD">
        <w:rPr>
          <w:rFonts w:ascii="Arial" w:hAnsi="Arial" w:cs="Arial"/>
        </w:rPr>
        <w:t>Risk allocation should follow the principle that risk is borne by the party best able to manage it (Hughes et al., 2015). In this instance:</w:t>
      </w:r>
    </w:p>
    <w:p w14:paraId="1A9FFB2B" w14:textId="77777777" w:rsidR="00CE79CD" w:rsidRPr="00CE79CD" w:rsidRDefault="00CE79CD" w:rsidP="00CE79CD">
      <w:pPr>
        <w:numPr>
          <w:ilvl w:val="0"/>
          <w:numId w:val="81"/>
        </w:numPr>
        <w:rPr>
          <w:rFonts w:ascii="Arial" w:hAnsi="Arial" w:cs="Arial"/>
        </w:rPr>
      </w:pPr>
      <w:r w:rsidRPr="00CE79CD">
        <w:rPr>
          <w:rFonts w:ascii="Arial" w:hAnsi="Arial" w:cs="Arial"/>
        </w:rPr>
        <w:t>Technical coordination risk → Contractor</w:t>
      </w:r>
    </w:p>
    <w:p w14:paraId="067351A1" w14:textId="77777777" w:rsidR="00CE79CD" w:rsidRPr="00CE79CD" w:rsidRDefault="00CE79CD" w:rsidP="00CE79CD">
      <w:pPr>
        <w:numPr>
          <w:ilvl w:val="0"/>
          <w:numId w:val="81"/>
        </w:numPr>
        <w:rPr>
          <w:rFonts w:ascii="Arial" w:hAnsi="Arial" w:cs="Arial"/>
        </w:rPr>
      </w:pPr>
      <w:r w:rsidRPr="00CE79CD">
        <w:rPr>
          <w:rFonts w:ascii="Arial" w:hAnsi="Arial" w:cs="Arial"/>
        </w:rPr>
        <w:t>Design integration risk → Contractor (post-Stage One)</w:t>
      </w:r>
    </w:p>
    <w:p w14:paraId="110F3906" w14:textId="77777777" w:rsidR="00CE79CD" w:rsidRPr="00CE79CD" w:rsidRDefault="00CE79CD" w:rsidP="00CE79CD">
      <w:pPr>
        <w:numPr>
          <w:ilvl w:val="0"/>
          <w:numId w:val="81"/>
        </w:numPr>
        <w:rPr>
          <w:rFonts w:ascii="Arial" w:hAnsi="Arial" w:cs="Arial"/>
        </w:rPr>
      </w:pPr>
      <w:r w:rsidRPr="00CE79CD">
        <w:rPr>
          <w:rFonts w:ascii="Arial" w:hAnsi="Arial" w:cs="Arial"/>
        </w:rPr>
        <w:t>Funding governance risk → Client (managed through Stage One cost planning)</w:t>
      </w:r>
    </w:p>
    <w:p w14:paraId="100B631D" w14:textId="77777777" w:rsidR="00CE79CD" w:rsidRPr="00CE79CD" w:rsidRDefault="00CE79CD" w:rsidP="00CE79CD">
      <w:pPr>
        <w:numPr>
          <w:ilvl w:val="0"/>
          <w:numId w:val="81"/>
        </w:numPr>
        <w:rPr>
          <w:rFonts w:ascii="Arial" w:hAnsi="Arial" w:cs="Arial"/>
        </w:rPr>
      </w:pPr>
      <w:r w:rsidRPr="00CE79CD">
        <w:rPr>
          <w:rFonts w:ascii="Arial" w:hAnsi="Arial" w:cs="Arial"/>
        </w:rPr>
        <w:t>Strategic performance requirements → Defined within Employer’s Requirements</w:t>
      </w:r>
    </w:p>
    <w:p w14:paraId="1FE61166" w14:textId="77777777" w:rsidR="00CE79CD" w:rsidRPr="00CE79CD" w:rsidRDefault="00CE79CD" w:rsidP="00CE79CD">
      <w:pPr>
        <w:rPr>
          <w:rFonts w:ascii="Arial" w:hAnsi="Arial" w:cs="Arial"/>
        </w:rPr>
      </w:pPr>
      <w:r w:rsidRPr="00CE79CD">
        <w:rPr>
          <w:rFonts w:ascii="Arial" w:hAnsi="Arial" w:cs="Arial"/>
        </w:rPr>
        <w:t>This structure reduces interface risk and protects institutional reputation for a flagship facility.</w:t>
      </w:r>
    </w:p>
    <w:p w14:paraId="583642EE" w14:textId="2D4E08E6" w:rsidR="00CE79CD" w:rsidRPr="00CE79CD" w:rsidRDefault="00CE79CD" w:rsidP="00CE79CD">
      <w:pPr>
        <w:rPr>
          <w:rFonts w:ascii="Arial" w:hAnsi="Arial" w:cs="Arial"/>
        </w:rPr>
      </w:pPr>
    </w:p>
    <w:p w14:paraId="34B28C3D" w14:textId="77777777" w:rsidR="00CE79CD" w:rsidRPr="00CE79CD" w:rsidRDefault="00CE79CD" w:rsidP="00CE79CD">
      <w:pPr>
        <w:rPr>
          <w:rFonts w:ascii="Arial" w:hAnsi="Arial" w:cs="Arial"/>
        </w:rPr>
      </w:pPr>
      <w:r w:rsidRPr="00CE79CD">
        <w:rPr>
          <w:rFonts w:ascii="Arial" w:hAnsi="Arial" w:cs="Arial"/>
        </w:rPr>
        <w:t>Framework Procurement and Compliance</w:t>
      </w:r>
    </w:p>
    <w:p w14:paraId="40BAC997" w14:textId="77777777" w:rsidR="00CE79CD" w:rsidRPr="00CE79CD" w:rsidRDefault="00CE79CD" w:rsidP="00CE79CD">
      <w:pPr>
        <w:rPr>
          <w:rFonts w:ascii="Arial" w:hAnsi="Arial" w:cs="Arial"/>
        </w:rPr>
      </w:pPr>
      <w:r w:rsidRPr="00CE79CD">
        <w:rPr>
          <w:rFonts w:ascii="Arial" w:hAnsi="Arial" w:cs="Arial"/>
        </w:rPr>
        <w:t>Procurement via a compliant public-sector framework ensures adherence to Welsh Government procurement policy while reducing tender duration and administrative burden (Welsh Government, 2021). Frameworks also provide access to contractors with proven capability in complex construction environments.</w:t>
      </w:r>
    </w:p>
    <w:p w14:paraId="58D47FFE" w14:textId="2C860A83" w:rsidR="00CE79CD" w:rsidRPr="00CE79CD" w:rsidRDefault="00CE79CD" w:rsidP="00CE79CD">
      <w:pPr>
        <w:rPr>
          <w:rFonts w:ascii="Arial" w:hAnsi="Arial" w:cs="Arial"/>
        </w:rPr>
      </w:pPr>
    </w:p>
    <w:p w14:paraId="6B3F20D1" w14:textId="77777777" w:rsidR="00CE79CD" w:rsidRPr="00CE79CD" w:rsidRDefault="00CE79CD" w:rsidP="004341C0">
      <w:pPr>
        <w:pStyle w:val="Heading2"/>
      </w:pPr>
      <w:bookmarkStart w:id="7" w:name="_Toc223447503"/>
      <w:r w:rsidRPr="00CE79CD">
        <w:t>3.4 Strategic Justification</w:t>
      </w:r>
      <w:bookmarkEnd w:id="7"/>
    </w:p>
    <w:p w14:paraId="6FDAE131" w14:textId="77777777" w:rsidR="00CE79CD" w:rsidRPr="00CE79CD" w:rsidRDefault="00CE79CD" w:rsidP="00CE79CD">
      <w:pPr>
        <w:rPr>
          <w:rFonts w:ascii="Arial" w:hAnsi="Arial" w:cs="Arial"/>
        </w:rPr>
      </w:pPr>
      <w:r w:rsidRPr="00CE79CD">
        <w:rPr>
          <w:rFonts w:ascii="Arial" w:hAnsi="Arial" w:cs="Arial"/>
        </w:rPr>
        <w:t>The two-stage Design and Build route achieves a balanced outcome across the project’s competing priorities:</w:t>
      </w:r>
    </w:p>
    <w:p w14:paraId="3AFE0AF7" w14:textId="77777777" w:rsidR="00CE79CD" w:rsidRPr="00CE79CD" w:rsidRDefault="00CE79CD" w:rsidP="00CE79CD">
      <w:pPr>
        <w:numPr>
          <w:ilvl w:val="0"/>
          <w:numId w:val="82"/>
        </w:numPr>
        <w:rPr>
          <w:rFonts w:ascii="Arial" w:hAnsi="Arial" w:cs="Arial"/>
        </w:rPr>
      </w:pPr>
      <w:r w:rsidRPr="00CE79CD">
        <w:rPr>
          <w:rFonts w:ascii="Arial" w:hAnsi="Arial" w:cs="Arial"/>
        </w:rPr>
        <w:t>Early contractor expertise for technical complexity</w:t>
      </w:r>
    </w:p>
    <w:p w14:paraId="3EF76A71" w14:textId="77777777" w:rsidR="00CE79CD" w:rsidRPr="00CE79CD" w:rsidRDefault="00CE79CD" w:rsidP="00CE79CD">
      <w:pPr>
        <w:numPr>
          <w:ilvl w:val="0"/>
          <w:numId w:val="82"/>
        </w:numPr>
        <w:rPr>
          <w:rFonts w:ascii="Arial" w:hAnsi="Arial" w:cs="Arial"/>
        </w:rPr>
      </w:pPr>
      <w:r w:rsidRPr="00CE79CD">
        <w:rPr>
          <w:rFonts w:ascii="Arial" w:hAnsi="Arial" w:cs="Arial"/>
        </w:rPr>
        <w:t>Pre-construction cost certainty to support business case approval</w:t>
      </w:r>
    </w:p>
    <w:p w14:paraId="34BB3A2F" w14:textId="77777777" w:rsidR="00CE79CD" w:rsidRPr="00CE79CD" w:rsidRDefault="00CE79CD" w:rsidP="00CE79CD">
      <w:pPr>
        <w:numPr>
          <w:ilvl w:val="0"/>
          <w:numId w:val="82"/>
        </w:numPr>
        <w:rPr>
          <w:rFonts w:ascii="Arial" w:hAnsi="Arial" w:cs="Arial"/>
        </w:rPr>
      </w:pPr>
      <w:r w:rsidRPr="00CE79CD">
        <w:rPr>
          <w:rFonts w:ascii="Arial" w:hAnsi="Arial" w:cs="Arial"/>
        </w:rPr>
        <w:t>Controlled risk allocation</w:t>
      </w:r>
    </w:p>
    <w:p w14:paraId="0DB3DB58" w14:textId="77777777" w:rsidR="00CE79CD" w:rsidRPr="00CE79CD" w:rsidRDefault="00CE79CD" w:rsidP="00CE79CD">
      <w:pPr>
        <w:numPr>
          <w:ilvl w:val="0"/>
          <w:numId w:val="82"/>
        </w:numPr>
        <w:rPr>
          <w:rFonts w:ascii="Arial" w:hAnsi="Arial" w:cs="Arial"/>
        </w:rPr>
      </w:pPr>
      <w:r w:rsidRPr="00CE79CD">
        <w:rPr>
          <w:rFonts w:ascii="Arial" w:hAnsi="Arial" w:cs="Arial"/>
        </w:rPr>
        <w:t>Single point responsibility</w:t>
      </w:r>
    </w:p>
    <w:p w14:paraId="47F27045" w14:textId="77777777" w:rsidR="00CE79CD" w:rsidRPr="00CE79CD" w:rsidRDefault="00CE79CD" w:rsidP="00CE79CD">
      <w:pPr>
        <w:numPr>
          <w:ilvl w:val="0"/>
          <w:numId w:val="82"/>
        </w:numPr>
        <w:rPr>
          <w:rFonts w:ascii="Arial" w:hAnsi="Arial" w:cs="Arial"/>
        </w:rPr>
      </w:pPr>
      <w:r w:rsidRPr="00CE79CD">
        <w:rPr>
          <w:rFonts w:ascii="Arial" w:hAnsi="Arial" w:cs="Arial"/>
        </w:rPr>
        <w:lastRenderedPageBreak/>
        <w:t>Compliance with public procurement guidance</w:t>
      </w:r>
    </w:p>
    <w:p w14:paraId="3AC9F4D6" w14:textId="77777777" w:rsidR="00CE79CD" w:rsidRPr="00CE79CD" w:rsidRDefault="00CE79CD" w:rsidP="00CE79CD">
      <w:pPr>
        <w:numPr>
          <w:ilvl w:val="0"/>
          <w:numId w:val="82"/>
        </w:numPr>
        <w:rPr>
          <w:rFonts w:ascii="Arial" w:hAnsi="Arial" w:cs="Arial"/>
        </w:rPr>
      </w:pPr>
      <w:r w:rsidRPr="00CE79CD">
        <w:rPr>
          <w:rFonts w:ascii="Arial" w:hAnsi="Arial" w:cs="Arial"/>
        </w:rPr>
        <w:t>Integration of whole-life performance considerations</w:t>
      </w:r>
    </w:p>
    <w:p w14:paraId="70C2938D" w14:textId="77777777" w:rsidR="00CE79CD" w:rsidRDefault="00CE79CD" w:rsidP="00CE79CD">
      <w:pPr>
        <w:rPr>
          <w:rFonts w:ascii="Arial" w:hAnsi="Arial" w:cs="Arial"/>
        </w:rPr>
      </w:pPr>
      <w:r w:rsidRPr="00CE79CD">
        <w:rPr>
          <w:rFonts w:ascii="Arial" w:hAnsi="Arial" w:cs="Arial"/>
        </w:rPr>
        <w:t>While no procurement route eliminates risk entirely, this approach provides the optimal balance between financial governance, technical coordination and strategic delivery for a nationally significant research facility.</w:t>
      </w:r>
    </w:p>
    <w:p w14:paraId="6FE7BD21" w14:textId="77777777" w:rsidR="00196D24" w:rsidRDefault="00196D24" w:rsidP="00CE79CD">
      <w:pPr>
        <w:rPr>
          <w:rFonts w:ascii="Arial" w:hAnsi="Arial" w:cs="Arial"/>
        </w:rPr>
      </w:pPr>
    </w:p>
    <w:p w14:paraId="0CCB88F9" w14:textId="77777777" w:rsidR="00196D24" w:rsidRPr="00CE79CD" w:rsidRDefault="00196D24" w:rsidP="00CE79CD">
      <w:pPr>
        <w:rPr>
          <w:rFonts w:ascii="Arial" w:hAnsi="Arial" w:cs="Arial"/>
        </w:rPr>
      </w:pPr>
    </w:p>
    <w:p w14:paraId="5FAA7247" w14:textId="77777777" w:rsidR="00E36531" w:rsidRPr="001833CF" w:rsidRDefault="00E36531" w:rsidP="00E36531">
      <w:pPr>
        <w:rPr>
          <w:rFonts w:ascii="Arial" w:hAnsi="Arial" w:cs="Arial"/>
        </w:rPr>
      </w:pPr>
    </w:p>
    <w:p w14:paraId="33CF2207" w14:textId="77777777" w:rsidR="00E36531" w:rsidRPr="00E36531" w:rsidRDefault="00E36531" w:rsidP="004341C0">
      <w:pPr>
        <w:pStyle w:val="Heading1"/>
      </w:pPr>
      <w:bookmarkStart w:id="8" w:name="_Toc223447504"/>
      <w:r w:rsidRPr="00E36531">
        <w:t>4. Tendering Strategy for the New Construction Teaching Facility</w:t>
      </w:r>
      <w:bookmarkEnd w:id="8"/>
    </w:p>
    <w:p w14:paraId="2C593F8F" w14:textId="77777777" w:rsidR="00E36531" w:rsidRPr="00E36531" w:rsidRDefault="00E36531" w:rsidP="00E36531">
      <w:pPr>
        <w:rPr>
          <w:rFonts w:ascii="Arial" w:hAnsi="Arial" w:cs="Arial"/>
        </w:rPr>
      </w:pPr>
      <w:r w:rsidRPr="00E36531">
        <w:rPr>
          <w:rFonts w:ascii="Arial" w:hAnsi="Arial" w:cs="Arial"/>
        </w:rPr>
        <w:t>The tendering strategy for the new construction teaching facility needs to support the procurement approach already outlined, while also reflecting the University’s priorities around quality, compliance and programme certainty. Because the project involves specialist workshop environments and a strong digital component, the University needs a tendering method that brings in experienced contractors without creating unnecessary delays or administrative burden. At the same time, the strategy must comply with public</w:t>
      </w:r>
      <w:r w:rsidRPr="00E36531">
        <w:rPr>
          <w:rFonts w:ascii="Arial" w:hAnsi="Arial" w:cs="Arial"/>
        </w:rPr>
        <w:noBreakHyphen/>
        <w:t>sector procurement rules and Welsh Government expectations around transparency and value for money.</w:t>
      </w:r>
    </w:p>
    <w:p w14:paraId="76E822B1" w14:textId="5C6B26E5" w:rsidR="00E36531" w:rsidRPr="00E36531" w:rsidRDefault="00E36531" w:rsidP="00E36531">
      <w:pPr>
        <w:rPr>
          <w:rFonts w:ascii="Arial" w:hAnsi="Arial" w:cs="Arial"/>
        </w:rPr>
      </w:pPr>
      <w:r w:rsidRPr="00E36531">
        <w:rPr>
          <w:rFonts w:ascii="Arial" w:hAnsi="Arial" w:cs="Arial"/>
        </w:rPr>
        <w:t xml:space="preserve">A fully open tender is technically possible, but it is rarely the most efficient route for a project of this type. Open tenders can attract </w:t>
      </w:r>
      <w:r w:rsidR="008E4BD6" w:rsidRPr="00E36531">
        <w:rPr>
          <w:rFonts w:ascii="Arial" w:hAnsi="Arial" w:cs="Arial"/>
        </w:rPr>
        <w:t>many</w:t>
      </w:r>
      <w:r w:rsidRPr="00E36531">
        <w:rPr>
          <w:rFonts w:ascii="Arial" w:hAnsi="Arial" w:cs="Arial"/>
        </w:rPr>
        <w:t xml:space="preserve"> bidders, many of whom may not have the relevant experience or capacity to deliver a specialist education facility. Evaluating a high volume of submissions can also place a significant strain on internal resources. More importantly, open tenders do not guarantee that bidders have been pre</w:t>
      </w:r>
      <w:r w:rsidRPr="00E36531">
        <w:rPr>
          <w:rFonts w:ascii="Arial" w:hAnsi="Arial" w:cs="Arial"/>
        </w:rPr>
        <w:noBreakHyphen/>
        <w:t>vetted for financial stability, health and safety performance or experience with similar projects. For a building that relies heavily on technical coordination, this lack of filtering can introduce unnecessary risk.</w:t>
      </w:r>
    </w:p>
    <w:p w14:paraId="4287E706" w14:textId="77777777" w:rsidR="00E36531" w:rsidRPr="00E36531" w:rsidRDefault="00E36531" w:rsidP="00E36531">
      <w:pPr>
        <w:rPr>
          <w:rFonts w:ascii="Arial" w:hAnsi="Arial" w:cs="Arial"/>
        </w:rPr>
      </w:pPr>
      <w:r w:rsidRPr="00E36531">
        <w:rPr>
          <w:rFonts w:ascii="Arial" w:hAnsi="Arial" w:cs="Arial"/>
        </w:rPr>
        <w:t>A more suitable option is a restricted tender, where the University invites bids only from contractors who have already been assessed for capability. In practice, the most efficient way to do this is through a public</w:t>
      </w:r>
      <w:r w:rsidRPr="00E36531">
        <w:rPr>
          <w:rFonts w:ascii="Arial" w:hAnsi="Arial" w:cs="Arial"/>
        </w:rPr>
        <w:noBreakHyphen/>
        <w:t>sector framework such as SEWSCAP. Frameworks offer a compliant, streamlined route to market and ensure that only contractors with proven experience in education and public</w:t>
      </w:r>
      <w:r w:rsidRPr="00E36531">
        <w:rPr>
          <w:rFonts w:ascii="Arial" w:hAnsi="Arial" w:cs="Arial"/>
        </w:rPr>
        <w:noBreakHyphen/>
        <w:t>sector projects are invited to tender. This reduces the risk of appointing a contractor who lacks the necessary technical expertise, while also speeding up the procurement process.</w:t>
      </w:r>
    </w:p>
    <w:p w14:paraId="72B69B6E" w14:textId="77777777" w:rsidR="00E36531" w:rsidRPr="00E36531" w:rsidRDefault="00E36531" w:rsidP="00E36531">
      <w:pPr>
        <w:rPr>
          <w:rFonts w:ascii="Arial" w:hAnsi="Arial" w:cs="Arial"/>
        </w:rPr>
      </w:pPr>
      <w:r w:rsidRPr="00E36531">
        <w:rPr>
          <w:rFonts w:ascii="Arial" w:hAnsi="Arial" w:cs="Arial"/>
        </w:rPr>
        <w:t xml:space="preserve">Within the restricted framework approach, the tender can be structured in two stages to align with the procurement strategy. The first stage focuses on selecting a contractor based on quality, experience and a preliminary fee proposal. This allows </w:t>
      </w:r>
      <w:r w:rsidRPr="00E36531">
        <w:rPr>
          <w:rFonts w:ascii="Arial" w:hAnsi="Arial" w:cs="Arial"/>
        </w:rPr>
        <w:lastRenderedPageBreak/>
        <w:t>the University to assess how well each contractor understands the project’s requirements, particularly the workshop and digital elements. The second stage then involves negotiating the final contract sum once the design has been developed in collaboration with the contractor. This approach supports early contractor involvement, which is particularly valuable for coordinating mechanical and electrical systems, workshop layouts and digital infrastructure.</w:t>
      </w:r>
    </w:p>
    <w:p w14:paraId="6275CB63" w14:textId="77777777" w:rsidR="00E36531" w:rsidRPr="00E36531" w:rsidRDefault="00E36531" w:rsidP="00E36531">
      <w:pPr>
        <w:rPr>
          <w:rFonts w:ascii="Arial" w:hAnsi="Arial" w:cs="Arial"/>
        </w:rPr>
      </w:pPr>
      <w:r w:rsidRPr="00E36531">
        <w:rPr>
          <w:rFonts w:ascii="Arial" w:hAnsi="Arial" w:cs="Arial"/>
        </w:rPr>
        <w:t>Quality</w:t>
      </w:r>
      <w:r w:rsidRPr="00E36531">
        <w:rPr>
          <w:rFonts w:ascii="Arial" w:hAnsi="Arial" w:cs="Arial"/>
        </w:rPr>
        <w:noBreakHyphen/>
        <w:t>based evaluation is an important part of the tendering strategy. While cost is always a factor, the University needs to ensure that the contractor can deliver a technically complex building to a high standard. Evaluation criteria should therefore include experience with similar facilities, understanding of digital construction technologies, approach to sustainability, and ability to work collaboratively with the design team. This helps ensure that the selected contractor is not only competitively priced but also capable of contributing meaningfully to the project’s development.</w:t>
      </w:r>
    </w:p>
    <w:p w14:paraId="5C087BB1" w14:textId="77777777" w:rsidR="00E36531" w:rsidRPr="00E36531" w:rsidRDefault="00E36531" w:rsidP="00E36531">
      <w:pPr>
        <w:rPr>
          <w:rFonts w:ascii="Arial" w:hAnsi="Arial" w:cs="Arial"/>
        </w:rPr>
      </w:pPr>
      <w:r w:rsidRPr="00E36531">
        <w:rPr>
          <w:rFonts w:ascii="Arial" w:hAnsi="Arial" w:cs="Arial"/>
        </w:rPr>
        <w:t>The tendering strategy should also reflect the University’s commitment to social value. Welsh Government policy places strong emphasis on community benefits, local employment and support for apprenticeships. These elements can be built into the tender evaluation, encouraging contractors to demonstrate how they will contribute to the local economy and provide opportunities for students and the wider community.</w:t>
      </w:r>
    </w:p>
    <w:p w14:paraId="4C7E1043" w14:textId="77777777" w:rsidR="00E36531" w:rsidRPr="001833CF" w:rsidRDefault="00E36531" w:rsidP="00E36531">
      <w:pPr>
        <w:rPr>
          <w:rFonts w:ascii="Arial" w:hAnsi="Arial" w:cs="Arial"/>
        </w:rPr>
      </w:pPr>
      <w:r w:rsidRPr="00E36531">
        <w:rPr>
          <w:rFonts w:ascii="Arial" w:hAnsi="Arial" w:cs="Arial"/>
        </w:rPr>
        <w:t>Overall, a restricted two</w:t>
      </w:r>
      <w:r w:rsidRPr="00E36531">
        <w:rPr>
          <w:rFonts w:ascii="Arial" w:hAnsi="Arial" w:cs="Arial"/>
        </w:rPr>
        <w:noBreakHyphen/>
        <w:t>stage tender through a public</w:t>
      </w:r>
      <w:r w:rsidRPr="00E36531">
        <w:rPr>
          <w:rFonts w:ascii="Arial" w:hAnsi="Arial" w:cs="Arial"/>
        </w:rPr>
        <w:noBreakHyphen/>
        <w:t>sector framework offers the University a practical and compliant way of selecting a contractor who can deliver the new construction teaching facility effectively. It balances the need for technical expertise, cost control and programme certainty, while also supporting broader social and sustainability goals.</w:t>
      </w:r>
    </w:p>
    <w:p w14:paraId="514173BF" w14:textId="77777777" w:rsidR="00E36531" w:rsidRPr="001833CF" w:rsidRDefault="00E36531" w:rsidP="00E36531">
      <w:pPr>
        <w:rPr>
          <w:rFonts w:ascii="Arial" w:hAnsi="Arial" w:cs="Arial"/>
        </w:rPr>
      </w:pPr>
    </w:p>
    <w:p w14:paraId="2ED42BA7" w14:textId="77777777" w:rsidR="00E36531" w:rsidRPr="00E36531" w:rsidRDefault="00E36531" w:rsidP="004341C0">
      <w:pPr>
        <w:pStyle w:val="Heading1"/>
      </w:pPr>
      <w:bookmarkStart w:id="9" w:name="_Toc223447505"/>
      <w:r w:rsidRPr="00E36531">
        <w:t>5. Contract Selection for the New Construction Teaching Facility</w:t>
      </w:r>
      <w:bookmarkEnd w:id="9"/>
    </w:p>
    <w:p w14:paraId="1C9B8222" w14:textId="02680692" w:rsidR="00E36531" w:rsidRPr="00E36531" w:rsidRDefault="00E36531" w:rsidP="00E36531">
      <w:pPr>
        <w:rPr>
          <w:rFonts w:ascii="Arial" w:hAnsi="Arial" w:cs="Arial"/>
        </w:rPr>
      </w:pPr>
      <w:r w:rsidRPr="00E36531">
        <w:rPr>
          <w:rFonts w:ascii="Arial" w:hAnsi="Arial" w:cs="Arial"/>
        </w:rPr>
        <w:t xml:space="preserve">Choosing the right form of contract is an important part of shaping how the new construction teaching facility will be delivered. The contract needs to reflect the procurement and tendering strategies already discussed, but it also </w:t>
      </w:r>
      <w:r w:rsidR="008E4BD6" w:rsidRPr="00E36531">
        <w:rPr>
          <w:rFonts w:ascii="Arial" w:hAnsi="Arial" w:cs="Arial"/>
        </w:rPr>
        <w:t>must</w:t>
      </w:r>
      <w:r w:rsidRPr="00E36531">
        <w:rPr>
          <w:rFonts w:ascii="Arial" w:hAnsi="Arial" w:cs="Arial"/>
        </w:rPr>
        <w:t xml:space="preserve"> give the University enough confidence that the project will be delivered safely, on time and to the required standard. Because the building involves specialist workshop spaces, complex mechanical and electrical systems and a strong digital infrastructure, the contract must support clear responsibility for design while still allowing for collaboration during the pre</w:t>
      </w:r>
      <w:r w:rsidRPr="00E36531">
        <w:rPr>
          <w:rFonts w:ascii="Arial" w:hAnsi="Arial" w:cs="Arial"/>
        </w:rPr>
        <w:noBreakHyphen/>
        <w:t>construction phase.</w:t>
      </w:r>
    </w:p>
    <w:p w14:paraId="14DC0B60" w14:textId="77777777" w:rsidR="00E36531" w:rsidRPr="00E36531" w:rsidRDefault="00E36531" w:rsidP="00E36531">
      <w:pPr>
        <w:rPr>
          <w:rFonts w:ascii="Arial" w:hAnsi="Arial" w:cs="Arial"/>
        </w:rPr>
      </w:pPr>
      <w:r w:rsidRPr="00E36531">
        <w:rPr>
          <w:rFonts w:ascii="Arial" w:hAnsi="Arial" w:cs="Arial"/>
        </w:rPr>
        <w:t>A JCT Design and Build Contract (2016 edition) is the most suitable option for this project. It aligns naturally with the two</w:t>
      </w:r>
      <w:r w:rsidRPr="00E36531">
        <w:rPr>
          <w:rFonts w:ascii="Arial" w:hAnsi="Arial" w:cs="Arial"/>
        </w:rPr>
        <w:noBreakHyphen/>
        <w:t xml:space="preserve">stage Design and Build procurement route, where the contractor becomes involved early and then takes on responsibility for </w:t>
      </w:r>
      <w:r w:rsidRPr="00E36531">
        <w:rPr>
          <w:rFonts w:ascii="Arial" w:hAnsi="Arial" w:cs="Arial"/>
        </w:rPr>
        <w:lastRenderedPageBreak/>
        <w:t>completing the design and delivering the works. One of the main advantages of this contract is that it provides a single point of responsibility for both design and construction. This reduces the risk of disputes about who is accountable for technical issues, which is particularly important in a building where workshop layouts, ventilation systems and digital teaching spaces all need to work together seamlessly.</w:t>
      </w:r>
    </w:p>
    <w:p w14:paraId="58AD1E1E" w14:textId="77777777" w:rsidR="00E36531" w:rsidRPr="00E36531" w:rsidRDefault="00E36531" w:rsidP="00E36531">
      <w:pPr>
        <w:rPr>
          <w:rFonts w:ascii="Arial" w:hAnsi="Arial" w:cs="Arial"/>
        </w:rPr>
      </w:pPr>
      <w:r w:rsidRPr="00E36531">
        <w:rPr>
          <w:rFonts w:ascii="Arial" w:hAnsi="Arial" w:cs="Arial"/>
        </w:rPr>
        <w:t>Another benefit of the JCT Design and Build form is that it offers a familiar and widely used structure within the UK construction industry. Contractors, consultants and clients are generally comfortable with its provisions, which helps reduce uncertainty and speeds up the negotiation process. For a public</w:t>
      </w:r>
      <w:r w:rsidRPr="00E36531">
        <w:rPr>
          <w:rFonts w:ascii="Arial" w:hAnsi="Arial" w:cs="Arial"/>
        </w:rPr>
        <w:noBreakHyphen/>
        <w:t>sector organisation like the University, this familiarity also supports transparency and compliance, as the contract is well understood and widely benchmarked.</w:t>
      </w:r>
    </w:p>
    <w:p w14:paraId="0469403D" w14:textId="77777777" w:rsidR="00E36531" w:rsidRPr="00E36531" w:rsidRDefault="00E36531" w:rsidP="00E36531">
      <w:pPr>
        <w:rPr>
          <w:rFonts w:ascii="Arial" w:hAnsi="Arial" w:cs="Arial"/>
        </w:rPr>
      </w:pPr>
      <w:r w:rsidRPr="00E36531">
        <w:rPr>
          <w:rFonts w:ascii="Arial" w:hAnsi="Arial" w:cs="Arial"/>
        </w:rPr>
        <w:t>The contract also supports the collaborative approach encouraged by the Construction Playbook. Although Design and Build contracts are sometimes criticised for limiting client influence over the detailed design, the two</w:t>
      </w:r>
      <w:r w:rsidRPr="00E36531">
        <w:rPr>
          <w:rFonts w:ascii="Arial" w:hAnsi="Arial" w:cs="Arial"/>
        </w:rPr>
        <w:noBreakHyphen/>
        <w:t>stage process helps address this. During the first stage, the University and its design team can work closely with the contractor to refine the design, explore buildability issues and consider sustainability options. By the time the second stage is reached, the contractor has a clear understanding of the University’s priorities, and the University has confidence that the contractor can deliver the building as intended.</w:t>
      </w:r>
    </w:p>
    <w:p w14:paraId="54D227BF" w14:textId="77777777" w:rsidR="00E36531" w:rsidRPr="00E36531" w:rsidRDefault="00E36531" w:rsidP="00E36531">
      <w:pPr>
        <w:rPr>
          <w:rFonts w:ascii="Arial" w:hAnsi="Arial" w:cs="Arial"/>
        </w:rPr>
      </w:pPr>
      <w:r w:rsidRPr="00E36531">
        <w:rPr>
          <w:rFonts w:ascii="Arial" w:hAnsi="Arial" w:cs="Arial"/>
        </w:rPr>
        <w:t>Risk allocation is another important factor. The JCT Design and Build Contract places design responsibility with the contractor once the employer’s requirements are agreed. This means the contractor must ensure that the design is coordinated and technically sound. For a building with complex workshop environments, this is a practical way of managing risk, as the contractor is often best placed to coordinate specialist subcontractors and ensure that systems integrate properly.</w:t>
      </w:r>
    </w:p>
    <w:p w14:paraId="1D4B9E16" w14:textId="77777777" w:rsidR="00E36531" w:rsidRPr="00E36531" w:rsidRDefault="00E36531" w:rsidP="00E36531">
      <w:pPr>
        <w:rPr>
          <w:rFonts w:ascii="Arial" w:hAnsi="Arial" w:cs="Arial"/>
        </w:rPr>
      </w:pPr>
      <w:r w:rsidRPr="00E36531">
        <w:rPr>
          <w:rFonts w:ascii="Arial" w:hAnsi="Arial" w:cs="Arial"/>
        </w:rPr>
        <w:t>The contract also provides clear mechanisms for managing change, extensions of time and cost adjustments. This is important for a project that may evolve during the design development stage, particularly if new technologies or teaching requirements emerge. The University retains the ability to make changes, but the contract ensures that these are managed in a structured and transparent way.</w:t>
      </w:r>
    </w:p>
    <w:p w14:paraId="78FC6158" w14:textId="77777777" w:rsidR="00E36531" w:rsidRPr="00E36531" w:rsidRDefault="00E36531" w:rsidP="00E36531">
      <w:pPr>
        <w:rPr>
          <w:rFonts w:ascii="Arial" w:hAnsi="Arial" w:cs="Arial"/>
        </w:rPr>
      </w:pPr>
      <w:r w:rsidRPr="00E36531">
        <w:rPr>
          <w:rFonts w:ascii="Arial" w:hAnsi="Arial" w:cs="Arial"/>
        </w:rPr>
        <w:t>Overall, the JCT Design and Build Contract 2016 offers a balanced and practical framework for delivering the new construction teaching facility. It supports early contractor involvement, provides clear responsibility for design and construction, and aligns well with the University’s procurement and tendering strategies. It also offers the flexibility needed to accommodate the technical and educational requirements of a modern construction teaching environment.</w:t>
      </w:r>
    </w:p>
    <w:p w14:paraId="101E37F0" w14:textId="43E56691" w:rsidR="00E36531" w:rsidRPr="001833CF" w:rsidRDefault="00CE79CD" w:rsidP="00E36531">
      <w:pPr>
        <w:rPr>
          <w:rFonts w:ascii="Arial" w:hAnsi="Arial" w:cs="Arial"/>
        </w:rPr>
      </w:pPr>
      <w:r w:rsidRPr="001833CF">
        <w:rPr>
          <w:rFonts w:ascii="Arial" w:hAnsi="Arial" w:cs="Arial"/>
        </w:rPr>
        <w:t xml:space="preserve">Given that external industry funding is contingent upon business case approval, cost certainty prior to full construction commitment is essential. During Stage One, detailed cost planning, open-book pricing and value engineering exercises would enable the University to establish a robust Guaranteed Maximum Price prior to </w:t>
      </w:r>
      <w:r w:rsidR="008E4BD6" w:rsidRPr="001833CF">
        <w:rPr>
          <w:rFonts w:ascii="Arial" w:hAnsi="Arial" w:cs="Arial"/>
        </w:rPr>
        <w:lastRenderedPageBreak/>
        <w:t>entering</w:t>
      </w:r>
      <w:r w:rsidRPr="001833CF">
        <w:rPr>
          <w:rFonts w:ascii="Arial" w:hAnsi="Arial" w:cs="Arial"/>
        </w:rPr>
        <w:t xml:space="preserve"> the main works contract. This approach supports financial governance requirements while still enabling early contractor involvement for technical coordination (RICS, 2014; Cabinet Office, 2022).</w:t>
      </w:r>
    </w:p>
    <w:p w14:paraId="74A18CBA" w14:textId="77777777" w:rsidR="00E36531" w:rsidRPr="001833CF" w:rsidRDefault="00E36531" w:rsidP="004341C0">
      <w:pPr>
        <w:pStyle w:val="Heading1"/>
      </w:pPr>
      <w:bookmarkStart w:id="10" w:name="_Toc223447506"/>
      <w:r w:rsidRPr="00E36531">
        <w:t>6. SA1 Asset Portfolio Review</w:t>
      </w:r>
      <w:bookmarkEnd w:id="10"/>
    </w:p>
    <w:p w14:paraId="217A6066" w14:textId="233AB007" w:rsidR="000A687E" w:rsidRPr="00E36531" w:rsidRDefault="000A687E" w:rsidP="00E36531">
      <w:pPr>
        <w:rPr>
          <w:rFonts w:ascii="Arial" w:hAnsi="Arial" w:cs="Arial"/>
        </w:rPr>
      </w:pPr>
      <w:r w:rsidRPr="001833CF">
        <w:rPr>
          <w:rFonts w:ascii="Arial" w:hAnsi="Arial" w:cs="Arial"/>
        </w:rPr>
        <w:t>Strategic estate management requires alignment between asset condition, functional suitability and long-term organisational objectives (CIOB, 2018). Whole-life costing principles emphasise that operational and maintenance expenditure often exceeds initial capital costs (RICS, 2014). Therefore, investment decisions within the SA1 portfolio must consider not only current usability but also lifecycle efficiency and strategic value.</w:t>
      </w:r>
    </w:p>
    <w:p w14:paraId="74A0C31D" w14:textId="77777777" w:rsidR="00E36531" w:rsidRPr="00E36531" w:rsidRDefault="00E36531" w:rsidP="00E36531">
      <w:pPr>
        <w:rPr>
          <w:rFonts w:ascii="Arial" w:hAnsi="Arial" w:cs="Arial"/>
        </w:rPr>
      </w:pPr>
      <w:r w:rsidRPr="00E36531">
        <w:rPr>
          <w:rFonts w:ascii="Arial" w:hAnsi="Arial" w:cs="Arial"/>
        </w:rPr>
        <w:t>The SA1 estate brings together a mix of modern academic buildings, refurbished heritage assets and commercial spaces that support the University’s wider ambitions in Swansea. Reviewing the portfolio helps clarify how each building contributes to the campus, where investment is needed, and how the estate can support future growth. The buildings vary significantly in age, condition and suitability, so the review focuses on how well each asset aligns with the University’s teaching, research and community</w:t>
      </w:r>
      <w:r w:rsidRPr="00E36531">
        <w:rPr>
          <w:rFonts w:ascii="Arial" w:hAnsi="Arial" w:cs="Arial"/>
        </w:rPr>
        <w:noBreakHyphen/>
        <w:t>facing priorities.</w:t>
      </w:r>
    </w:p>
    <w:p w14:paraId="566A2000" w14:textId="77777777" w:rsidR="00E36531" w:rsidRPr="00E36531" w:rsidRDefault="00E36531" w:rsidP="00E36531">
      <w:pPr>
        <w:rPr>
          <w:rFonts w:ascii="Arial" w:hAnsi="Arial" w:cs="Arial"/>
        </w:rPr>
      </w:pPr>
      <w:r w:rsidRPr="00E36531">
        <w:rPr>
          <w:rFonts w:ascii="Arial" w:hAnsi="Arial" w:cs="Arial"/>
        </w:rPr>
        <w:t>The newer buildings generally perform well. They were designed with modern teaching methods in mind and tend to have good energy performance, flexible internal layouts and reliable building services. These buildings support the University’s long</w:t>
      </w:r>
      <w:r w:rsidRPr="00E36531">
        <w:rPr>
          <w:rFonts w:ascii="Arial" w:hAnsi="Arial" w:cs="Arial"/>
        </w:rPr>
        <w:noBreakHyphen/>
        <w:t>term strategy with relatively low risk. In contrast, several of the older or heritage buildings present challenges. They often have limited accessibility, outdated services and layouts that are difficult to adapt without significant intervention. While these buildings contribute to the cultural identity of the campus, they require targeted investment to remain functional and compliant.</w:t>
      </w:r>
    </w:p>
    <w:p w14:paraId="405A9291" w14:textId="77777777" w:rsidR="00E36531" w:rsidRDefault="00E36531" w:rsidP="00E36531">
      <w:pPr>
        <w:rPr>
          <w:rFonts w:ascii="Arial" w:hAnsi="Arial" w:cs="Arial"/>
        </w:rPr>
      </w:pPr>
      <w:r w:rsidRPr="00E36531">
        <w:rPr>
          <w:rFonts w:ascii="Arial" w:hAnsi="Arial" w:cs="Arial"/>
        </w:rPr>
        <w:t>The review below summarises the key characteristics of each building within the SA1 portfolio.</w:t>
      </w:r>
    </w:p>
    <w:p w14:paraId="31930F85" w14:textId="77777777" w:rsidR="00196D24" w:rsidRPr="00E36531" w:rsidRDefault="00196D24" w:rsidP="00E36531">
      <w:pPr>
        <w:rPr>
          <w:rFonts w:ascii="Arial" w:hAnsi="Arial" w:cs="Arial"/>
        </w:rPr>
      </w:pPr>
    </w:p>
    <w:p w14:paraId="038B7B54" w14:textId="1906F001" w:rsidR="00196D24" w:rsidRPr="00E36531" w:rsidRDefault="00E36531" w:rsidP="004341C0">
      <w:pPr>
        <w:pStyle w:val="Heading2"/>
      </w:pPr>
      <w:bookmarkStart w:id="11" w:name="_Toc223447507"/>
      <w:r w:rsidRPr="00E36531">
        <w:t>6.1 Swansea Business Centre</w:t>
      </w:r>
      <w:bookmarkEnd w:id="11"/>
    </w:p>
    <w:p w14:paraId="69FF7199" w14:textId="77777777" w:rsidR="00E36531" w:rsidRPr="00E36531" w:rsidRDefault="00E36531" w:rsidP="00E36531">
      <w:pPr>
        <w:rPr>
          <w:rFonts w:ascii="Arial" w:hAnsi="Arial" w:cs="Arial"/>
        </w:rPr>
      </w:pPr>
      <w:r w:rsidRPr="00E36531">
        <w:rPr>
          <w:rFonts w:ascii="Arial" w:hAnsi="Arial" w:cs="Arial"/>
        </w:rPr>
        <w:t>The Swansea Business Centre is a modern commercial building that provides office and collaboration space. It is generally in good condition and supports a range of University and partner activities. Its layout is flexible, and the building services are reliable, making it suitable for administrative functions, enterprise support and industry engagement. The main limitation is that it offers limited specialist teaching space, so its use is mostly administrative rather than academic.</w:t>
      </w:r>
    </w:p>
    <w:p w14:paraId="07B5F7CA" w14:textId="77777777" w:rsidR="00E36531" w:rsidRPr="00E36531" w:rsidRDefault="00E36531" w:rsidP="004341C0">
      <w:pPr>
        <w:pStyle w:val="Heading2"/>
      </w:pPr>
      <w:bookmarkStart w:id="12" w:name="_Toc223447508"/>
      <w:r w:rsidRPr="00E36531">
        <w:lastRenderedPageBreak/>
        <w:t>6.2 Llys Glas</w:t>
      </w:r>
      <w:bookmarkEnd w:id="12"/>
    </w:p>
    <w:p w14:paraId="6AEFC7DD" w14:textId="77777777" w:rsidR="00E36531" w:rsidRDefault="00E36531" w:rsidP="00E36531">
      <w:pPr>
        <w:rPr>
          <w:rFonts w:ascii="Arial" w:hAnsi="Arial" w:cs="Arial"/>
        </w:rPr>
      </w:pPr>
      <w:r w:rsidRPr="00E36531">
        <w:rPr>
          <w:rFonts w:ascii="Arial" w:hAnsi="Arial" w:cs="Arial"/>
        </w:rPr>
        <w:t>Llys Glas is a refurbished heritage building with strong architectural character. While it offers attractive public</w:t>
      </w:r>
      <w:r w:rsidRPr="00E36531">
        <w:rPr>
          <w:rFonts w:ascii="Arial" w:hAnsi="Arial" w:cs="Arial"/>
        </w:rPr>
        <w:noBreakHyphen/>
        <w:t>facing spaces, its internal layout is less adaptable than modern buildings. Accessibility is a concern, particularly in circulation areas and vertical access routes. The building is valuable from a cultural and community perspective, but it requires ongoing investment to remain fully usable.</w:t>
      </w:r>
    </w:p>
    <w:p w14:paraId="1E19EB2D" w14:textId="77777777" w:rsidR="00F50FFC" w:rsidRPr="00E36531" w:rsidRDefault="00F50FFC" w:rsidP="00E36531">
      <w:pPr>
        <w:rPr>
          <w:rFonts w:ascii="Arial" w:hAnsi="Arial" w:cs="Arial"/>
        </w:rPr>
      </w:pPr>
    </w:p>
    <w:p w14:paraId="0BD34E11" w14:textId="77777777" w:rsidR="00E36531" w:rsidRPr="00E36531" w:rsidRDefault="00E36531" w:rsidP="004341C0">
      <w:pPr>
        <w:pStyle w:val="Heading2"/>
      </w:pPr>
      <w:bookmarkStart w:id="13" w:name="_Toc223447509"/>
      <w:r w:rsidRPr="00E36531">
        <w:t>6.3 Alex Building</w:t>
      </w:r>
      <w:bookmarkEnd w:id="13"/>
    </w:p>
    <w:p w14:paraId="4466A17E" w14:textId="77777777" w:rsidR="00E36531" w:rsidRDefault="00E36531" w:rsidP="00E36531">
      <w:pPr>
        <w:rPr>
          <w:rFonts w:ascii="Arial" w:hAnsi="Arial" w:cs="Arial"/>
        </w:rPr>
      </w:pPr>
      <w:r w:rsidRPr="00E36531">
        <w:rPr>
          <w:rFonts w:ascii="Arial" w:hAnsi="Arial" w:cs="Arial"/>
        </w:rPr>
        <w:t>The Alex Building is a former industrial structure that has been adapted for creative and academic use. It has a distinctive character and supports a range of teaching activities, particularly in the arts. However, its age means that maintenance demands are higher than average. Some areas have limited natural light, and the building services are less efficient than those in newer facilities. Despite these challenges, the building remains an important part of the University’s creative identity.</w:t>
      </w:r>
    </w:p>
    <w:p w14:paraId="0E44554D" w14:textId="77777777" w:rsidR="00F50FFC" w:rsidRPr="00E36531" w:rsidRDefault="00F50FFC" w:rsidP="00E36531">
      <w:pPr>
        <w:rPr>
          <w:rFonts w:ascii="Arial" w:hAnsi="Arial" w:cs="Arial"/>
        </w:rPr>
      </w:pPr>
    </w:p>
    <w:p w14:paraId="304E24E8" w14:textId="77777777" w:rsidR="00E36531" w:rsidRPr="00E36531" w:rsidRDefault="00E36531" w:rsidP="004341C0">
      <w:pPr>
        <w:pStyle w:val="Heading2"/>
      </w:pPr>
      <w:bookmarkStart w:id="14" w:name="_Toc223447510"/>
      <w:r w:rsidRPr="00E36531">
        <w:t>6.4 BBC Building</w:t>
      </w:r>
      <w:bookmarkEnd w:id="14"/>
    </w:p>
    <w:p w14:paraId="40EAB2B8" w14:textId="77777777" w:rsidR="00E36531" w:rsidRDefault="00E36531" w:rsidP="00E36531">
      <w:pPr>
        <w:rPr>
          <w:rFonts w:ascii="Arial" w:hAnsi="Arial" w:cs="Arial"/>
        </w:rPr>
      </w:pPr>
      <w:r w:rsidRPr="00E36531">
        <w:rPr>
          <w:rFonts w:ascii="Arial" w:hAnsi="Arial" w:cs="Arial"/>
        </w:rPr>
        <w:t>The BBC Building is a modern facility with strong digital infrastructure. It supports media</w:t>
      </w:r>
      <w:r w:rsidRPr="00E36531">
        <w:rPr>
          <w:rFonts w:ascii="Arial" w:hAnsi="Arial" w:cs="Arial"/>
        </w:rPr>
        <w:noBreakHyphen/>
        <w:t>related teaching and provides opportunities for collaboration with industry partners. The building is generally in good condition, with flexible internal layouts and reliable services. Its main strength is its alignment with digital and creative industries, which are key growth areas for the University.</w:t>
      </w:r>
    </w:p>
    <w:p w14:paraId="0BFFED8C" w14:textId="77777777" w:rsidR="00196D24" w:rsidRPr="00E36531" w:rsidRDefault="00196D24" w:rsidP="00E36531">
      <w:pPr>
        <w:rPr>
          <w:rFonts w:ascii="Arial" w:hAnsi="Arial" w:cs="Arial"/>
        </w:rPr>
      </w:pPr>
    </w:p>
    <w:p w14:paraId="2CA1EF6D" w14:textId="5B6AF03A" w:rsidR="00196D24" w:rsidRDefault="00E36531" w:rsidP="004341C0">
      <w:pPr>
        <w:pStyle w:val="Heading2"/>
      </w:pPr>
      <w:bookmarkStart w:id="15" w:name="_Toc223447511"/>
      <w:r w:rsidRPr="00E36531">
        <w:t>6.5 Dynevor</w:t>
      </w:r>
      <w:bookmarkEnd w:id="15"/>
    </w:p>
    <w:p w14:paraId="05EF9958" w14:textId="77777777" w:rsidR="00E36531" w:rsidRDefault="00E36531" w:rsidP="00E36531">
      <w:pPr>
        <w:rPr>
          <w:rFonts w:ascii="Arial" w:hAnsi="Arial" w:cs="Arial"/>
        </w:rPr>
      </w:pPr>
      <w:r w:rsidRPr="00E36531">
        <w:rPr>
          <w:rFonts w:ascii="Arial" w:hAnsi="Arial" w:cs="Arial"/>
        </w:rPr>
        <w:t>Dynevor is a large, older building that has been adapted for academic use. It offers generous floor space but suffers from ageing infrastructure and inconsistent internal layouts. Accessibility is limited in some areas, and the building’s energy performance is below modern standards. While it remains functional, it is not as efficient or adaptable as newer facilities, and it may require significant investment in the future.</w:t>
      </w:r>
    </w:p>
    <w:p w14:paraId="2905498B" w14:textId="77777777" w:rsidR="00196D24" w:rsidRPr="00E36531" w:rsidRDefault="00196D24" w:rsidP="00E36531">
      <w:pPr>
        <w:rPr>
          <w:rFonts w:ascii="Arial" w:hAnsi="Arial" w:cs="Arial"/>
        </w:rPr>
      </w:pPr>
    </w:p>
    <w:p w14:paraId="53DA6FD4" w14:textId="77777777" w:rsidR="00E36531" w:rsidRPr="00E36531" w:rsidRDefault="00E36531" w:rsidP="004341C0">
      <w:pPr>
        <w:pStyle w:val="Heading2"/>
      </w:pPr>
      <w:bookmarkStart w:id="16" w:name="_Toc223447512"/>
      <w:r w:rsidRPr="00E36531">
        <w:t>6.6 Dylan Thomas Centre</w:t>
      </w:r>
      <w:bookmarkEnd w:id="16"/>
    </w:p>
    <w:p w14:paraId="05CB633C" w14:textId="37A23652" w:rsidR="00196D24" w:rsidRPr="00E36531" w:rsidRDefault="00E36531" w:rsidP="00E36531">
      <w:pPr>
        <w:rPr>
          <w:rFonts w:ascii="Arial" w:hAnsi="Arial" w:cs="Arial"/>
        </w:rPr>
      </w:pPr>
      <w:r w:rsidRPr="00E36531">
        <w:rPr>
          <w:rFonts w:ascii="Arial" w:hAnsi="Arial" w:cs="Arial"/>
        </w:rPr>
        <w:t>The Dylan Thomas Centre is a heritage building with cultural significance. It hosts exhibitions, events and community activities, and it plays an important role in the University’s public engagement. However, the building has major accessibility issues, including non</w:t>
      </w:r>
      <w:r w:rsidRPr="00E36531">
        <w:rPr>
          <w:rFonts w:ascii="Arial" w:hAnsi="Arial" w:cs="Arial"/>
        </w:rPr>
        <w:noBreakHyphen/>
        <w:t>compliant entrances, limited lift provision and inadequate sanitary facilities. Its listed status adds complexity to any refurbishment, but investment is essential to ensure that it remains inclusive and fit for purpose.</w:t>
      </w:r>
    </w:p>
    <w:p w14:paraId="04B5B6F6" w14:textId="77777777" w:rsidR="00E36531" w:rsidRPr="00E36531" w:rsidRDefault="00E36531" w:rsidP="004341C0">
      <w:pPr>
        <w:pStyle w:val="Heading2"/>
      </w:pPr>
      <w:bookmarkStart w:id="17" w:name="_Toc223447513"/>
      <w:r w:rsidRPr="00E36531">
        <w:lastRenderedPageBreak/>
        <w:t>6.7 Technium 1</w:t>
      </w:r>
      <w:bookmarkEnd w:id="17"/>
    </w:p>
    <w:p w14:paraId="4A389EA8" w14:textId="77777777" w:rsidR="00E36531" w:rsidRDefault="00E36531" w:rsidP="00E36531">
      <w:pPr>
        <w:rPr>
          <w:rFonts w:ascii="Arial" w:hAnsi="Arial" w:cs="Arial"/>
        </w:rPr>
      </w:pPr>
      <w:r w:rsidRPr="00E36531">
        <w:rPr>
          <w:rFonts w:ascii="Arial" w:hAnsi="Arial" w:cs="Arial"/>
        </w:rPr>
        <w:t>Technium 1 is a modern building designed to support innovation and enterprise. It offers flexible office and collaboration spaces and is well suited to partnerships with industry. The building services are reliable, and the layout supports a range of uses. It aligns well with the University’s strategic goals around entrepreneurship and applied research.</w:t>
      </w:r>
    </w:p>
    <w:p w14:paraId="39FB2EA4" w14:textId="77777777" w:rsidR="00196D24" w:rsidRPr="00E36531" w:rsidRDefault="00196D24" w:rsidP="00E36531">
      <w:pPr>
        <w:rPr>
          <w:rFonts w:ascii="Arial" w:hAnsi="Arial" w:cs="Arial"/>
        </w:rPr>
      </w:pPr>
    </w:p>
    <w:p w14:paraId="792B8212" w14:textId="77777777" w:rsidR="00E36531" w:rsidRPr="00E36531" w:rsidRDefault="00E36531" w:rsidP="004341C0">
      <w:pPr>
        <w:pStyle w:val="Heading2"/>
      </w:pPr>
      <w:bookmarkStart w:id="18" w:name="_Toc223447514"/>
      <w:r w:rsidRPr="00E36531">
        <w:t>6.8 Technium 2</w:t>
      </w:r>
      <w:bookmarkEnd w:id="18"/>
    </w:p>
    <w:p w14:paraId="1529F416" w14:textId="77777777" w:rsidR="00E36531" w:rsidRDefault="00E36531" w:rsidP="00E36531">
      <w:pPr>
        <w:rPr>
          <w:rFonts w:ascii="Arial" w:hAnsi="Arial" w:cs="Arial"/>
        </w:rPr>
      </w:pPr>
      <w:r w:rsidRPr="00E36531">
        <w:rPr>
          <w:rFonts w:ascii="Arial" w:hAnsi="Arial" w:cs="Arial"/>
        </w:rPr>
        <w:t>Technium 2 is similar in character to Technium 1, offering modern, adaptable space for enterprise and innovation. It is in good condition and supports a mix of academic and commercial activities. The building’s flexibility makes it a valuable asset within the SA1 estate, particularly for projects that require collaboration with external partners.</w:t>
      </w:r>
    </w:p>
    <w:p w14:paraId="4C6A3010" w14:textId="77777777" w:rsidR="00196D24" w:rsidRPr="00E36531" w:rsidRDefault="00196D24" w:rsidP="00E36531">
      <w:pPr>
        <w:rPr>
          <w:rFonts w:ascii="Arial" w:hAnsi="Arial" w:cs="Arial"/>
        </w:rPr>
      </w:pPr>
    </w:p>
    <w:p w14:paraId="0585BA1A" w14:textId="77777777" w:rsidR="00E36531" w:rsidRPr="00E36531" w:rsidRDefault="00E36531" w:rsidP="004341C0">
      <w:pPr>
        <w:pStyle w:val="Heading2"/>
      </w:pPr>
      <w:bookmarkStart w:id="19" w:name="_Toc223447515"/>
      <w:r w:rsidRPr="00E36531">
        <w:t>6.9 IQ Building</w:t>
      </w:r>
      <w:bookmarkEnd w:id="19"/>
    </w:p>
    <w:p w14:paraId="76411D35" w14:textId="77777777" w:rsidR="00E36531" w:rsidRDefault="00E36531" w:rsidP="00E36531">
      <w:pPr>
        <w:rPr>
          <w:rFonts w:ascii="Arial" w:hAnsi="Arial" w:cs="Arial"/>
        </w:rPr>
      </w:pPr>
      <w:r w:rsidRPr="00E36531">
        <w:rPr>
          <w:rFonts w:ascii="Arial" w:hAnsi="Arial" w:cs="Arial"/>
        </w:rPr>
        <w:t>The IQ Building is one of the most modern facilities on the SA1 campus. It provides high</w:t>
      </w:r>
      <w:r w:rsidRPr="00E36531">
        <w:rPr>
          <w:rFonts w:ascii="Arial" w:hAnsi="Arial" w:cs="Arial"/>
        </w:rPr>
        <w:noBreakHyphen/>
        <w:t>quality teaching and learning spaces, strong digital infrastructure and excellent energy performance. Its flexible layout supports a wide range of academic activities, and it is well aligned with the University’s long</w:t>
      </w:r>
      <w:r w:rsidRPr="00E36531">
        <w:rPr>
          <w:rFonts w:ascii="Arial" w:hAnsi="Arial" w:cs="Arial"/>
        </w:rPr>
        <w:noBreakHyphen/>
        <w:t>term strategy. The building requires minimal intervention and represents a low</w:t>
      </w:r>
      <w:r w:rsidRPr="00E36531">
        <w:rPr>
          <w:rFonts w:ascii="Arial" w:hAnsi="Arial" w:cs="Arial"/>
        </w:rPr>
        <w:noBreakHyphen/>
        <w:t>risk, high</w:t>
      </w:r>
      <w:r w:rsidRPr="00E36531">
        <w:rPr>
          <w:rFonts w:ascii="Arial" w:hAnsi="Arial" w:cs="Arial"/>
        </w:rPr>
        <w:noBreakHyphen/>
        <w:t>value asset.</w:t>
      </w:r>
    </w:p>
    <w:p w14:paraId="69D35494" w14:textId="77777777" w:rsidR="00196D24" w:rsidRPr="00E36531" w:rsidRDefault="00196D24" w:rsidP="00E36531">
      <w:pPr>
        <w:rPr>
          <w:rFonts w:ascii="Arial" w:hAnsi="Arial" w:cs="Arial"/>
        </w:rPr>
      </w:pPr>
    </w:p>
    <w:p w14:paraId="3B0A6913" w14:textId="77777777" w:rsidR="00E36531" w:rsidRPr="00E36531" w:rsidRDefault="00E36531" w:rsidP="004341C0">
      <w:pPr>
        <w:pStyle w:val="Heading2"/>
      </w:pPr>
      <w:bookmarkStart w:id="20" w:name="_Toc223447516"/>
      <w:r w:rsidRPr="00E36531">
        <w:t>6.10 Fforwm</w:t>
      </w:r>
      <w:bookmarkEnd w:id="20"/>
    </w:p>
    <w:p w14:paraId="196DCA42" w14:textId="77777777" w:rsidR="00E36531" w:rsidRDefault="00E36531" w:rsidP="00E36531">
      <w:pPr>
        <w:rPr>
          <w:rFonts w:ascii="Arial" w:hAnsi="Arial" w:cs="Arial"/>
        </w:rPr>
      </w:pPr>
      <w:r w:rsidRPr="00E36531">
        <w:rPr>
          <w:rFonts w:ascii="Arial" w:hAnsi="Arial" w:cs="Arial"/>
        </w:rPr>
        <w:t>Fforwm is a modern, multi</w:t>
      </w:r>
      <w:r w:rsidRPr="00E36531">
        <w:rPr>
          <w:rFonts w:ascii="Arial" w:hAnsi="Arial" w:cs="Arial"/>
        </w:rPr>
        <w:noBreakHyphen/>
        <w:t>purpose building that supports teaching, collaboration and public engagement. It has good accessibility, reliable building services and a flexible internal layout. The building is well used and aligns strongly with the University’s ambitions for a vibrant, outward</w:t>
      </w:r>
      <w:r w:rsidRPr="00E36531">
        <w:rPr>
          <w:rFonts w:ascii="Arial" w:hAnsi="Arial" w:cs="Arial"/>
        </w:rPr>
        <w:noBreakHyphen/>
        <w:t>facing campus. It is one of the more efficient and adaptable assets within the estate.</w:t>
      </w:r>
    </w:p>
    <w:p w14:paraId="2F02CB2D" w14:textId="77777777" w:rsidR="004341C0" w:rsidRPr="00E36531" w:rsidRDefault="004341C0" w:rsidP="00E36531">
      <w:pPr>
        <w:rPr>
          <w:rFonts w:ascii="Arial" w:hAnsi="Arial" w:cs="Arial"/>
        </w:rPr>
      </w:pPr>
    </w:p>
    <w:p w14:paraId="23F4FCFA" w14:textId="77777777" w:rsidR="00E36531" w:rsidRPr="00E36531" w:rsidRDefault="00E36531" w:rsidP="004341C0">
      <w:pPr>
        <w:pStyle w:val="Heading2"/>
      </w:pPr>
      <w:bookmarkStart w:id="21" w:name="_Toc223447517"/>
      <w:r w:rsidRPr="00E36531">
        <w:t>6.11 Summary Table</w:t>
      </w:r>
      <w:bookmarkEnd w:id="21"/>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25"/>
        <w:gridCol w:w="1095"/>
        <w:gridCol w:w="1942"/>
        <w:gridCol w:w="2560"/>
        <w:gridCol w:w="1404"/>
      </w:tblGrid>
      <w:tr w:rsidR="00E36531" w:rsidRPr="00E36531" w14:paraId="5B80EBD5" w14:textId="77777777">
        <w:trPr>
          <w:tblHeader/>
          <w:tblCellSpacing w:w="15" w:type="dxa"/>
        </w:trPr>
        <w:tc>
          <w:tcPr>
            <w:tcW w:w="0" w:type="auto"/>
            <w:vAlign w:val="center"/>
            <w:hideMark/>
          </w:tcPr>
          <w:p w14:paraId="0899C2BD" w14:textId="77777777" w:rsidR="00E36531" w:rsidRPr="00E36531" w:rsidRDefault="00E36531" w:rsidP="00E36531">
            <w:pPr>
              <w:rPr>
                <w:rFonts w:ascii="Arial" w:hAnsi="Arial" w:cs="Arial"/>
              </w:rPr>
            </w:pPr>
            <w:r w:rsidRPr="00E36531">
              <w:rPr>
                <w:rFonts w:ascii="Arial" w:hAnsi="Arial" w:cs="Arial"/>
              </w:rPr>
              <w:t>Building</w:t>
            </w:r>
          </w:p>
        </w:tc>
        <w:tc>
          <w:tcPr>
            <w:tcW w:w="0" w:type="auto"/>
            <w:vAlign w:val="center"/>
            <w:hideMark/>
          </w:tcPr>
          <w:p w14:paraId="0DD07DD1" w14:textId="77777777" w:rsidR="00E36531" w:rsidRPr="00E36531" w:rsidRDefault="00E36531" w:rsidP="00E36531">
            <w:pPr>
              <w:rPr>
                <w:rFonts w:ascii="Arial" w:hAnsi="Arial" w:cs="Arial"/>
              </w:rPr>
            </w:pPr>
            <w:r w:rsidRPr="00E36531">
              <w:rPr>
                <w:rFonts w:ascii="Arial" w:hAnsi="Arial" w:cs="Arial"/>
              </w:rPr>
              <w:t>Condition</w:t>
            </w:r>
          </w:p>
        </w:tc>
        <w:tc>
          <w:tcPr>
            <w:tcW w:w="0" w:type="auto"/>
            <w:vAlign w:val="center"/>
            <w:hideMark/>
          </w:tcPr>
          <w:p w14:paraId="12777466" w14:textId="77777777" w:rsidR="00E36531" w:rsidRPr="00E36531" w:rsidRDefault="00E36531" w:rsidP="00E36531">
            <w:pPr>
              <w:rPr>
                <w:rFonts w:ascii="Arial" w:hAnsi="Arial" w:cs="Arial"/>
              </w:rPr>
            </w:pPr>
            <w:r w:rsidRPr="00E36531">
              <w:rPr>
                <w:rFonts w:ascii="Arial" w:hAnsi="Arial" w:cs="Arial"/>
              </w:rPr>
              <w:t>Suitability</w:t>
            </w:r>
          </w:p>
        </w:tc>
        <w:tc>
          <w:tcPr>
            <w:tcW w:w="0" w:type="auto"/>
            <w:vAlign w:val="center"/>
            <w:hideMark/>
          </w:tcPr>
          <w:p w14:paraId="0BB92CBF" w14:textId="77777777" w:rsidR="00E36531" w:rsidRPr="00E36531" w:rsidRDefault="00E36531" w:rsidP="00E36531">
            <w:pPr>
              <w:rPr>
                <w:rFonts w:ascii="Arial" w:hAnsi="Arial" w:cs="Arial"/>
              </w:rPr>
            </w:pPr>
            <w:r w:rsidRPr="00E36531">
              <w:rPr>
                <w:rFonts w:ascii="Arial" w:hAnsi="Arial" w:cs="Arial"/>
              </w:rPr>
              <w:t>Key Issues</w:t>
            </w:r>
          </w:p>
        </w:tc>
        <w:tc>
          <w:tcPr>
            <w:tcW w:w="0" w:type="auto"/>
            <w:vAlign w:val="center"/>
            <w:hideMark/>
          </w:tcPr>
          <w:p w14:paraId="59F65DFF" w14:textId="77777777" w:rsidR="00E36531" w:rsidRPr="00E36531" w:rsidRDefault="00E36531" w:rsidP="00E36531">
            <w:pPr>
              <w:rPr>
                <w:rFonts w:ascii="Arial" w:hAnsi="Arial" w:cs="Arial"/>
              </w:rPr>
            </w:pPr>
            <w:r w:rsidRPr="00E36531">
              <w:rPr>
                <w:rFonts w:ascii="Arial" w:hAnsi="Arial" w:cs="Arial"/>
              </w:rPr>
              <w:t>Strategic Value</w:t>
            </w:r>
          </w:p>
        </w:tc>
      </w:tr>
      <w:tr w:rsidR="00E36531" w:rsidRPr="00E36531" w14:paraId="4038554C" w14:textId="77777777">
        <w:trPr>
          <w:tblCellSpacing w:w="15" w:type="dxa"/>
        </w:trPr>
        <w:tc>
          <w:tcPr>
            <w:tcW w:w="0" w:type="auto"/>
            <w:vAlign w:val="center"/>
            <w:hideMark/>
          </w:tcPr>
          <w:p w14:paraId="7BE42F4E" w14:textId="77777777" w:rsidR="00E36531" w:rsidRPr="00E36531" w:rsidRDefault="00E36531" w:rsidP="00E36531">
            <w:pPr>
              <w:rPr>
                <w:rFonts w:ascii="Arial" w:hAnsi="Arial" w:cs="Arial"/>
              </w:rPr>
            </w:pPr>
            <w:r w:rsidRPr="00E36531">
              <w:rPr>
                <w:rFonts w:ascii="Arial" w:hAnsi="Arial" w:cs="Arial"/>
              </w:rPr>
              <w:t>Swansea Business Centre</w:t>
            </w:r>
          </w:p>
        </w:tc>
        <w:tc>
          <w:tcPr>
            <w:tcW w:w="0" w:type="auto"/>
            <w:vAlign w:val="center"/>
            <w:hideMark/>
          </w:tcPr>
          <w:p w14:paraId="7BF7B6DF" w14:textId="77777777" w:rsidR="00E36531" w:rsidRPr="00E36531" w:rsidRDefault="00E36531" w:rsidP="00E36531">
            <w:pPr>
              <w:rPr>
                <w:rFonts w:ascii="Arial" w:hAnsi="Arial" w:cs="Arial"/>
              </w:rPr>
            </w:pPr>
            <w:r w:rsidRPr="00E36531">
              <w:rPr>
                <w:rFonts w:ascii="Arial" w:hAnsi="Arial" w:cs="Arial"/>
              </w:rPr>
              <w:t>Good</w:t>
            </w:r>
          </w:p>
        </w:tc>
        <w:tc>
          <w:tcPr>
            <w:tcW w:w="0" w:type="auto"/>
            <w:vAlign w:val="center"/>
            <w:hideMark/>
          </w:tcPr>
          <w:p w14:paraId="692F8CCF" w14:textId="77777777" w:rsidR="00E36531" w:rsidRPr="00E36531" w:rsidRDefault="00E36531" w:rsidP="00E36531">
            <w:pPr>
              <w:rPr>
                <w:rFonts w:ascii="Arial" w:hAnsi="Arial" w:cs="Arial"/>
              </w:rPr>
            </w:pPr>
            <w:r w:rsidRPr="00E36531">
              <w:rPr>
                <w:rFonts w:ascii="Arial" w:hAnsi="Arial" w:cs="Arial"/>
              </w:rPr>
              <w:t>Admin/enterprise</w:t>
            </w:r>
          </w:p>
        </w:tc>
        <w:tc>
          <w:tcPr>
            <w:tcW w:w="0" w:type="auto"/>
            <w:vAlign w:val="center"/>
            <w:hideMark/>
          </w:tcPr>
          <w:p w14:paraId="6039CE85" w14:textId="77777777" w:rsidR="00E36531" w:rsidRPr="00E36531" w:rsidRDefault="00E36531" w:rsidP="00E36531">
            <w:pPr>
              <w:rPr>
                <w:rFonts w:ascii="Arial" w:hAnsi="Arial" w:cs="Arial"/>
              </w:rPr>
            </w:pPr>
            <w:r w:rsidRPr="00E36531">
              <w:rPr>
                <w:rFonts w:ascii="Arial" w:hAnsi="Arial" w:cs="Arial"/>
              </w:rPr>
              <w:t>Limited specialist space</w:t>
            </w:r>
          </w:p>
        </w:tc>
        <w:tc>
          <w:tcPr>
            <w:tcW w:w="0" w:type="auto"/>
            <w:vAlign w:val="center"/>
            <w:hideMark/>
          </w:tcPr>
          <w:p w14:paraId="24B49EAF" w14:textId="77777777" w:rsidR="00E36531" w:rsidRPr="00E36531" w:rsidRDefault="00E36531" w:rsidP="00E36531">
            <w:pPr>
              <w:rPr>
                <w:rFonts w:ascii="Arial" w:hAnsi="Arial" w:cs="Arial"/>
              </w:rPr>
            </w:pPr>
            <w:r w:rsidRPr="00E36531">
              <w:rPr>
                <w:rFonts w:ascii="Arial" w:hAnsi="Arial" w:cs="Arial"/>
              </w:rPr>
              <w:t>Medium</w:t>
            </w:r>
          </w:p>
        </w:tc>
      </w:tr>
      <w:tr w:rsidR="00E36531" w:rsidRPr="00E36531" w14:paraId="7F8A0CED" w14:textId="77777777">
        <w:trPr>
          <w:tblCellSpacing w:w="15" w:type="dxa"/>
        </w:trPr>
        <w:tc>
          <w:tcPr>
            <w:tcW w:w="0" w:type="auto"/>
            <w:vAlign w:val="center"/>
            <w:hideMark/>
          </w:tcPr>
          <w:p w14:paraId="4C2D2784" w14:textId="77777777" w:rsidR="00E36531" w:rsidRPr="00E36531" w:rsidRDefault="00E36531" w:rsidP="00E36531">
            <w:pPr>
              <w:rPr>
                <w:rFonts w:ascii="Arial" w:hAnsi="Arial" w:cs="Arial"/>
              </w:rPr>
            </w:pPr>
            <w:r w:rsidRPr="00E36531">
              <w:rPr>
                <w:rFonts w:ascii="Arial" w:hAnsi="Arial" w:cs="Arial"/>
              </w:rPr>
              <w:t>Llys Glas</w:t>
            </w:r>
          </w:p>
        </w:tc>
        <w:tc>
          <w:tcPr>
            <w:tcW w:w="0" w:type="auto"/>
            <w:vAlign w:val="center"/>
            <w:hideMark/>
          </w:tcPr>
          <w:p w14:paraId="7B51C3CC" w14:textId="77777777" w:rsidR="00E36531" w:rsidRPr="00E36531" w:rsidRDefault="00E36531" w:rsidP="00E36531">
            <w:pPr>
              <w:rPr>
                <w:rFonts w:ascii="Arial" w:hAnsi="Arial" w:cs="Arial"/>
              </w:rPr>
            </w:pPr>
            <w:r w:rsidRPr="00E36531">
              <w:rPr>
                <w:rFonts w:ascii="Arial" w:hAnsi="Arial" w:cs="Arial"/>
              </w:rPr>
              <w:t>Fair</w:t>
            </w:r>
          </w:p>
        </w:tc>
        <w:tc>
          <w:tcPr>
            <w:tcW w:w="0" w:type="auto"/>
            <w:vAlign w:val="center"/>
            <w:hideMark/>
          </w:tcPr>
          <w:p w14:paraId="0AD168F1" w14:textId="77777777" w:rsidR="00E36531" w:rsidRPr="00E36531" w:rsidRDefault="00E36531" w:rsidP="00E36531">
            <w:pPr>
              <w:rPr>
                <w:rFonts w:ascii="Arial" w:hAnsi="Arial" w:cs="Arial"/>
              </w:rPr>
            </w:pPr>
            <w:r w:rsidRPr="00E36531">
              <w:rPr>
                <w:rFonts w:ascii="Arial" w:hAnsi="Arial" w:cs="Arial"/>
              </w:rPr>
              <w:t>Public/cultural</w:t>
            </w:r>
          </w:p>
        </w:tc>
        <w:tc>
          <w:tcPr>
            <w:tcW w:w="0" w:type="auto"/>
            <w:vAlign w:val="center"/>
            <w:hideMark/>
          </w:tcPr>
          <w:p w14:paraId="1EB39488" w14:textId="77777777" w:rsidR="00E36531" w:rsidRPr="00E36531" w:rsidRDefault="00E36531" w:rsidP="00E36531">
            <w:pPr>
              <w:rPr>
                <w:rFonts w:ascii="Arial" w:hAnsi="Arial" w:cs="Arial"/>
              </w:rPr>
            </w:pPr>
            <w:r w:rsidRPr="00E36531">
              <w:rPr>
                <w:rFonts w:ascii="Arial" w:hAnsi="Arial" w:cs="Arial"/>
              </w:rPr>
              <w:t>Accessibility, layout</w:t>
            </w:r>
          </w:p>
        </w:tc>
        <w:tc>
          <w:tcPr>
            <w:tcW w:w="0" w:type="auto"/>
            <w:vAlign w:val="center"/>
            <w:hideMark/>
          </w:tcPr>
          <w:p w14:paraId="6A55FAF9" w14:textId="77777777" w:rsidR="00E36531" w:rsidRPr="00E36531" w:rsidRDefault="00E36531" w:rsidP="00E36531">
            <w:pPr>
              <w:rPr>
                <w:rFonts w:ascii="Arial" w:hAnsi="Arial" w:cs="Arial"/>
              </w:rPr>
            </w:pPr>
            <w:r w:rsidRPr="00E36531">
              <w:rPr>
                <w:rFonts w:ascii="Arial" w:hAnsi="Arial" w:cs="Arial"/>
              </w:rPr>
              <w:t>Medium</w:t>
            </w:r>
          </w:p>
        </w:tc>
      </w:tr>
      <w:tr w:rsidR="00E36531" w:rsidRPr="00E36531" w14:paraId="20171DE7" w14:textId="77777777">
        <w:trPr>
          <w:tblCellSpacing w:w="15" w:type="dxa"/>
        </w:trPr>
        <w:tc>
          <w:tcPr>
            <w:tcW w:w="0" w:type="auto"/>
            <w:vAlign w:val="center"/>
            <w:hideMark/>
          </w:tcPr>
          <w:p w14:paraId="6E1EE492" w14:textId="77777777" w:rsidR="00E36531" w:rsidRPr="00E36531" w:rsidRDefault="00E36531" w:rsidP="00E36531">
            <w:pPr>
              <w:rPr>
                <w:rFonts w:ascii="Arial" w:hAnsi="Arial" w:cs="Arial"/>
              </w:rPr>
            </w:pPr>
            <w:r w:rsidRPr="00E36531">
              <w:rPr>
                <w:rFonts w:ascii="Arial" w:hAnsi="Arial" w:cs="Arial"/>
              </w:rPr>
              <w:lastRenderedPageBreak/>
              <w:t>Alex Building</w:t>
            </w:r>
          </w:p>
        </w:tc>
        <w:tc>
          <w:tcPr>
            <w:tcW w:w="0" w:type="auto"/>
            <w:vAlign w:val="center"/>
            <w:hideMark/>
          </w:tcPr>
          <w:p w14:paraId="32339446" w14:textId="77777777" w:rsidR="00E36531" w:rsidRPr="00E36531" w:rsidRDefault="00E36531" w:rsidP="00E36531">
            <w:pPr>
              <w:rPr>
                <w:rFonts w:ascii="Arial" w:hAnsi="Arial" w:cs="Arial"/>
              </w:rPr>
            </w:pPr>
            <w:r w:rsidRPr="00E36531">
              <w:rPr>
                <w:rFonts w:ascii="Arial" w:hAnsi="Arial" w:cs="Arial"/>
              </w:rPr>
              <w:t>Fair</w:t>
            </w:r>
          </w:p>
        </w:tc>
        <w:tc>
          <w:tcPr>
            <w:tcW w:w="0" w:type="auto"/>
            <w:vAlign w:val="center"/>
            <w:hideMark/>
          </w:tcPr>
          <w:p w14:paraId="7FCC162C" w14:textId="77777777" w:rsidR="00E36531" w:rsidRPr="00E36531" w:rsidRDefault="00E36531" w:rsidP="00E36531">
            <w:pPr>
              <w:rPr>
                <w:rFonts w:ascii="Arial" w:hAnsi="Arial" w:cs="Arial"/>
              </w:rPr>
            </w:pPr>
            <w:r w:rsidRPr="00E36531">
              <w:rPr>
                <w:rFonts w:ascii="Arial" w:hAnsi="Arial" w:cs="Arial"/>
              </w:rPr>
              <w:t>Creative teaching</w:t>
            </w:r>
          </w:p>
        </w:tc>
        <w:tc>
          <w:tcPr>
            <w:tcW w:w="0" w:type="auto"/>
            <w:vAlign w:val="center"/>
            <w:hideMark/>
          </w:tcPr>
          <w:p w14:paraId="537B8088" w14:textId="77777777" w:rsidR="00E36531" w:rsidRPr="00E36531" w:rsidRDefault="00E36531" w:rsidP="00E36531">
            <w:pPr>
              <w:rPr>
                <w:rFonts w:ascii="Arial" w:hAnsi="Arial" w:cs="Arial"/>
              </w:rPr>
            </w:pPr>
            <w:r w:rsidRPr="00E36531">
              <w:rPr>
                <w:rFonts w:ascii="Arial" w:hAnsi="Arial" w:cs="Arial"/>
              </w:rPr>
              <w:t>Ageing services</w:t>
            </w:r>
          </w:p>
        </w:tc>
        <w:tc>
          <w:tcPr>
            <w:tcW w:w="0" w:type="auto"/>
            <w:vAlign w:val="center"/>
            <w:hideMark/>
          </w:tcPr>
          <w:p w14:paraId="43FEC6A2" w14:textId="77777777" w:rsidR="00E36531" w:rsidRPr="00E36531" w:rsidRDefault="00E36531" w:rsidP="00E36531">
            <w:pPr>
              <w:rPr>
                <w:rFonts w:ascii="Arial" w:hAnsi="Arial" w:cs="Arial"/>
              </w:rPr>
            </w:pPr>
            <w:r w:rsidRPr="00E36531">
              <w:rPr>
                <w:rFonts w:ascii="Arial" w:hAnsi="Arial" w:cs="Arial"/>
              </w:rPr>
              <w:t>Medium–High</w:t>
            </w:r>
          </w:p>
        </w:tc>
      </w:tr>
      <w:tr w:rsidR="00E36531" w:rsidRPr="00E36531" w14:paraId="517266A0" w14:textId="77777777">
        <w:trPr>
          <w:tblCellSpacing w:w="15" w:type="dxa"/>
        </w:trPr>
        <w:tc>
          <w:tcPr>
            <w:tcW w:w="0" w:type="auto"/>
            <w:vAlign w:val="center"/>
            <w:hideMark/>
          </w:tcPr>
          <w:p w14:paraId="31E2F3B8" w14:textId="77777777" w:rsidR="00E36531" w:rsidRPr="00E36531" w:rsidRDefault="00E36531" w:rsidP="00E36531">
            <w:pPr>
              <w:rPr>
                <w:rFonts w:ascii="Arial" w:hAnsi="Arial" w:cs="Arial"/>
              </w:rPr>
            </w:pPr>
            <w:r w:rsidRPr="00E36531">
              <w:rPr>
                <w:rFonts w:ascii="Arial" w:hAnsi="Arial" w:cs="Arial"/>
              </w:rPr>
              <w:t>BBC Building</w:t>
            </w:r>
          </w:p>
        </w:tc>
        <w:tc>
          <w:tcPr>
            <w:tcW w:w="0" w:type="auto"/>
            <w:vAlign w:val="center"/>
            <w:hideMark/>
          </w:tcPr>
          <w:p w14:paraId="6AACBAA6" w14:textId="77777777" w:rsidR="00E36531" w:rsidRPr="00E36531" w:rsidRDefault="00E36531" w:rsidP="00E36531">
            <w:pPr>
              <w:rPr>
                <w:rFonts w:ascii="Arial" w:hAnsi="Arial" w:cs="Arial"/>
              </w:rPr>
            </w:pPr>
            <w:r w:rsidRPr="00E36531">
              <w:rPr>
                <w:rFonts w:ascii="Arial" w:hAnsi="Arial" w:cs="Arial"/>
              </w:rPr>
              <w:t>Good</w:t>
            </w:r>
          </w:p>
        </w:tc>
        <w:tc>
          <w:tcPr>
            <w:tcW w:w="0" w:type="auto"/>
            <w:vAlign w:val="center"/>
            <w:hideMark/>
          </w:tcPr>
          <w:p w14:paraId="7F816637" w14:textId="77777777" w:rsidR="00E36531" w:rsidRPr="00E36531" w:rsidRDefault="00E36531" w:rsidP="00E36531">
            <w:pPr>
              <w:rPr>
                <w:rFonts w:ascii="Arial" w:hAnsi="Arial" w:cs="Arial"/>
              </w:rPr>
            </w:pPr>
            <w:r w:rsidRPr="00E36531">
              <w:rPr>
                <w:rFonts w:ascii="Arial" w:hAnsi="Arial" w:cs="Arial"/>
              </w:rPr>
              <w:t>Digital/media</w:t>
            </w:r>
          </w:p>
        </w:tc>
        <w:tc>
          <w:tcPr>
            <w:tcW w:w="0" w:type="auto"/>
            <w:vAlign w:val="center"/>
            <w:hideMark/>
          </w:tcPr>
          <w:p w14:paraId="223B4C1C" w14:textId="77777777" w:rsidR="00E36531" w:rsidRPr="00E36531" w:rsidRDefault="00E36531" w:rsidP="00E36531">
            <w:pPr>
              <w:rPr>
                <w:rFonts w:ascii="Arial" w:hAnsi="Arial" w:cs="Arial"/>
              </w:rPr>
            </w:pPr>
            <w:r w:rsidRPr="00E36531">
              <w:rPr>
                <w:rFonts w:ascii="Arial" w:hAnsi="Arial" w:cs="Arial"/>
              </w:rPr>
              <w:t>Few issues</w:t>
            </w:r>
          </w:p>
        </w:tc>
        <w:tc>
          <w:tcPr>
            <w:tcW w:w="0" w:type="auto"/>
            <w:vAlign w:val="center"/>
            <w:hideMark/>
          </w:tcPr>
          <w:p w14:paraId="57E39906" w14:textId="77777777" w:rsidR="00E36531" w:rsidRPr="00E36531" w:rsidRDefault="00E36531" w:rsidP="00E36531">
            <w:pPr>
              <w:rPr>
                <w:rFonts w:ascii="Arial" w:hAnsi="Arial" w:cs="Arial"/>
              </w:rPr>
            </w:pPr>
            <w:r w:rsidRPr="00E36531">
              <w:rPr>
                <w:rFonts w:ascii="Arial" w:hAnsi="Arial" w:cs="Arial"/>
              </w:rPr>
              <w:t>High</w:t>
            </w:r>
          </w:p>
        </w:tc>
      </w:tr>
      <w:tr w:rsidR="00E36531" w:rsidRPr="00E36531" w14:paraId="16FD33ED" w14:textId="77777777">
        <w:trPr>
          <w:tblCellSpacing w:w="15" w:type="dxa"/>
        </w:trPr>
        <w:tc>
          <w:tcPr>
            <w:tcW w:w="0" w:type="auto"/>
            <w:vAlign w:val="center"/>
            <w:hideMark/>
          </w:tcPr>
          <w:p w14:paraId="2CD7F419" w14:textId="77777777" w:rsidR="00E36531" w:rsidRPr="00E36531" w:rsidRDefault="00E36531" w:rsidP="00E36531">
            <w:pPr>
              <w:rPr>
                <w:rFonts w:ascii="Arial" w:hAnsi="Arial" w:cs="Arial"/>
              </w:rPr>
            </w:pPr>
            <w:r w:rsidRPr="00E36531">
              <w:rPr>
                <w:rFonts w:ascii="Arial" w:hAnsi="Arial" w:cs="Arial"/>
              </w:rPr>
              <w:t>Dynevor</w:t>
            </w:r>
          </w:p>
        </w:tc>
        <w:tc>
          <w:tcPr>
            <w:tcW w:w="0" w:type="auto"/>
            <w:vAlign w:val="center"/>
            <w:hideMark/>
          </w:tcPr>
          <w:p w14:paraId="73BC331A" w14:textId="77777777" w:rsidR="00E36531" w:rsidRPr="00E36531" w:rsidRDefault="00E36531" w:rsidP="00E36531">
            <w:pPr>
              <w:rPr>
                <w:rFonts w:ascii="Arial" w:hAnsi="Arial" w:cs="Arial"/>
              </w:rPr>
            </w:pPr>
            <w:r w:rsidRPr="00E36531">
              <w:rPr>
                <w:rFonts w:ascii="Arial" w:hAnsi="Arial" w:cs="Arial"/>
              </w:rPr>
              <w:t>Fair–Poor</w:t>
            </w:r>
          </w:p>
        </w:tc>
        <w:tc>
          <w:tcPr>
            <w:tcW w:w="0" w:type="auto"/>
            <w:vAlign w:val="center"/>
            <w:hideMark/>
          </w:tcPr>
          <w:p w14:paraId="16016C5A" w14:textId="77777777" w:rsidR="00E36531" w:rsidRPr="00E36531" w:rsidRDefault="00E36531" w:rsidP="00E36531">
            <w:pPr>
              <w:rPr>
                <w:rFonts w:ascii="Arial" w:hAnsi="Arial" w:cs="Arial"/>
              </w:rPr>
            </w:pPr>
            <w:r w:rsidRPr="00E36531">
              <w:rPr>
                <w:rFonts w:ascii="Arial" w:hAnsi="Arial" w:cs="Arial"/>
              </w:rPr>
              <w:t>General teaching</w:t>
            </w:r>
          </w:p>
        </w:tc>
        <w:tc>
          <w:tcPr>
            <w:tcW w:w="0" w:type="auto"/>
            <w:vAlign w:val="center"/>
            <w:hideMark/>
          </w:tcPr>
          <w:p w14:paraId="4FA66E91" w14:textId="77777777" w:rsidR="00E36531" w:rsidRPr="00E36531" w:rsidRDefault="00E36531" w:rsidP="00E36531">
            <w:pPr>
              <w:rPr>
                <w:rFonts w:ascii="Arial" w:hAnsi="Arial" w:cs="Arial"/>
              </w:rPr>
            </w:pPr>
            <w:r w:rsidRPr="00E36531">
              <w:rPr>
                <w:rFonts w:ascii="Arial" w:hAnsi="Arial" w:cs="Arial"/>
              </w:rPr>
              <w:t>Accessibility, energy performance</w:t>
            </w:r>
          </w:p>
        </w:tc>
        <w:tc>
          <w:tcPr>
            <w:tcW w:w="0" w:type="auto"/>
            <w:vAlign w:val="center"/>
            <w:hideMark/>
          </w:tcPr>
          <w:p w14:paraId="3EECA185" w14:textId="77777777" w:rsidR="00E36531" w:rsidRPr="00E36531" w:rsidRDefault="00E36531" w:rsidP="00E36531">
            <w:pPr>
              <w:rPr>
                <w:rFonts w:ascii="Arial" w:hAnsi="Arial" w:cs="Arial"/>
              </w:rPr>
            </w:pPr>
            <w:r w:rsidRPr="00E36531">
              <w:rPr>
                <w:rFonts w:ascii="Arial" w:hAnsi="Arial" w:cs="Arial"/>
              </w:rPr>
              <w:t>Medium</w:t>
            </w:r>
          </w:p>
        </w:tc>
      </w:tr>
      <w:tr w:rsidR="00E36531" w:rsidRPr="00E36531" w14:paraId="6BE2A5A0" w14:textId="77777777">
        <w:trPr>
          <w:tblCellSpacing w:w="15" w:type="dxa"/>
        </w:trPr>
        <w:tc>
          <w:tcPr>
            <w:tcW w:w="0" w:type="auto"/>
            <w:vAlign w:val="center"/>
            <w:hideMark/>
          </w:tcPr>
          <w:p w14:paraId="0ABDBEF4" w14:textId="77777777" w:rsidR="00E36531" w:rsidRPr="00E36531" w:rsidRDefault="00E36531" w:rsidP="00E36531">
            <w:pPr>
              <w:rPr>
                <w:rFonts w:ascii="Arial" w:hAnsi="Arial" w:cs="Arial"/>
              </w:rPr>
            </w:pPr>
            <w:r w:rsidRPr="00E36531">
              <w:rPr>
                <w:rFonts w:ascii="Arial" w:hAnsi="Arial" w:cs="Arial"/>
              </w:rPr>
              <w:t>Dylan Thomas Centre</w:t>
            </w:r>
          </w:p>
        </w:tc>
        <w:tc>
          <w:tcPr>
            <w:tcW w:w="0" w:type="auto"/>
            <w:vAlign w:val="center"/>
            <w:hideMark/>
          </w:tcPr>
          <w:p w14:paraId="2C533E6E" w14:textId="77777777" w:rsidR="00E36531" w:rsidRPr="00E36531" w:rsidRDefault="00E36531" w:rsidP="00E36531">
            <w:pPr>
              <w:rPr>
                <w:rFonts w:ascii="Arial" w:hAnsi="Arial" w:cs="Arial"/>
              </w:rPr>
            </w:pPr>
            <w:r w:rsidRPr="00E36531">
              <w:rPr>
                <w:rFonts w:ascii="Arial" w:hAnsi="Arial" w:cs="Arial"/>
              </w:rPr>
              <w:t>Poor</w:t>
            </w:r>
          </w:p>
        </w:tc>
        <w:tc>
          <w:tcPr>
            <w:tcW w:w="0" w:type="auto"/>
            <w:vAlign w:val="center"/>
            <w:hideMark/>
          </w:tcPr>
          <w:p w14:paraId="108EC6C0" w14:textId="77777777" w:rsidR="00E36531" w:rsidRPr="00E36531" w:rsidRDefault="00E36531" w:rsidP="00E36531">
            <w:pPr>
              <w:rPr>
                <w:rFonts w:ascii="Arial" w:hAnsi="Arial" w:cs="Arial"/>
              </w:rPr>
            </w:pPr>
            <w:r w:rsidRPr="00E36531">
              <w:rPr>
                <w:rFonts w:ascii="Arial" w:hAnsi="Arial" w:cs="Arial"/>
              </w:rPr>
              <w:t>Cultural/public</w:t>
            </w:r>
          </w:p>
        </w:tc>
        <w:tc>
          <w:tcPr>
            <w:tcW w:w="0" w:type="auto"/>
            <w:vAlign w:val="center"/>
            <w:hideMark/>
          </w:tcPr>
          <w:p w14:paraId="506B5D7C" w14:textId="77777777" w:rsidR="00E36531" w:rsidRPr="00E36531" w:rsidRDefault="00E36531" w:rsidP="00E36531">
            <w:pPr>
              <w:rPr>
                <w:rFonts w:ascii="Arial" w:hAnsi="Arial" w:cs="Arial"/>
              </w:rPr>
            </w:pPr>
            <w:r w:rsidRPr="00E36531">
              <w:rPr>
                <w:rFonts w:ascii="Arial" w:hAnsi="Arial" w:cs="Arial"/>
              </w:rPr>
              <w:t>Major DDA issues</w:t>
            </w:r>
          </w:p>
        </w:tc>
        <w:tc>
          <w:tcPr>
            <w:tcW w:w="0" w:type="auto"/>
            <w:vAlign w:val="center"/>
            <w:hideMark/>
          </w:tcPr>
          <w:p w14:paraId="41EE3E8E" w14:textId="77777777" w:rsidR="00E36531" w:rsidRPr="00E36531" w:rsidRDefault="00E36531" w:rsidP="00E36531">
            <w:pPr>
              <w:rPr>
                <w:rFonts w:ascii="Arial" w:hAnsi="Arial" w:cs="Arial"/>
              </w:rPr>
            </w:pPr>
            <w:r w:rsidRPr="00E36531">
              <w:rPr>
                <w:rFonts w:ascii="Arial" w:hAnsi="Arial" w:cs="Arial"/>
              </w:rPr>
              <w:t>High (heritage)</w:t>
            </w:r>
          </w:p>
        </w:tc>
      </w:tr>
      <w:tr w:rsidR="00E36531" w:rsidRPr="00E36531" w14:paraId="3B3AED33" w14:textId="77777777">
        <w:trPr>
          <w:tblCellSpacing w:w="15" w:type="dxa"/>
        </w:trPr>
        <w:tc>
          <w:tcPr>
            <w:tcW w:w="0" w:type="auto"/>
            <w:vAlign w:val="center"/>
            <w:hideMark/>
          </w:tcPr>
          <w:p w14:paraId="70F8D55F" w14:textId="77777777" w:rsidR="00E36531" w:rsidRPr="00E36531" w:rsidRDefault="00E36531" w:rsidP="00E36531">
            <w:pPr>
              <w:rPr>
                <w:rFonts w:ascii="Arial" w:hAnsi="Arial" w:cs="Arial"/>
              </w:rPr>
            </w:pPr>
            <w:r w:rsidRPr="00E36531">
              <w:rPr>
                <w:rFonts w:ascii="Arial" w:hAnsi="Arial" w:cs="Arial"/>
              </w:rPr>
              <w:t>Technium 1</w:t>
            </w:r>
          </w:p>
        </w:tc>
        <w:tc>
          <w:tcPr>
            <w:tcW w:w="0" w:type="auto"/>
            <w:vAlign w:val="center"/>
            <w:hideMark/>
          </w:tcPr>
          <w:p w14:paraId="151E8D3C" w14:textId="77777777" w:rsidR="00E36531" w:rsidRPr="00E36531" w:rsidRDefault="00E36531" w:rsidP="00E36531">
            <w:pPr>
              <w:rPr>
                <w:rFonts w:ascii="Arial" w:hAnsi="Arial" w:cs="Arial"/>
              </w:rPr>
            </w:pPr>
            <w:r w:rsidRPr="00E36531">
              <w:rPr>
                <w:rFonts w:ascii="Arial" w:hAnsi="Arial" w:cs="Arial"/>
              </w:rPr>
              <w:t>Good</w:t>
            </w:r>
          </w:p>
        </w:tc>
        <w:tc>
          <w:tcPr>
            <w:tcW w:w="0" w:type="auto"/>
            <w:vAlign w:val="center"/>
            <w:hideMark/>
          </w:tcPr>
          <w:p w14:paraId="501CE3AE" w14:textId="77777777" w:rsidR="00E36531" w:rsidRPr="00E36531" w:rsidRDefault="00E36531" w:rsidP="00E36531">
            <w:pPr>
              <w:rPr>
                <w:rFonts w:ascii="Arial" w:hAnsi="Arial" w:cs="Arial"/>
              </w:rPr>
            </w:pPr>
            <w:r w:rsidRPr="00E36531">
              <w:rPr>
                <w:rFonts w:ascii="Arial" w:hAnsi="Arial" w:cs="Arial"/>
              </w:rPr>
              <w:t>Enterprise</w:t>
            </w:r>
          </w:p>
        </w:tc>
        <w:tc>
          <w:tcPr>
            <w:tcW w:w="0" w:type="auto"/>
            <w:vAlign w:val="center"/>
            <w:hideMark/>
          </w:tcPr>
          <w:p w14:paraId="7F575C7B" w14:textId="77777777" w:rsidR="00E36531" w:rsidRPr="00E36531" w:rsidRDefault="00E36531" w:rsidP="00E36531">
            <w:pPr>
              <w:rPr>
                <w:rFonts w:ascii="Arial" w:hAnsi="Arial" w:cs="Arial"/>
              </w:rPr>
            </w:pPr>
            <w:r w:rsidRPr="00E36531">
              <w:rPr>
                <w:rFonts w:ascii="Arial" w:hAnsi="Arial" w:cs="Arial"/>
              </w:rPr>
              <w:t>Minimal issues</w:t>
            </w:r>
          </w:p>
        </w:tc>
        <w:tc>
          <w:tcPr>
            <w:tcW w:w="0" w:type="auto"/>
            <w:vAlign w:val="center"/>
            <w:hideMark/>
          </w:tcPr>
          <w:p w14:paraId="5583C575" w14:textId="77777777" w:rsidR="00E36531" w:rsidRPr="00E36531" w:rsidRDefault="00E36531" w:rsidP="00E36531">
            <w:pPr>
              <w:rPr>
                <w:rFonts w:ascii="Arial" w:hAnsi="Arial" w:cs="Arial"/>
              </w:rPr>
            </w:pPr>
            <w:r w:rsidRPr="00E36531">
              <w:rPr>
                <w:rFonts w:ascii="Arial" w:hAnsi="Arial" w:cs="Arial"/>
              </w:rPr>
              <w:t>High</w:t>
            </w:r>
          </w:p>
        </w:tc>
      </w:tr>
      <w:tr w:rsidR="00E36531" w:rsidRPr="00E36531" w14:paraId="7A5EBF2C" w14:textId="77777777">
        <w:trPr>
          <w:tblCellSpacing w:w="15" w:type="dxa"/>
        </w:trPr>
        <w:tc>
          <w:tcPr>
            <w:tcW w:w="0" w:type="auto"/>
            <w:vAlign w:val="center"/>
            <w:hideMark/>
          </w:tcPr>
          <w:p w14:paraId="5EAA933E" w14:textId="77777777" w:rsidR="00E36531" w:rsidRPr="00E36531" w:rsidRDefault="00E36531" w:rsidP="00E36531">
            <w:pPr>
              <w:rPr>
                <w:rFonts w:ascii="Arial" w:hAnsi="Arial" w:cs="Arial"/>
              </w:rPr>
            </w:pPr>
            <w:r w:rsidRPr="00E36531">
              <w:rPr>
                <w:rFonts w:ascii="Arial" w:hAnsi="Arial" w:cs="Arial"/>
              </w:rPr>
              <w:t>Technium 2</w:t>
            </w:r>
          </w:p>
        </w:tc>
        <w:tc>
          <w:tcPr>
            <w:tcW w:w="0" w:type="auto"/>
            <w:vAlign w:val="center"/>
            <w:hideMark/>
          </w:tcPr>
          <w:p w14:paraId="50DFA9EF" w14:textId="77777777" w:rsidR="00E36531" w:rsidRPr="00E36531" w:rsidRDefault="00E36531" w:rsidP="00E36531">
            <w:pPr>
              <w:rPr>
                <w:rFonts w:ascii="Arial" w:hAnsi="Arial" w:cs="Arial"/>
              </w:rPr>
            </w:pPr>
            <w:r w:rsidRPr="00E36531">
              <w:rPr>
                <w:rFonts w:ascii="Arial" w:hAnsi="Arial" w:cs="Arial"/>
              </w:rPr>
              <w:t>Good</w:t>
            </w:r>
          </w:p>
        </w:tc>
        <w:tc>
          <w:tcPr>
            <w:tcW w:w="0" w:type="auto"/>
            <w:vAlign w:val="center"/>
            <w:hideMark/>
          </w:tcPr>
          <w:p w14:paraId="2F870BB2" w14:textId="77777777" w:rsidR="00E36531" w:rsidRPr="00E36531" w:rsidRDefault="00E36531" w:rsidP="00E36531">
            <w:pPr>
              <w:rPr>
                <w:rFonts w:ascii="Arial" w:hAnsi="Arial" w:cs="Arial"/>
              </w:rPr>
            </w:pPr>
            <w:r w:rsidRPr="00E36531">
              <w:rPr>
                <w:rFonts w:ascii="Arial" w:hAnsi="Arial" w:cs="Arial"/>
              </w:rPr>
              <w:t>Enterprise</w:t>
            </w:r>
          </w:p>
        </w:tc>
        <w:tc>
          <w:tcPr>
            <w:tcW w:w="0" w:type="auto"/>
            <w:vAlign w:val="center"/>
            <w:hideMark/>
          </w:tcPr>
          <w:p w14:paraId="6AD86548" w14:textId="77777777" w:rsidR="00E36531" w:rsidRPr="00E36531" w:rsidRDefault="00E36531" w:rsidP="00E36531">
            <w:pPr>
              <w:rPr>
                <w:rFonts w:ascii="Arial" w:hAnsi="Arial" w:cs="Arial"/>
              </w:rPr>
            </w:pPr>
            <w:r w:rsidRPr="00E36531">
              <w:rPr>
                <w:rFonts w:ascii="Arial" w:hAnsi="Arial" w:cs="Arial"/>
              </w:rPr>
              <w:t>Minimal issues</w:t>
            </w:r>
          </w:p>
        </w:tc>
        <w:tc>
          <w:tcPr>
            <w:tcW w:w="0" w:type="auto"/>
            <w:vAlign w:val="center"/>
            <w:hideMark/>
          </w:tcPr>
          <w:p w14:paraId="0AB26F26" w14:textId="77777777" w:rsidR="00E36531" w:rsidRPr="00E36531" w:rsidRDefault="00E36531" w:rsidP="00E36531">
            <w:pPr>
              <w:rPr>
                <w:rFonts w:ascii="Arial" w:hAnsi="Arial" w:cs="Arial"/>
              </w:rPr>
            </w:pPr>
            <w:r w:rsidRPr="00E36531">
              <w:rPr>
                <w:rFonts w:ascii="Arial" w:hAnsi="Arial" w:cs="Arial"/>
              </w:rPr>
              <w:t>High</w:t>
            </w:r>
          </w:p>
        </w:tc>
      </w:tr>
      <w:tr w:rsidR="00E36531" w:rsidRPr="00E36531" w14:paraId="7AEC4439" w14:textId="77777777">
        <w:trPr>
          <w:tblCellSpacing w:w="15" w:type="dxa"/>
        </w:trPr>
        <w:tc>
          <w:tcPr>
            <w:tcW w:w="0" w:type="auto"/>
            <w:vAlign w:val="center"/>
            <w:hideMark/>
          </w:tcPr>
          <w:p w14:paraId="1FD8E7EF" w14:textId="77777777" w:rsidR="00E36531" w:rsidRPr="00E36531" w:rsidRDefault="00E36531" w:rsidP="00E36531">
            <w:pPr>
              <w:rPr>
                <w:rFonts w:ascii="Arial" w:hAnsi="Arial" w:cs="Arial"/>
              </w:rPr>
            </w:pPr>
            <w:r w:rsidRPr="00E36531">
              <w:rPr>
                <w:rFonts w:ascii="Arial" w:hAnsi="Arial" w:cs="Arial"/>
              </w:rPr>
              <w:t>IQ Building</w:t>
            </w:r>
          </w:p>
        </w:tc>
        <w:tc>
          <w:tcPr>
            <w:tcW w:w="0" w:type="auto"/>
            <w:vAlign w:val="center"/>
            <w:hideMark/>
          </w:tcPr>
          <w:p w14:paraId="5F46737F" w14:textId="77777777" w:rsidR="00E36531" w:rsidRPr="00E36531" w:rsidRDefault="00E36531" w:rsidP="00E36531">
            <w:pPr>
              <w:rPr>
                <w:rFonts w:ascii="Arial" w:hAnsi="Arial" w:cs="Arial"/>
              </w:rPr>
            </w:pPr>
            <w:r w:rsidRPr="00E36531">
              <w:rPr>
                <w:rFonts w:ascii="Arial" w:hAnsi="Arial" w:cs="Arial"/>
              </w:rPr>
              <w:t>Excellent</w:t>
            </w:r>
          </w:p>
        </w:tc>
        <w:tc>
          <w:tcPr>
            <w:tcW w:w="0" w:type="auto"/>
            <w:vAlign w:val="center"/>
            <w:hideMark/>
          </w:tcPr>
          <w:p w14:paraId="2CC9A767" w14:textId="77777777" w:rsidR="00E36531" w:rsidRPr="00E36531" w:rsidRDefault="00E36531" w:rsidP="00E36531">
            <w:pPr>
              <w:rPr>
                <w:rFonts w:ascii="Arial" w:hAnsi="Arial" w:cs="Arial"/>
              </w:rPr>
            </w:pPr>
            <w:r w:rsidRPr="00E36531">
              <w:rPr>
                <w:rFonts w:ascii="Arial" w:hAnsi="Arial" w:cs="Arial"/>
              </w:rPr>
              <w:t>Teaching/learning</w:t>
            </w:r>
          </w:p>
        </w:tc>
        <w:tc>
          <w:tcPr>
            <w:tcW w:w="0" w:type="auto"/>
            <w:vAlign w:val="center"/>
            <w:hideMark/>
          </w:tcPr>
          <w:p w14:paraId="4F27F335" w14:textId="77777777" w:rsidR="00E36531" w:rsidRPr="00E36531" w:rsidRDefault="00E36531" w:rsidP="00E36531">
            <w:pPr>
              <w:rPr>
                <w:rFonts w:ascii="Arial" w:hAnsi="Arial" w:cs="Arial"/>
              </w:rPr>
            </w:pPr>
            <w:r w:rsidRPr="00E36531">
              <w:rPr>
                <w:rFonts w:ascii="Arial" w:hAnsi="Arial" w:cs="Arial"/>
              </w:rPr>
              <w:t>None significant</w:t>
            </w:r>
          </w:p>
        </w:tc>
        <w:tc>
          <w:tcPr>
            <w:tcW w:w="0" w:type="auto"/>
            <w:vAlign w:val="center"/>
            <w:hideMark/>
          </w:tcPr>
          <w:p w14:paraId="4AAA1B75" w14:textId="77777777" w:rsidR="00E36531" w:rsidRPr="00E36531" w:rsidRDefault="00E36531" w:rsidP="00E36531">
            <w:pPr>
              <w:rPr>
                <w:rFonts w:ascii="Arial" w:hAnsi="Arial" w:cs="Arial"/>
              </w:rPr>
            </w:pPr>
            <w:r w:rsidRPr="00E36531">
              <w:rPr>
                <w:rFonts w:ascii="Arial" w:hAnsi="Arial" w:cs="Arial"/>
              </w:rPr>
              <w:t>Very High</w:t>
            </w:r>
          </w:p>
        </w:tc>
      </w:tr>
      <w:tr w:rsidR="00E36531" w:rsidRPr="00E36531" w14:paraId="0D622F81" w14:textId="77777777">
        <w:trPr>
          <w:tblCellSpacing w:w="15" w:type="dxa"/>
        </w:trPr>
        <w:tc>
          <w:tcPr>
            <w:tcW w:w="0" w:type="auto"/>
            <w:vAlign w:val="center"/>
            <w:hideMark/>
          </w:tcPr>
          <w:p w14:paraId="55022E0D" w14:textId="77777777" w:rsidR="00E36531" w:rsidRPr="00E36531" w:rsidRDefault="00E36531" w:rsidP="00E36531">
            <w:pPr>
              <w:rPr>
                <w:rFonts w:ascii="Arial" w:hAnsi="Arial" w:cs="Arial"/>
              </w:rPr>
            </w:pPr>
            <w:r w:rsidRPr="00E36531">
              <w:rPr>
                <w:rFonts w:ascii="Arial" w:hAnsi="Arial" w:cs="Arial"/>
              </w:rPr>
              <w:t>Fforwm</w:t>
            </w:r>
          </w:p>
        </w:tc>
        <w:tc>
          <w:tcPr>
            <w:tcW w:w="0" w:type="auto"/>
            <w:vAlign w:val="center"/>
            <w:hideMark/>
          </w:tcPr>
          <w:p w14:paraId="4FAD7F90" w14:textId="77777777" w:rsidR="00E36531" w:rsidRPr="00E36531" w:rsidRDefault="00E36531" w:rsidP="00E36531">
            <w:pPr>
              <w:rPr>
                <w:rFonts w:ascii="Arial" w:hAnsi="Arial" w:cs="Arial"/>
              </w:rPr>
            </w:pPr>
            <w:r w:rsidRPr="00E36531">
              <w:rPr>
                <w:rFonts w:ascii="Arial" w:hAnsi="Arial" w:cs="Arial"/>
              </w:rPr>
              <w:t>Excellent</w:t>
            </w:r>
          </w:p>
        </w:tc>
        <w:tc>
          <w:tcPr>
            <w:tcW w:w="0" w:type="auto"/>
            <w:vAlign w:val="center"/>
            <w:hideMark/>
          </w:tcPr>
          <w:p w14:paraId="4E03A528" w14:textId="77777777" w:rsidR="00E36531" w:rsidRPr="00E36531" w:rsidRDefault="00E36531" w:rsidP="00E36531">
            <w:pPr>
              <w:rPr>
                <w:rFonts w:ascii="Arial" w:hAnsi="Arial" w:cs="Arial"/>
              </w:rPr>
            </w:pPr>
            <w:r w:rsidRPr="00E36531">
              <w:rPr>
                <w:rFonts w:ascii="Arial" w:hAnsi="Arial" w:cs="Arial"/>
              </w:rPr>
              <w:t>Teaching/public</w:t>
            </w:r>
          </w:p>
        </w:tc>
        <w:tc>
          <w:tcPr>
            <w:tcW w:w="0" w:type="auto"/>
            <w:vAlign w:val="center"/>
            <w:hideMark/>
          </w:tcPr>
          <w:p w14:paraId="7CE3D44E" w14:textId="77777777" w:rsidR="00E36531" w:rsidRPr="00E36531" w:rsidRDefault="00E36531" w:rsidP="00E36531">
            <w:pPr>
              <w:rPr>
                <w:rFonts w:ascii="Arial" w:hAnsi="Arial" w:cs="Arial"/>
              </w:rPr>
            </w:pPr>
            <w:r w:rsidRPr="00E36531">
              <w:rPr>
                <w:rFonts w:ascii="Arial" w:hAnsi="Arial" w:cs="Arial"/>
              </w:rPr>
              <w:t>None significant</w:t>
            </w:r>
          </w:p>
        </w:tc>
        <w:tc>
          <w:tcPr>
            <w:tcW w:w="0" w:type="auto"/>
            <w:vAlign w:val="center"/>
            <w:hideMark/>
          </w:tcPr>
          <w:p w14:paraId="4B54C04D" w14:textId="31292933" w:rsidR="000A687E" w:rsidRPr="00E36531" w:rsidRDefault="00E36531" w:rsidP="00E36531">
            <w:pPr>
              <w:rPr>
                <w:rFonts w:ascii="Arial" w:hAnsi="Arial" w:cs="Arial"/>
              </w:rPr>
            </w:pPr>
            <w:r w:rsidRPr="00E36531">
              <w:rPr>
                <w:rFonts w:ascii="Arial" w:hAnsi="Arial" w:cs="Arial"/>
              </w:rPr>
              <w:t>Very High</w:t>
            </w:r>
          </w:p>
        </w:tc>
      </w:tr>
    </w:tbl>
    <w:p w14:paraId="6D5A20FF" w14:textId="77777777" w:rsidR="00E36531" w:rsidRPr="001833CF" w:rsidRDefault="00E36531" w:rsidP="00E36531">
      <w:pPr>
        <w:rPr>
          <w:rFonts w:ascii="Arial" w:hAnsi="Arial" w:cs="Arial"/>
        </w:rPr>
      </w:pPr>
    </w:p>
    <w:p w14:paraId="7251458C" w14:textId="32E5F7FB" w:rsidR="00196D24" w:rsidRPr="000A687E" w:rsidRDefault="000A687E" w:rsidP="004341C0">
      <w:pPr>
        <w:pStyle w:val="Heading1"/>
      </w:pPr>
      <w:bookmarkStart w:id="22" w:name="_Toc223447518"/>
      <w:r w:rsidRPr="000A687E">
        <w:t>7. DDA Compliance Assessment: Dylan Thomas Centre</w:t>
      </w:r>
      <w:bookmarkEnd w:id="22"/>
    </w:p>
    <w:p w14:paraId="30B215DB" w14:textId="77777777" w:rsidR="000A687E" w:rsidRPr="000A687E" w:rsidRDefault="000A687E" w:rsidP="000A687E">
      <w:pPr>
        <w:rPr>
          <w:rFonts w:ascii="Arial" w:hAnsi="Arial" w:cs="Arial"/>
        </w:rPr>
      </w:pPr>
      <w:r w:rsidRPr="000A687E">
        <w:rPr>
          <w:rFonts w:ascii="Arial" w:hAnsi="Arial" w:cs="Arial"/>
        </w:rPr>
        <w:t>The Dylan Thomas Centre is one of the most distinctive heritage buildings within the SA1 estate, but it also presents the most significant accessibility challenges. Its age, layout and listed status mean that many of its features fall short of modern expectations for inclusive design. A detailed assessment of its compliance with the Disability Discrimination Act (DDA) and current accessibility standards highlights several areas where improvement is essential if the building is to remain usable for students, staff and the wider community.</w:t>
      </w:r>
    </w:p>
    <w:p w14:paraId="3AFD3924" w14:textId="77777777" w:rsidR="000A687E" w:rsidRPr="000A687E" w:rsidRDefault="000A687E" w:rsidP="000A687E">
      <w:pPr>
        <w:rPr>
          <w:rFonts w:ascii="Arial" w:hAnsi="Arial" w:cs="Arial"/>
        </w:rPr>
      </w:pPr>
      <w:r w:rsidRPr="000A687E">
        <w:rPr>
          <w:rFonts w:ascii="Arial" w:hAnsi="Arial" w:cs="Arial"/>
        </w:rPr>
        <w:t>The building’s main entrance is one of the most immediate issues. The existing steps, narrow thresholds and lack of a compliant ramp make it difficult for wheelchair users and people with limited mobility to enter independently. Although there are alternative entrances, these are not always clearly signposted or convenient, and they do not provide the same sense of arrival as the main entrance. This creates an unequal experience for users and does not meet the expectations of modern accessibility guidance.</w:t>
      </w:r>
    </w:p>
    <w:p w14:paraId="1F85F7F7" w14:textId="77777777" w:rsidR="000A687E" w:rsidRPr="000A687E" w:rsidRDefault="000A687E" w:rsidP="000A687E">
      <w:pPr>
        <w:rPr>
          <w:rFonts w:ascii="Arial" w:hAnsi="Arial" w:cs="Arial"/>
        </w:rPr>
      </w:pPr>
      <w:r w:rsidRPr="000A687E">
        <w:rPr>
          <w:rFonts w:ascii="Arial" w:hAnsi="Arial" w:cs="Arial"/>
        </w:rPr>
        <w:t xml:space="preserve">Circulation within the building is also problematic. Many of the internal corridors are narrow, and changes in level occur frequently throughout the ground floor. These features are typical of heritage buildings but create barriers for people who use mobility aids. Handrails, tactile indicators and visual contrast are inconsistent, making the building harder to navigate for people with visual impairments. </w:t>
      </w:r>
      <w:r w:rsidRPr="000A687E">
        <w:rPr>
          <w:rFonts w:ascii="Arial" w:hAnsi="Arial" w:cs="Arial"/>
        </w:rPr>
        <w:lastRenderedPageBreak/>
        <w:t>Wayfinding is also limited, with signage that does not meet current standards for clarity, contrast or positioning.</w:t>
      </w:r>
    </w:p>
    <w:p w14:paraId="7186890E" w14:textId="77777777" w:rsidR="000A687E" w:rsidRPr="000A687E" w:rsidRDefault="000A687E" w:rsidP="000A687E">
      <w:pPr>
        <w:rPr>
          <w:rFonts w:ascii="Arial" w:hAnsi="Arial" w:cs="Arial"/>
        </w:rPr>
      </w:pPr>
      <w:r w:rsidRPr="000A687E">
        <w:rPr>
          <w:rFonts w:ascii="Arial" w:hAnsi="Arial" w:cs="Arial"/>
        </w:rPr>
        <w:t>Vertical access is one of the most significant shortcomings. The existing lift is small, slow and located in a position that does not serve all key areas of the building. It does not meet modern standards for size, door width or turning space, which restricts its use for larger wheelchairs or mobility scooters. In some parts of the building, there is no lift access at all, meaning that certain rooms and exhibition spaces are effectively inaccessible to some users.</w:t>
      </w:r>
    </w:p>
    <w:p w14:paraId="5144E57B" w14:textId="77777777" w:rsidR="000A687E" w:rsidRPr="000A687E" w:rsidRDefault="000A687E" w:rsidP="000A687E">
      <w:pPr>
        <w:rPr>
          <w:rFonts w:ascii="Arial" w:hAnsi="Arial" w:cs="Arial"/>
        </w:rPr>
      </w:pPr>
      <w:r w:rsidRPr="000A687E">
        <w:rPr>
          <w:rFonts w:ascii="Arial" w:hAnsi="Arial" w:cs="Arial"/>
        </w:rPr>
        <w:t>Sanitary provision is another area where the building falls short. The number of accessible toilets is limited, and the existing facilities do not fully meet current requirements for layout, grab rails, turning space or emergency alarms. Changing facilities are also inadequate, particularly for users who require additional support or equipment. These shortcomings restrict the building’s ability to host inclusive events and limit its suitability for public use.</w:t>
      </w:r>
    </w:p>
    <w:p w14:paraId="5B248237" w14:textId="77777777" w:rsidR="000A687E" w:rsidRPr="000A687E" w:rsidRDefault="000A687E" w:rsidP="000A687E">
      <w:pPr>
        <w:rPr>
          <w:rFonts w:ascii="Arial" w:hAnsi="Arial" w:cs="Arial"/>
        </w:rPr>
      </w:pPr>
      <w:r w:rsidRPr="000A687E">
        <w:rPr>
          <w:rFonts w:ascii="Arial" w:hAnsi="Arial" w:cs="Arial"/>
        </w:rPr>
        <w:t>The building’s listed status adds complexity to any refurbishment. Many of the features that contribute to its character—such as staircases, doorways and internal partitions—are also the features that create accessibility barriers. Any intervention must therefore balance the need for improved access with the requirement to preserve the building’s historic fabric. This often means exploring creative solutions, such as discreetly integrated ramps, sensitively designed lift installations or the reconfiguration of non</w:t>
      </w:r>
      <w:r w:rsidRPr="000A687E">
        <w:rPr>
          <w:rFonts w:ascii="Arial" w:hAnsi="Arial" w:cs="Arial"/>
        </w:rPr>
        <w:noBreakHyphen/>
        <w:t>original spaces to improve circulation.</w:t>
      </w:r>
    </w:p>
    <w:p w14:paraId="22A44C5A" w14:textId="77777777" w:rsidR="000A687E" w:rsidRPr="000A687E" w:rsidRDefault="000A687E" w:rsidP="000A687E">
      <w:pPr>
        <w:rPr>
          <w:rFonts w:ascii="Arial" w:hAnsi="Arial" w:cs="Arial"/>
        </w:rPr>
      </w:pPr>
      <w:r w:rsidRPr="000A687E">
        <w:rPr>
          <w:rFonts w:ascii="Arial" w:hAnsi="Arial" w:cs="Arial"/>
        </w:rPr>
        <w:t>Despite these challenges, the building has strong potential for improvement. Many heritage buildings have successfully incorporated modern accessibility features without compromising their character. The key is to approach the refurbishment with a clear understanding of both the regulatory requirements and the building’s historical significance. Early engagement with conservation officers, access consultants and specialist contractors will be essential to developing solutions that are both compliant and sensitive to the building’s heritage.</w:t>
      </w:r>
    </w:p>
    <w:p w14:paraId="0EEE094D" w14:textId="77777777" w:rsidR="000A687E" w:rsidRPr="001833CF" w:rsidRDefault="000A687E" w:rsidP="00E36531">
      <w:pPr>
        <w:rPr>
          <w:rFonts w:ascii="Arial" w:hAnsi="Arial" w:cs="Arial"/>
        </w:rPr>
      </w:pPr>
    </w:p>
    <w:p w14:paraId="7A5DA2C2" w14:textId="77777777" w:rsidR="00AD380E" w:rsidRPr="00AD380E" w:rsidRDefault="00AD380E" w:rsidP="004341C0">
      <w:pPr>
        <w:pStyle w:val="Heading1"/>
      </w:pPr>
      <w:bookmarkStart w:id="23" w:name="_Toc223447519"/>
      <w:r w:rsidRPr="00AD380E">
        <w:t>8. Key Accessibility Issues at the Dylan Thomas Centre</w:t>
      </w:r>
      <w:bookmarkEnd w:id="23"/>
    </w:p>
    <w:p w14:paraId="7539D885" w14:textId="77777777" w:rsidR="00AD380E" w:rsidRDefault="00AD380E" w:rsidP="00AD380E">
      <w:pPr>
        <w:rPr>
          <w:rFonts w:ascii="Arial" w:hAnsi="Arial" w:cs="Arial"/>
        </w:rPr>
      </w:pPr>
      <w:r w:rsidRPr="00AD380E">
        <w:rPr>
          <w:rFonts w:ascii="Arial" w:hAnsi="Arial" w:cs="Arial"/>
        </w:rPr>
        <w:t>The Dylan Thomas Centre presents a series of accessibility barriers that affect how easily people can move through, use and experience the building. These issues stem from its age, original layout and listed status, all of which make it difficult to meet modern standards without targeted intervention. The following sections outline the main areas where the building falls short and where improvements are most urgently needed.</w:t>
      </w:r>
    </w:p>
    <w:p w14:paraId="0197DA9D" w14:textId="77777777" w:rsidR="00196D24" w:rsidRPr="00AD380E" w:rsidRDefault="00196D24" w:rsidP="00AD380E">
      <w:pPr>
        <w:rPr>
          <w:rFonts w:ascii="Arial" w:hAnsi="Arial" w:cs="Arial"/>
        </w:rPr>
      </w:pPr>
    </w:p>
    <w:p w14:paraId="473463D2" w14:textId="77777777" w:rsidR="00AD380E" w:rsidRPr="00AD380E" w:rsidRDefault="00AD380E" w:rsidP="004341C0">
      <w:pPr>
        <w:pStyle w:val="Heading2"/>
      </w:pPr>
      <w:bookmarkStart w:id="24" w:name="_Toc223447520"/>
      <w:r w:rsidRPr="00AD380E">
        <w:lastRenderedPageBreak/>
        <w:t>8.1 Entrances and External Access</w:t>
      </w:r>
      <w:bookmarkEnd w:id="24"/>
    </w:p>
    <w:p w14:paraId="3FE652B8" w14:textId="77777777" w:rsidR="00AD380E" w:rsidRPr="00AD380E" w:rsidRDefault="00AD380E" w:rsidP="00AD380E">
      <w:pPr>
        <w:rPr>
          <w:rFonts w:ascii="Arial" w:hAnsi="Arial" w:cs="Arial"/>
        </w:rPr>
      </w:pPr>
      <w:r w:rsidRPr="00AD380E">
        <w:rPr>
          <w:rFonts w:ascii="Arial" w:hAnsi="Arial" w:cs="Arial"/>
        </w:rPr>
        <w:t>The main entrance is one of the most significant obstacles. The stepped approach, narrow thresholds and lack of a compliant ramp mean that wheelchair users and people with limited mobility cannot enter independently. Although there are alternative entrances, they are not well signposted and do not offer the same sense of arrival. This creates an unequal experience and does not meet current expectations for inclusive access.</w:t>
      </w:r>
    </w:p>
    <w:p w14:paraId="0200381C" w14:textId="77777777" w:rsidR="00AD380E" w:rsidRDefault="00AD380E" w:rsidP="00AD380E">
      <w:pPr>
        <w:rPr>
          <w:rFonts w:ascii="Arial" w:hAnsi="Arial" w:cs="Arial"/>
        </w:rPr>
      </w:pPr>
      <w:r w:rsidRPr="00AD380E">
        <w:rPr>
          <w:rFonts w:ascii="Arial" w:hAnsi="Arial" w:cs="Arial"/>
        </w:rPr>
        <w:t>External lighting and surface finishes also contribute to the problem. Uneven paving, limited tactile indicators and inconsistent lighting levels make the approach difficult for people with visual impairments, particularly during evening events.</w:t>
      </w:r>
    </w:p>
    <w:p w14:paraId="59E97112" w14:textId="77777777" w:rsidR="00196D24" w:rsidRPr="00AD380E" w:rsidRDefault="00196D24" w:rsidP="00AD380E">
      <w:pPr>
        <w:rPr>
          <w:rFonts w:ascii="Arial" w:hAnsi="Arial" w:cs="Arial"/>
        </w:rPr>
      </w:pPr>
    </w:p>
    <w:p w14:paraId="5D7546CA" w14:textId="77777777" w:rsidR="00AD380E" w:rsidRPr="00AD380E" w:rsidRDefault="00AD380E" w:rsidP="004341C0">
      <w:pPr>
        <w:pStyle w:val="Heading2"/>
      </w:pPr>
      <w:bookmarkStart w:id="25" w:name="_Toc223447521"/>
      <w:r w:rsidRPr="00AD380E">
        <w:t>8.2 Internal Circulation and Wayfinding</w:t>
      </w:r>
      <w:bookmarkEnd w:id="25"/>
    </w:p>
    <w:p w14:paraId="77298B33" w14:textId="77777777" w:rsidR="00AD380E" w:rsidRPr="00AD380E" w:rsidRDefault="00AD380E" w:rsidP="00AD380E">
      <w:pPr>
        <w:rPr>
          <w:rFonts w:ascii="Arial" w:hAnsi="Arial" w:cs="Arial"/>
        </w:rPr>
      </w:pPr>
      <w:r w:rsidRPr="00AD380E">
        <w:rPr>
          <w:rFonts w:ascii="Arial" w:hAnsi="Arial" w:cs="Arial"/>
        </w:rPr>
        <w:t>Once inside, circulation becomes challenging due to narrow corridors, frequent changes in level and tight turning spaces. These features are typical of heritage buildings but create barriers for users who rely on mobility aids. Handrails, visual contrast and tactile cues are inconsistent, making the building harder to navigate safely.</w:t>
      </w:r>
    </w:p>
    <w:p w14:paraId="0FCE0FE0" w14:textId="77777777" w:rsidR="00AD380E" w:rsidRDefault="00AD380E" w:rsidP="00AD380E">
      <w:pPr>
        <w:rPr>
          <w:rFonts w:ascii="Arial" w:hAnsi="Arial" w:cs="Arial"/>
        </w:rPr>
      </w:pPr>
      <w:r w:rsidRPr="00AD380E">
        <w:rPr>
          <w:rFonts w:ascii="Arial" w:hAnsi="Arial" w:cs="Arial"/>
        </w:rPr>
        <w:t>Wayfinding is another weakness. Signage is limited, lacks visual contrast and is not positioned at accessible heights. This affects not only visitors with visual impairments but also those who are unfamiliar with the building, particularly during public events.</w:t>
      </w:r>
    </w:p>
    <w:p w14:paraId="02CC1B8A" w14:textId="77777777" w:rsidR="00196D24" w:rsidRPr="00AD380E" w:rsidRDefault="00196D24" w:rsidP="00AD380E">
      <w:pPr>
        <w:rPr>
          <w:rFonts w:ascii="Arial" w:hAnsi="Arial" w:cs="Arial"/>
        </w:rPr>
      </w:pPr>
    </w:p>
    <w:p w14:paraId="6F43D106" w14:textId="77777777" w:rsidR="00AD380E" w:rsidRPr="00AD380E" w:rsidRDefault="00AD380E" w:rsidP="004341C0">
      <w:pPr>
        <w:pStyle w:val="Heading2"/>
      </w:pPr>
      <w:bookmarkStart w:id="26" w:name="_Toc223447522"/>
      <w:r w:rsidRPr="00AD380E">
        <w:t>8.3 Vertical Access and Lift Provision</w:t>
      </w:r>
      <w:bookmarkEnd w:id="26"/>
    </w:p>
    <w:p w14:paraId="17B6CC6B" w14:textId="77777777" w:rsidR="00AD380E" w:rsidRPr="00AD380E" w:rsidRDefault="00AD380E" w:rsidP="00AD380E">
      <w:pPr>
        <w:rPr>
          <w:rFonts w:ascii="Arial" w:hAnsi="Arial" w:cs="Arial"/>
        </w:rPr>
      </w:pPr>
      <w:r w:rsidRPr="00AD380E">
        <w:rPr>
          <w:rFonts w:ascii="Arial" w:hAnsi="Arial" w:cs="Arial"/>
        </w:rPr>
        <w:t>Vertical access is one of the most serious shortcomings. The existing lift is small, slow and does not meet modern standards for door width, internal space or turning radius. It also does not serve all key areas of the building, meaning that some rooms and exhibition spaces are effectively inaccessible.</w:t>
      </w:r>
    </w:p>
    <w:p w14:paraId="5ACCD473" w14:textId="77777777" w:rsidR="00AD380E" w:rsidRPr="001833CF" w:rsidRDefault="00AD380E" w:rsidP="00AD380E">
      <w:pPr>
        <w:rPr>
          <w:rFonts w:ascii="Arial" w:hAnsi="Arial" w:cs="Arial"/>
        </w:rPr>
      </w:pPr>
      <w:r w:rsidRPr="00AD380E">
        <w:rPr>
          <w:rFonts w:ascii="Arial" w:hAnsi="Arial" w:cs="Arial"/>
        </w:rPr>
        <w:t>In several parts of the building, there is no lift access at all. This restricts the use of upper floors for teaching, events or exhibitions and limits the building’s ability to host inclusive activities.</w:t>
      </w:r>
    </w:p>
    <w:p w14:paraId="51807D5D" w14:textId="77777777" w:rsidR="000A687E" w:rsidRPr="00AD380E" w:rsidRDefault="000A687E" w:rsidP="00AD380E">
      <w:pPr>
        <w:rPr>
          <w:rFonts w:ascii="Arial" w:hAnsi="Arial" w:cs="Arial"/>
        </w:rPr>
      </w:pPr>
    </w:p>
    <w:p w14:paraId="7EFF26BA" w14:textId="77777777" w:rsidR="00AD380E" w:rsidRPr="00AD380E" w:rsidRDefault="00AD380E" w:rsidP="004341C0">
      <w:pPr>
        <w:pStyle w:val="Heading2"/>
      </w:pPr>
      <w:bookmarkStart w:id="27" w:name="_Toc223447523"/>
      <w:r w:rsidRPr="00AD380E">
        <w:t>8.4 Sanitary Facilities</w:t>
      </w:r>
      <w:bookmarkEnd w:id="27"/>
    </w:p>
    <w:p w14:paraId="1D7D9D71" w14:textId="77777777" w:rsidR="00AD380E" w:rsidRPr="00AD380E" w:rsidRDefault="00AD380E" w:rsidP="00AD380E">
      <w:pPr>
        <w:rPr>
          <w:rFonts w:ascii="Arial" w:hAnsi="Arial" w:cs="Arial"/>
        </w:rPr>
      </w:pPr>
      <w:r w:rsidRPr="00AD380E">
        <w:rPr>
          <w:rFonts w:ascii="Arial" w:hAnsi="Arial" w:cs="Arial"/>
        </w:rPr>
        <w:t>Accessible sanitary provision is limited and does not meet current requirements. Existing facilities lack adequate turning space, correctly positioned grab rails and compliant emergency alarm systems. There are no enhanced changing facilities for users who require additional support or equipment.</w:t>
      </w:r>
    </w:p>
    <w:p w14:paraId="770DB2DE" w14:textId="77777777" w:rsidR="00AD380E" w:rsidRDefault="00AD380E" w:rsidP="00AD380E">
      <w:pPr>
        <w:rPr>
          <w:rFonts w:ascii="Arial" w:hAnsi="Arial" w:cs="Arial"/>
        </w:rPr>
      </w:pPr>
      <w:r w:rsidRPr="00AD380E">
        <w:rPr>
          <w:rFonts w:ascii="Arial" w:hAnsi="Arial" w:cs="Arial"/>
        </w:rPr>
        <w:lastRenderedPageBreak/>
        <w:t>These shortcomings restrict the building’s ability to host inclusive public events and limit its suitability for educational use.</w:t>
      </w:r>
    </w:p>
    <w:p w14:paraId="6EE3C47C" w14:textId="77777777" w:rsidR="00196D24" w:rsidRPr="00AD380E" w:rsidRDefault="00196D24" w:rsidP="00AD380E">
      <w:pPr>
        <w:rPr>
          <w:rFonts w:ascii="Arial" w:hAnsi="Arial" w:cs="Arial"/>
        </w:rPr>
      </w:pPr>
    </w:p>
    <w:p w14:paraId="6393DF0A" w14:textId="77777777" w:rsidR="00AD380E" w:rsidRPr="00AD380E" w:rsidRDefault="00AD380E" w:rsidP="004341C0">
      <w:pPr>
        <w:pStyle w:val="Heading2"/>
      </w:pPr>
      <w:bookmarkStart w:id="28" w:name="_Toc223447524"/>
      <w:r w:rsidRPr="00AD380E">
        <w:t>8.5 Lighting, Acoustics and Sensory Accessibility</w:t>
      </w:r>
      <w:bookmarkEnd w:id="28"/>
    </w:p>
    <w:p w14:paraId="3AE06E28" w14:textId="77777777" w:rsidR="00AD380E" w:rsidRPr="00AD380E" w:rsidRDefault="00AD380E" w:rsidP="00AD380E">
      <w:pPr>
        <w:rPr>
          <w:rFonts w:ascii="Arial" w:hAnsi="Arial" w:cs="Arial"/>
        </w:rPr>
      </w:pPr>
      <w:r w:rsidRPr="00AD380E">
        <w:rPr>
          <w:rFonts w:ascii="Arial" w:hAnsi="Arial" w:cs="Arial"/>
        </w:rPr>
        <w:t>Lighting levels vary significantly throughout the building. Some areas are dimly lit, while others have strong glare, both of which can be challenging for people with visual impairments. Acoustic conditions are also inconsistent, with hard surfaces creating echo and background noise that can be difficult for people with hearing impairments or sensory sensitivities.</w:t>
      </w:r>
    </w:p>
    <w:p w14:paraId="4EEEC11B" w14:textId="77777777" w:rsidR="00AD380E" w:rsidRDefault="00AD380E" w:rsidP="00AD380E">
      <w:pPr>
        <w:rPr>
          <w:rFonts w:ascii="Arial" w:hAnsi="Arial" w:cs="Arial"/>
        </w:rPr>
      </w:pPr>
      <w:r w:rsidRPr="00AD380E">
        <w:rPr>
          <w:rFonts w:ascii="Arial" w:hAnsi="Arial" w:cs="Arial"/>
        </w:rPr>
        <w:t>There is limited provision for hearing loops or other assistive listening systems, which restricts accessibility during talks, readings and public events.</w:t>
      </w:r>
    </w:p>
    <w:p w14:paraId="19EBB15D" w14:textId="77777777" w:rsidR="00196D24" w:rsidRPr="00AD380E" w:rsidRDefault="00196D24" w:rsidP="00AD380E">
      <w:pPr>
        <w:rPr>
          <w:rFonts w:ascii="Arial" w:hAnsi="Arial" w:cs="Arial"/>
        </w:rPr>
      </w:pPr>
    </w:p>
    <w:p w14:paraId="38731B13" w14:textId="77777777" w:rsidR="00AD380E" w:rsidRPr="00AD380E" w:rsidRDefault="00AD380E" w:rsidP="004341C0">
      <w:pPr>
        <w:pStyle w:val="Heading2"/>
      </w:pPr>
      <w:bookmarkStart w:id="29" w:name="_Toc223447525"/>
      <w:r w:rsidRPr="00AD380E">
        <w:t>8.6 Emergency Egress</w:t>
      </w:r>
      <w:bookmarkEnd w:id="29"/>
    </w:p>
    <w:p w14:paraId="32E281D1" w14:textId="77777777" w:rsidR="00AD380E" w:rsidRDefault="00AD380E" w:rsidP="00AD380E">
      <w:pPr>
        <w:rPr>
          <w:rFonts w:ascii="Arial" w:hAnsi="Arial" w:cs="Arial"/>
        </w:rPr>
      </w:pPr>
      <w:r w:rsidRPr="00AD380E">
        <w:rPr>
          <w:rFonts w:ascii="Arial" w:hAnsi="Arial" w:cs="Arial"/>
        </w:rPr>
        <w:t>Emergency evacuation routes are not fully accessible. Some exits rely on stairs, and there is no clear provision for refuge areas or evacuation chairs. This poses a significant safety risk for users with mobility impairments and does not meet modern standards for inclusive emergency planning.</w:t>
      </w:r>
    </w:p>
    <w:p w14:paraId="527A6E78" w14:textId="77777777" w:rsidR="00196D24" w:rsidRPr="00AD380E" w:rsidRDefault="00196D24" w:rsidP="00AD380E">
      <w:pPr>
        <w:rPr>
          <w:rFonts w:ascii="Arial" w:hAnsi="Arial" w:cs="Arial"/>
        </w:rPr>
      </w:pPr>
    </w:p>
    <w:p w14:paraId="369B0791" w14:textId="77777777" w:rsidR="00AD380E" w:rsidRPr="00AD380E" w:rsidRDefault="00AD380E" w:rsidP="004341C0">
      <w:pPr>
        <w:pStyle w:val="Heading2"/>
      </w:pPr>
      <w:bookmarkStart w:id="30" w:name="_Toc223447526"/>
      <w:r w:rsidRPr="00AD380E">
        <w:t>8.7 Heritage Constraints</w:t>
      </w:r>
      <w:bookmarkEnd w:id="30"/>
    </w:p>
    <w:p w14:paraId="747E1AF1" w14:textId="77777777" w:rsidR="00AD380E" w:rsidRPr="00AD380E" w:rsidRDefault="00AD380E" w:rsidP="00AD380E">
      <w:pPr>
        <w:rPr>
          <w:rFonts w:ascii="Arial" w:hAnsi="Arial" w:cs="Arial"/>
        </w:rPr>
      </w:pPr>
      <w:r w:rsidRPr="00AD380E">
        <w:rPr>
          <w:rFonts w:ascii="Arial" w:hAnsi="Arial" w:cs="Arial"/>
        </w:rPr>
        <w:t>Many of the building’s accessibility issues are linked to its listed status. Features such as staircases, doorways and internal partitions contribute to its character but also create barriers. Any intervention must therefore balance accessibility improvements with the need to preserve the building’s historic fabric.</w:t>
      </w:r>
    </w:p>
    <w:p w14:paraId="24DC8484" w14:textId="77777777" w:rsidR="00AD380E" w:rsidRPr="00AD380E" w:rsidRDefault="00AD380E" w:rsidP="00AD380E">
      <w:pPr>
        <w:rPr>
          <w:rFonts w:ascii="Arial" w:hAnsi="Arial" w:cs="Arial"/>
        </w:rPr>
      </w:pPr>
      <w:r w:rsidRPr="00AD380E">
        <w:rPr>
          <w:rFonts w:ascii="Arial" w:hAnsi="Arial" w:cs="Arial"/>
        </w:rPr>
        <w:t>This often requires creative solutions, such as:</w:t>
      </w:r>
    </w:p>
    <w:p w14:paraId="3AD48442" w14:textId="77777777" w:rsidR="00AD380E" w:rsidRPr="00AD380E" w:rsidRDefault="00AD380E" w:rsidP="00AD380E">
      <w:pPr>
        <w:numPr>
          <w:ilvl w:val="0"/>
          <w:numId w:val="67"/>
        </w:numPr>
        <w:rPr>
          <w:rFonts w:ascii="Arial" w:hAnsi="Arial" w:cs="Arial"/>
        </w:rPr>
      </w:pPr>
      <w:r w:rsidRPr="00AD380E">
        <w:rPr>
          <w:rFonts w:ascii="Arial" w:hAnsi="Arial" w:cs="Arial"/>
        </w:rPr>
        <w:t>Discreetly integrated ramps</w:t>
      </w:r>
    </w:p>
    <w:p w14:paraId="05E2BCAF" w14:textId="77777777" w:rsidR="00AD380E" w:rsidRPr="00AD380E" w:rsidRDefault="00AD380E" w:rsidP="00AD380E">
      <w:pPr>
        <w:numPr>
          <w:ilvl w:val="0"/>
          <w:numId w:val="67"/>
        </w:numPr>
        <w:rPr>
          <w:rFonts w:ascii="Arial" w:hAnsi="Arial" w:cs="Arial"/>
        </w:rPr>
      </w:pPr>
      <w:r w:rsidRPr="00AD380E">
        <w:rPr>
          <w:rFonts w:ascii="Arial" w:hAnsi="Arial" w:cs="Arial"/>
        </w:rPr>
        <w:t>Sensitively designed lift installations</w:t>
      </w:r>
    </w:p>
    <w:p w14:paraId="666D3DD8" w14:textId="77777777" w:rsidR="00AD380E" w:rsidRPr="00AD380E" w:rsidRDefault="00AD380E" w:rsidP="00AD380E">
      <w:pPr>
        <w:numPr>
          <w:ilvl w:val="0"/>
          <w:numId w:val="67"/>
        </w:numPr>
        <w:rPr>
          <w:rFonts w:ascii="Arial" w:hAnsi="Arial" w:cs="Arial"/>
        </w:rPr>
      </w:pPr>
      <w:r w:rsidRPr="00AD380E">
        <w:rPr>
          <w:rFonts w:ascii="Arial" w:hAnsi="Arial" w:cs="Arial"/>
        </w:rPr>
        <w:t>Reconfiguring non</w:t>
      </w:r>
      <w:r w:rsidRPr="00AD380E">
        <w:rPr>
          <w:rFonts w:ascii="Arial" w:hAnsi="Arial" w:cs="Arial"/>
        </w:rPr>
        <w:noBreakHyphen/>
        <w:t>original spaces to improve circulation</w:t>
      </w:r>
    </w:p>
    <w:p w14:paraId="07EA711F" w14:textId="77777777" w:rsidR="00AD380E" w:rsidRPr="00AD380E" w:rsidRDefault="00AD380E" w:rsidP="00AD380E">
      <w:pPr>
        <w:numPr>
          <w:ilvl w:val="0"/>
          <w:numId w:val="67"/>
        </w:numPr>
        <w:rPr>
          <w:rFonts w:ascii="Arial" w:hAnsi="Arial" w:cs="Arial"/>
        </w:rPr>
      </w:pPr>
      <w:r w:rsidRPr="00AD380E">
        <w:rPr>
          <w:rFonts w:ascii="Arial" w:hAnsi="Arial" w:cs="Arial"/>
        </w:rPr>
        <w:t>Using reversible interventions where possible</w:t>
      </w:r>
    </w:p>
    <w:p w14:paraId="48026A15" w14:textId="77777777" w:rsidR="00AD380E" w:rsidRPr="001833CF" w:rsidRDefault="00AD380E" w:rsidP="00AD380E">
      <w:pPr>
        <w:rPr>
          <w:rFonts w:ascii="Arial" w:hAnsi="Arial" w:cs="Arial"/>
        </w:rPr>
      </w:pPr>
      <w:r w:rsidRPr="00AD380E">
        <w:rPr>
          <w:rFonts w:ascii="Arial" w:hAnsi="Arial" w:cs="Arial"/>
        </w:rPr>
        <w:t>These approaches allow the building to become more inclusive without compromising its heritage value.</w:t>
      </w:r>
    </w:p>
    <w:p w14:paraId="0E3F4F01" w14:textId="77777777" w:rsidR="000A687E" w:rsidRPr="00AD380E" w:rsidRDefault="000A687E" w:rsidP="00AD380E">
      <w:pPr>
        <w:rPr>
          <w:rFonts w:ascii="Arial" w:hAnsi="Arial" w:cs="Arial"/>
        </w:rPr>
      </w:pPr>
    </w:p>
    <w:p w14:paraId="1FAC8DD5" w14:textId="77777777" w:rsidR="00AD380E" w:rsidRPr="00AD380E" w:rsidRDefault="00AD380E" w:rsidP="004341C0">
      <w:pPr>
        <w:pStyle w:val="Heading2"/>
      </w:pPr>
      <w:bookmarkStart w:id="31" w:name="_Toc223447527"/>
      <w:r w:rsidRPr="00AD380E">
        <w:lastRenderedPageBreak/>
        <w:t>8.8 Summary of Key Issues</w:t>
      </w:r>
      <w:bookmarkEnd w:id="31"/>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902"/>
        <w:gridCol w:w="3587"/>
        <w:gridCol w:w="3537"/>
      </w:tblGrid>
      <w:tr w:rsidR="00AD380E" w:rsidRPr="00AD380E" w14:paraId="54EC198D" w14:textId="77777777">
        <w:trPr>
          <w:tblHeader/>
          <w:tblCellSpacing w:w="15" w:type="dxa"/>
        </w:trPr>
        <w:tc>
          <w:tcPr>
            <w:tcW w:w="0" w:type="auto"/>
            <w:vAlign w:val="center"/>
            <w:hideMark/>
          </w:tcPr>
          <w:p w14:paraId="39C9F4ED" w14:textId="77777777" w:rsidR="00AD380E" w:rsidRPr="00AD380E" w:rsidRDefault="00AD380E" w:rsidP="00AD380E">
            <w:pPr>
              <w:rPr>
                <w:rFonts w:ascii="Arial" w:hAnsi="Arial" w:cs="Arial"/>
              </w:rPr>
            </w:pPr>
            <w:r w:rsidRPr="00AD380E">
              <w:rPr>
                <w:rFonts w:ascii="Arial" w:hAnsi="Arial" w:cs="Arial"/>
              </w:rPr>
              <w:t>Issue Area</w:t>
            </w:r>
          </w:p>
        </w:tc>
        <w:tc>
          <w:tcPr>
            <w:tcW w:w="0" w:type="auto"/>
            <w:vAlign w:val="center"/>
            <w:hideMark/>
          </w:tcPr>
          <w:p w14:paraId="13C60C0E" w14:textId="77777777" w:rsidR="00AD380E" w:rsidRPr="00AD380E" w:rsidRDefault="00AD380E" w:rsidP="00AD380E">
            <w:pPr>
              <w:rPr>
                <w:rFonts w:ascii="Arial" w:hAnsi="Arial" w:cs="Arial"/>
              </w:rPr>
            </w:pPr>
            <w:r w:rsidRPr="00AD380E">
              <w:rPr>
                <w:rFonts w:ascii="Arial" w:hAnsi="Arial" w:cs="Arial"/>
              </w:rPr>
              <w:t>Main Problems</w:t>
            </w:r>
          </w:p>
        </w:tc>
        <w:tc>
          <w:tcPr>
            <w:tcW w:w="0" w:type="auto"/>
            <w:vAlign w:val="center"/>
            <w:hideMark/>
          </w:tcPr>
          <w:p w14:paraId="2FC93467" w14:textId="77777777" w:rsidR="00AD380E" w:rsidRPr="00AD380E" w:rsidRDefault="00AD380E" w:rsidP="00AD380E">
            <w:pPr>
              <w:rPr>
                <w:rFonts w:ascii="Arial" w:hAnsi="Arial" w:cs="Arial"/>
              </w:rPr>
            </w:pPr>
            <w:r w:rsidRPr="00AD380E">
              <w:rPr>
                <w:rFonts w:ascii="Arial" w:hAnsi="Arial" w:cs="Arial"/>
              </w:rPr>
              <w:t>Impact</w:t>
            </w:r>
          </w:p>
        </w:tc>
      </w:tr>
      <w:tr w:rsidR="00AD380E" w:rsidRPr="00AD380E" w14:paraId="255D990A" w14:textId="77777777">
        <w:trPr>
          <w:tblCellSpacing w:w="15" w:type="dxa"/>
        </w:trPr>
        <w:tc>
          <w:tcPr>
            <w:tcW w:w="0" w:type="auto"/>
            <w:vAlign w:val="center"/>
            <w:hideMark/>
          </w:tcPr>
          <w:p w14:paraId="009D10AA" w14:textId="77777777" w:rsidR="00AD380E" w:rsidRPr="00AD380E" w:rsidRDefault="00AD380E" w:rsidP="00AD380E">
            <w:pPr>
              <w:rPr>
                <w:rFonts w:ascii="Arial" w:hAnsi="Arial" w:cs="Arial"/>
              </w:rPr>
            </w:pPr>
            <w:r w:rsidRPr="00AD380E">
              <w:rPr>
                <w:rFonts w:ascii="Arial" w:hAnsi="Arial" w:cs="Arial"/>
              </w:rPr>
              <w:t>Entrances</w:t>
            </w:r>
          </w:p>
        </w:tc>
        <w:tc>
          <w:tcPr>
            <w:tcW w:w="0" w:type="auto"/>
            <w:vAlign w:val="center"/>
            <w:hideMark/>
          </w:tcPr>
          <w:p w14:paraId="24950674" w14:textId="77777777" w:rsidR="00AD380E" w:rsidRPr="00AD380E" w:rsidRDefault="00AD380E" w:rsidP="00AD380E">
            <w:pPr>
              <w:rPr>
                <w:rFonts w:ascii="Arial" w:hAnsi="Arial" w:cs="Arial"/>
              </w:rPr>
            </w:pPr>
            <w:r w:rsidRPr="00AD380E">
              <w:rPr>
                <w:rFonts w:ascii="Arial" w:hAnsi="Arial" w:cs="Arial"/>
              </w:rPr>
              <w:t>Steps, no compliant ramp, poor signage</w:t>
            </w:r>
          </w:p>
        </w:tc>
        <w:tc>
          <w:tcPr>
            <w:tcW w:w="0" w:type="auto"/>
            <w:vAlign w:val="center"/>
            <w:hideMark/>
          </w:tcPr>
          <w:p w14:paraId="04254891" w14:textId="77777777" w:rsidR="00AD380E" w:rsidRPr="00AD380E" w:rsidRDefault="00AD380E" w:rsidP="00AD380E">
            <w:pPr>
              <w:rPr>
                <w:rFonts w:ascii="Arial" w:hAnsi="Arial" w:cs="Arial"/>
              </w:rPr>
            </w:pPr>
            <w:r w:rsidRPr="00AD380E">
              <w:rPr>
                <w:rFonts w:ascii="Arial" w:hAnsi="Arial" w:cs="Arial"/>
              </w:rPr>
              <w:t>Limits independent access</w:t>
            </w:r>
          </w:p>
        </w:tc>
      </w:tr>
      <w:tr w:rsidR="00AD380E" w:rsidRPr="00AD380E" w14:paraId="48B5F93E" w14:textId="77777777">
        <w:trPr>
          <w:tblCellSpacing w:w="15" w:type="dxa"/>
        </w:trPr>
        <w:tc>
          <w:tcPr>
            <w:tcW w:w="0" w:type="auto"/>
            <w:vAlign w:val="center"/>
            <w:hideMark/>
          </w:tcPr>
          <w:p w14:paraId="12C4D2DD" w14:textId="77777777" w:rsidR="00AD380E" w:rsidRPr="00AD380E" w:rsidRDefault="00AD380E" w:rsidP="00AD380E">
            <w:pPr>
              <w:rPr>
                <w:rFonts w:ascii="Arial" w:hAnsi="Arial" w:cs="Arial"/>
              </w:rPr>
            </w:pPr>
            <w:r w:rsidRPr="00AD380E">
              <w:rPr>
                <w:rFonts w:ascii="Arial" w:hAnsi="Arial" w:cs="Arial"/>
              </w:rPr>
              <w:t>Circulation</w:t>
            </w:r>
          </w:p>
        </w:tc>
        <w:tc>
          <w:tcPr>
            <w:tcW w:w="0" w:type="auto"/>
            <w:vAlign w:val="center"/>
            <w:hideMark/>
          </w:tcPr>
          <w:p w14:paraId="23DA294A" w14:textId="77777777" w:rsidR="00AD380E" w:rsidRPr="00AD380E" w:rsidRDefault="00AD380E" w:rsidP="00AD380E">
            <w:pPr>
              <w:rPr>
                <w:rFonts w:ascii="Arial" w:hAnsi="Arial" w:cs="Arial"/>
              </w:rPr>
            </w:pPr>
            <w:r w:rsidRPr="00AD380E">
              <w:rPr>
                <w:rFonts w:ascii="Arial" w:hAnsi="Arial" w:cs="Arial"/>
              </w:rPr>
              <w:t>Narrow corridors, level changes</w:t>
            </w:r>
          </w:p>
        </w:tc>
        <w:tc>
          <w:tcPr>
            <w:tcW w:w="0" w:type="auto"/>
            <w:vAlign w:val="center"/>
            <w:hideMark/>
          </w:tcPr>
          <w:p w14:paraId="036EB22C" w14:textId="77777777" w:rsidR="00AD380E" w:rsidRPr="00AD380E" w:rsidRDefault="00AD380E" w:rsidP="00AD380E">
            <w:pPr>
              <w:rPr>
                <w:rFonts w:ascii="Arial" w:hAnsi="Arial" w:cs="Arial"/>
              </w:rPr>
            </w:pPr>
            <w:r w:rsidRPr="00AD380E">
              <w:rPr>
                <w:rFonts w:ascii="Arial" w:hAnsi="Arial" w:cs="Arial"/>
              </w:rPr>
              <w:t>Difficult for mobility</w:t>
            </w:r>
            <w:r w:rsidRPr="00AD380E">
              <w:rPr>
                <w:rFonts w:ascii="Arial" w:hAnsi="Arial" w:cs="Arial"/>
              </w:rPr>
              <w:noBreakHyphen/>
              <w:t>aid users</w:t>
            </w:r>
          </w:p>
        </w:tc>
      </w:tr>
      <w:tr w:rsidR="00AD380E" w:rsidRPr="00AD380E" w14:paraId="3241DF31" w14:textId="77777777">
        <w:trPr>
          <w:tblCellSpacing w:w="15" w:type="dxa"/>
        </w:trPr>
        <w:tc>
          <w:tcPr>
            <w:tcW w:w="0" w:type="auto"/>
            <w:vAlign w:val="center"/>
            <w:hideMark/>
          </w:tcPr>
          <w:p w14:paraId="0827AB03" w14:textId="77777777" w:rsidR="00AD380E" w:rsidRPr="00AD380E" w:rsidRDefault="00AD380E" w:rsidP="00AD380E">
            <w:pPr>
              <w:rPr>
                <w:rFonts w:ascii="Arial" w:hAnsi="Arial" w:cs="Arial"/>
              </w:rPr>
            </w:pPr>
            <w:r w:rsidRPr="00AD380E">
              <w:rPr>
                <w:rFonts w:ascii="Arial" w:hAnsi="Arial" w:cs="Arial"/>
              </w:rPr>
              <w:t>Vertical Access</w:t>
            </w:r>
          </w:p>
        </w:tc>
        <w:tc>
          <w:tcPr>
            <w:tcW w:w="0" w:type="auto"/>
            <w:vAlign w:val="center"/>
            <w:hideMark/>
          </w:tcPr>
          <w:p w14:paraId="74D84809" w14:textId="77777777" w:rsidR="00AD380E" w:rsidRPr="00AD380E" w:rsidRDefault="00AD380E" w:rsidP="00AD380E">
            <w:pPr>
              <w:rPr>
                <w:rFonts w:ascii="Arial" w:hAnsi="Arial" w:cs="Arial"/>
              </w:rPr>
            </w:pPr>
            <w:r w:rsidRPr="00AD380E">
              <w:rPr>
                <w:rFonts w:ascii="Arial" w:hAnsi="Arial" w:cs="Arial"/>
              </w:rPr>
              <w:t>Small, outdated lift; limited coverage</w:t>
            </w:r>
          </w:p>
        </w:tc>
        <w:tc>
          <w:tcPr>
            <w:tcW w:w="0" w:type="auto"/>
            <w:vAlign w:val="center"/>
            <w:hideMark/>
          </w:tcPr>
          <w:p w14:paraId="28507915" w14:textId="77777777" w:rsidR="00AD380E" w:rsidRPr="00AD380E" w:rsidRDefault="00AD380E" w:rsidP="00AD380E">
            <w:pPr>
              <w:rPr>
                <w:rFonts w:ascii="Arial" w:hAnsi="Arial" w:cs="Arial"/>
              </w:rPr>
            </w:pPr>
            <w:r w:rsidRPr="00AD380E">
              <w:rPr>
                <w:rFonts w:ascii="Arial" w:hAnsi="Arial" w:cs="Arial"/>
              </w:rPr>
              <w:t>Some areas inaccessible</w:t>
            </w:r>
          </w:p>
        </w:tc>
      </w:tr>
      <w:tr w:rsidR="00AD380E" w:rsidRPr="00AD380E" w14:paraId="621A3FDF" w14:textId="77777777">
        <w:trPr>
          <w:tblCellSpacing w:w="15" w:type="dxa"/>
        </w:trPr>
        <w:tc>
          <w:tcPr>
            <w:tcW w:w="0" w:type="auto"/>
            <w:vAlign w:val="center"/>
            <w:hideMark/>
          </w:tcPr>
          <w:p w14:paraId="241C15FF" w14:textId="77777777" w:rsidR="00AD380E" w:rsidRPr="00AD380E" w:rsidRDefault="00AD380E" w:rsidP="00AD380E">
            <w:pPr>
              <w:rPr>
                <w:rFonts w:ascii="Arial" w:hAnsi="Arial" w:cs="Arial"/>
              </w:rPr>
            </w:pPr>
            <w:r w:rsidRPr="00AD380E">
              <w:rPr>
                <w:rFonts w:ascii="Arial" w:hAnsi="Arial" w:cs="Arial"/>
              </w:rPr>
              <w:t>Sanitary Facilities</w:t>
            </w:r>
          </w:p>
        </w:tc>
        <w:tc>
          <w:tcPr>
            <w:tcW w:w="0" w:type="auto"/>
            <w:vAlign w:val="center"/>
            <w:hideMark/>
          </w:tcPr>
          <w:p w14:paraId="64849E24" w14:textId="77777777" w:rsidR="00AD380E" w:rsidRPr="00AD380E" w:rsidRDefault="00AD380E" w:rsidP="00AD380E">
            <w:pPr>
              <w:rPr>
                <w:rFonts w:ascii="Arial" w:hAnsi="Arial" w:cs="Arial"/>
              </w:rPr>
            </w:pPr>
            <w:r w:rsidRPr="00AD380E">
              <w:rPr>
                <w:rFonts w:ascii="Arial" w:hAnsi="Arial" w:cs="Arial"/>
              </w:rPr>
              <w:t>Non</w:t>
            </w:r>
            <w:r w:rsidRPr="00AD380E">
              <w:rPr>
                <w:rFonts w:ascii="Arial" w:hAnsi="Arial" w:cs="Arial"/>
              </w:rPr>
              <w:noBreakHyphen/>
              <w:t>compliant layouts, limited provision</w:t>
            </w:r>
          </w:p>
        </w:tc>
        <w:tc>
          <w:tcPr>
            <w:tcW w:w="0" w:type="auto"/>
            <w:vAlign w:val="center"/>
            <w:hideMark/>
          </w:tcPr>
          <w:p w14:paraId="4EB3C85C" w14:textId="77777777" w:rsidR="00AD380E" w:rsidRPr="00AD380E" w:rsidRDefault="00AD380E" w:rsidP="00AD380E">
            <w:pPr>
              <w:rPr>
                <w:rFonts w:ascii="Arial" w:hAnsi="Arial" w:cs="Arial"/>
              </w:rPr>
            </w:pPr>
            <w:r w:rsidRPr="00AD380E">
              <w:rPr>
                <w:rFonts w:ascii="Arial" w:hAnsi="Arial" w:cs="Arial"/>
              </w:rPr>
              <w:t>Restricts inclusive use</w:t>
            </w:r>
          </w:p>
        </w:tc>
      </w:tr>
      <w:tr w:rsidR="00AD380E" w:rsidRPr="00AD380E" w14:paraId="2E73D550" w14:textId="77777777">
        <w:trPr>
          <w:tblCellSpacing w:w="15" w:type="dxa"/>
        </w:trPr>
        <w:tc>
          <w:tcPr>
            <w:tcW w:w="0" w:type="auto"/>
            <w:vAlign w:val="center"/>
            <w:hideMark/>
          </w:tcPr>
          <w:p w14:paraId="24112EAC" w14:textId="77777777" w:rsidR="00AD380E" w:rsidRPr="00AD380E" w:rsidRDefault="00AD380E" w:rsidP="00AD380E">
            <w:pPr>
              <w:rPr>
                <w:rFonts w:ascii="Arial" w:hAnsi="Arial" w:cs="Arial"/>
              </w:rPr>
            </w:pPr>
            <w:r w:rsidRPr="00AD380E">
              <w:rPr>
                <w:rFonts w:ascii="Arial" w:hAnsi="Arial" w:cs="Arial"/>
              </w:rPr>
              <w:t>Sensory Accessibility</w:t>
            </w:r>
          </w:p>
        </w:tc>
        <w:tc>
          <w:tcPr>
            <w:tcW w:w="0" w:type="auto"/>
            <w:vAlign w:val="center"/>
            <w:hideMark/>
          </w:tcPr>
          <w:p w14:paraId="42383C19" w14:textId="77777777" w:rsidR="00AD380E" w:rsidRPr="00AD380E" w:rsidRDefault="00AD380E" w:rsidP="00AD380E">
            <w:pPr>
              <w:rPr>
                <w:rFonts w:ascii="Arial" w:hAnsi="Arial" w:cs="Arial"/>
              </w:rPr>
            </w:pPr>
            <w:r w:rsidRPr="00AD380E">
              <w:rPr>
                <w:rFonts w:ascii="Arial" w:hAnsi="Arial" w:cs="Arial"/>
              </w:rPr>
              <w:t>Poor lighting, acoustics, limited hearing support</w:t>
            </w:r>
          </w:p>
        </w:tc>
        <w:tc>
          <w:tcPr>
            <w:tcW w:w="0" w:type="auto"/>
            <w:vAlign w:val="center"/>
            <w:hideMark/>
          </w:tcPr>
          <w:p w14:paraId="02666D18" w14:textId="77777777" w:rsidR="00AD380E" w:rsidRPr="00AD380E" w:rsidRDefault="00AD380E" w:rsidP="00AD380E">
            <w:pPr>
              <w:rPr>
                <w:rFonts w:ascii="Arial" w:hAnsi="Arial" w:cs="Arial"/>
              </w:rPr>
            </w:pPr>
            <w:r w:rsidRPr="00AD380E">
              <w:rPr>
                <w:rFonts w:ascii="Arial" w:hAnsi="Arial" w:cs="Arial"/>
              </w:rPr>
              <w:t>Affects visually/hearing</w:t>
            </w:r>
            <w:r w:rsidRPr="00AD380E">
              <w:rPr>
                <w:rFonts w:ascii="Arial" w:hAnsi="Arial" w:cs="Arial"/>
              </w:rPr>
              <w:noBreakHyphen/>
              <w:t>impaired users</w:t>
            </w:r>
          </w:p>
        </w:tc>
      </w:tr>
      <w:tr w:rsidR="00AD380E" w:rsidRPr="00AD380E" w14:paraId="5EA82CB9" w14:textId="77777777">
        <w:trPr>
          <w:tblCellSpacing w:w="15" w:type="dxa"/>
        </w:trPr>
        <w:tc>
          <w:tcPr>
            <w:tcW w:w="0" w:type="auto"/>
            <w:vAlign w:val="center"/>
            <w:hideMark/>
          </w:tcPr>
          <w:p w14:paraId="2CCB1C42" w14:textId="77777777" w:rsidR="00AD380E" w:rsidRPr="00AD380E" w:rsidRDefault="00AD380E" w:rsidP="00AD380E">
            <w:pPr>
              <w:rPr>
                <w:rFonts w:ascii="Arial" w:hAnsi="Arial" w:cs="Arial"/>
              </w:rPr>
            </w:pPr>
            <w:r w:rsidRPr="00AD380E">
              <w:rPr>
                <w:rFonts w:ascii="Arial" w:hAnsi="Arial" w:cs="Arial"/>
              </w:rPr>
              <w:t>Emergency Egress</w:t>
            </w:r>
          </w:p>
        </w:tc>
        <w:tc>
          <w:tcPr>
            <w:tcW w:w="0" w:type="auto"/>
            <w:vAlign w:val="center"/>
            <w:hideMark/>
          </w:tcPr>
          <w:p w14:paraId="0707D151" w14:textId="77777777" w:rsidR="00AD380E" w:rsidRPr="00AD380E" w:rsidRDefault="00AD380E" w:rsidP="00AD380E">
            <w:pPr>
              <w:rPr>
                <w:rFonts w:ascii="Arial" w:hAnsi="Arial" w:cs="Arial"/>
              </w:rPr>
            </w:pPr>
            <w:r w:rsidRPr="00AD380E">
              <w:rPr>
                <w:rFonts w:ascii="Arial" w:hAnsi="Arial" w:cs="Arial"/>
              </w:rPr>
              <w:t>Non</w:t>
            </w:r>
            <w:r w:rsidRPr="00AD380E">
              <w:rPr>
                <w:rFonts w:ascii="Arial" w:hAnsi="Arial" w:cs="Arial"/>
              </w:rPr>
              <w:noBreakHyphen/>
              <w:t>accessible routes, no refuge areas</w:t>
            </w:r>
          </w:p>
        </w:tc>
        <w:tc>
          <w:tcPr>
            <w:tcW w:w="0" w:type="auto"/>
            <w:vAlign w:val="center"/>
            <w:hideMark/>
          </w:tcPr>
          <w:p w14:paraId="51F5D2E3" w14:textId="77777777" w:rsidR="00AD380E" w:rsidRPr="00AD380E" w:rsidRDefault="00AD380E" w:rsidP="00AD380E">
            <w:pPr>
              <w:rPr>
                <w:rFonts w:ascii="Arial" w:hAnsi="Arial" w:cs="Arial"/>
              </w:rPr>
            </w:pPr>
            <w:r w:rsidRPr="00AD380E">
              <w:rPr>
                <w:rFonts w:ascii="Arial" w:hAnsi="Arial" w:cs="Arial"/>
              </w:rPr>
              <w:t>Safety risk</w:t>
            </w:r>
          </w:p>
        </w:tc>
      </w:tr>
      <w:tr w:rsidR="00AD380E" w:rsidRPr="00AD380E" w14:paraId="17A63B27" w14:textId="77777777">
        <w:trPr>
          <w:tblCellSpacing w:w="15" w:type="dxa"/>
        </w:trPr>
        <w:tc>
          <w:tcPr>
            <w:tcW w:w="0" w:type="auto"/>
            <w:vAlign w:val="center"/>
            <w:hideMark/>
          </w:tcPr>
          <w:p w14:paraId="74C8A260" w14:textId="77777777" w:rsidR="00AD380E" w:rsidRPr="00AD380E" w:rsidRDefault="00AD380E" w:rsidP="00AD380E">
            <w:pPr>
              <w:rPr>
                <w:rFonts w:ascii="Arial" w:hAnsi="Arial" w:cs="Arial"/>
              </w:rPr>
            </w:pPr>
            <w:r w:rsidRPr="00AD380E">
              <w:rPr>
                <w:rFonts w:ascii="Arial" w:hAnsi="Arial" w:cs="Arial"/>
              </w:rPr>
              <w:t>Heritage Constraints</w:t>
            </w:r>
          </w:p>
        </w:tc>
        <w:tc>
          <w:tcPr>
            <w:tcW w:w="0" w:type="auto"/>
            <w:vAlign w:val="center"/>
            <w:hideMark/>
          </w:tcPr>
          <w:p w14:paraId="500A2FAA" w14:textId="77777777" w:rsidR="00AD380E" w:rsidRPr="00AD380E" w:rsidRDefault="00AD380E" w:rsidP="00AD380E">
            <w:pPr>
              <w:rPr>
                <w:rFonts w:ascii="Arial" w:hAnsi="Arial" w:cs="Arial"/>
              </w:rPr>
            </w:pPr>
            <w:r w:rsidRPr="00AD380E">
              <w:rPr>
                <w:rFonts w:ascii="Arial" w:hAnsi="Arial" w:cs="Arial"/>
              </w:rPr>
              <w:t>Protected features limit alterations</w:t>
            </w:r>
          </w:p>
        </w:tc>
        <w:tc>
          <w:tcPr>
            <w:tcW w:w="0" w:type="auto"/>
            <w:vAlign w:val="center"/>
            <w:hideMark/>
          </w:tcPr>
          <w:p w14:paraId="31D37117" w14:textId="77777777" w:rsidR="00AD380E" w:rsidRPr="00AD380E" w:rsidRDefault="00AD380E" w:rsidP="00AD380E">
            <w:pPr>
              <w:rPr>
                <w:rFonts w:ascii="Arial" w:hAnsi="Arial" w:cs="Arial"/>
              </w:rPr>
            </w:pPr>
            <w:r w:rsidRPr="00AD380E">
              <w:rPr>
                <w:rFonts w:ascii="Arial" w:hAnsi="Arial" w:cs="Arial"/>
              </w:rPr>
              <w:t>Requires sensitive design</w:t>
            </w:r>
          </w:p>
        </w:tc>
      </w:tr>
    </w:tbl>
    <w:p w14:paraId="2F70909B" w14:textId="77777777" w:rsidR="00E36531" w:rsidRPr="001833CF" w:rsidRDefault="00E36531" w:rsidP="00E36531">
      <w:pPr>
        <w:rPr>
          <w:rFonts w:ascii="Arial" w:hAnsi="Arial" w:cs="Arial"/>
        </w:rPr>
      </w:pPr>
    </w:p>
    <w:p w14:paraId="3C42F612" w14:textId="77777777" w:rsidR="000A687E" w:rsidRPr="000A687E" w:rsidRDefault="000A687E" w:rsidP="004341C0">
      <w:pPr>
        <w:pStyle w:val="Heading1"/>
      </w:pPr>
      <w:bookmarkStart w:id="32" w:name="_Toc223447528"/>
      <w:r w:rsidRPr="000A687E">
        <w:t>9. Procurement, Tendering and Contract Strategy for the Refurbishment of the Dylan Thomas Centre</w:t>
      </w:r>
      <w:bookmarkEnd w:id="32"/>
    </w:p>
    <w:p w14:paraId="6FE6F59D" w14:textId="77777777" w:rsidR="000A687E" w:rsidRDefault="000A687E" w:rsidP="000A687E">
      <w:pPr>
        <w:rPr>
          <w:rFonts w:ascii="Arial" w:hAnsi="Arial" w:cs="Arial"/>
        </w:rPr>
      </w:pPr>
      <w:r w:rsidRPr="000A687E">
        <w:rPr>
          <w:rFonts w:ascii="Arial" w:hAnsi="Arial" w:cs="Arial"/>
        </w:rPr>
        <w:t>Refurbishment of listed buildings introduces heightened uncertainty and design sensitivity. In such contexts, retaining client control over design development is critical (Orbasli, 2013). Accessibility interventions must be carefully justified and coordinated with conservation officers in accordance with Historic England guidance (Historic England, 2019).</w:t>
      </w:r>
    </w:p>
    <w:p w14:paraId="4070680F" w14:textId="77777777" w:rsidR="00196D24" w:rsidRDefault="00196D24" w:rsidP="000A687E">
      <w:pPr>
        <w:rPr>
          <w:rFonts w:ascii="Arial" w:hAnsi="Arial" w:cs="Arial"/>
        </w:rPr>
      </w:pPr>
    </w:p>
    <w:p w14:paraId="5B229C3E" w14:textId="77777777" w:rsidR="00196D24" w:rsidRPr="000A687E" w:rsidRDefault="00196D24" w:rsidP="000A687E">
      <w:pPr>
        <w:rPr>
          <w:rFonts w:ascii="Arial" w:hAnsi="Arial" w:cs="Arial"/>
        </w:rPr>
      </w:pPr>
    </w:p>
    <w:p w14:paraId="0A698984" w14:textId="77777777" w:rsidR="000A687E" w:rsidRPr="000A687E" w:rsidRDefault="000A687E" w:rsidP="004341C0">
      <w:pPr>
        <w:pStyle w:val="Heading2"/>
      </w:pPr>
      <w:bookmarkStart w:id="33" w:name="_Toc223447529"/>
      <w:r w:rsidRPr="000A687E">
        <w:t>9.1 Procurement Route</w:t>
      </w:r>
      <w:bookmarkEnd w:id="33"/>
    </w:p>
    <w:p w14:paraId="0DCD3BA3" w14:textId="77777777" w:rsidR="000A687E" w:rsidRPr="000A687E" w:rsidRDefault="000A687E" w:rsidP="000A687E">
      <w:pPr>
        <w:rPr>
          <w:rFonts w:ascii="Arial" w:hAnsi="Arial" w:cs="Arial"/>
        </w:rPr>
      </w:pPr>
      <w:r w:rsidRPr="000A687E">
        <w:rPr>
          <w:rFonts w:ascii="Arial" w:hAnsi="Arial" w:cs="Arial"/>
        </w:rPr>
        <w:t>A Traditional procurement route is therefore appropriate. This allows the University’s design team to develop a detailed and conservation-sensitive solution before contractor pricing. It reduces ambiguity in scope and supports clearer cost benchmarking.</w:t>
      </w:r>
    </w:p>
    <w:p w14:paraId="157595EA" w14:textId="77777777" w:rsidR="000A687E" w:rsidRPr="001833CF" w:rsidRDefault="000A687E" w:rsidP="000A687E">
      <w:pPr>
        <w:rPr>
          <w:rFonts w:ascii="Arial" w:hAnsi="Arial" w:cs="Arial"/>
        </w:rPr>
      </w:pPr>
      <w:r w:rsidRPr="000A687E">
        <w:rPr>
          <w:rFonts w:ascii="Arial" w:hAnsi="Arial" w:cs="Arial"/>
        </w:rPr>
        <w:lastRenderedPageBreak/>
        <w:t>Unlike Design and Build, Traditional procurement retains design responsibility with the client’s consultants, which is advantageous where aesthetic and heritage considerations dominate (Morledge and Smith, 2013).</w:t>
      </w:r>
    </w:p>
    <w:p w14:paraId="33B7358E" w14:textId="77777777" w:rsidR="000A687E" w:rsidRPr="000A687E" w:rsidRDefault="000A687E" w:rsidP="000A687E">
      <w:pPr>
        <w:rPr>
          <w:rFonts w:ascii="Arial" w:hAnsi="Arial" w:cs="Arial"/>
        </w:rPr>
      </w:pPr>
    </w:p>
    <w:p w14:paraId="5B04E03D" w14:textId="77777777" w:rsidR="000A687E" w:rsidRPr="000A687E" w:rsidRDefault="000A687E" w:rsidP="004341C0">
      <w:pPr>
        <w:pStyle w:val="Heading2"/>
      </w:pPr>
      <w:bookmarkStart w:id="34" w:name="_Toc223447530"/>
      <w:r w:rsidRPr="000A687E">
        <w:t>9.2 Tendering Strategy</w:t>
      </w:r>
      <w:bookmarkEnd w:id="34"/>
    </w:p>
    <w:p w14:paraId="651B60C5" w14:textId="77777777" w:rsidR="000A687E" w:rsidRPr="000A687E" w:rsidRDefault="000A687E" w:rsidP="000A687E">
      <w:pPr>
        <w:rPr>
          <w:rFonts w:ascii="Arial" w:hAnsi="Arial" w:cs="Arial"/>
        </w:rPr>
      </w:pPr>
      <w:r w:rsidRPr="000A687E">
        <w:rPr>
          <w:rFonts w:ascii="Arial" w:hAnsi="Arial" w:cs="Arial"/>
        </w:rPr>
        <w:t>A single-stage competitive tender via a Minor Works or heritage-capable framework provides:</w:t>
      </w:r>
    </w:p>
    <w:p w14:paraId="665C52E3" w14:textId="77777777" w:rsidR="000A687E" w:rsidRPr="000A687E" w:rsidRDefault="000A687E" w:rsidP="000A687E">
      <w:pPr>
        <w:numPr>
          <w:ilvl w:val="0"/>
          <w:numId w:val="79"/>
        </w:numPr>
        <w:rPr>
          <w:rFonts w:ascii="Arial" w:hAnsi="Arial" w:cs="Arial"/>
        </w:rPr>
      </w:pPr>
      <w:r w:rsidRPr="000A687E">
        <w:rPr>
          <w:rFonts w:ascii="Arial" w:hAnsi="Arial" w:cs="Arial"/>
        </w:rPr>
        <w:t>Competitive pricing</w:t>
      </w:r>
    </w:p>
    <w:p w14:paraId="7EE4A8D3" w14:textId="77777777" w:rsidR="000A687E" w:rsidRPr="000A687E" w:rsidRDefault="000A687E" w:rsidP="000A687E">
      <w:pPr>
        <w:numPr>
          <w:ilvl w:val="0"/>
          <w:numId w:val="79"/>
        </w:numPr>
        <w:rPr>
          <w:rFonts w:ascii="Arial" w:hAnsi="Arial" w:cs="Arial"/>
        </w:rPr>
      </w:pPr>
      <w:r w:rsidRPr="000A687E">
        <w:rPr>
          <w:rFonts w:ascii="Arial" w:hAnsi="Arial" w:cs="Arial"/>
        </w:rPr>
        <w:t>Pre-vetted contractor capability</w:t>
      </w:r>
    </w:p>
    <w:p w14:paraId="252DA91B" w14:textId="77777777" w:rsidR="000A687E" w:rsidRPr="000A687E" w:rsidRDefault="000A687E" w:rsidP="000A687E">
      <w:pPr>
        <w:numPr>
          <w:ilvl w:val="0"/>
          <w:numId w:val="79"/>
        </w:numPr>
        <w:rPr>
          <w:rFonts w:ascii="Arial" w:hAnsi="Arial" w:cs="Arial"/>
        </w:rPr>
      </w:pPr>
      <w:r w:rsidRPr="000A687E">
        <w:rPr>
          <w:rFonts w:ascii="Arial" w:hAnsi="Arial" w:cs="Arial"/>
        </w:rPr>
        <w:t>Reduced procurement duration</w:t>
      </w:r>
    </w:p>
    <w:p w14:paraId="63BD2D6C" w14:textId="77777777" w:rsidR="000A687E" w:rsidRPr="001833CF" w:rsidRDefault="000A687E" w:rsidP="000A687E">
      <w:pPr>
        <w:rPr>
          <w:rFonts w:ascii="Arial" w:hAnsi="Arial" w:cs="Arial"/>
        </w:rPr>
      </w:pPr>
      <w:r w:rsidRPr="000A687E">
        <w:rPr>
          <w:rFonts w:ascii="Arial" w:hAnsi="Arial" w:cs="Arial"/>
        </w:rPr>
        <w:t>Restricted tendering is widely recommended for technically sensitive projects requiring specialist experience (CIOB, 2018).</w:t>
      </w:r>
    </w:p>
    <w:p w14:paraId="6FECBB0F" w14:textId="77777777" w:rsidR="000A687E" w:rsidRPr="000A687E" w:rsidRDefault="000A687E" w:rsidP="000A687E">
      <w:pPr>
        <w:rPr>
          <w:rFonts w:ascii="Arial" w:hAnsi="Arial" w:cs="Arial"/>
        </w:rPr>
      </w:pPr>
    </w:p>
    <w:p w14:paraId="6B848669" w14:textId="77777777" w:rsidR="000A687E" w:rsidRPr="000A687E" w:rsidRDefault="000A687E" w:rsidP="004341C0">
      <w:pPr>
        <w:pStyle w:val="Heading2"/>
      </w:pPr>
      <w:bookmarkStart w:id="35" w:name="_Toc223447531"/>
      <w:r w:rsidRPr="000A687E">
        <w:t>9.3 Contract Form</w:t>
      </w:r>
      <w:bookmarkEnd w:id="35"/>
    </w:p>
    <w:p w14:paraId="562565DA" w14:textId="77777777" w:rsidR="000A687E" w:rsidRPr="000A687E" w:rsidRDefault="000A687E" w:rsidP="000A687E">
      <w:pPr>
        <w:rPr>
          <w:rFonts w:ascii="Arial" w:hAnsi="Arial" w:cs="Arial"/>
        </w:rPr>
      </w:pPr>
      <w:r w:rsidRPr="000A687E">
        <w:rPr>
          <w:rFonts w:ascii="Arial" w:hAnsi="Arial" w:cs="Arial"/>
        </w:rPr>
        <w:t>The JCT Intermediate Building Contract 2016 (JCT, 2016b) provides a suitable contractual framework. It accommodates projects of moderate complexity while maintaining consultant design responsibility.</w:t>
      </w:r>
    </w:p>
    <w:p w14:paraId="73C131D6" w14:textId="77777777" w:rsidR="000A687E" w:rsidRPr="000A687E" w:rsidRDefault="000A687E" w:rsidP="000A687E">
      <w:pPr>
        <w:rPr>
          <w:rFonts w:ascii="Arial" w:hAnsi="Arial" w:cs="Arial"/>
        </w:rPr>
      </w:pPr>
      <w:r w:rsidRPr="000A687E">
        <w:rPr>
          <w:rFonts w:ascii="Arial" w:hAnsi="Arial" w:cs="Arial"/>
        </w:rPr>
        <w:t>Refurbishment risk requires careful contingency planning. RICS guidance highlights that refurbishment projects typically require higher contingency allowances due to uncertainty in existing conditions (RICS, 2014).</w:t>
      </w:r>
    </w:p>
    <w:p w14:paraId="55A1D02F" w14:textId="77777777" w:rsidR="000A687E" w:rsidRPr="000A687E" w:rsidRDefault="000A687E" w:rsidP="000A687E">
      <w:pPr>
        <w:rPr>
          <w:rFonts w:ascii="Arial" w:hAnsi="Arial" w:cs="Arial"/>
        </w:rPr>
      </w:pPr>
      <w:r w:rsidRPr="000A687E">
        <w:rPr>
          <w:rFonts w:ascii="Arial" w:hAnsi="Arial" w:cs="Arial"/>
        </w:rPr>
        <w:t>Clear variation procedures and extension of time mechanisms under JCT help manage unforeseen discoveries without disproportionate dispute risk.</w:t>
      </w:r>
    </w:p>
    <w:p w14:paraId="41FF3E59" w14:textId="77777777" w:rsidR="00AD380E" w:rsidRPr="001833CF" w:rsidRDefault="00AD380E" w:rsidP="00E36531">
      <w:pPr>
        <w:rPr>
          <w:rFonts w:ascii="Arial" w:hAnsi="Arial" w:cs="Arial"/>
        </w:rPr>
      </w:pPr>
    </w:p>
    <w:p w14:paraId="060D575C" w14:textId="77777777" w:rsidR="00AD380E" w:rsidRPr="001833CF" w:rsidRDefault="00AD380E" w:rsidP="004341C0">
      <w:pPr>
        <w:pStyle w:val="Heading1"/>
      </w:pPr>
      <w:bookmarkStart w:id="36" w:name="_Toc223447532"/>
      <w:r w:rsidRPr="00AD380E">
        <w:t>10. Risk Analysis</w:t>
      </w:r>
      <w:bookmarkEnd w:id="36"/>
    </w:p>
    <w:p w14:paraId="40029177" w14:textId="20B0AA0A" w:rsidR="000A687E" w:rsidRPr="00AD380E" w:rsidRDefault="000A687E" w:rsidP="00AD380E">
      <w:pPr>
        <w:rPr>
          <w:rFonts w:ascii="Arial" w:hAnsi="Arial" w:cs="Arial"/>
        </w:rPr>
      </w:pPr>
      <w:r w:rsidRPr="001833CF">
        <w:rPr>
          <w:rFonts w:ascii="Arial" w:hAnsi="Arial" w:cs="Arial"/>
        </w:rPr>
        <w:t>Effective risk management requires systematic identification, assessment and allocation in accordance with recognised principles such as ISO 31000 (ISO, 2018). A fundamental principle of procurement strategy is that risk should be allocated to the party best able to manage it (Hughes et al., 2015). The differing nature of the two projects justifies the adoption of distinct procurement routes to optimise risk distribution.</w:t>
      </w:r>
    </w:p>
    <w:p w14:paraId="48DD27A2" w14:textId="77777777" w:rsidR="00AD380E" w:rsidRPr="001833CF" w:rsidRDefault="00AD380E" w:rsidP="00AD380E">
      <w:pPr>
        <w:rPr>
          <w:rFonts w:ascii="Arial" w:hAnsi="Arial" w:cs="Arial"/>
        </w:rPr>
      </w:pPr>
      <w:r w:rsidRPr="00AD380E">
        <w:rPr>
          <w:rFonts w:ascii="Arial" w:hAnsi="Arial" w:cs="Arial"/>
        </w:rPr>
        <w:t xml:space="preserve">The two projects—the new construction teaching facility and the refurbishment of the Dylan Thomas Centre—carry different types of risk, shaped by their scale, complexity and the condition of the existing estate. A clear understanding of these risks helps the University choose appropriate procurement routes, allocate </w:t>
      </w:r>
      <w:r w:rsidRPr="00AD380E">
        <w:rPr>
          <w:rFonts w:ascii="Arial" w:hAnsi="Arial" w:cs="Arial"/>
        </w:rPr>
        <w:lastRenderedPageBreak/>
        <w:t>responsibilities effectively and plan mitigation measures that protect cost, quality and programme outcomes. The analysis below groups the main risks into categories and considers how they apply to each project.</w:t>
      </w:r>
    </w:p>
    <w:p w14:paraId="5E005989" w14:textId="77777777" w:rsidR="000A687E" w:rsidRPr="00AD380E" w:rsidRDefault="000A687E" w:rsidP="00AD380E">
      <w:pPr>
        <w:rPr>
          <w:rFonts w:ascii="Arial" w:hAnsi="Arial" w:cs="Arial"/>
        </w:rPr>
      </w:pPr>
    </w:p>
    <w:p w14:paraId="67464911" w14:textId="77777777" w:rsidR="00AD380E" w:rsidRPr="00AD380E" w:rsidRDefault="00AD380E" w:rsidP="004341C0">
      <w:pPr>
        <w:pStyle w:val="Heading2"/>
      </w:pPr>
      <w:bookmarkStart w:id="37" w:name="_Toc223447533"/>
      <w:r w:rsidRPr="00AD380E">
        <w:t>10.1 Main Risk Categories</w:t>
      </w:r>
      <w:bookmarkEnd w:id="37"/>
    </w:p>
    <w:p w14:paraId="0E6DFB81" w14:textId="77777777" w:rsidR="00AD380E" w:rsidRPr="00AD380E" w:rsidRDefault="00AD380E" w:rsidP="00AD380E">
      <w:pPr>
        <w:rPr>
          <w:rFonts w:ascii="Arial" w:hAnsi="Arial" w:cs="Arial"/>
        </w:rPr>
      </w:pPr>
      <w:r w:rsidRPr="00AD380E">
        <w:rPr>
          <w:rFonts w:ascii="Arial" w:hAnsi="Arial" w:cs="Arial"/>
        </w:rPr>
        <w:t>Several broad categories of risk are relevant across both projects:</w:t>
      </w:r>
    </w:p>
    <w:p w14:paraId="2C562DAD" w14:textId="77777777" w:rsidR="00AD380E" w:rsidRPr="00AD380E" w:rsidRDefault="00AD380E" w:rsidP="00AD380E">
      <w:pPr>
        <w:numPr>
          <w:ilvl w:val="0"/>
          <w:numId w:val="68"/>
        </w:numPr>
        <w:rPr>
          <w:rFonts w:ascii="Arial" w:hAnsi="Arial" w:cs="Arial"/>
        </w:rPr>
      </w:pPr>
      <w:r w:rsidRPr="00AD380E">
        <w:rPr>
          <w:rFonts w:ascii="Arial" w:hAnsi="Arial" w:cs="Arial"/>
        </w:rPr>
        <w:t>Design risk — relating to incomplete, uncoordinated or technically complex design elements.</w:t>
      </w:r>
    </w:p>
    <w:p w14:paraId="012306F7" w14:textId="77777777" w:rsidR="00AD380E" w:rsidRPr="00AD380E" w:rsidRDefault="00AD380E" w:rsidP="00AD380E">
      <w:pPr>
        <w:numPr>
          <w:ilvl w:val="0"/>
          <w:numId w:val="68"/>
        </w:numPr>
        <w:rPr>
          <w:rFonts w:ascii="Arial" w:hAnsi="Arial" w:cs="Arial"/>
        </w:rPr>
      </w:pPr>
      <w:r w:rsidRPr="00AD380E">
        <w:rPr>
          <w:rFonts w:ascii="Arial" w:hAnsi="Arial" w:cs="Arial"/>
        </w:rPr>
        <w:t>Cost risk — including inflation, market volatility, unforeseen conditions and scope changes.</w:t>
      </w:r>
    </w:p>
    <w:p w14:paraId="37CEDF4A" w14:textId="77777777" w:rsidR="00AD380E" w:rsidRPr="00AD380E" w:rsidRDefault="00AD380E" w:rsidP="00AD380E">
      <w:pPr>
        <w:numPr>
          <w:ilvl w:val="0"/>
          <w:numId w:val="68"/>
        </w:numPr>
        <w:rPr>
          <w:rFonts w:ascii="Arial" w:hAnsi="Arial" w:cs="Arial"/>
        </w:rPr>
      </w:pPr>
      <w:r w:rsidRPr="00AD380E">
        <w:rPr>
          <w:rFonts w:ascii="Arial" w:hAnsi="Arial" w:cs="Arial"/>
        </w:rPr>
        <w:t>Programme risk — delays caused by design development, supply</w:t>
      </w:r>
      <w:r w:rsidRPr="00AD380E">
        <w:rPr>
          <w:rFonts w:ascii="Arial" w:hAnsi="Arial" w:cs="Arial"/>
        </w:rPr>
        <w:noBreakHyphen/>
        <w:t>chain issues or site constraints.</w:t>
      </w:r>
    </w:p>
    <w:p w14:paraId="1658DE26" w14:textId="77777777" w:rsidR="00AD380E" w:rsidRPr="00AD380E" w:rsidRDefault="00AD380E" w:rsidP="00AD380E">
      <w:pPr>
        <w:numPr>
          <w:ilvl w:val="0"/>
          <w:numId w:val="68"/>
        </w:numPr>
        <w:rPr>
          <w:rFonts w:ascii="Arial" w:hAnsi="Arial" w:cs="Arial"/>
        </w:rPr>
      </w:pPr>
      <w:r w:rsidRPr="00AD380E">
        <w:rPr>
          <w:rFonts w:ascii="Arial" w:hAnsi="Arial" w:cs="Arial"/>
        </w:rPr>
        <w:t>Heritage and compliance risk — particularly relevant to the Dylan Thomas Centre.</w:t>
      </w:r>
    </w:p>
    <w:p w14:paraId="6A4F0296" w14:textId="77777777" w:rsidR="00AD380E" w:rsidRPr="00AD380E" w:rsidRDefault="00AD380E" w:rsidP="00AD380E">
      <w:pPr>
        <w:numPr>
          <w:ilvl w:val="0"/>
          <w:numId w:val="68"/>
        </w:numPr>
        <w:rPr>
          <w:rFonts w:ascii="Arial" w:hAnsi="Arial" w:cs="Arial"/>
        </w:rPr>
      </w:pPr>
      <w:r w:rsidRPr="00AD380E">
        <w:rPr>
          <w:rFonts w:ascii="Arial" w:hAnsi="Arial" w:cs="Arial"/>
        </w:rPr>
        <w:t>Operational risk — relating to disruption to teaching, events or public access.</w:t>
      </w:r>
    </w:p>
    <w:p w14:paraId="742329D4" w14:textId="77777777" w:rsidR="00AD380E" w:rsidRPr="00AD380E" w:rsidRDefault="00AD380E" w:rsidP="00AD380E">
      <w:pPr>
        <w:numPr>
          <w:ilvl w:val="0"/>
          <w:numId w:val="68"/>
        </w:numPr>
        <w:rPr>
          <w:rFonts w:ascii="Arial" w:hAnsi="Arial" w:cs="Arial"/>
        </w:rPr>
      </w:pPr>
      <w:r w:rsidRPr="00AD380E">
        <w:rPr>
          <w:rFonts w:ascii="Arial" w:hAnsi="Arial" w:cs="Arial"/>
        </w:rPr>
        <w:t>Health and safety risk — especially in workshop environments or during refurbishment.</w:t>
      </w:r>
    </w:p>
    <w:p w14:paraId="04089518" w14:textId="77777777" w:rsidR="00AD380E" w:rsidRPr="00AD380E" w:rsidRDefault="00AD380E" w:rsidP="00AD380E">
      <w:pPr>
        <w:numPr>
          <w:ilvl w:val="0"/>
          <w:numId w:val="68"/>
        </w:numPr>
        <w:rPr>
          <w:rFonts w:ascii="Arial" w:hAnsi="Arial" w:cs="Arial"/>
        </w:rPr>
      </w:pPr>
      <w:r w:rsidRPr="00AD380E">
        <w:rPr>
          <w:rFonts w:ascii="Arial" w:hAnsi="Arial" w:cs="Arial"/>
        </w:rPr>
        <w:t>Sustainability and performance risk — ensuring the buildings meet environmental targets.</w:t>
      </w:r>
    </w:p>
    <w:p w14:paraId="584C5C8F" w14:textId="77777777" w:rsidR="00AD380E" w:rsidRPr="00AD380E" w:rsidRDefault="00AD380E" w:rsidP="00AD380E">
      <w:pPr>
        <w:numPr>
          <w:ilvl w:val="0"/>
          <w:numId w:val="68"/>
        </w:numPr>
        <w:rPr>
          <w:rFonts w:ascii="Arial" w:hAnsi="Arial" w:cs="Arial"/>
        </w:rPr>
      </w:pPr>
      <w:r w:rsidRPr="00AD380E">
        <w:rPr>
          <w:rFonts w:ascii="Arial" w:hAnsi="Arial" w:cs="Arial"/>
        </w:rPr>
        <w:t>Stakeholder risk — managing expectations of staff, students, conservation officers and the public.</w:t>
      </w:r>
    </w:p>
    <w:p w14:paraId="0487C58D" w14:textId="77777777" w:rsidR="00AD380E" w:rsidRPr="001833CF" w:rsidRDefault="00AD380E" w:rsidP="00AD380E">
      <w:pPr>
        <w:rPr>
          <w:rFonts w:ascii="Arial" w:hAnsi="Arial" w:cs="Arial"/>
        </w:rPr>
      </w:pPr>
      <w:r w:rsidRPr="00AD380E">
        <w:rPr>
          <w:rFonts w:ascii="Arial" w:hAnsi="Arial" w:cs="Arial"/>
        </w:rPr>
        <w:t>Each of these risks affects the two projects differently, which is why the procurement strategies diverge.</w:t>
      </w:r>
    </w:p>
    <w:p w14:paraId="63FE1550" w14:textId="77777777" w:rsidR="000A687E" w:rsidRPr="00AD380E" w:rsidRDefault="000A687E" w:rsidP="00AD380E">
      <w:pPr>
        <w:rPr>
          <w:rFonts w:ascii="Arial" w:hAnsi="Arial" w:cs="Arial"/>
        </w:rPr>
      </w:pPr>
    </w:p>
    <w:p w14:paraId="67B25F67" w14:textId="77777777" w:rsidR="00AD380E" w:rsidRPr="00AD380E" w:rsidRDefault="00AD380E" w:rsidP="004341C0">
      <w:pPr>
        <w:pStyle w:val="Heading2"/>
      </w:pPr>
      <w:bookmarkStart w:id="38" w:name="_Toc223447534"/>
      <w:r w:rsidRPr="00AD380E">
        <w:t>10.2 Risk Profile: New Construction Teaching Facility</w:t>
      </w:r>
      <w:bookmarkEnd w:id="38"/>
    </w:p>
    <w:p w14:paraId="4102E090" w14:textId="77777777" w:rsidR="00AD380E" w:rsidRPr="00AD380E" w:rsidRDefault="00AD380E" w:rsidP="00AD380E">
      <w:pPr>
        <w:rPr>
          <w:rFonts w:ascii="Arial" w:hAnsi="Arial" w:cs="Arial"/>
        </w:rPr>
      </w:pPr>
      <w:r w:rsidRPr="00AD380E">
        <w:rPr>
          <w:rFonts w:ascii="Arial" w:hAnsi="Arial" w:cs="Arial"/>
        </w:rPr>
        <w:t>The new build carries several risks typical of technically complex educational facilities:</w:t>
      </w:r>
    </w:p>
    <w:p w14:paraId="266DCE9A" w14:textId="77777777" w:rsidR="00AD380E" w:rsidRPr="00AD380E" w:rsidRDefault="00AD380E" w:rsidP="00AD380E">
      <w:pPr>
        <w:numPr>
          <w:ilvl w:val="0"/>
          <w:numId w:val="69"/>
        </w:numPr>
        <w:rPr>
          <w:rFonts w:ascii="Arial" w:hAnsi="Arial" w:cs="Arial"/>
        </w:rPr>
      </w:pPr>
      <w:r w:rsidRPr="00AD380E">
        <w:rPr>
          <w:rFonts w:ascii="Arial" w:hAnsi="Arial" w:cs="Arial"/>
        </w:rPr>
        <w:t>Integration of specialist workshop systems — ventilation, extraction, power distribution and safety systems must be coordinated early to avoid clashes.</w:t>
      </w:r>
    </w:p>
    <w:p w14:paraId="5D9BBF10" w14:textId="77777777" w:rsidR="00AD380E" w:rsidRPr="00AD380E" w:rsidRDefault="00AD380E" w:rsidP="00AD380E">
      <w:pPr>
        <w:numPr>
          <w:ilvl w:val="0"/>
          <w:numId w:val="69"/>
        </w:numPr>
        <w:rPr>
          <w:rFonts w:ascii="Arial" w:hAnsi="Arial" w:cs="Arial"/>
        </w:rPr>
      </w:pPr>
      <w:r w:rsidRPr="00AD380E">
        <w:rPr>
          <w:rFonts w:ascii="Arial" w:hAnsi="Arial" w:cs="Arial"/>
        </w:rPr>
        <w:t>Digital infrastructure complexity — BIM suites, VR/AR spaces and high</w:t>
      </w:r>
      <w:r w:rsidRPr="00AD380E">
        <w:rPr>
          <w:rFonts w:ascii="Arial" w:hAnsi="Arial" w:cs="Arial"/>
        </w:rPr>
        <w:noBreakHyphen/>
        <w:t>capacity networks require careful design and installation.</w:t>
      </w:r>
    </w:p>
    <w:p w14:paraId="3AFDAFD7" w14:textId="77777777" w:rsidR="00AD380E" w:rsidRPr="00AD380E" w:rsidRDefault="00AD380E" w:rsidP="00AD380E">
      <w:pPr>
        <w:numPr>
          <w:ilvl w:val="0"/>
          <w:numId w:val="69"/>
        </w:numPr>
        <w:rPr>
          <w:rFonts w:ascii="Arial" w:hAnsi="Arial" w:cs="Arial"/>
        </w:rPr>
      </w:pPr>
      <w:r w:rsidRPr="00AD380E">
        <w:rPr>
          <w:rFonts w:ascii="Arial" w:hAnsi="Arial" w:cs="Arial"/>
        </w:rPr>
        <w:t>Market volatility — construction inflation and supply</w:t>
      </w:r>
      <w:r w:rsidRPr="00AD380E">
        <w:rPr>
          <w:rFonts w:ascii="Arial" w:hAnsi="Arial" w:cs="Arial"/>
        </w:rPr>
        <w:noBreakHyphen/>
        <w:t>chain pressures can affect cost certainty.</w:t>
      </w:r>
    </w:p>
    <w:p w14:paraId="314F9B94" w14:textId="77777777" w:rsidR="00AD380E" w:rsidRPr="00AD380E" w:rsidRDefault="00AD380E" w:rsidP="00AD380E">
      <w:pPr>
        <w:numPr>
          <w:ilvl w:val="0"/>
          <w:numId w:val="69"/>
        </w:numPr>
        <w:rPr>
          <w:rFonts w:ascii="Arial" w:hAnsi="Arial" w:cs="Arial"/>
        </w:rPr>
      </w:pPr>
      <w:r w:rsidRPr="00AD380E">
        <w:rPr>
          <w:rFonts w:ascii="Arial" w:hAnsi="Arial" w:cs="Arial"/>
        </w:rPr>
        <w:lastRenderedPageBreak/>
        <w:t>Buildability issues — if the design is not coordinated with contractor input, late</w:t>
      </w:r>
      <w:r w:rsidRPr="00AD380E">
        <w:rPr>
          <w:rFonts w:ascii="Arial" w:hAnsi="Arial" w:cs="Arial"/>
        </w:rPr>
        <w:noBreakHyphen/>
        <w:t>stage redesign may be required.</w:t>
      </w:r>
    </w:p>
    <w:p w14:paraId="561059C0" w14:textId="77777777" w:rsidR="00AD380E" w:rsidRPr="00AD380E" w:rsidRDefault="00AD380E" w:rsidP="00AD380E">
      <w:pPr>
        <w:numPr>
          <w:ilvl w:val="0"/>
          <w:numId w:val="69"/>
        </w:numPr>
        <w:rPr>
          <w:rFonts w:ascii="Arial" w:hAnsi="Arial" w:cs="Arial"/>
        </w:rPr>
      </w:pPr>
      <w:r w:rsidRPr="00AD380E">
        <w:rPr>
          <w:rFonts w:ascii="Arial" w:hAnsi="Arial" w:cs="Arial"/>
        </w:rPr>
        <w:t>Sustainability targets — achieving high energy performance may require specialist materials or systems.</w:t>
      </w:r>
    </w:p>
    <w:p w14:paraId="4C50048C" w14:textId="77777777" w:rsidR="00AD380E" w:rsidRDefault="00AD380E" w:rsidP="00AD380E">
      <w:pPr>
        <w:rPr>
          <w:rFonts w:ascii="Arial" w:hAnsi="Arial" w:cs="Arial"/>
        </w:rPr>
      </w:pPr>
      <w:r w:rsidRPr="00AD380E">
        <w:rPr>
          <w:rFonts w:ascii="Arial" w:hAnsi="Arial" w:cs="Arial"/>
        </w:rPr>
        <w:t>These risks justify the choice of a two</w:t>
      </w:r>
      <w:r w:rsidRPr="00AD380E">
        <w:rPr>
          <w:rFonts w:ascii="Arial" w:hAnsi="Arial" w:cs="Arial"/>
        </w:rPr>
        <w:noBreakHyphen/>
        <w:t>stage Design and Build route, which allows early contractor involvement to reduce uncertainty.</w:t>
      </w:r>
    </w:p>
    <w:p w14:paraId="3C4C00A5" w14:textId="77777777" w:rsidR="00196D24" w:rsidRPr="00AD380E" w:rsidRDefault="00196D24" w:rsidP="00AD380E">
      <w:pPr>
        <w:rPr>
          <w:rFonts w:ascii="Arial" w:hAnsi="Arial" w:cs="Arial"/>
        </w:rPr>
      </w:pPr>
    </w:p>
    <w:p w14:paraId="34CB5AFB" w14:textId="77777777" w:rsidR="00AD380E" w:rsidRPr="00AD380E" w:rsidRDefault="00AD380E" w:rsidP="004341C0">
      <w:pPr>
        <w:pStyle w:val="Heading2"/>
      </w:pPr>
      <w:bookmarkStart w:id="39" w:name="_Toc223447535"/>
      <w:r w:rsidRPr="00AD380E">
        <w:t>10.3 Risk Profile: Dylan Thomas Centre Refurbishment</w:t>
      </w:r>
      <w:bookmarkEnd w:id="39"/>
    </w:p>
    <w:p w14:paraId="786E2D24" w14:textId="77777777" w:rsidR="00AD380E" w:rsidRPr="00AD380E" w:rsidRDefault="00AD380E" w:rsidP="00AD380E">
      <w:pPr>
        <w:rPr>
          <w:rFonts w:ascii="Arial" w:hAnsi="Arial" w:cs="Arial"/>
        </w:rPr>
      </w:pPr>
      <w:r w:rsidRPr="00AD380E">
        <w:rPr>
          <w:rFonts w:ascii="Arial" w:hAnsi="Arial" w:cs="Arial"/>
        </w:rPr>
        <w:t>The refurbishment carries a different and more unpredictable set of risks:</w:t>
      </w:r>
    </w:p>
    <w:p w14:paraId="35C6B5BD" w14:textId="77777777" w:rsidR="00AD380E" w:rsidRPr="00AD380E" w:rsidRDefault="00AD380E" w:rsidP="00AD380E">
      <w:pPr>
        <w:numPr>
          <w:ilvl w:val="0"/>
          <w:numId w:val="70"/>
        </w:numPr>
        <w:rPr>
          <w:rFonts w:ascii="Arial" w:hAnsi="Arial" w:cs="Arial"/>
        </w:rPr>
      </w:pPr>
      <w:r w:rsidRPr="00AD380E">
        <w:rPr>
          <w:rFonts w:ascii="Arial" w:hAnsi="Arial" w:cs="Arial"/>
        </w:rPr>
        <w:t>Unforeseen conditions — hidden defects, structural issues or outdated services may only become apparent once work begins.</w:t>
      </w:r>
    </w:p>
    <w:p w14:paraId="2336F0A6" w14:textId="77777777" w:rsidR="00AD380E" w:rsidRPr="00AD380E" w:rsidRDefault="00AD380E" w:rsidP="00AD380E">
      <w:pPr>
        <w:numPr>
          <w:ilvl w:val="0"/>
          <w:numId w:val="70"/>
        </w:numPr>
        <w:rPr>
          <w:rFonts w:ascii="Arial" w:hAnsi="Arial" w:cs="Arial"/>
        </w:rPr>
      </w:pPr>
      <w:r w:rsidRPr="00AD380E">
        <w:rPr>
          <w:rFonts w:ascii="Arial" w:hAnsi="Arial" w:cs="Arial"/>
        </w:rPr>
        <w:t>Heritage constraints — listed</w:t>
      </w:r>
      <w:r w:rsidRPr="00AD380E">
        <w:rPr>
          <w:rFonts w:ascii="Arial" w:hAnsi="Arial" w:cs="Arial"/>
        </w:rPr>
        <w:noBreakHyphen/>
        <w:t>building requirements limit the range of acceptable interventions.</w:t>
      </w:r>
    </w:p>
    <w:p w14:paraId="0DBAD3BE" w14:textId="77777777" w:rsidR="00AD380E" w:rsidRPr="00AD380E" w:rsidRDefault="00AD380E" w:rsidP="00AD380E">
      <w:pPr>
        <w:numPr>
          <w:ilvl w:val="0"/>
          <w:numId w:val="70"/>
        </w:numPr>
        <w:rPr>
          <w:rFonts w:ascii="Arial" w:hAnsi="Arial" w:cs="Arial"/>
        </w:rPr>
      </w:pPr>
      <w:r w:rsidRPr="00AD380E">
        <w:rPr>
          <w:rFonts w:ascii="Arial" w:hAnsi="Arial" w:cs="Arial"/>
        </w:rPr>
        <w:t>Accessibility challenges — integrating ramps, lifts and compliant sanitary facilities into a historic layout is technically demanding.</w:t>
      </w:r>
    </w:p>
    <w:p w14:paraId="5359E5C8" w14:textId="77777777" w:rsidR="00AD380E" w:rsidRPr="00AD380E" w:rsidRDefault="00AD380E" w:rsidP="00AD380E">
      <w:pPr>
        <w:numPr>
          <w:ilvl w:val="0"/>
          <w:numId w:val="70"/>
        </w:numPr>
        <w:rPr>
          <w:rFonts w:ascii="Arial" w:hAnsi="Arial" w:cs="Arial"/>
        </w:rPr>
      </w:pPr>
      <w:r w:rsidRPr="00AD380E">
        <w:rPr>
          <w:rFonts w:ascii="Arial" w:hAnsi="Arial" w:cs="Arial"/>
        </w:rPr>
        <w:t>Operational continuity — the building may need to remain partially open for events or exhibitions.</w:t>
      </w:r>
    </w:p>
    <w:p w14:paraId="3AD1079E" w14:textId="77777777" w:rsidR="00AD380E" w:rsidRPr="00AD380E" w:rsidRDefault="00AD380E" w:rsidP="00AD380E">
      <w:pPr>
        <w:numPr>
          <w:ilvl w:val="0"/>
          <w:numId w:val="70"/>
        </w:numPr>
        <w:rPr>
          <w:rFonts w:ascii="Arial" w:hAnsi="Arial" w:cs="Arial"/>
        </w:rPr>
      </w:pPr>
      <w:r w:rsidRPr="00AD380E">
        <w:rPr>
          <w:rFonts w:ascii="Arial" w:hAnsi="Arial" w:cs="Arial"/>
        </w:rPr>
        <w:t>Stakeholder sensitivity — conservation officers, community groups and cultural partners may have strong views on proposed changes.</w:t>
      </w:r>
    </w:p>
    <w:p w14:paraId="001E09B3" w14:textId="77777777" w:rsidR="00AD380E" w:rsidRPr="00AD380E" w:rsidRDefault="00AD380E" w:rsidP="00AD380E">
      <w:pPr>
        <w:numPr>
          <w:ilvl w:val="0"/>
          <w:numId w:val="70"/>
        </w:numPr>
        <w:rPr>
          <w:rFonts w:ascii="Arial" w:hAnsi="Arial" w:cs="Arial"/>
        </w:rPr>
      </w:pPr>
      <w:r w:rsidRPr="00AD380E">
        <w:rPr>
          <w:rFonts w:ascii="Arial" w:hAnsi="Arial" w:cs="Arial"/>
        </w:rPr>
        <w:t>Cost uncertainty — refurbishment projects often require contingency allowances due to unknowns.</w:t>
      </w:r>
    </w:p>
    <w:p w14:paraId="1B66CE94" w14:textId="77777777" w:rsidR="00AD380E" w:rsidRPr="001833CF" w:rsidRDefault="00AD380E" w:rsidP="00AD380E">
      <w:pPr>
        <w:rPr>
          <w:rFonts w:ascii="Arial" w:hAnsi="Arial" w:cs="Arial"/>
        </w:rPr>
      </w:pPr>
      <w:r w:rsidRPr="00AD380E">
        <w:rPr>
          <w:rFonts w:ascii="Arial" w:hAnsi="Arial" w:cs="Arial"/>
        </w:rPr>
        <w:t>These risks support the use of a Traditional procurement route with a JCT Intermediate Building Contract, giving the University strong control over the design before tendering.</w:t>
      </w:r>
    </w:p>
    <w:p w14:paraId="690F2706" w14:textId="77777777" w:rsidR="000A687E" w:rsidRPr="00AD380E" w:rsidRDefault="000A687E" w:rsidP="00AD380E">
      <w:pPr>
        <w:rPr>
          <w:rFonts w:ascii="Arial" w:hAnsi="Arial" w:cs="Arial"/>
        </w:rPr>
      </w:pPr>
    </w:p>
    <w:p w14:paraId="520FC03C" w14:textId="77777777" w:rsidR="00AD380E" w:rsidRPr="00AD380E" w:rsidRDefault="00AD380E" w:rsidP="004341C0">
      <w:pPr>
        <w:pStyle w:val="Heading2"/>
      </w:pPr>
      <w:bookmarkStart w:id="40" w:name="_Toc223447536"/>
      <w:r w:rsidRPr="00AD380E">
        <w:t>10.4 Risk Matrix</w:t>
      </w:r>
      <w:bookmarkEnd w:id="40"/>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764"/>
        <w:gridCol w:w="967"/>
        <w:gridCol w:w="1269"/>
        <w:gridCol w:w="1234"/>
        <w:gridCol w:w="1163"/>
        <w:gridCol w:w="2629"/>
      </w:tblGrid>
      <w:tr w:rsidR="00AD380E" w:rsidRPr="00AD380E" w14:paraId="7AAF83EB" w14:textId="77777777">
        <w:trPr>
          <w:tblHeader/>
          <w:tblCellSpacing w:w="15" w:type="dxa"/>
        </w:trPr>
        <w:tc>
          <w:tcPr>
            <w:tcW w:w="0" w:type="auto"/>
            <w:vAlign w:val="center"/>
            <w:hideMark/>
          </w:tcPr>
          <w:p w14:paraId="414E9610" w14:textId="77777777" w:rsidR="00AD380E" w:rsidRPr="00AD380E" w:rsidRDefault="00AD380E" w:rsidP="00AD380E">
            <w:pPr>
              <w:rPr>
                <w:rFonts w:ascii="Arial" w:hAnsi="Arial" w:cs="Arial"/>
              </w:rPr>
            </w:pPr>
            <w:r w:rsidRPr="00AD380E">
              <w:rPr>
                <w:rFonts w:ascii="Arial" w:hAnsi="Arial" w:cs="Arial"/>
              </w:rPr>
              <w:t>Risk Category</w:t>
            </w:r>
          </w:p>
        </w:tc>
        <w:tc>
          <w:tcPr>
            <w:tcW w:w="0" w:type="auto"/>
            <w:vAlign w:val="center"/>
            <w:hideMark/>
          </w:tcPr>
          <w:p w14:paraId="7EDFBC99" w14:textId="77777777" w:rsidR="00AD380E" w:rsidRPr="00AD380E" w:rsidRDefault="00AD380E" w:rsidP="00AD380E">
            <w:pPr>
              <w:rPr>
                <w:rFonts w:ascii="Arial" w:hAnsi="Arial" w:cs="Arial"/>
              </w:rPr>
            </w:pPr>
            <w:r w:rsidRPr="00AD380E">
              <w:rPr>
                <w:rFonts w:ascii="Arial" w:hAnsi="Arial" w:cs="Arial"/>
              </w:rPr>
              <w:t>New Build</w:t>
            </w:r>
          </w:p>
        </w:tc>
        <w:tc>
          <w:tcPr>
            <w:tcW w:w="0" w:type="auto"/>
            <w:vAlign w:val="center"/>
            <w:hideMark/>
          </w:tcPr>
          <w:p w14:paraId="68534326" w14:textId="77777777" w:rsidR="00AD380E" w:rsidRPr="00AD380E" w:rsidRDefault="00AD380E" w:rsidP="00AD380E">
            <w:pPr>
              <w:rPr>
                <w:rFonts w:ascii="Arial" w:hAnsi="Arial" w:cs="Arial"/>
              </w:rPr>
            </w:pPr>
            <w:r w:rsidRPr="00AD380E">
              <w:rPr>
                <w:rFonts w:ascii="Arial" w:hAnsi="Arial" w:cs="Arial"/>
              </w:rPr>
              <w:t>Dylan Thomas Centre</w:t>
            </w:r>
          </w:p>
        </w:tc>
        <w:tc>
          <w:tcPr>
            <w:tcW w:w="0" w:type="auto"/>
            <w:vAlign w:val="center"/>
            <w:hideMark/>
          </w:tcPr>
          <w:p w14:paraId="5D43F586" w14:textId="77777777" w:rsidR="00AD380E" w:rsidRPr="00AD380E" w:rsidRDefault="00AD380E" w:rsidP="00AD380E">
            <w:pPr>
              <w:rPr>
                <w:rFonts w:ascii="Arial" w:hAnsi="Arial" w:cs="Arial"/>
              </w:rPr>
            </w:pPr>
            <w:r w:rsidRPr="00AD380E">
              <w:rPr>
                <w:rFonts w:ascii="Arial" w:hAnsi="Arial" w:cs="Arial"/>
              </w:rPr>
              <w:t>Likelihood</w:t>
            </w:r>
          </w:p>
        </w:tc>
        <w:tc>
          <w:tcPr>
            <w:tcW w:w="0" w:type="auto"/>
            <w:vAlign w:val="center"/>
            <w:hideMark/>
          </w:tcPr>
          <w:p w14:paraId="132F0507" w14:textId="77777777" w:rsidR="00AD380E" w:rsidRPr="00AD380E" w:rsidRDefault="00AD380E" w:rsidP="00AD380E">
            <w:pPr>
              <w:rPr>
                <w:rFonts w:ascii="Arial" w:hAnsi="Arial" w:cs="Arial"/>
              </w:rPr>
            </w:pPr>
            <w:r w:rsidRPr="00AD380E">
              <w:rPr>
                <w:rFonts w:ascii="Arial" w:hAnsi="Arial" w:cs="Arial"/>
              </w:rPr>
              <w:t>Impact</w:t>
            </w:r>
          </w:p>
        </w:tc>
        <w:tc>
          <w:tcPr>
            <w:tcW w:w="0" w:type="auto"/>
            <w:vAlign w:val="center"/>
            <w:hideMark/>
          </w:tcPr>
          <w:p w14:paraId="0DE08DE0" w14:textId="77777777" w:rsidR="00AD380E" w:rsidRPr="00AD380E" w:rsidRDefault="00AD380E" w:rsidP="00AD380E">
            <w:pPr>
              <w:rPr>
                <w:rFonts w:ascii="Arial" w:hAnsi="Arial" w:cs="Arial"/>
              </w:rPr>
            </w:pPr>
            <w:r w:rsidRPr="00AD380E">
              <w:rPr>
                <w:rFonts w:ascii="Arial" w:hAnsi="Arial" w:cs="Arial"/>
              </w:rPr>
              <w:t>Notes</w:t>
            </w:r>
          </w:p>
        </w:tc>
      </w:tr>
      <w:tr w:rsidR="00AD380E" w:rsidRPr="00AD380E" w14:paraId="7187BFF7" w14:textId="77777777">
        <w:trPr>
          <w:tblCellSpacing w:w="15" w:type="dxa"/>
        </w:trPr>
        <w:tc>
          <w:tcPr>
            <w:tcW w:w="0" w:type="auto"/>
            <w:vAlign w:val="center"/>
            <w:hideMark/>
          </w:tcPr>
          <w:p w14:paraId="3A64BB64" w14:textId="77777777" w:rsidR="00AD380E" w:rsidRPr="00AD380E" w:rsidRDefault="00AD380E" w:rsidP="00AD380E">
            <w:pPr>
              <w:rPr>
                <w:rFonts w:ascii="Arial" w:hAnsi="Arial" w:cs="Arial"/>
              </w:rPr>
            </w:pPr>
            <w:r w:rsidRPr="00AD380E">
              <w:rPr>
                <w:rFonts w:ascii="Arial" w:hAnsi="Arial" w:cs="Arial"/>
              </w:rPr>
              <w:t>Design coordination</w:t>
            </w:r>
          </w:p>
        </w:tc>
        <w:tc>
          <w:tcPr>
            <w:tcW w:w="0" w:type="auto"/>
            <w:vAlign w:val="center"/>
            <w:hideMark/>
          </w:tcPr>
          <w:p w14:paraId="4575D042" w14:textId="77777777" w:rsidR="00AD380E" w:rsidRPr="00AD380E" w:rsidRDefault="00AD380E" w:rsidP="00AD380E">
            <w:pPr>
              <w:rPr>
                <w:rFonts w:ascii="Arial" w:hAnsi="Arial" w:cs="Arial"/>
              </w:rPr>
            </w:pPr>
            <w:r w:rsidRPr="00AD380E">
              <w:rPr>
                <w:rFonts w:ascii="Arial" w:hAnsi="Arial" w:cs="Arial"/>
              </w:rPr>
              <w:t>High</w:t>
            </w:r>
          </w:p>
        </w:tc>
        <w:tc>
          <w:tcPr>
            <w:tcW w:w="0" w:type="auto"/>
            <w:vAlign w:val="center"/>
            <w:hideMark/>
          </w:tcPr>
          <w:p w14:paraId="53C34127" w14:textId="77777777" w:rsidR="00AD380E" w:rsidRPr="00AD380E" w:rsidRDefault="00AD380E" w:rsidP="00AD380E">
            <w:pPr>
              <w:rPr>
                <w:rFonts w:ascii="Arial" w:hAnsi="Arial" w:cs="Arial"/>
              </w:rPr>
            </w:pPr>
            <w:r w:rsidRPr="00AD380E">
              <w:rPr>
                <w:rFonts w:ascii="Arial" w:hAnsi="Arial" w:cs="Arial"/>
              </w:rPr>
              <w:t>Medium</w:t>
            </w:r>
          </w:p>
        </w:tc>
        <w:tc>
          <w:tcPr>
            <w:tcW w:w="0" w:type="auto"/>
            <w:vAlign w:val="center"/>
            <w:hideMark/>
          </w:tcPr>
          <w:p w14:paraId="04A75275" w14:textId="77777777" w:rsidR="00AD380E" w:rsidRPr="00AD380E" w:rsidRDefault="00AD380E" w:rsidP="00AD380E">
            <w:pPr>
              <w:rPr>
                <w:rFonts w:ascii="Arial" w:hAnsi="Arial" w:cs="Arial"/>
              </w:rPr>
            </w:pPr>
            <w:r w:rsidRPr="00AD380E">
              <w:rPr>
                <w:rFonts w:ascii="Arial" w:hAnsi="Arial" w:cs="Arial"/>
              </w:rPr>
              <w:t>Medium–High</w:t>
            </w:r>
          </w:p>
        </w:tc>
        <w:tc>
          <w:tcPr>
            <w:tcW w:w="0" w:type="auto"/>
            <w:vAlign w:val="center"/>
            <w:hideMark/>
          </w:tcPr>
          <w:p w14:paraId="22130B74" w14:textId="77777777" w:rsidR="00AD380E" w:rsidRPr="00AD380E" w:rsidRDefault="00AD380E" w:rsidP="00AD380E">
            <w:pPr>
              <w:rPr>
                <w:rFonts w:ascii="Arial" w:hAnsi="Arial" w:cs="Arial"/>
              </w:rPr>
            </w:pPr>
            <w:r w:rsidRPr="00AD380E">
              <w:rPr>
                <w:rFonts w:ascii="Arial" w:hAnsi="Arial" w:cs="Arial"/>
              </w:rPr>
              <w:t>High</w:t>
            </w:r>
          </w:p>
        </w:tc>
        <w:tc>
          <w:tcPr>
            <w:tcW w:w="0" w:type="auto"/>
            <w:vAlign w:val="center"/>
            <w:hideMark/>
          </w:tcPr>
          <w:p w14:paraId="4FAB166A" w14:textId="77777777" w:rsidR="00AD380E" w:rsidRPr="00AD380E" w:rsidRDefault="00AD380E" w:rsidP="00AD380E">
            <w:pPr>
              <w:rPr>
                <w:rFonts w:ascii="Arial" w:hAnsi="Arial" w:cs="Arial"/>
              </w:rPr>
            </w:pPr>
            <w:r w:rsidRPr="00AD380E">
              <w:rPr>
                <w:rFonts w:ascii="Arial" w:hAnsi="Arial" w:cs="Arial"/>
              </w:rPr>
              <w:t>Workshops and M&amp;E complexity drive risk in new build</w:t>
            </w:r>
          </w:p>
        </w:tc>
      </w:tr>
      <w:tr w:rsidR="00AD380E" w:rsidRPr="00AD380E" w14:paraId="46B2B137" w14:textId="77777777">
        <w:trPr>
          <w:tblCellSpacing w:w="15" w:type="dxa"/>
        </w:trPr>
        <w:tc>
          <w:tcPr>
            <w:tcW w:w="0" w:type="auto"/>
            <w:vAlign w:val="center"/>
            <w:hideMark/>
          </w:tcPr>
          <w:p w14:paraId="7FDC504D" w14:textId="77777777" w:rsidR="00AD380E" w:rsidRPr="00AD380E" w:rsidRDefault="00AD380E" w:rsidP="00AD380E">
            <w:pPr>
              <w:rPr>
                <w:rFonts w:ascii="Arial" w:hAnsi="Arial" w:cs="Arial"/>
              </w:rPr>
            </w:pPr>
            <w:r w:rsidRPr="00AD380E">
              <w:rPr>
                <w:rFonts w:ascii="Arial" w:hAnsi="Arial" w:cs="Arial"/>
              </w:rPr>
              <w:lastRenderedPageBreak/>
              <w:t>Heritage constraints</w:t>
            </w:r>
          </w:p>
        </w:tc>
        <w:tc>
          <w:tcPr>
            <w:tcW w:w="0" w:type="auto"/>
            <w:vAlign w:val="center"/>
            <w:hideMark/>
          </w:tcPr>
          <w:p w14:paraId="420197A1" w14:textId="77777777" w:rsidR="00AD380E" w:rsidRPr="00AD380E" w:rsidRDefault="00AD380E" w:rsidP="00AD380E">
            <w:pPr>
              <w:rPr>
                <w:rFonts w:ascii="Arial" w:hAnsi="Arial" w:cs="Arial"/>
              </w:rPr>
            </w:pPr>
            <w:r w:rsidRPr="00AD380E">
              <w:rPr>
                <w:rFonts w:ascii="Arial" w:hAnsi="Arial" w:cs="Arial"/>
              </w:rPr>
              <w:t>Low</w:t>
            </w:r>
          </w:p>
        </w:tc>
        <w:tc>
          <w:tcPr>
            <w:tcW w:w="0" w:type="auto"/>
            <w:vAlign w:val="center"/>
            <w:hideMark/>
          </w:tcPr>
          <w:p w14:paraId="5222C67E" w14:textId="77777777" w:rsidR="00AD380E" w:rsidRPr="00AD380E" w:rsidRDefault="00AD380E" w:rsidP="00AD380E">
            <w:pPr>
              <w:rPr>
                <w:rFonts w:ascii="Arial" w:hAnsi="Arial" w:cs="Arial"/>
              </w:rPr>
            </w:pPr>
            <w:r w:rsidRPr="00AD380E">
              <w:rPr>
                <w:rFonts w:ascii="Arial" w:hAnsi="Arial" w:cs="Arial"/>
              </w:rPr>
              <w:t>Very High</w:t>
            </w:r>
          </w:p>
        </w:tc>
        <w:tc>
          <w:tcPr>
            <w:tcW w:w="0" w:type="auto"/>
            <w:vAlign w:val="center"/>
            <w:hideMark/>
          </w:tcPr>
          <w:p w14:paraId="1B25A2CC" w14:textId="77777777" w:rsidR="00AD380E" w:rsidRPr="00AD380E" w:rsidRDefault="00AD380E" w:rsidP="00AD380E">
            <w:pPr>
              <w:rPr>
                <w:rFonts w:ascii="Arial" w:hAnsi="Arial" w:cs="Arial"/>
              </w:rPr>
            </w:pPr>
            <w:r w:rsidRPr="00AD380E">
              <w:rPr>
                <w:rFonts w:ascii="Arial" w:hAnsi="Arial" w:cs="Arial"/>
              </w:rPr>
              <w:t>High</w:t>
            </w:r>
          </w:p>
        </w:tc>
        <w:tc>
          <w:tcPr>
            <w:tcW w:w="0" w:type="auto"/>
            <w:vAlign w:val="center"/>
            <w:hideMark/>
          </w:tcPr>
          <w:p w14:paraId="0DE3297B" w14:textId="77777777" w:rsidR="00AD380E" w:rsidRPr="00AD380E" w:rsidRDefault="00AD380E" w:rsidP="00AD380E">
            <w:pPr>
              <w:rPr>
                <w:rFonts w:ascii="Arial" w:hAnsi="Arial" w:cs="Arial"/>
              </w:rPr>
            </w:pPr>
            <w:r w:rsidRPr="00AD380E">
              <w:rPr>
                <w:rFonts w:ascii="Arial" w:hAnsi="Arial" w:cs="Arial"/>
              </w:rPr>
              <w:t>High</w:t>
            </w:r>
          </w:p>
        </w:tc>
        <w:tc>
          <w:tcPr>
            <w:tcW w:w="0" w:type="auto"/>
            <w:vAlign w:val="center"/>
            <w:hideMark/>
          </w:tcPr>
          <w:p w14:paraId="5EBAFE17" w14:textId="77777777" w:rsidR="00AD380E" w:rsidRPr="00AD380E" w:rsidRDefault="00AD380E" w:rsidP="00AD380E">
            <w:pPr>
              <w:rPr>
                <w:rFonts w:ascii="Arial" w:hAnsi="Arial" w:cs="Arial"/>
              </w:rPr>
            </w:pPr>
            <w:r w:rsidRPr="00AD380E">
              <w:rPr>
                <w:rFonts w:ascii="Arial" w:hAnsi="Arial" w:cs="Arial"/>
              </w:rPr>
              <w:t>Major factor for refurbishment</w:t>
            </w:r>
          </w:p>
        </w:tc>
      </w:tr>
      <w:tr w:rsidR="00AD380E" w:rsidRPr="00AD380E" w14:paraId="400D3FAC" w14:textId="77777777">
        <w:trPr>
          <w:tblCellSpacing w:w="15" w:type="dxa"/>
        </w:trPr>
        <w:tc>
          <w:tcPr>
            <w:tcW w:w="0" w:type="auto"/>
            <w:vAlign w:val="center"/>
            <w:hideMark/>
          </w:tcPr>
          <w:p w14:paraId="5045644B" w14:textId="77777777" w:rsidR="00AD380E" w:rsidRPr="00AD380E" w:rsidRDefault="00AD380E" w:rsidP="00AD380E">
            <w:pPr>
              <w:rPr>
                <w:rFonts w:ascii="Arial" w:hAnsi="Arial" w:cs="Arial"/>
              </w:rPr>
            </w:pPr>
            <w:r w:rsidRPr="00AD380E">
              <w:rPr>
                <w:rFonts w:ascii="Arial" w:hAnsi="Arial" w:cs="Arial"/>
              </w:rPr>
              <w:t>Unforeseen conditions</w:t>
            </w:r>
          </w:p>
        </w:tc>
        <w:tc>
          <w:tcPr>
            <w:tcW w:w="0" w:type="auto"/>
            <w:vAlign w:val="center"/>
            <w:hideMark/>
          </w:tcPr>
          <w:p w14:paraId="11257EDF" w14:textId="77777777" w:rsidR="00AD380E" w:rsidRPr="00AD380E" w:rsidRDefault="00AD380E" w:rsidP="00AD380E">
            <w:pPr>
              <w:rPr>
                <w:rFonts w:ascii="Arial" w:hAnsi="Arial" w:cs="Arial"/>
              </w:rPr>
            </w:pPr>
            <w:r w:rsidRPr="00AD380E">
              <w:rPr>
                <w:rFonts w:ascii="Arial" w:hAnsi="Arial" w:cs="Arial"/>
              </w:rPr>
              <w:t>Low</w:t>
            </w:r>
          </w:p>
        </w:tc>
        <w:tc>
          <w:tcPr>
            <w:tcW w:w="0" w:type="auto"/>
            <w:vAlign w:val="center"/>
            <w:hideMark/>
          </w:tcPr>
          <w:p w14:paraId="6680DA85" w14:textId="77777777" w:rsidR="00AD380E" w:rsidRPr="00AD380E" w:rsidRDefault="00AD380E" w:rsidP="00AD380E">
            <w:pPr>
              <w:rPr>
                <w:rFonts w:ascii="Arial" w:hAnsi="Arial" w:cs="Arial"/>
              </w:rPr>
            </w:pPr>
            <w:r w:rsidRPr="00AD380E">
              <w:rPr>
                <w:rFonts w:ascii="Arial" w:hAnsi="Arial" w:cs="Arial"/>
              </w:rPr>
              <w:t>High</w:t>
            </w:r>
          </w:p>
        </w:tc>
        <w:tc>
          <w:tcPr>
            <w:tcW w:w="0" w:type="auto"/>
            <w:vAlign w:val="center"/>
            <w:hideMark/>
          </w:tcPr>
          <w:p w14:paraId="784C1247" w14:textId="77777777" w:rsidR="00AD380E" w:rsidRPr="00AD380E" w:rsidRDefault="00AD380E" w:rsidP="00AD380E">
            <w:pPr>
              <w:rPr>
                <w:rFonts w:ascii="Arial" w:hAnsi="Arial" w:cs="Arial"/>
              </w:rPr>
            </w:pPr>
            <w:r w:rsidRPr="00AD380E">
              <w:rPr>
                <w:rFonts w:ascii="Arial" w:hAnsi="Arial" w:cs="Arial"/>
              </w:rPr>
              <w:t>Medium–High</w:t>
            </w:r>
          </w:p>
        </w:tc>
        <w:tc>
          <w:tcPr>
            <w:tcW w:w="0" w:type="auto"/>
            <w:vAlign w:val="center"/>
            <w:hideMark/>
          </w:tcPr>
          <w:p w14:paraId="19663890" w14:textId="77777777" w:rsidR="00AD380E" w:rsidRPr="00AD380E" w:rsidRDefault="00AD380E" w:rsidP="00AD380E">
            <w:pPr>
              <w:rPr>
                <w:rFonts w:ascii="Arial" w:hAnsi="Arial" w:cs="Arial"/>
              </w:rPr>
            </w:pPr>
            <w:r w:rsidRPr="00AD380E">
              <w:rPr>
                <w:rFonts w:ascii="Arial" w:hAnsi="Arial" w:cs="Arial"/>
              </w:rPr>
              <w:t>High</w:t>
            </w:r>
          </w:p>
        </w:tc>
        <w:tc>
          <w:tcPr>
            <w:tcW w:w="0" w:type="auto"/>
            <w:vAlign w:val="center"/>
            <w:hideMark/>
          </w:tcPr>
          <w:p w14:paraId="0194AF14" w14:textId="77777777" w:rsidR="00AD380E" w:rsidRPr="00AD380E" w:rsidRDefault="00AD380E" w:rsidP="00AD380E">
            <w:pPr>
              <w:rPr>
                <w:rFonts w:ascii="Arial" w:hAnsi="Arial" w:cs="Arial"/>
              </w:rPr>
            </w:pPr>
            <w:r w:rsidRPr="00AD380E">
              <w:rPr>
                <w:rFonts w:ascii="Arial" w:hAnsi="Arial" w:cs="Arial"/>
              </w:rPr>
              <w:t>Typical of heritage buildings</w:t>
            </w:r>
          </w:p>
        </w:tc>
      </w:tr>
      <w:tr w:rsidR="00AD380E" w:rsidRPr="00AD380E" w14:paraId="05BA8DA7" w14:textId="77777777">
        <w:trPr>
          <w:tblCellSpacing w:w="15" w:type="dxa"/>
        </w:trPr>
        <w:tc>
          <w:tcPr>
            <w:tcW w:w="0" w:type="auto"/>
            <w:vAlign w:val="center"/>
            <w:hideMark/>
          </w:tcPr>
          <w:p w14:paraId="5750862C" w14:textId="77777777" w:rsidR="00AD380E" w:rsidRPr="00AD380E" w:rsidRDefault="00AD380E" w:rsidP="00AD380E">
            <w:pPr>
              <w:rPr>
                <w:rFonts w:ascii="Arial" w:hAnsi="Arial" w:cs="Arial"/>
              </w:rPr>
            </w:pPr>
            <w:r w:rsidRPr="00AD380E">
              <w:rPr>
                <w:rFonts w:ascii="Arial" w:hAnsi="Arial" w:cs="Arial"/>
              </w:rPr>
              <w:t>Cost inflation</w:t>
            </w:r>
          </w:p>
        </w:tc>
        <w:tc>
          <w:tcPr>
            <w:tcW w:w="0" w:type="auto"/>
            <w:vAlign w:val="center"/>
            <w:hideMark/>
          </w:tcPr>
          <w:p w14:paraId="47381F60" w14:textId="77777777" w:rsidR="00AD380E" w:rsidRPr="00AD380E" w:rsidRDefault="00AD380E" w:rsidP="00AD380E">
            <w:pPr>
              <w:rPr>
                <w:rFonts w:ascii="Arial" w:hAnsi="Arial" w:cs="Arial"/>
              </w:rPr>
            </w:pPr>
            <w:r w:rsidRPr="00AD380E">
              <w:rPr>
                <w:rFonts w:ascii="Arial" w:hAnsi="Arial" w:cs="Arial"/>
              </w:rPr>
              <w:t>Medium</w:t>
            </w:r>
          </w:p>
        </w:tc>
        <w:tc>
          <w:tcPr>
            <w:tcW w:w="0" w:type="auto"/>
            <w:vAlign w:val="center"/>
            <w:hideMark/>
          </w:tcPr>
          <w:p w14:paraId="4F187419" w14:textId="77777777" w:rsidR="00AD380E" w:rsidRPr="00AD380E" w:rsidRDefault="00AD380E" w:rsidP="00AD380E">
            <w:pPr>
              <w:rPr>
                <w:rFonts w:ascii="Arial" w:hAnsi="Arial" w:cs="Arial"/>
              </w:rPr>
            </w:pPr>
            <w:r w:rsidRPr="00AD380E">
              <w:rPr>
                <w:rFonts w:ascii="Arial" w:hAnsi="Arial" w:cs="Arial"/>
              </w:rPr>
              <w:t>Medium</w:t>
            </w:r>
          </w:p>
        </w:tc>
        <w:tc>
          <w:tcPr>
            <w:tcW w:w="0" w:type="auto"/>
            <w:vAlign w:val="center"/>
            <w:hideMark/>
          </w:tcPr>
          <w:p w14:paraId="782AD532" w14:textId="77777777" w:rsidR="00AD380E" w:rsidRPr="00AD380E" w:rsidRDefault="00AD380E" w:rsidP="00AD380E">
            <w:pPr>
              <w:rPr>
                <w:rFonts w:ascii="Arial" w:hAnsi="Arial" w:cs="Arial"/>
              </w:rPr>
            </w:pPr>
            <w:r w:rsidRPr="00AD380E">
              <w:rPr>
                <w:rFonts w:ascii="Arial" w:hAnsi="Arial" w:cs="Arial"/>
              </w:rPr>
              <w:t>Medium</w:t>
            </w:r>
          </w:p>
        </w:tc>
        <w:tc>
          <w:tcPr>
            <w:tcW w:w="0" w:type="auto"/>
            <w:vAlign w:val="center"/>
            <w:hideMark/>
          </w:tcPr>
          <w:p w14:paraId="1E41D182" w14:textId="77777777" w:rsidR="00AD380E" w:rsidRPr="00AD380E" w:rsidRDefault="00AD380E" w:rsidP="00AD380E">
            <w:pPr>
              <w:rPr>
                <w:rFonts w:ascii="Arial" w:hAnsi="Arial" w:cs="Arial"/>
              </w:rPr>
            </w:pPr>
            <w:r w:rsidRPr="00AD380E">
              <w:rPr>
                <w:rFonts w:ascii="Arial" w:hAnsi="Arial" w:cs="Arial"/>
              </w:rPr>
              <w:t>Medium–High</w:t>
            </w:r>
          </w:p>
        </w:tc>
        <w:tc>
          <w:tcPr>
            <w:tcW w:w="0" w:type="auto"/>
            <w:vAlign w:val="center"/>
            <w:hideMark/>
          </w:tcPr>
          <w:p w14:paraId="5E0F22E5" w14:textId="77777777" w:rsidR="00AD380E" w:rsidRPr="00AD380E" w:rsidRDefault="00AD380E" w:rsidP="00AD380E">
            <w:pPr>
              <w:rPr>
                <w:rFonts w:ascii="Arial" w:hAnsi="Arial" w:cs="Arial"/>
              </w:rPr>
            </w:pPr>
            <w:r w:rsidRPr="00AD380E">
              <w:rPr>
                <w:rFonts w:ascii="Arial" w:hAnsi="Arial" w:cs="Arial"/>
              </w:rPr>
              <w:t>Affects both projects</w:t>
            </w:r>
          </w:p>
        </w:tc>
      </w:tr>
      <w:tr w:rsidR="00AD380E" w:rsidRPr="00AD380E" w14:paraId="68A18D6B" w14:textId="77777777">
        <w:trPr>
          <w:tblCellSpacing w:w="15" w:type="dxa"/>
        </w:trPr>
        <w:tc>
          <w:tcPr>
            <w:tcW w:w="0" w:type="auto"/>
            <w:vAlign w:val="center"/>
            <w:hideMark/>
          </w:tcPr>
          <w:p w14:paraId="60D8E6B4" w14:textId="77777777" w:rsidR="00AD380E" w:rsidRPr="00AD380E" w:rsidRDefault="00AD380E" w:rsidP="00AD380E">
            <w:pPr>
              <w:rPr>
                <w:rFonts w:ascii="Arial" w:hAnsi="Arial" w:cs="Arial"/>
              </w:rPr>
            </w:pPr>
            <w:r w:rsidRPr="00AD380E">
              <w:rPr>
                <w:rFonts w:ascii="Arial" w:hAnsi="Arial" w:cs="Arial"/>
              </w:rPr>
              <w:t>Programme delays</w:t>
            </w:r>
          </w:p>
        </w:tc>
        <w:tc>
          <w:tcPr>
            <w:tcW w:w="0" w:type="auto"/>
            <w:vAlign w:val="center"/>
            <w:hideMark/>
          </w:tcPr>
          <w:p w14:paraId="7C177994" w14:textId="77777777" w:rsidR="00AD380E" w:rsidRPr="00AD380E" w:rsidRDefault="00AD380E" w:rsidP="00AD380E">
            <w:pPr>
              <w:rPr>
                <w:rFonts w:ascii="Arial" w:hAnsi="Arial" w:cs="Arial"/>
              </w:rPr>
            </w:pPr>
            <w:r w:rsidRPr="00AD380E">
              <w:rPr>
                <w:rFonts w:ascii="Arial" w:hAnsi="Arial" w:cs="Arial"/>
              </w:rPr>
              <w:t>Medium</w:t>
            </w:r>
          </w:p>
        </w:tc>
        <w:tc>
          <w:tcPr>
            <w:tcW w:w="0" w:type="auto"/>
            <w:vAlign w:val="center"/>
            <w:hideMark/>
          </w:tcPr>
          <w:p w14:paraId="2BA01C13" w14:textId="77777777" w:rsidR="00AD380E" w:rsidRPr="00AD380E" w:rsidRDefault="00AD380E" w:rsidP="00AD380E">
            <w:pPr>
              <w:rPr>
                <w:rFonts w:ascii="Arial" w:hAnsi="Arial" w:cs="Arial"/>
              </w:rPr>
            </w:pPr>
            <w:r w:rsidRPr="00AD380E">
              <w:rPr>
                <w:rFonts w:ascii="Arial" w:hAnsi="Arial" w:cs="Arial"/>
              </w:rPr>
              <w:t>High</w:t>
            </w:r>
          </w:p>
        </w:tc>
        <w:tc>
          <w:tcPr>
            <w:tcW w:w="0" w:type="auto"/>
            <w:vAlign w:val="center"/>
            <w:hideMark/>
          </w:tcPr>
          <w:p w14:paraId="3861E1BD" w14:textId="77777777" w:rsidR="00AD380E" w:rsidRPr="00AD380E" w:rsidRDefault="00AD380E" w:rsidP="00AD380E">
            <w:pPr>
              <w:rPr>
                <w:rFonts w:ascii="Arial" w:hAnsi="Arial" w:cs="Arial"/>
              </w:rPr>
            </w:pPr>
            <w:r w:rsidRPr="00AD380E">
              <w:rPr>
                <w:rFonts w:ascii="Arial" w:hAnsi="Arial" w:cs="Arial"/>
              </w:rPr>
              <w:t>Medium</w:t>
            </w:r>
          </w:p>
        </w:tc>
        <w:tc>
          <w:tcPr>
            <w:tcW w:w="0" w:type="auto"/>
            <w:vAlign w:val="center"/>
            <w:hideMark/>
          </w:tcPr>
          <w:p w14:paraId="1E1DEB86" w14:textId="77777777" w:rsidR="00AD380E" w:rsidRPr="00AD380E" w:rsidRDefault="00AD380E" w:rsidP="00AD380E">
            <w:pPr>
              <w:rPr>
                <w:rFonts w:ascii="Arial" w:hAnsi="Arial" w:cs="Arial"/>
              </w:rPr>
            </w:pPr>
            <w:r w:rsidRPr="00AD380E">
              <w:rPr>
                <w:rFonts w:ascii="Arial" w:hAnsi="Arial" w:cs="Arial"/>
              </w:rPr>
              <w:t>High</w:t>
            </w:r>
          </w:p>
        </w:tc>
        <w:tc>
          <w:tcPr>
            <w:tcW w:w="0" w:type="auto"/>
            <w:vAlign w:val="center"/>
            <w:hideMark/>
          </w:tcPr>
          <w:p w14:paraId="7CE141AD" w14:textId="77777777" w:rsidR="00AD380E" w:rsidRPr="00AD380E" w:rsidRDefault="00AD380E" w:rsidP="00AD380E">
            <w:pPr>
              <w:rPr>
                <w:rFonts w:ascii="Arial" w:hAnsi="Arial" w:cs="Arial"/>
              </w:rPr>
            </w:pPr>
            <w:r w:rsidRPr="00AD380E">
              <w:rPr>
                <w:rFonts w:ascii="Arial" w:hAnsi="Arial" w:cs="Arial"/>
              </w:rPr>
              <w:t>Refurbishment more vulnerable</w:t>
            </w:r>
          </w:p>
        </w:tc>
      </w:tr>
      <w:tr w:rsidR="00AD380E" w:rsidRPr="00AD380E" w14:paraId="160BE904" w14:textId="77777777">
        <w:trPr>
          <w:tblCellSpacing w:w="15" w:type="dxa"/>
        </w:trPr>
        <w:tc>
          <w:tcPr>
            <w:tcW w:w="0" w:type="auto"/>
            <w:vAlign w:val="center"/>
            <w:hideMark/>
          </w:tcPr>
          <w:p w14:paraId="18BB4094" w14:textId="77777777" w:rsidR="00AD380E" w:rsidRPr="00AD380E" w:rsidRDefault="00AD380E" w:rsidP="00AD380E">
            <w:pPr>
              <w:rPr>
                <w:rFonts w:ascii="Arial" w:hAnsi="Arial" w:cs="Arial"/>
              </w:rPr>
            </w:pPr>
            <w:r w:rsidRPr="00AD380E">
              <w:rPr>
                <w:rFonts w:ascii="Arial" w:hAnsi="Arial" w:cs="Arial"/>
              </w:rPr>
              <w:t>Accessibility compliance</w:t>
            </w:r>
          </w:p>
        </w:tc>
        <w:tc>
          <w:tcPr>
            <w:tcW w:w="0" w:type="auto"/>
            <w:vAlign w:val="center"/>
            <w:hideMark/>
          </w:tcPr>
          <w:p w14:paraId="62A92729" w14:textId="77777777" w:rsidR="00AD380E" w:rsidRPr="00AD380E" w:rsidRDefault="00AD380E" w:rsidP="00AD380E">
            <w:pPr>
              <w:rPr>
                <w:rFonts w:ascii="Arial" w:hAnsi="Arial" w:cs="Arial"/>
              </w:rPr>
            </w:pPr>
            <w:r w:rsidRPr="00AD380E">
              <w:rPr>
                <w:rFonts w:ascii="Arial" w:hAnsi="Arial" w:cs="Arial"/>
              </w:rPr>
              <w:t>Medium</w:t>
            </w:r>
          </w:p>
        </w:tc>
        <w:tc>
          <w:tcPr>
            <w:tcW w:w="0" w:type="auto"/>
            <w:vAlign w:val="center"/>
            <w:hideMark/>
          </w:tcPr>
          <w:p w14:paraId="0E502EFB" w14:textId="77777777" w:rsidR="00AD380E" w:rsidRPr="00AD380E" w:rsidRDefault="00AD380E" w:rsidP="00AD380E">
            <w:pPr>
              <w:rPr>
                <w:rFonts w:ascii="Arial" w:hAnsi="Arial" w:cs="Arial"/>
              </w:rPr>
            </w:pPr>
            <w:r w:rsidRPr="00AD380E">
              <w:rPr>
                <w:rFonts w:ascii="Arial" w:hAnsi="Arial" w:cs="Arial"/>
              </w:rPr>
              <w:t>Very High</w:t>
            </w:r>
          </w:p>
        </w:tc>
        <w:tc>
          <w:tcPr>
            <w:tcW w:w="0" w:type="auto"/>
            <w:vAlign w:val="center"/>
            <w:hideMark/>
          </w:tcPr>
          <w:p w14:paraId="352719EB" w14:textId="77777777" w:rsidR="00AD380E" w:rsidRPr="00AD380E" w:rsidRDefault="00AD380E" w:rsidP="00AD380E">
            <w:pPr>
              <w:rPr>
                <w:rFonts w:ascii="Arial" w:hAnsi="Arial" w:cs="Arial"/>
              </w:rPr>
            </w:pPr>
            <w:r w:rsidRPr="00AD380E">
              <w:rPr>
                <w:rFonts w:ascii="Arial" w:hAnsi="Arial" w:cs="Arial"/>
              </w:rPr>
              <w:t>High</w:t>
            </w:r>
          </w:p>
        </w:tc>
        <w:tc>
          <w:tcPr>
            <w:tcW w:w="0" w:type="auto"/>
            <w:vAlign w:val="center"/>
            <w:hideMark/>
          </w:tcPr>
          <w:p w14:paraId="381A11D5" w14:textId="77777777" w:rsidR="00AD380E" w:rsidRPr="00AD380E" w:rsidRDefault="00AD380E" w:rsidP="00AD380E">
            <w:pPr>
              <w:rPr>
                <w:rFonts w:ascii="Arial" w:hAnsi="Arial" w:cs="Arial"/>
              </w:rPr>
            </w:pPr>
            <w:r w:rsidRPr="00AD380E">
              <w:rPr>
                <w:rFonts w:ascii="Arial" w:hAnsi="Arial" w:cs="Arial"/>
              </w:rPr>
              <w:t>High</w:t>
            </w:r>
          </w:p>
        </w:tc>
        <w:tc>
          <w:tcPr>
            <w:tcW w:w="0" w:type="auto"/>
            <w:vAlign w:val="center"/>
            <w:hideMark/>
          </w:tcPr>
          <w:p w14:paraId="5B2ADA77" w14:textId="77777777" w:rsidR="00AD380E" w:rsidRPr="00AD380E" w:rsidRDefault="00AD380E" w:rsidP="00AD380E">
            <w:pPr>
              <w:rPr>
                <w:rFonts w:ascii="Arial" w:hAnsi="Arial" w:cs="Arial"/>
              </w:rPr>
            </w:pPr>
            <w:r w:rsidRPr="00AD380E">
              <w:rPr>
                <w:rFonts w:ascii="Arial" w:hAnsi="Arial" w:cs="Arial"/>
              </w:rPr>
              <w:t>Central to refurbishment scope</w:t>
            </w:r>
          </w:p>
        </w:tc>
      </w:tr>
      <w:tr w:rsidR="00AD380E" w:rsidRPr="00AD380E" w14:paraId="52DBD73A" w14:textId="77777777">
        <w:trPr>
          <w:tblCellSpacing w:w="15" w:type="dxa"/>
        </w:trPr>
        <w:tc>
          <w:tcPr>
            <w:tcW w:w="0" w:type="auto"/>
            <w:vAlign w:val="center"/>
            <w:hideMark/>
          </w:tcPr>
          <w:p w14:paraId="61F6F380" w14:textId="77777777" w:rsidR="00AD380E" w:rsidRPr="00AD380E" w:rsidRDefault="00AD380E" w:rsidP="00AD380E">
            <w:pPr>
              <w:rPr>
                <w:rFonts w:ascii="Arial" w:hAnsi="Arial" w:cs="Arial"/>
              </w:rPr>
            </w:pPr>
            <w:r w:rsidRPr="00AD380E">
              <w:rPr>
                <w:rFonts w:ascii="Arial" w:hAnsi="Arial" w:cs="Arial"/>
              </w:rPr>
              <w:t>Operational disruption</w:t>
            </w:r>
          </w:p>
        </w:tc>
        <w:tc>
          <w:tcPr>
            <w:tcW w:w="0" w:type="auto"/>
            <w:vAlign w:val="center"/>
            <w:hideMark/>
          </w:tcPr>
          <w:p w14:paraId="59E8666A" w14:textId="77777777" w:rsidR="00AD380E" w:rsidRPr="00AD380E" w:rsidRDefault="00AD380E" w:rsidP="00AD380E">
            <w:pPr>
              <w:rPr>
                <w:rFonts w:ascii="Arial" w:hAnsi="Arial" w:cs="Arial"/>
              </w:rPr>
            </w:pPr>
            <w:r w:rsidRPr="00AD380E">
              <w:rPr>
                <w:rFonts w:ascii="Arial" w:hAnsi="Arial" w:cs="Arial"/>
              </w:rPr>
              <w:t>Low</w:t>
            </w:r>
          </w:p>
        </w:tc>
        <w:tc>
          <w:tcPr>
            <w:tcW w:w="0" w:type="auto"/>
            <w:vAlign w:val="center"/>
            <w:hideMark/>
          </w:tcPr>
          <w:p w14:paraId="43ADE672" w14:textId="77777777" w:rsidR="00AD380E" w:rsidRPr="00AD380E" w:rsidRDefault="00AD380E" w:rsidP="00AD380E">
            <w:pPr>
              <w:rPr>
                <w:rFonts w:ascii="Arial" w:hAnsi="Arial" w:cs="Arial"/>
              </w:rPr>
            </w:pPr>
            <w:r w:rsidRPr="00AD380E">
              <w:rPr>
                <w:rFonts w:ascii="Arial" w:hAnsi="Arial" w:cs="Arial"/>
              </w:rPr>
              <w:t>Medium</w:t>
            </w:r>
          </w:p>
        </w:tc>
        <w:tc>
          <w:tcPr>
            <w:tcW w:w="0" w:type="auto"/>
            <w:vAlign w:val="center"/>
            <w:hideMark/>
          </w:tcPr>
          <w:p w14:paraId="016E7983" w14:textId="77777777" w:rsidR="00AD380E" w:rsidRPr="00AD380E" w:rsidRDefault="00AD380E" w:rsidP="00AD380E">
            <w:pPr>
              <w:rPr>
                <w:rFonts w:ascii="Arial" w:hAnsi="Arial" w:cs="Arial"/>
              </w:rPr>
            </w:pPr>
            <w:r w:rsidRPr="00AD380E">
              <w:rPr>
                <w:rFonts w:ascii="Arial" w:hAnsi="Arial" w:cs="Arial"/>
              </w:rPr>
              <w:t>Medium</w:t>
            </w:r>
          </w:p>
        </w:tc>
        <w:tc>
          <w:tcPr>
            <w:tcW w:w="0" w:type="auto"/>
            <w:vAlign w:val="center"/>
            <w:hideMark/>
          </w:tcPr>
          <w:p w14:paraId="06383EC1" w14:textId="77777777" w:rsidR="00AD380E" w:rsidRPr="00AD380E" w:rsidRDefault="00AD380E" w:rsidP="00AD380E">
            <w:pPr>
              <w:rPr>
                <w:rFonts w:ascii="Arial" w:hAnsi="Arial" w:cs="Arial"/>
              </w:rPr>
            </w:pPr>
            <w:r w:rsidRPr="00AD380E">
              <w:rPr>
                <w:rFonts w:ascii="Arial" w:hAnsi="Arial" w:cs="Arial"/>
              </w:rPr>
              <w:t>Medium</w:t>
            </w:r>
          </w:p>
        </w:tc>
        <w:tc>
          <w:tcPr>
            <w:tcW w:w="0" w:type="auto"/>
            <w:vAlign w:val="center"/>
            <w:hideMark/>
          </w:tcPr>
          <w:p w14:paraId="36CC3361" w14:textId="77777777" w:rsidR="00AD380E" w:rsidRPr="00AD380E" w:rsidRDefault="00AD380E" w:rsidP="00AD380E">
            <w:pPr>
              <w:rPr>
                <w:rFonts w:ascii="Arial" w:hAnsi="Arial" w:cs="Arial"/>
              </w:rPr>
            </w:pPr>
            <w:r w:rsidRPr="00AD380E">
              <w:rPr>
                <w:rFonts w:ascii="Arial" w:hAnsi="Arial" w:cs="Arial"/>
              </w:rPr>
              <w:t>Dylan Thomas Centre hosts events</w:t>
            </w:r>
          </w:p>
        </w:tc>
      </w:tr>
      <w:tr w:rsidR="00AD380E" w:rsidRPr="00AD380E" w14:paraId="5061FC54" w14:textId="77777777">
        <w:trPr>
          <w:tblCellSpacing w:w="15" w:type="dxa"/>
        </w:trPr>
        <w:tc>
          <w:tcPr>
            <w:tcW w:w="0" w:type="auto"/>
            <w:vAlign w:val="center"/>
            <w:hideMark/>
          </w:tcPr>
          <w:p w14:paraId="56DCB57E" w14:textId="77777777" w:rsidR="00AD380E" w:rsidRPr="00AD380E" w:rsidRDefault="00AD380E" w:rsidP="00AD380E">
            <w:pPr>
              <w:rPr>
                <w:rFonts w:ascii="Arial" w:hAnsi="Arial" w:cs="Arial"/>
              </w:rPr>
            </w:pPr>
            <w:r w:rsidRPr="00AD380E">
              <w:rPr>
                <w:rFonts w:ascii="Arial" w:hAnsi="Arial" w:cs="Arial"/>
              </w:rPr>
              <w:t>Sustainability targets</w:t>
            </w:r>
          </w:p>
        </w:tc>
        <w:tc>
          <w:tcPr>
            <w:tcW w:w="0" w:type="auto"/>
            <w:vAlign w:val="center"/>
            <w:hideMark/>
          </w:tcPr>
          <w:p w14:paraId="6C2B926A" w14:textId="77777777" w:rsidR="00AD380E" w:rsidRPr="00AD380E" w:rsidRDefault="00AD380E" w:rsidP="00AD380E">
            <w:pPr>
              <w:rPr>
                <w:rFonts w:ascii="Arial" w:hAnsi="Arial" w:cs="Arial"/>
              </w:rPr>
            </w:pPr>
            <w:r w:rsidRPr="00AD380E">
              <w:rPr>
                <w:rFonts w:ascii="Arial" w:hAnsi="Arial" w:cs="Arial"/>
              </w:rPr>
              <w:t>High</w:t>
            </w:r>
          </w:p>
        </w:tc>
        <w:tc>
          <w:tcPr>
            <w:tcW w:w="0" w:type="auto"/>
            <w:vAlign w:val="center"/>
            <w:hideMark/>
          </w:tcPr>
          <w:p w14:paraId="5E9CDF12" w14:textId="77777777" w:rsidR="00AD380E" w:rsidRPr="00AD380E" w:rsidRDefault="00AD380E" w:rsidP="00AD380E">
            <w:pPr>
              <w:rPr>
                <w:rFonts w:ascii="Arial" w:hAnsi="Arial" w:cs="Arial"/>
              </w:rPr>
            </w:pPr>
            <w:r w:rsidRPr="00AD380E">
              <w:rPr>
                <w:rFonts w:ascii="Arial" w:hAnsi="Arial" w:cs="Arial"/>
              </w:rPr>
              <w:t>Medium</w:t>
            </w:r>
          </w:p>
        </w:tc>
        <w:tc>
          <w:tcPr>
            <w:tcW w:w="0" w:type="auto"/>
            <w:vAlign w:val="center"/>
            <w:hideMark/>
          </w:tcPr>
          <w:p w14:paraId="4326AB67" w14:textId="77777777" w:rsidR="00AD380E" w:rsidRPr="00AD380E" w:rsidRDefault="00AD380E" w:rsidP="00AD380E">
            <w:pPr>
              <w:rPr>
                <w:rFonts w:ascii="Arial" w:hAnsi="Arial" w:cs="Arial"/>
              </w:rPr>
            </w:pPr>
            <w:r w:rsidRPr="00AD380E">
              <w:rPr>
                <w:rFonts w:ascii="Arial" w:hAnsi="Arial" w:cs="Arial"/>
              </w:rPr>
              <w:t>Medium</w:t>
            </w:r>
          </w:p>
        </w:tc>
        <w:tc>
          <w:tcPr>
            <w:tcW w:w="0" w:type="auto"/>
            <w:vAlign w:val="center"/>
            <w:hideMark/>
          </w:tcPr>
          <w:p w14:paraId="3D8A5D8B" w14:textId="77777777" w:rsidR="00AD380E" w:rsidRPr="00AD380E" w:rsidRDefault="00AD380E" w:rsidP="00AD380E">
            <w:pPr>
              <w:rPr>
                <w:rFonts w:ascii="Arial" w:hAnsi="Arial" w:cs="Arial"/>
              </w:rPr>
            </w:pPr>
            <w:r w:rsidRPr="00AD380E">
              <w:rPr>
                <w:rFonts w:ascii="Arial" w:hAnsi="Arial" w:cs="Arial"/>
              </w:rPr>
              <w:t>Medium–High</w:t>
            </w:r>
          </w:p>
        </w:tc>
        <w:tc>
          <w:tcPr>
            <w:tcW w:w="0" w:type="auto"/>
            <w:vAlign w:val="center"/>
            <w:hideMark/>
          </w:tcPr>
          <w:p w14:paraId="7BAED9C9" w14:textId="7DE5F32B" w:rsidR="00196D24" w:rsidRDefault="00AD380E" w:rsidP="00AD380E">
            <w:pPr>
              <w:rPr>
                <w:rFonts w:ascii="Arial" w:hAnsi="Arial" w:cs="Arial"/>
              </w:rPr>
            </w:pPr>
            <w:r w:rsidRPr="00AD380E">
              <w:rPr>
                <w:rFonts w:ascii="Arial" w:hAnsi="Arial" w:cs="Arial"/>
              </w:rPr>
              <w:t>New build must meet modern standards</w:t>
            </w:r>
          </w:p>
          <w:p w14:paraId="00337025" w14:textId="77777777" w:rsidR="00196D24" w:rsidRPr="00AD380E" w:rsidRDefault="00196D24" w:rsidP="00AD380E">
            <w:pPr>
              <w:rPr>
                <w:rFonts w:ascii="Arial" w:hAnsi="Arial" w:cs="Arial"/>
              </w:rPr>
            </w:pPr>
          </w:p>
        </w:tc>
      </w:tr>
    </w:tbl>
    <w:p w14:paraId="63528047" w14:textId="77777777" w:rsidR="00E13889" w:rsidRDefault="00E13889" w:rsidP="00AD380E">
      <w:pPr>
        <w:rPr>
          <w:rFonts w:ascii="Arial" w:hAnsi="Arial" w:cs="Arial"/>
        </w:rPr>
      </w:pPr>
    </w:p>
    <w:p w14:paraId="5A1A07E5" w14:textId="2126A9F3" w:rsidR="00AD380E" w:rsidRPr="00AD380E" w:rsidRDefault="00AD380E" w:rsidP="004341C0">
      <w:pPr>
        <w:pStyle w:val="Heading2"/>
      </w:pPr>
      <w:bookmarkStart w:id="41" w:name="_Toc223447537"/>
      <w:r w:rsidRPr="00AD380E">
        <w:t>10.5 Risk Allocation</w:t>
      </w:r>
      <w:bookmarkEnd w:id="41"/>
    </w:p>
    <w:p w14:paraId="33ADBB34" w14:textId="77777777" w:rsidR="00AD380E" w:rsidRPr="00AD380E" w:rsidRDefault="00AD380E" w:rsidP="00AD380E">
      <w:pPr>
        <w:rPr>
          <w:rFonts w:ascii="Arial" w:hAnsi="Arial" w:cs="Arial"/>
        </w:rPr>
      </w:pPr>
      <w:r w:rsidRPr="00AD380E">
        <w:rPr>
          <w:rFonts w:ascii="Arial" w:hAnsi="Arial" w:cs="Arial"/>
        </w:rPr>
        <w:t>Risk allocation differs between the two projects:</w:t>
      </w:r>
    </w:p>
    <w:p w14:paraId="2AF379A8" w14:textId="77777777" w:rsidR="00AD380E" w:rsidRPr="00AD380E" w:rsidRDefault="00AD380E" w:rsidP="00AD380E">
      <w:pPr>
        <w:numPr>
          <w:ilvl w:val="0"/>
          <w:numId w:val="71"/>
        </w:numPr>
        <w:rPr>
          <w:rFonts w:ascii="Arial" w:hAnsi="Arial" w:cs="Arial"/>
        </w:rPr>
      </w:pPr>
      <w:r w:rsidRPr="00AD380E">
        <w:rPr>
          <w:rFonts w:ascii="Arial" w:hAnsi="Arial" w:cs="Arial"/>
        </w:rPr>
        <w:t>New Build</w:t>
      </w:r>
    </w:p>
    <w:p w14:paraId="598EEB9C" w14:textId="77777777" w:rsidR="00AD380E" w:rsidRPr="00AD380E" w:rsidRDefault="00AD380E" w:rsidP="00AD380E">
      <w:pPr>
        <w:numPr>
          <w:ilvl w:val="1"/>
          <w:numId w:val="71"/>
        </w:numPr>
        <w:rPr>
          <w:rFonts w:ascii="Arial" w:hAnsi="Arial" w:cs="Arial"/>
        </w:rPr>
      </w:pPr>
      <w:r w:rsidRPr="00AD380E">
        <w:rPr>
          <w:rFonts w:ascii="Arial" w:hAnsi="Arial" w:cs="Arial"/>
        </w:rPr>
        <w:t>Contractor takes on design and buildability risk after Stage 2.</w:t>
      </w:r>
    </w:p>
    <w:p w14:paraId="5AF1A7BF" w14:textId="77777777" w:rsidR="00AD380E" w:rsidRPr="00AD380E" w:rsidRDefault="00AD380E" w:rsidP="00AD380E">
      <w:pPr>
        <w:numPr>
          <w:ilvl w:val="1"/>
          <w:numId w:val="71"/>
        </w:numPr>
        <w:rPr>
          <w:rFonts w:ascii="Arial" w:hAnsi="Arial" w:cs="Arial"/>
        </w:rPr>
      </w:pPr>
      <w:r w:rsidRPr="00AD380E">
        <w:rPr>
          <w:rFonts w:ascii="Arial" w:hAnsi="Arial" w:cs="Arial"/>
        </w:rPr>
        <w:t>University retains strategic and scope</w:t>
      </w:r>
      <w:r w:rsidRPr="00AD380E">
        <w:rPr>
          <w:rFonts w:ascii="Arial" w:hAnsi="Arial" w:cs="Arial"/>
        </w:rPr>
        <w:noBreakHyphen/>
        <w:t>related risks.</w:t>
      </w:r>
    </w:p>
    <w:p w14:paraId="03BD2FB2" w14:textId="77777777" w:rsidR="00AD380E" w:rsidRPr="00AD380E" w:rsidRDefault="00AD380E" w:rsidP="00AD380E">
      <w:pPr>
        <w:numPr>
          <w:ilvl w:val="1"/>
          <w:numId w:val="71"/>
        </w:numPr>
        <w:rPr>
          <w:rFonts w:ascii="Arial" w:hAnsi="Arial" w:cs="Arial"/>
        </w:rPr>
      </w:pPr>
      <w:r w:rsidRPr="00AD380E">
        <w:rPr>
          <w:rFonts w:ascii="Arial" w:hAnsi="Arial" w:cs="Arial"/>
        </w:rPr>
        <w:t>Shared responsibility for sustainability outcomes.</w:t>
      </w:r>
    </w:p>
    <w:p w14:paraId="0BDB62F5" w14:textId="77777777" w:rsidR="00AD380E" w:rsidRPr="00AD380E" w:rsidRDefault="00AD380E" w:rsidP="00AD380E">
      <w:pPr>
        <w:numPr>
          <w:ilvl w:val="0"/>
          <w:numId w:val="71"/>
        </w:numPr>
        <w:rPr>
          <w:rFonts w:ascii="Arial" w:hAnsi="Arial" w:cs="Arial"/>
        </w:rPr>
      </w:pPr>
      <w:r w:rsidRPr="00AD380E">
        <w:rPr>
          <w:rFonts w:ascii="Arial" w:hAnsi="Arial" w:cs="Arial"/>
        </w:rPr>
        <w:t>Dylan Thomas Centre</w:t>
      </w:r>
    </w:p>
    <w:p w14:paraId="7A7019AE" w14:textId="77777777" w:rsidR="00AD380E" w:rsidRPr="00AD380E" w:rsidRDefault="00AD380E" w:rsidP="00AD380E">
      <w:pPr>
        <w:numPr>
          <w:ilvl w:val="1"/>
          <w:numId w:val="71"/>
        </w:numPr>
        <w:rPr>
          <w:rFonts w:ascii="Arial" w:hAnsi="Arial" w:cs="Arial"/>
        </w:rPr>
      </w:pPr>
      <w:r w:rsidRPr="00AD380E">
        <w:rPr>
          <w:rFonts w:ascii="Arial" w:hAnsi="Arial" w:cs="Arial"/>
        </w:rPr>
        <w:t>University retains design risk due to Traditional procurement.</w:t>
      </w:r>
    </w:p>
    <w:p w14:paraId="39962FC2" w14:textId="77777777" w:rsidR="00AD380E" w:rsidRPr="00AD380E" w:rsidRDefault="00AD380E" w:rsidP="00AD380E">
      <w:pPr>
        <w:numPr>
          <w:ilvl w:val="1"/>
          <w:numId w:val="71"/>
        </w:numPr>
        <w:rPr>
          <w:rFonts w:ascii="Arial" w:hAnsi="Arial" w:cs="Arial"/>
        </w:rPr>
      </w:pPr>
      <w:r w:rsidRPr="00AD380E">
        <w:rPr>
          <w:rFonts w:ascii="Arial" w:hAnsi="Arial" w:cs="Arial"/>
        </w:rPr>
        <w:t>Contractor takes on construction</w:t>
      </w:r>
      <w:r w:rsidRPr="00AD380E">
        <w:rPr>
          <w:rFonts w:ascii="Arial" w:hAnsi="Arial" w:cs="Arial"/>
        </w:rPr>
        <w:noBreakHyphen/>
        <w:t>phase risks but not design responsibility.</w:t>
      </w:r>
    </w:p>
    <w:p w14:paraId="51B2EF94" w14:textId="77777777" w:rsidR="00AD380E" w:rsidRPr="00AD380E" w:rsidRDefault="00AD380E" w:rsidP="00AD380E">
      <w:pPr>
        <w:numPr>
          <w:ilvl w:val="1"/>
          <w:numId w:val="71"/>
        </w:numPr>
        <w:rPr>
          <w:rFonts w:ascii="Arial" w:hAnsi="Arial" w:cs="Arial"/>
        </w:rPr>
      </w:pPr>
      <w:r w:rsidRPr="00AD380E">
        <w:rPr>
          <w:rFonts w:ascii="Arial" w:hAnsi="Arial" w:cs="Arial"/>
        </w:rPr>
        <w:t>Unforeseen conditions are shared, with contingency allowances built into the budget.</w:t>
      </w:r>
    </w:p>
    <w:p w14:paraId="589DF341" w14:textId="77777777" w:rsidR="00AD380E" w:rsidRPr="00AD380E" w:rsidRDefault="00AD380E" w:rsidP="00AD380E">
      <w:pPr>
        <w:rPr>
          <w:rFonts w:ascii="Arial" w:hAnsi="Arial" w:cs="Arial"/>
        </w:rPr>
      </w:pPr>
      <w:r w:rsidRPr="00AD380E">
        <w:rPr>
          <w:rFonts w:ascii="Arial" w:hAnsi="Arial" w:cs="Arial"/>
        </w:rPr>
        <w:t>Clear allocation helps avoid disputes and ensures that each party manages the risks they are best equipped to handle.</w:t>
      </w:r>
    </w:p>
    <w:p w14:paraId="3E89F36F" w14:textId="77777777" w:rsidR="00AD380E" w:rsidRPr="00AD380E" w:rsidRDefault="00AD380E" w:rsidP="004341C0">
      <w:pPr>
        <w:pStyle w:val="Heading2"/>
      </w:pPr>
      <w:bookmarkStart w:id="42" w:name="_Toc223447538"/>
      <w:r w:rsidRPr="00AD380E">
        <w:lastRenderedPageBreak/>
        <w:t>10.6 Mitigation Measures</w:t>
      </w:r>
      <w:bookmarkEnd w:id="42"/>
    </w:p>
    <w:p w14:paraId="4D4CB59A" w14:textId="77777777" w:rsidR="00AD380E" w:rsidRPr="00AD380E" w:rsidRDefault="00AD380E" w:rsidP="00AD380E">
      <w:pPr>
        <w:rPr>
          <w:rFonts w:ascii="Arial" w:hAnsi="Arial" w:cs="Arial"/>
        </w:rPr>
      </w:pPr>
      <w:r w:rsidRPr="00AD380E">
        <w:rPr>
          <w:rFonts w:ascii="Arial" w:hAnsi="Arial" w:cs="Arial"/>
        </w:rPr>
        <w:t>Several mitigation strategies apply across both projects:</w:t>
      </w:r>
    </w:p>
    <w:p w14:paraId="12DFAB57" w14:textId="77777777" w:rsidR="00AD380E" w:rsidRPr="00AD380E" w:rsidRDefault="00AD380E" w:rsidP="00AD380E">
      <w:pPr>
        <w:numPr>
          <w:ilvl w:val="0"/>
          <w:numId w:val="72"/>
        </w:numPr>
        <w:rPr>
          <w:rFonts w:ascii="Arial" w:hAnsi="Arial" w:cs="Arial"/>
        </w:rPr>
      </w:pPr>
      <w:r w:rsidRPr="00AD380E">
        <w:rPr>
          <w:rFonts w:ascii="Arial" w:hAnsi="Arial" w:cs="Arial"/>
        </w:rPr>
        <w:t>Early engagement with specialists — including access consultants, heritage officers and M&amp;E engineers.</w:t>
      </w:r>
    </w:p>
    <w:p w14:paraId="29BCECA4" w14:textId="77777777" w:rsidR="00AD380E" w:rsidRPr="00AD380E" w:rsidRDefault="00AD380E" w:rsidP="00AD380E">
      <w:pPr>
        <w:numPr>
          <w:ilvl w:val="0"/>
          <w:numId w:val="72"/>
        </w:numPr>
        <w:rPr>
          <w:rFonts w:ascii="Arial" w:hAnsi="Arial" w:cs="Arial"/>
        </w:rPr>
      </w:pPr>
      <w:r w:rsidRPr="00AD380E">
        <w:rPr>
          <w:rFonts w:ascii="Arial" w:hAnsi="Arial" w:cs="Arial"/>
        </w:rPr>
        <w:t>Thorough site investigations — particularly for the Dylan Thomas Centre to reduce unknowns.</w:t>
      </w:r>
    </w:p>
    <w:p w14:paraId="4FCF26B8" w14:textId="77777777" w:rsidR="00AD380E" w:rsidRPr="00AD380E" w:rsidRDefault="00AD380E" w:rsidP="00AD380E">
      <w:pPr>
        <w:numPr>
          <w:ilvl w:val="0"/>
          <w:numId w:val="72"/>
        </w:numPr>
        <w:rPr>
          <w:rFonts w:ascii="Arial" w:hAnsi="Arial" w:cs="Arial"/>
        </w:rPr>
      </w:pPr>
      <w:r w:rsidRPr="00AD380E">
        <w:rPr>
          <w:rFonts w:ascii="Arial" w:hAnsi="Arial" w:cs="Arial"/>
        </w:rPr>
        <w:t>Robust design development — ensuring coordinated drawings before tendering.</w:t>
      </w:r>
    </w:p>
    <w:p w14:paraId="590D4433" w14:textId="77777777" w:rsidR="00AD380E" w:rsidRPr="00AD380E" w:rsidRDefault="00AD380E" w:rsidP="00AD380E">
      <w:pPr>
        <w:numPr>
          <w:ilvl w:val="0"/>
          <w:numId w:val="72"/>
        </w:numPr>
        <w:rPr>
          <w:rFonts w:ascii="Arial" w:hAnsi="Arial" w:cs="Arial"/>
        </w:rPr>
      </w:pPr>
      <w:r w:rsidRPr="00AD380E">
        <w:rPr>
          <w:rFonts w:ascii="Arial" w:hAnsi="Arial" w:cs="Arial"/>
        </w:rPr>
        <w:t>Realistic contingencies — especially for refurbishment works.</w:t>
      </w:r>
    </w:p>
    <w:p w14:paraId="6CFE2CD2" w14:textId="77777777" w:rsidR="00AD380E" w:rsidRPr="00AD380E" w:rsidRDefault="00AD380E" w:rsidP="00AD380E">
      <w:pPr>
        <w:numPr>
          <w:ilvl w:val="0"/>
          <w:numId w:val="72"/>
        </w:numPr>
        <w:rPr>
          <w:rFonts w:ascii="Arial" w:hAnsi="Arial" w:cs="Arial"/>
        </w:rPr>
      </w:pPr>
      <w:r w:rsidRPr="00AD380E">
        <w:rPr>
          <w:rFonts w:ascii="Arial" w:hAnsi="Arial" w:cs="Arial"/>
        </w:rPr>
        <w:t>Clear communication protocols — to manage stakeholder expectations.</w:t>
      </w:r>
    </w:p>
    <w:p w14:paraId="6E0A5B63" w14:textId="77777777" w:rsidR="00AD380E" w:rsidRPr="00AD380E" w:rsidRDefault="00AD380E" w:rsidP="00AD380E">
      <w:pPr>
        <w:numPr>
          <w:ilvl w:val="0"/>
          <w:numId w:val="72"/>
        </w:numPr>
        <w:rPr>
          <w:rFonts w:ascii="Arial" w:hAnsi="Arial" w:cs="Arial"/>
        </w:rPr>
      </w:pPr>
      <w:r w:rsidRPr="00AD380E">
        <w:rPr>
          <w:rFonts w:ascii="Arial" w:hAnsi="Arial" w:cs="Arial"/>
        </w:rPr>
        <w:t>Phased planning — to minimise operational disruption.</w:t>
      </w:r>
    </w:p>
    <w:p w14:paraId="1E60E2C6" w14:textId="77777777" w:rsidR="00AD380E" w:rsidRPr="00AD380E" w:rsidRDefault="00AD380E" w:rsidP="00AD380E">
      <w:pPr>
        <w:numPr>
          <w:ilvl w:val="0"/>
          <w:numId w:val="72"/>
        </w:numPr>
        <w:rPr>
          <w:rFonts w:ascii="Arial" w:hAnsi="Arial" w:cs="Arial"/>
        </w:rPr>
      </w:pPr>
      <w:r w:rsidRPr="00AD380E">
        <w:rPr>
          <w:rFonts w:ascii="Arial" w:hAnsi="Arial" w:cs="Arial"/>
        </w:rPr>
        <w:t>Sustainability assessments — to ensure environmental targets are achievable.</w:t>
      </w:r>
    </w:p>
    <w:p w14:paraId="05E87883" w14:textId="77777777" w:rsidR="00AD380E" w:rsidRPr="00AD380E" w:rsidRDefault="00AD380E" w:rsidP="00AD380E">
      <w:pPr>
        <w:rPr>
          <w:rFonts w:ascii="Arial" w:hAnsi="Arial" w:cs="Arial"/>
        </w:rPr>
      </w:pPr>
      <w:r w:rsidRPr="00AD380E">
        <w:rPr>
          <w:rFonts w:ascii="Arial" w:hAnsi="Arial" w:cs="Arial"/>
        </w:rPr>
        <w:t>These measures help reduce uncertainty and support smoother project delivery.</w:t>
      </w:r>
    </w:p>
    <w:p w14:paraId="55504348" w14:textId="77777777" w:rsidR="00AD380E" w:rsidRPr="001833CF" w:rsidRDefault="00AD380E" w:rsidP="00E36531">
      <w:pPr>
        <w:rPr>
          <w:rFonts w:ascii="Arial" w:hAnsi="Arial" w:cs="Arial"/>
        </w:rPr>
      </w:pPr>
    </w:p>
    <w:p w14:paraId="1DCAFA7C" w14:textId="77777777" w:rsidR="00AD380E" w:rsidRPr="001833CF" w:rsidRDefault="00AD380E" w:rsidP="004341C0">
      <w:pPr>
        <w:pStyle w:val="Heading1"/>
      </w:pPr>
      <w:bookmarkStart w:id="43" w:name="_Toc223447539"/>
      <w:r w:rsidRPr="00AD380E">
        <w:t>11. Sustainability and Social Value</w:t>
      </w:r>
      <w:bookmarkEnd w:id="43"/>
    </w:p>
    <w:p w14:paraId="41CF32DF" w14:textId="5C9D4AEF" w:rsidR="000A687E" w:rsidRPr="00AD380E" w:rsidRDefault="000A687E" w:rsidP="00AD380E">
      <w:pPr>
        <w:rPr>
          <w:rFonts w:ascii="Arial" w:hAnsi="Arial" w:cs="Arial"/>
        </w:rPr>
      </w:pPr>
      <w:r w:rsidRPr="001833CF">
        <w:rPr>
          <w:rFonts w:ascii="Arial" w:hAnsi="Arial" w:cs="Arial"/>
        </w:rPr>
        <w:t>Environmental performance benchmarking frameworks such as BREEAM provide structured mechanisms for assessing new construction sustainability (BRE, 2021). The RIBA Plan of Work 2020 integrates sustainability considerations throughout all project stages, reinforcing the importance of early design decisions in achieving long-term carbon reduction (RIBA, 2020). The UK Green Building Council defines net zero carbon buildings as those achieving high energy efficiency and addressing residual emissions (UKGBC, 2021).</w:t>
      </w:r>
    </w:p>
    <w:p w14:paraId="0EF8240B" w14:textId="77777777" w:rsidR="00AD380E" w:rsidRDefault="00AD380E" w:rsidP="00AD380E">
      <w:pPr>
        <w:rPr>
          <w:rFonts w:ascii="Arial" w:hAnsi="Arial" w:cs="Arial"/>
        </w:rPr>
      </w:pPr>
      <w:r w:rsidRPr="00AD380E">
        <w:rPr>
          <w:rFonts w:ascii="Arial" w:hAnsi="Arial" w:cs="Arial"/>
        </w:rPr>
        <w:t>Sustainability and social value are central to public</w:t>
      </w:r>
      <w:r w:rsidRPr="00AD380E">
        <w:rPr>
          <w:rFonts w:ascii="Arial" w:hAnsi="Arial" w:cs="Arial"/>
        </w:rPr>
        <w:noBreakHyphen/>
        <w:t>sector projects in Wales, and both the new construction teaching facility and the Dylan Thomas Centre refurbishment must demonstrate clear contributions to environmental performance, community benefit and long</w:t>
      </w:r>
      <w:r w:rsidRPr="00AD380E">
        <w:rPr>
          <w:rFonts w:ascii="Arial" w:hAnsi="Arial" w:cs="Arial"/>
        </w:rPr>
        <w:noBreakHyphen/>
        <w:t>term well</w:t>
      </w:r>
      <w:r w:rsidRPr="00AD380E">
        <w:rPr>
          <w:rFonts w:ascii="Arial" w:hAnsi="Arial" w:cs="Arial"/>
        </w:rPr>
        <w:noBreakHyphen/>
        <w:t>being. Welsh Government policy places strong emphasis on the Well</w:t>
      </w:r>
      <w:r w:rsidRPr="00AD380E">
        <w:rPr>
          <w:rFonts w:ascii="Arial" w:hAnsi="Arial" w:cs="Arial"/>
        </w:rPr>
        <w:noBreakHyphen/>
        <w:t>being of Future Generations (Wales) Act 2015, which requires public bodies to think about the long</w:t>
      </w:r>
      <w:r w:rsidRPr="00AD380E">
        <w:rPr>
          <w:rFonts w:ascii="Arial" w:hAnsi="Arial" w:cs="Arial"/>
        </w:rPr>
        <w:noBreakHyphen/>
        <w:t>term impact of their decisions, work collaboratively and support a more resilient, prosperous and healthier Wales. These principles shape how the University approaches both projects, from design decisions to procurement and delivery.</w:t>
      </w:r>
    </w:p>
    <w:p w14:paraId="58110D04" w14:textId="77777777" w:rsidR="00E13889" w:rsidRDefault="00E13889" w:rsidP="00AD380E">
      <w:pPr>
        <w:rPr>
          <w:rFonts w:ascii="Arial" w:hAnsi="Arial" w:cs="Arial"/>
        </w:rPr>
      </w:pPr>
    </w:p>
    <w:p w14:paraId="5F30F216" w14:textId="77777777" w:rsidR="00E13889" w:rsidRDefault="00E13889" w:rsidP="00AD380E">
      <w:pPr>
        <w:rPr>
          <w:rFonts w:ascii="Arial" w:hAnsi="Arial" w:cs="Arial"/>
        </w:rPr>
      </w:pPr>
    </w:p>
    <w:p w14:paraId="45B6D7FF" w14:textId="77777777" w:rsidR="00E13889" w:rsidRPr="00AD380E" w:rsidRDefault="00E13889" w:rsidP="00AD380E">
      <w:pPr>
        <w:rPr>
          <w:rFonts w:ascii="Arial" w:hAnsi="Arial" w:cs="Arial"/>
        </w:rPr>
      </w:pPr>
    </w:p>
    <w:p w14:paraId="608B67ED" w14:textId="77777777" w:rsidR="00AD380E" w:rsidRPr="00AD380E" w:rsidRDefault="00AD380E" w:rsidP="004341C0">
      <w:pPr>
        <w:pStyle w:val="Heading2"/>
      </w:pPr>
      <w:bookmarkStart w:id="44" w:name="_Toc223447540"/>
      <w:r w:rsidRPr="00AD380E">
        <w:t>11.1 Environmental Sustainability</w:t>
      </w:r>
      <w:bookmarkEnd w:id="44"/>
    </w:p>
    <w:p w14:paraId="5F1ED633" w14:textId="77777777" w:rsidR="00AD380E" w:rsidRPr="00AD380E" w:rsidRDefault="00AD380E" w:rsidP="00AD380E">
      <w:pPr>
        <w:rPr>
          <w:rFonts w:ascii="Arial" w:hAnsi="Arial" w:cs="Arial"/>
        </w:rPr>
      </w:pPr>
      <w:r w:rsidRPr="00AD380E">
        <w:rPr>
          <w:rFonts w:ascii="Arial" w:hAnsi="Arial" w:cs="Arial"/>
        </w:rPr>
        <w:t>Both projects offer opportunities to reduce carbon emissions and improve energy performance, but the strategies differ due to the nature of the buildings.</w:t>
      </w:r>
    </w:p>
    <w:p w14:paraId="3D0C39F8" w14:textId="77777777" w:rsidR="00AD380E" w:rsidRPr="00AD380E" w:rsidRDefault="00AD380E" w:rsidP="00AD380E">
      <w:pPr>
        <w:rPr>
          <w:rFonts w:ascii="Arial" w:hAnsi="Arial" w:cs="Arial"/>
        </w:rPr>
      </w:pPr>
      <w:r w:rsidRPr="00AD380E">
        <w:rPr>
          <w:rFonts w:ascii="Arial" w:hAnsi="Arial" w:cs="Arial"/>
        </w:rPr>
        <w:t>New Construction Teaching Facility The new build can incorporate sustainability from the outset. Key opportunities include:</w:t>
      </w:r>
    </w:p>
    <w:p w14:paraId="1918B7F6" w14:textId="77777777" w:rsidR="00AD380E" w:rsidRPr="00AD380E" w:rsidRDefault="00AD380E" w:rsidP="00AD380E">
      <w:pPr>
        <w:numPr>
          <w:ilvl w:val="0"/>
          <w:numId w:val="73"/>
        </w:numPr>
        <w:rPr>
          <w:rFonts w:ascii="Arial" w:hAnsi="Arial" w:cs="Arial"/>
        </w:rPr>
      </w:pPr>
      <w:r w:rsidRPr="00AD380E">
        <w:rPr>
          <w:rFonts w:ascii="Arial" w:hAnsi="Arial" w:cs="Arial"/>
        </w:rPr>
        <w:t>High</w:t>
      </w:r>
      <w:r w:rsidRPr="00AD380E">
        <w:rPr>
          <w:rFonts w:ascii="Arial" w:hAnsi="Arial" w:cs="Arial"/>
        </w:rPr>
        <w:noBreakHyphen/>
        <w:t>performance building envelope to reduce heat loss and improve energy efficiency.</w:t>
      </w:r>
    </w:p>
    <w:p w14:paraId="64561C2D" w14:textId="77777777" w:rsidR="00AD380E" w:rsidRPr="00AD380E" w:rsidRDefault="00AD380E" w:rsidP="00AD380E">
      <w:pPr>
        <w:numPr>
          <w:ilvl w:val="0"/>
          <w:numId w:val="73"/>
        </w:numPr>
        <w:rPr>
          <w:rFonts w:ascii="Arial" w:hAnsi="Arial" w:cs="Arial"/>
        </w:rPr>
      </w:pPr>
      <w:r w:rsidRPr="00AD380E">
        <w:rPr>
          <w:rFonts w:ascii="Arial" w:hAnsi="Arial" w:cs="Arial"/>
        </w:rPr>
        <w:t>Low</w:t>
      </w:r>
      <w:r w:rsidRPr="00AD380E">
        <w:rPr>
          <w:rFonts w:ascii="Arial" w:hAnsi="Arial" w:cs="Arial"/>
        </w:rPr>
        <w:noBreakHyphen/>
        <w:t>carbon materials, such as responsibly sourced timber or recycled content.</w:t>
      </w:r>
    </w:p>
    <w:p w14:paraId="5683D2F2" w14:textId="77777777" w:rsidR="00AD380E" w:rsidRPr="00AD380E" w:rsidRDefault="00AD380E" w:rsidP="00AD380E">
      <w:pPr>
        <w:numPr>
          <w:ilvl w:val="0"/>
          <w:numId w:val="73"/>
        </w:numPr>
        <w:rPr>
          <w:rFonts w:ascii="Arial" w:hAnsi="Arial" w:cs="Arial"/>
        </w:rPr>
      </w:pPr>
      <w:r w:rsidRPr="00AD380E">
        <w:rPr>
          <w:rFonts w:ascii="Arial" w:hAnsi="Arial" w:cs="Arial"/>
        </w:rPr>
        <w:t>Efficient mechanical and electrical systems, including heat recovery, LED lighting and smart controls.</w:t>
      </w:r>
    </w:p>
    <w:p w14:paraId="1A407DA3" w14:textId="77777777" w:rsidR="00AD380E" w:rsidRPr="00AD380E" w:rsidRDefault="00AD380E" w:rsidP="00AD380E">
      <w:pPr>
        <w:numPr>
          <w:ilvl w:val="0"/>
          <w:numId w:val="73"/>
        </w:numPr>
        <w:rPr>
          <w:rFonts w:ascii="Arial" w:hAnsi="Arial" w:cs="Arial"/>
        </w:rPr>
      </w:pPr>
      <w:r w:rsidRPr="00AD380E">
        <w:rPr>
          <w:rFonts w:ascii="Arial" w:hAnsi="Arial" w:cs="Arial"/>
        </w:rPr>
        <w:t>Renewable technologies, such as solar PV or air</w:t>
      </w:r>
      <w:r w:rsidRPr="00AD380E">
        <w:rPr>
          <w:rFonts w:ascii="Arial" w:hAnsi="Arial" w:cs="Arial"/>
        </w:rPr>
        <w:noBreakHyphen/>
        <w:t>source heat pumps, where feasible.</w:t>
      </w:r>
    </w:p>
    <w:p w14:paraId="37208306" w14:textId="77777777" w:rsidR="00AD380E" w:rsidRPr="00AD380E" w:rsidRDefault="00AD380E" w:rsidP="00AD380E">
      <w:pPr>
        <w:numPr>
          <w:ilvl w:val="0"/>
          <w:numId w:val="73"/>
        </w:numPr>
        <w:rPr>
          <w:rFonts w:ascii="Arial" w:hAnsi="Arial" w:cs="Arial"/>
        </w:rPr>
      </w:pPr>
      <w:r w:rsidRPr="00AD380E">
        <w:rPr>
          <w:rFonts w:ascii="Arial" w:hAnsi="Arial" w:cs="Arial"/>
        </w:rPr>
        <w:t>Designing for adaptability, allowing the building to evolve with future teaching needs rather than requiring major refurbishment.</w:t>
      </w:r>
    </w:p>
    <w:p w14:paraId="754F487B" w14:textId="77777777" w:rsidR="00AD380E" w:rsidRPr="00AD380E" w:rsidRDefault="00AD380E" w:rsidP="00AD380E">
      <w:pPr>
        <w:rPr>
          <w:rFonts w:ascii="Arial" w:hAnsi="Arial" w:cs="Arial"/>
        </w:rPr>
      </w:pPr>
      <w:r w:rsidRPr="00AD380E">
        <w:rPr>
          <w:rFonts w:ascii="Arial" w:hAnsi="Arial" w:cs="Arial"/>
        </w:rPr>
        <w:t>Because the building will be used to teach construction students, it can also act as a live learning tool, with exposed services, energy</w:t>
      </w:r>
      <w:r w:rsidRPr="00AD380E">
        <w:rPr>
          <w:rFonts w:ascii="Arial" w:hAnsi="Arial" w:cs="Arial"/>
        </w:rPr>
        <w:noBreakHyphen/>
        <w:t>monitoring dashboards and demonstrable sustainability features.</w:t>
      </w:r>
    </w:p>
    <w:p w14:paraId="7D9C8593" w14:textId="77777777" w:rsidR="00AD380E" w:rsidRPr="00AD380E" w:rsidRDefault="00AD380E" w:rsidP="00AD380E">
      <w:pPr>
        <w:rPr>
          <w:rFonts w:ascii="Arial" w:hAnsi="Arial" w:cs="Arial"/>
        </w:rPr>
      </w:pPr>
      <w:r w:rsidRPr="00AD380E">
        <w:rPr>
          <w:rFonts w:ascii="Arial" w:hAnsi="Arial" w:cs="Arial"/>
        </w:rPr>
        <w:t>Dylan Thomas Centre Refurbishment Improving sustainability in a listed building is more challenging, but still achievable. Opportunities include:</w:t>
      </w:r>
    </w:p>
    <w:p w14:paraId="78BD5202" w14:textId="77777777" w:rsidR="00AD380E" w:rsidRPr="00AD380E" w:rsidRDefault="00AD380E" w:rsidP="00AD380E">
      <w:pPr>
        <w:numPr>
          <w:ilvl w:val="0"/>
          <w:numId w:val="74"/>
        </w:numPr>
        <w:rPr>
          <w:rFonts w:ascii="Arial" w:hAnsi="Arial" w:cs="Arial"/>
        </w:rPr>
      </w:pPr>
      <w:r w:rsidRPr="00AD380E">
        <w:rPr>
          <w:rFonts w:ascii="Arial" w:hAnsi="Arial" w:cs="Arial"/>
        </w:rPr>
        <w:t>Upgrading building services to more efficient systems without altering historic fabric.</w:t>
      </w:r>
    </w:p>
    <w:p w14:paraId="12000F70" w14:textId="77777777" w:rsidR="00AD380E" w:rsidRPr="00AD380E" w:rsidRDefault="00AD380E" w:rsidP="00AD380E">
      <w:pPr>
        <w:numPr>
          <w:ilvl w:val="0"/>
          <w:numId w:val="74"/>
        </w:numPr>
        <w:rPr>
          <w:rFonts w:ascii="Arial" w:hAnsi="Arial" w:cs="Arial"/>
        </w:rPr>
      </w:pPr>
      <w:r w:rsidRPr="00AD380E">
        <w:rPr>
          <w:rFonts w:ascii="Arial" w:hAnsi="Arial" w:cs="Arial"/>
        </w:rPr>
        <w:t>Improved insulation in roof spaces or non</w:t>
      </w:r>
      <w:r w:rsidRPr="00AD380E">
        <w:rPr>
          <w:rFonts w:ascii="Arial" w:hAnsi="Arial" w:cs="Arial"/>
        </w:rPr>
        <w:noBreakHyphen/>
        <w:t>original walls where permitted.</w:t>
      </w:r>
    </w:p>
    <w:p w14:paraId="275D0724" w14:textId="77777777" w:rsidR="00AD380E" w:rsidRPr="00AD380E" w:rsidRDefault="00AD380E" w:rsidP="00AD380E">
      <w:pPr>
        <w:numPr>
          <w:ilvl w:val="0"/>
          <w:numId w:val="74"/>
        </w:numPr>
        <w:rPr>
          <w:rFonts w:ascii="Arial" w:hAnsi="Arial" w:cs="Arial"/>
        </w:rPr>
      </w:pPr>
      <w:r w:rsidRPr="00AD380E">
        <w:rPr>
          <w:rFonts w:ascii="Arial" w:hAnsi="Arial" w:cs="Arial"/>
        </w:rPr>
        <w:t>LED lighting and smart controls to reduce energy consumption.</w:t>
      </w:r>
    </w:p>
    <w:p w14:paraId="36E7C68C" w14:textId="77777777" w:rsidR="00AD380E" w:rsidRPr="00AD380E" w:rsidRDefault="00AD380E" w:rsidP="00AD380E">
      <w:pPr>
        <w:numPr>
          <w:ilvl w:val="0"/>
          <w:numId w:val="74"/>
        </w:numPr>
        <w:rPr>
          <w:rFonts w:ascii="Arial" w:hAnsi="Arial" w:cs="Arial"/>
        </w:rPr>
      </w:pPr>
      <w:r w:rsidRPr="00AD380E">
        <w:rPr>
          <w:rFonts w:ascii="Arial" w:hAnsi="Arial" w:cs="Arial"/>
        </w:rPr>
        <w:t>Sensitive window improvements, such as secondary glazing, where allowed by conservation officers.</w:t>
      </w:r>
    </w:p>
    <w:p w14:paraId="74B8B3DC" w14:textId="77777777" w:rsidR="00AD380E" w:rsidRPr="00AD380E" w:rsidRDefault="00AD380E" w:rsidP="00AD380E">
      <w:pPr>
        <w:numPr>
          <w:ilvl w:val="0"/>
          <w:numId w:val="74"/>
        </w:numPr>
        <w:rPr>
          <w:rFonts w:ascii="Arial" w:hAnsi="Arial" w:cs="Arial"/>
        </w:rPr>
      </w:pPr>
      <w:r w:rsidRPr="00AD380E">
        <w:rPr>
          <w:rFonts w:ascii="Arial" w:hAnsi="Arial" w:cs="Arial"/>
        </w:rPr>
        <w:t>Reducing operational carbon through better zoning, ventilation upgrades and efficient heating.</w:t>
      </w:r>
    </w:p>
    <w:p w14:paraId="6CD8F84E" w14:textId="77777777" w:rsidR="00AD380E" w:rsidRDefault="00AD380E" w:rsidP="00AD380E">
      <w:pPr>
        <w:rPr>
          <w:rFonts w:ascii="Arial" w:hAnsi="Arial" w:cs="Arial"/>
        </w:rPr>
      </w:pPr>
      <w:r w:rsidRPr="00AD380E">
        <w:rPr>
          <w:rFonts w:ascii="Arial" w:hAnsi="Arial" w:cs="Arial"/>
        </w:rPr>
        <w:t>The focus here is on incremental improvements that respect the building’s heritage while reducing long</w:t>
      </w:r>
      <w:r w:rsidRPr="00AD380E">
        <w:rPr>
          <w:rFonts w:ascii="Arial" w:hAnsi="Arial" w:cs="Arial"/>
        </w:rPr>
        <w:noBreakHyphen/>
        <w:t>term energy use.</w:t>
      </w:r>
    </w:p>
    <w:p w14:paraId="3361387A" w14:textId="77777777" w:rsidR="00E13889" w:rsidRDefault="00E13889" w:rsidP="00AD380E">
      <w:pPr>
        <w:rPr>
          <w:rFonts w:ascii="Arial" w:hAnsi="Arial" w:cs="Arial"/>
        </w:rPr>
      </w:pPr>
    </w:p>
    <w:p w14:paraId="7791A5CA" w14:textId="77777777" w:rsidR="00E13889" w:rsidRDefault="00E13889" w:rsidP="00AD380E">
      <w:pPr>
        <w:rPr>
          <w:rFonts w:ascii="Arial" w:hAnsi="Arial" w:cs="Arial"/>
        </w:rPr>
      </w:pPr>
    </w:p>
    <w:p w14:paraId="6ACBD8A6" w14:textId="77777777" w:rsidR="00E13889" w:rsidRDefault="00E13889" w:rsidP="00AD380E">
      <w:pPr>
        <w:rPr>
          <w:rFonts w:ascii="Arial" w:hAnsi="Arial" w:cs="Arial"/>
        </w:rPr>
      </w:pPr>
    </w:p>
    <w:p w14:paraId="15208226" w14:textId="77777777" w:rsidR="00E13889" w:rsidRPr="00AD380E" w:rsidRDefault="00E13889" w:rsidP="00AD380E">
      <w:pPr>
        <w:rPr>
          <w:rFonts w:ascii="Arial" w:hAnsi="Arial" w:cs="Arial"/>
        </w:rPr>
      </w:pPr>
    </w:p>
    <w:p w14:paraId="5ABAAC10" w14:textId="77777777" w:rsidR="00AD380E" w:rsidRPr="00AD380E" w:rsidRDefault="00AD380E" w:rsidP="004341C0">
      <w:pPr>
        <w:pStyle w:val="Heading2"/>
      </w:pPr>
      <w:bookmarkStart w:id="45" w:name="_Toc223447541"/>
      <w:r w:rsidRPr="00AD380E">
        <w:t>11.2 Social Value and Community Benefit</w:t>
      </w:r>
      <w:bookmarkEnd w:id="45"/>
    </w:p>
    <w:p w14:paraId="4667D906" w14:textId="77777777" w:rsidR="00AD380E" w:rsidRPr="00AD380E" w:rsidRDefault="00AD380E" w:rsidP="00AD380E">
      <w:pPr>
        <w:rPr>
          <w:rFonts w:ascii="Arial" w:hAnsi="Arial" w:cs="Arial"/>
        </w:rPr>
      </w:pPr>
      <w:r w:rsidRPr="00AD380E">
        <w:rPr>
          <w:rFonts w:ascii="Arial" w:hAnsi="Arial" w:cs="Arial"/>
        </w:rPr>
        <w:t>Social value is a major requirement in Welsh public procurement, and both projects can deliver meaningful benefits.</w:t>
      </w:r>
    </w:p>
    <w:p w14:paraId="18FD94A6" w14:textId="77777777" w:rsidR="00AD380E" w:rsidRPr="00AD380E" w:rsidRDefault="00AD380E" w:rsidP="00AD380E">
      <w:pPr>
        <w:rPr>
          <w:rFonts w:ascii="Arial" w:hAnsi="Arial" w:cs="Arial"/>
        </w:rPr>
      </w:pPr>
      <w:r w:rsidRPr="00AD380E">
        <w:rPr>
          <w:rFonts w:ascii="Arial" w:hAnsi="Arial" w:cs="Arial"/>
        </w:rPr>
        <w:t>Employment and Skills Contractors can support:</w:t>
      </w:r>
    </w:p>
    <w:p w14:paraId="533C5322" w14:textId="77777777" w:rsidR="00AD380E" w:rsidRPr="00AD380E" w:rsidRDefault="00AD380E" w:rsidP="00AD380E">
      <w:pPr>
        <w:numPr>
          <w:ilvl w:val="0"/>
          <w:numId w:val="75"/>
        </w:numPr>
        <w:rPr>
          <w:rFonts w:ascii="Arial" w:hAnsi="Arial" w:cs="Arial"/>
        </w:rPr>
      </w:pPr>
      <w:r w:rsidRPr="00AD380E">
        <w:rPr>
          <w:rFonts w:ascii="Arial" w:hAnsi="Arial" w:cs="Arial"/>
        </w:rPr>
        <w:t>Local employment and apprenticeships</w:t>
      </w:r>
    </w:p>
    <w:p w14:paraId="4C4E2D59" w14:textId="77777777" w:rsidR="00AD380E" w:rsidRPr="00AD380E" w:rsidRDefault="00AD380E" w:rsidP="00AD380E">
      <w:pPr>
        <w:numPr>
          <w:ilvl w:val="0"/>
          <w:numId w:val="75"/>
        </w:numPr>
        <w:rPr>
          <w:rFonts w:ascii="Arial" w:hAnsi="Arial" w:cs="Arial"/>
        </w:rPr>
      </w:pPr>
      <w:r w:rsidRPr="00AD380E">
        <w:rPr>
          <w:rFonts w:ascii="Arial" w:hAnsi="Arial" w:cs="Arial"/>
        </w:rPr>
        <w:t>Work placements for UWTSD students</w:t>
      </w:r>
    </w:p>
    <w:p w14:paraId="6E2E7BAE" w14:textId="77777777" w:rsidR="00AD380E" w:rsidRPr="00AD380E" w:rsidRDefault="00AD380E" w:rsidP="00AD380E">
      <w:pPr>
        <w:numPr>
          <w:ilvl w:val="0"/>
          <w:numId w:val="75"/>
        </w:numPr>
        <w:rPr>
          <w:rFonts w:ascii="Arial" w:hAnsi="Arial" w:cs="Arial"/>
        </w:rPr>
      </w:pPr>
      <w:r w:rsidRPr="00AD380E">
        <w:rPr>
          <w:rFonts w:ascii="Arial" w:hAnsi="Arial" w:cs="Arial"/>
        </w:rPr>
        <w:t>Training opportunities linked to construction, heritage conservation and digital technologies</w:t>
      </w:r>
    </w:p>
    <w:p w14:paraId="084BC5F0" w14:textId="5C9244F4" w:rsidR="00AD380E" w:rsidRPr="00AD380E" w:rsidRDefault="00AD380E" w:rsidP="00AD380E">
      <w:pPr>
        <w:rPr>
          <w:rFonts w:ascii="Arial" w:hAnsi="Arial" w:cs="Arial"/>
        </w:rPr>
      </w:pPr>
      <w:r w:rsidRPr="00AD380E">
        <w:rPr>
          <w:rFonts w:ascii="Arial" w:hAnsi="Arial" w:cs="Arial"/>
        </w:rPr>
        <w:t>The new teaching facility</w:t>
      </w:r>
      <w:r w:rsidR="008E4BD6" w:rsidRPr="00AD380E">
        <w:rPr>
          <w:rFonts w:ascii="Arial" w:hAnsi="Arial" w:cs="Arial"/>
        </w:rPr>
        <w:t xml:space="preserve"> provides</w:t>
      </w:r>
      <w:r w:rsidRPr="00AD380E">
        <w:rPr>
          <w:rFonts w:ascii="Arial" w:hAnsi="Arial" w:cs="Arial"/>
        </w:rPr>
        <w:t xml:space="preserve"> a strong platform for integrating student learning with live construction activity.</w:t>
      </w:r>
    </w:p>
    <w:p w14:paraId="5DF54840" w14:textId="77777777" w:rsidR="00AD380E" w:rsidRPr="00AD380E" w:rsidRDefault="00AD380E" w:rsidP="00AD380E">
      <w:pPr>
        <w:rPr>
          <w:rFonts w:ascii="Arial" w:hAnsi="Arial" w:cs="Arial"/>
        </w:rPr>
      </w:pPr>
      <w:r w:rsidRPr="00AD380E">
        <w:rPr>
          <w:rFonts w:ascii="Arial" w:hAnsi="Arial" w:cs="Arial"/>
        </w:rPr>
        <w:t>Community Engagement The Dylan Thomas Centre already plays a cultural and community role, and the refurbishment can strengthen this by:</w:t>
      </w:r>
    </w:p>
    <w:p w14:paraId="25E1A4B4" w14:textId="77777777" w:rsidR="00AD380E" w:rsidRPr="00AD380E" w:rsidRDefault="00AD380E" w:rsidP="00AD380E">
      <w:pPr>
        <w:numPr>
          <w:ilvl w:val="0"/>
          <w:numId w:val="76"/>
        </w:numPr>
        <w:rPr>
          <w:rFonts w:ascii="Arial" w:hAnsi="Arial" w:cs="Arial"/>
        </w:rPr>
      </w:pPr>
      <w:r w:rsidRPr="00AD380E">
        <w:rPr>
          <w:rFonts w:ascii="Arial" w:hAnsi="Arial" w:cs="Arial"/>
        </w:rPr>
        <w:t>Making the building fully accessible to all visitors</w:t>
      </w:r>
    </w:p>
    <w:p w14:paraId="5C7864FB" w14:textId="77777777" w:rsidR="00AD380E" w:rsidRPr="00AD380E" w:rsidRDefault="00AD380E" w:rsidP="00AD380E">
      <w:pPr>
        <w:numPr>
          <w:ilvl w:val="0"/>
          <w:numId w:val="76"/>
        </w:numPr>
        <w:rPr>
          <w:rFonts w:ascii="Arial" w:hAnsi="Arial" w:cs="Arial"/>
        </w:rPr>
      </w:pPr>
      <w:r w:rsidRPr="00AD380E">
        <w:rPr>
          <w:rFonts w:ascii="Arial" w:hAnsi="Arial" w:cs="Arial"/>
        </w:rPr>
        <w:t>Supporting inclusive events, exhibitions and educational programmes</w:t>
      </w:r>
    </w:p>
    <w:p w14:paraId="11C6D7FD" w14:textId="77777777" w:rsidR="00AD380E" w:rsidRPr="00AD380E" w:rsidRDefault="00AD380E" w:rsidP="00AD380E">
      <w:pPr>
        <w:numPr>
          <w:ilvl w:val="0"/>
          <w:numId w:val="76"/>
        </w:numPr>
        <w:rPr>
          <w:rFonts w:ascii="Arial" w:hAnsi="Arial" w:cs="Arial"/>
        </w:rPr>
      </w:pPr>
      <w:r w:rsidRPr="00AD380E">
        <w:rPr>
          <w:rFonts w:ascii="Arial" w:hAnsi="Arial" w:cs="Arial"/>
        </w:rPr>
        <w:t>Enhancing the building’s role as a public cultural asset</w:t>
      </w:r>
    </w:p>
    <w:p w14:paraId="1458C07B" w14:textId="77777777" w:rsidR="00AD380E" w:rsidRPr="00AD380E" w:rsidRDefault="00AD380E" w:rsidP="00AD380E">
      <w:pPr>
        <w:rPr>
          <w:rFonts w:ascii="Arial" w:hAnsi="Arial" w:cs="Arial"/>
        </w:rPr>
      </w:pPr>
      <w:r w:rsidRPr="00AD380E">
        <w:rPr>
          <w:rFonts w:ascii="Arial" w:hAnsi="Arial" w:cs="Arial"/>
        </w:rPr>
        <w:t>Local Supply Chains Both projects can prioritise:</w:t>
      </w:r>
    </w:p>
    <w:p w14:paraId="2BDCF1AC" w14:textId="77777777" w:rsidR="00AD380E" w:rsidRPr="00AD380E" w:rsidRDefault="00AD380E" w:rsidP="00AD380E">
      <w:pPr>
        <w:numPr>
          <w:ilvl w:val="0"/>
          <w:numId w:val="77"/>
        </w:numPr>
        <w:rPr>
          <w:rFonts w:ascii="Arial" w:hAnsi="Arial" w:cs="Arial"/>
        </w:rPr>
      </w:pPr>
      <w:r w:rsidRPr="00AD380E">
        <w:rPr>
          <w:rFonts w:ascii="Arial" w:hAnsi="Arial" w:cs="Arial"/>
        </w:rPr>
        <w:t>Welsh SMEs</w:t>
      </w:r>
    </w:p>
    <w:p w14:paraId="563015CB" w14:textId="77777777" w:rsidR="00AD380E" w:rsidRPr="00AD380E" w:rsidRDefault="00AD380E" w:rsidP="00AD380E">
      <w:pPr>
        <w:numPr>
          <w:ilvl w:val="0"/>
          <w:numId w:val="77"/>
        </w:numPr>
        <w:rPr>
          <w:rFonts w:ascii="Arial" w:hAnsi="Arial" w:cs="Arial"/>
        </w:rPr>
      </w:pPr>
      <w:r w:rsidRPr="00AD380E">
        <w:rPr>
          <w:rFonts w:ascii="Arial" w:hAnsi="Arial" w:cs="Arial"/>
        </w:rPr>
        <w:t>Local materials where feasible</w:t>
      </w:r>
    </w:p>
    <w:p w14:paraId="0DC10370" w14:textId="77777777" w:rsidR="00AD380E" w:rsidRPr="00AD380E" w:rsidRDefault="00AD380E" w:rsidP="00AD380E">
      <w:pPr>
        <w:numPr>
          <w:ilvl w:val="0"/>
          <w:numId w:val="77"/>
        </w:numPr>
        <w:rPr>
          <w:rFonts w:ascii="Arial" w:hAnsi="Arial" w:cs="Arial"/>
        </w:rPr>
      </w:pPr>
      <w:r w:rsidRPr="00AD380E">
        <w:rPr>
          <w:rFonts w:ascii="Arial" w:hAnsi="Arial" w:cs="Arial"/>
        </w:rPr>
        <w:t>Regional specialist contractors, particularly for heritage works</w:t>
      </w:r>
    </w:p>
    <w:p w14:paraId="40AD8860" w14:textId="77777777" w:rsidR="00AD380E" w:rsidRDefault="00AD380E" w:rsidP="00AD380E">
      <w:pPr>
        <w:rPr>
          <w:rFonts w:ascii="Arial" w:hAnsi="Arial" w:cs="Arial"/>
        </w:rPr>
      </w:pPr>
      <w:r w:rsidRPr="00AD380E">
        <w:rPr>
          <w:rFonts w:ascii="Arial" w:hAnsi="Arial" w:cs="Arial"/>
        </w:rPr>
        <w:t>This supports the local economy and aligns with the Welsh Government’s focus on community wealth</w:t>
      </w:r>
      <w:r w:rsidRPr="00AD380E">
        <w:rPr>
          <w:rFonts w:ascii="Arial" w:hAnsi="Arial" w:cs="Arial"/>
        </w:rPr>
        <w:noBreakHyphen/>
        <w:t>building.</w:t>
      </w:r>
    </w:p>
    <w:p w14:paraId="4343DC4C" w14:textId="77777777" w:rsidR="00E13889" w:rsidRPr="00AD380E" w:rsidRDefault="00E13889" w:rsidP="00AD380E">
      <w:pPr>
        <w:rPr>
          <w:rFonts w:ascii="Arial" w:hAnsi="Arial" w:cs="Arial"/>
        </w:rPr>
      </w:pPr>
    </w:p>
    <w:p w14:paraId="5C55968D" w14:textId="77777777" w:rsidR="00AD380E" w:rsidRPr="00AD380E" w:rsidRDefault="00AD380E" w:rsidP="004341C0">
      <w:pPr>
        <w:pStyle w:val="Heading2"/>
      </w:pPr>
      <w:bookmarkStart w:id="46" w:name="_Toc223447542"/>
      <w:r w:rsidRPr="00AD380E">
        <w:t>11.3 Long</w:t>
      </w:r>
      <w:r w:rsidRPr="00AD380E">
        <w:noBreakHyphen/>
        <w:t>Term Value and Well</w:t>
      </w:r>
      <w:r w:rsidRPr="00AD380E">
        <w:noBreakHyphen/>
        <w:t>Being</w:t>
      </w:r>
      <w:bookmarkEnd w:id="46"/>
    </w:p>
    <w:p w14:paraId="5A7D8A98" w14:textId="77777777" w:rsidR="00AD380E" w:rsidRPr="00AD380E" w:rsidRDefault="00AD380E" w:rsidP="00AD380E">
      <w:pPr>
        <w:rPr>
          <w:rFonts w:ascii="Arial" w:hAnsi="Arial" w:cs="Arial"/>
        </w:rPr>
      </w:pPr>
      <w:r w:rsidRPr="00AD380E">
        <w:rPr>
          <w:rFonts w:ascii="Arial" w:hAnsi="Arial" w:cs="Arial"/>
        </w:rPr>
        <w:t>Sustainability and social value are not limited to environmental performance or employment. They also relate to how the buildings contribute to long</w:t>
      </w:r>
      <w:r w:rsidRPr="00AD380E">
        <w:rPr>
          <w:rFonts w:ascii="Arial" w:hAnsi="Arial" w:cs="Arial"/>
        </w:rPr>
        <w:noBreakHyphen/>
        <w:t>term well</w:t>
      </w:r>
      <w:r w:rsidRPr="00AD380E">
        <w:rPr>
          <w:rFonts w:ascii="Arial" w:hAnsi="Arial" w:cs="Arial"/>
        </w:rPr>
        <w:noBreakHyphen/>
        <w:t>being.</w:t>
      </w:r>
    </w:p>
    <w:p w14:paraId="1D3ACE39" w14:textId="77777777" w:rsidR="00AD380E" w:rsidRPr="00AD380E" w:rsidRDefault="00AD380E" w:rsidP="00AD380E">
      <w:pPr>
        <w:numPr>
          <w:ilvl w:val="0"/>
          <w:numId w:val="78"/>
        </w:numPr>
        <w:rPr>
          <w:rFonts w:ascii="Arial" w:hAnsi="Arial" w:cs="Arial"/>
        </w:rPr>
      </w:pPr>
      <w:r w:rsidRPr="00AD380E">
        <w:rPr>
          <w:rFonts w:ascii="Arial" w:hAnsi="Arial" w:cs="Arial"/>
        </w:rPr>
        <w:t>The new teaching facility strengthens the University’s ability to train future construction professionals, supporting economic resilience.</w:t>
      </w:r>
    </w:p>
    <w:p w14:paraId="740634D9" w14:textId="77777777" w:rsidR="00AD380E" w:rsidRPr="00AD380E" w:rsidRDefault="00AD380E" w:rsidP="00AD380E">
      <w:pPr>
        <w:numPr>
          <w:ilvl w:val="0"/>
          <w:numId w:val="78"/>
        </w:numPr>
        <w:rPr>
          <w:rFonts w:ascii="Arial" w:hAnsi="Arial" w:cs="Arial"/>
        </w:rPr>
      </w:pPr>
      <w:r w:rsidRPr="00AD380E">
        <w:rPr>
          <w:rFonts w:ascii="Arial" w:hAnsi="Arial" w:cs="Arial"/>
        </w:rPr>
        <w:t>The Dylan Thomas Centre refurbishment ensures that a culturally significant building remains usable, inclusive and relevant.</w:t>
      </w:r>
    </w:p>
    <w:p w14:paraId="2D26685D" w14:textId="77777777" w:rsidR="00AD380E" w:rsidRPr="00AD380E" w:rsidRDefault="00AD380E" w:rsidP="00AD380E">
      <w:pPr>
        <w:numPr>
          <w:ilvl w:val="0"/>
          <w:numId w:val="78"/>
        </w:numPr>
        <w:rPr>
          <w:rFonts w:ascii="Arial" w:hAnsi="Arial" w:cs="Arial"/>
        </w:rPr>
      </w:pPr>
      <w:r w:rsidRPr="00AD380E">
        <w:rPr>
          <w:rFonts w:ascii="Arial" w:hAnsi="Arial" w:cs="Arial"/>
        </w:rPr>
        <w:t>Both projects contribute to a more vibrant SA1 campus, encouraging collaboration, creativity and community engagement.</w:t>
      </w:r>
    </w:p>
    <w:p w14:paraId="357E7142" w14:textId="77777777" w:rsidR="00AD380E" w:rsidRDefault="00AD380E" w:rsidP="00AD380E">
      <w:pPr>
        <w:numPr>
          <w:ilvl w:val="0"/>
          <w:numId w:val="78"/>
        </w:numPr>
        <w:rPr>
          <w:rFonts w:ascii="Arial" w:hAnsi="Arial" w:cs="Arial"/>
        </w:rPr>
      </w:pPr>
      <w:r w:rsidRPr="00AD380E">
        <w:rPr>
          <w:rFonts w:ascii="Arial" w:hAnsi="Arial" w:cs="Arial"/>
        </w:rPr>
        <w:lastRenderedPageBreak/>
        <w:t>Improved accessibility at the Dylan Thomas Centre supports equality and inclusion, ensuring that all users can participate fully in cultural and educational activities.</w:t>
      </w:r>
    </w:p>
    <w:p w14:paraId="1B713E26" w14:textId="77777777" w:rsidR="00E13889" w:rsidRPr="00AD380E" w:rsidRDefault="00E13889" w:rsidP="00AD380E">
      <w:pPr>
        <w:numPr>
          <w:ilvl w:val="0"/>
          <w:numId w:val="78"/>
        </w:numPr>
        <w:rPr>
          <w:rFonts w:ascii="Arial" w:hAnsi="Arial" w:cs="Arial"/>
        </w:rPr>
      </w:pPr>
    </w:p>
    <w:p w14:paraId="4ECBB0AA" w14:textId="77777777" w:rsidR="00AD380E" w:rsidRPr="00AD380E" w:rsidRDefault="00AD380E" w:rsidP="004341C0">
      <w:pPr>
        <w:pStyle w:val="Heading2"/>
      </w:pPr>
      <w:bookmarkStart w:id="47" w:name="_Toc223447543"/>
      <w:r w:rsidRPr="00AD380E">
        <w:t>11.4 Summary Table</w:t>
      </w:r>
      <w:bookmarkEnd w:id="47"/>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00"/>
        <w:gridCol w:w="3054"/>
        <w:gridCol w:w="2156"/>
        <w:gridCol w:w="1816"/>
      </w:tblGrid>
      <w:tr w:rsidR="00AD380E" w:rsidRPr="00AD380E" w14:paraId="309CFE25" w14:textId="77777777">
        <w:trPr>
          <w:tblHeader/>
          <w:tblCellSpacing w:w="15" w:type="dxa"/>
        </w:trPr>
        <w:tc>
          <w:tcPr>
            <w:tcW w:w="0" w:type="auto"/>
            <w:vAlign w:val="center"/>
            <w:hideMark/>
          </w:tcPr>
          <w:p w14:paraId="774552BB" w14:textId="77777777" w:rsidR="00AD380E" w:rsidRPr="00AD380E" w:rsidRDefault="00AD380E" w:rsidP="00AD380E">
            <w:pPr>
              <w:rPr>
                <w:rFonts w:ascii="Arial" w:hAnsi="Arial" w:cs="Arial"/>
              </w:rPr>
            </w:pPr>
            <w:r w:rsidRPr="00AD380E">
              <w:rPr>
                <w:rFonts w:ascii="Arial" w:hAnsi="Arial" w:cs="Arial"/>
              </w:rPr>
              <w:t>Theme</w:t>
            </w:r>
          </w:p>
        </w:tc>
        <w:tc>
          <w:tcPr>
            <w:tcW w:w="0" w:type="auto"/>
            <w:vAlign w:val="center"/>
            <w:hideMark/>
          </w:tcPr>
          <w:p w14:paraId="3983BC21" w14:textId="77777777" w:rsidR="00AD380E" w:rsidRPr="00AD380E" w:rsidRDefault="00AD380E" w:rsidP="00AD380E">
            <w:pPr>
              <w:rPr>
                <w:rFonts w:ascii="Arial" w:hAnsi="Arial" w:cs="Arial"/>
              </w:rPr>
            </w:pPr>
            <w:r w:rsidRPr="00AD380E">
              <w:rPr>
                <w:rFonts w:ascii="Arial" w:hAnsi="Arial" w:cs="Arial"/>
              </w:rPr>
              <w:t>New Build</w:t>
            </w:r>
          </w:p>
        </w:tc>
        <w:tc>
          <w:tcPr>
            <w:tcW w:w="0" w:type="auto"/>
            <w:vAlign w:val="center"/>
            <w:hideMark/>
          </w:tcPr>
          <w:p w14:paraId="0DD522EC" w14:textId="77777777" w:rsidR="00AD380E" w:rsidRPr="00AD380E" w:rsidRDefault="00AD380E" w:rsidP="00AD380E">
            <w:pPr>
              <w:rPr>
                <w:rFonts w:ascii="Arial" w:hAnsi="Arial" w:cs="Arial"/>
              </w:rPr>
            </w:pPr>
            <w:r w:rsidRPr="00AD380E">
              <w:rPr>
                <w:rFonts w:ascii="Arial" w:hAnsi="Arial" w:cs="Arial"/>
              </w:rPr>
              <w:t>Dylan Thomas Centre</w:t>
            </w:r>
          </w:p>
        </w:tc>
        <w:tc>
          <w:tcPr>
            <w:tcW w:w="0" w:type="auto"/>
            <w:vAlign w:val="center"/>
            <w:hideMark/>
          </w:tcPr>
          <w:p w14:paraId="44A95E8C" w14:textId="77777777" w:rsidR="00AD380E" w:rsidRPr="00AD380E" w:rsidRDefault="00AD380E" w:rsidP="00AD380E">
            <w:pPr>
              <w:rPr>
                <w:rFonts w:ascii="Arial" w:hAnsi="Arial" w:cs="Arial"/>
              </w:rPr>
            </w:pPr>
            <w:r w:rsidRPr="00AD380E">
              <w:rPr>
                <w:rFonts w:ascii="Arial" w:hAnsi="Arial" w:cs="Arial"/>
              </w:rPr>
              <w:t>Long</w:t>
            </w:r>
            <w:r w:rsidRPr="00AD380E">
              <w:rPr>
                <w:rFonts w:ascii="Arial" w:hAnsi="Arial" w:cs="Arial"/>
              </w:rPr>
              <w:noBreakHyphen/>
              <w:t>Term Benefit</w:t>
            </w:r>
          </w:p>
        </w:tc>
      </w:tr>
      <w:tr w:rsidR="00AD380E" w:rsidRPr="00AD380E" w14:paraId="01D5866B" w14:textId="77777777">
        <w:trPr>
          <w:tblCellSpacing w:w="15" w:type="dxa"/>
        </w:trPr>
        <w:tc>
          <w:tcPr>
            <w:tcW w:w="0" w:type="auto"/>
            <w:vAlign w:val="center"/>
            <w:hideMark/>
          </w:tcPr>
          <w:p w14:paraId="11CEB0C1" w14:textId="77777777" w:rsidR="00AD380E" w:rsidRPr="00AD380E" w:rsidRDefault="00AD380E" w:rsidP="00AD380E">
            <w:pPr>
              <w:rPr>
                <w:rFonts w:ascii="Arial" w:hAnsi="Arial" w:cs="Arial"/>
              </w:rPr>
            </w:pPr>
            <w:r w:rsidRPr="00AD380E">
              <w:rPr>
                <w:rFonts w:ascii="Arial" w:hAnsi="Arial" w:cs="Arial"/>
              </w:rPr>
              <w:t>Environmental Sustainability</w:t>
            </w:r>
          </w:p>
        </w:tc>
        <w:tc>
          <w:tcPr>
            <w:tcW w:w="0" w:type="auto"/>
            <w:vAlign w:val="center"/>
            <w:hideMark/>
          </w:tcPr>
          <w:p w14:paraId="415F9163" w14:textId="77777777" w:rsidR="00AD380E" w:rsidRPr="00AD380E" w:rsidRDefault="00AD380E" w:rsidP="00AD380E">
            <w:pPr>
              <w:rPr>
                <w:rFonts w:ascii="Arial" w:hAnsi="Arial" w:cs="Arial"/>
              </w:rPr>
            </w:pPr>
            <w:r w:rsidRPr="00AD380E">
              <w:rPr>
                <w:rFonts w:ascii="Arial" w:hAnsi="Arial" w:cs="Arial"/>
              </w:rPr>
              <w:t>High-performance design, renewables, low-carbon materials</w:t>
            </w:r>
          </w:p>
        </w:tc>
        <w:tc>
          <w:tcPr>
            <w:tcW w:w="0" w:type="auto"/>
            <w:vAlign w:val="center"/>
            <w:hideMark/>
          </w:tcPr>
          <w:p w14:paraId="0A59626D" w14:textId="77777777" w:rsidR="00AD380E" w:rsidRPr="00AD380E" w:rsidRDefault="00AD380E" w:rsidP="00AD380E">
            <w:pPr>
              <w:rPr>
                <w:rFonts w:ascii="Arial" w:hAnsi="Arial" w:cs="Arial"/>
              </w:rPr>
            </w:pPr>
            <w:r w:rsidRPr="00AD380E">
              <w:rPr>
                <w:rFonts w:ascii="Arial" w:hAnsi="Arial" w:cs="Arial"/>
              </w:rPr>
              <w:t>Incremental upgrades, efficient services</w:t>
            </w:r>
          </w:p>
        </w:tc>
        <w:tc>
          <w:tcPr>
            <w:tcW w:w="0" w:type="auto"/>
            <w:vAlign w:val="center"/>
            <w:hideMark/>
          </w:tcPr>
          <w:p w14:paraId="2221B2CF" w14:textId="77777777" w:rsidR="00AD380E" w:rsidRPr="00AD380E" w:rsidRDefault="00AD380E" w:rsidP="00AD380E">
            <w:pPr>
              <w:rPr>
                <w:rFonts w:ascii="Arial" w:hAnsi="Arial" w:cs="Arial"/>
              </w:rPr>
            </w:pPr>
            <w:r w:rsidRPr="00AD380E">
              <w:rPr>
                <w:rFonts w:ascii="Arial" w:hAnsi="Arial" w:cs="Arial"/>
              </w:rPr>
              <w:t>Reduced carbon footprint</w:t>
            </w:r>
          </w:p>
        </w:tc>
      </w:tr>
      <w:tr w:rsidR="00AD380E" w:rsidRPr="00AD380E" w14:paraId="56376BDC" w14:textId="77777777">
        <w:trPr>
          <w:tblCellSpacing w:w="15" w:type="dxa"/>
        </w:trPr>
        <w:tc>
          <w:tcPr>
            <w:tcW w:w="0" w:type="auto"/>
            <w:vAlign w:val="center"/>
            <w:hideMark/>
          </w:tcPr>
          <w:p w14:paraId="77927AD4" w14:textId="77777777" w:rsidR="00AD380E" w:rsidRPr="00AD380E" w:rsidRDefault="00AD380E" w:rsidP="00AD380E">
            <w:pPr>
              <w:rPr>
                <w:rFonts w:ascii="Arial" w:hAnsi="Arial" w:cs="Arial"/>
              </w:rPr>
            </w:pPr>
            <w:r w:rsidRPr="00AD380E">
              <w:rPr>
                <w:rFonts w:ascii="Arial" w:hAnsi="Arial" w:cs="Arial"/>
              </w:rPr>
              <w:t>Social Value</w:t>
            </w:r>
          </w:p>
        </w:tc>
        <w:tc>
          <w:tcPr>
            <w:tcW w:w="0" w:type="auto"/>
            <w:vAlign w:val="center"/>
            <w:hideMark/>
          </w:tcPr>
          <w:p w14:paraId="497F0D8E" w14:textId="77777777" w:rsidR="00AD380E" w:rsidRPr="00AD380E" w:rsidRDefault="00AD380E" w:rsidP="00AD380E">
            <w:pPr>
              <w:rPr>
                <w:rFonts w:ascii="Arial" w:hAnsi="Arial" w:cs="Arial"/>
              </w:rPr>
            </w:pPr>
            <w:r w:rsidRPr="00AD380E">
              <w:rPr>
                <w:rFonts w:ascii="Arial" w:hAnsi="Arial" w:cs="Arial"/>
              </w:rPr>
              <w:t>Apprenticeships, student engagement, local supply chain</w:t>
            </w:r>
          </w:p>
        </w:tc>
        <w:tc>
          <w:tcPr>
            <w:tcW w:w="0" w:type="auto"/>
            <w:vAlign w:val="center"/>
            <w:hideMark/>
          </w:tcPr>
          <w:p w14:paraId="2A37D8C7" w14:textId="77777777" w:rsidR="00AD380E" w:rsidRPr="00AD380E" w:rsidRDefault="00AD380E" w:rsidP="00AD380E">
            <w:pPr>
              <w:rPr>
                <w:rFonts w:ascii="Arial" w:hAnsi="Arial" w:cs="Arial"/>
              </w:rPr>
            </w:pPr>
            <w:r w:rsidRPr="00AD380E">
              <w:rPr>
                <w:rFonts w:ascii="Arial" w:hAnsi="Arial" w:cs="Arial"/>
              </w:rPr>
              <w:t>Inclusive access, cultural engagement</w:t>
            </w:r>
          </w:p>
        </w:tc>
        <w:tc>
          <w:tcPr>
            <w:tcW w:w="0" w:type="auto"/>
            <w:vAlign w:val="center"/>
            <w:hideMark/>
          </w:tcPr>
          <w:p w14:paraId="3B841C1E" w14:textId="77777777" w:rsidR="00AD380E" w:rsidRPr="00AD380E" w:rsidRDefault="00AD380E" w:rsidP="00AD380E">
            <w:pPr>
              <w:rPr>
                <w:rFonts w:ascii="Arial" w:hAnsi="Arial" w:cs="Arial"/>
              </w:rPr>
            </w:pPr>
            <w:r w:rsidRPr="00AD380E">
              <w:rPr>
                <w:rFonts w:ascii="Arial" w:hAnsi="Arial" w:cs="Arial"/>
              </w:rPr>
              <w:t>Stronger community links</w:t>
            </w:r>
          </w:p>
        </w:tc>
      </w:tr>
      <w:tr w:rsidR="00AD380E" w:rsidRPr="00AD380E" w14:paraId="4513DF0A" w14:textId="77777777">
        <w:trPr>
          <w:tblCellSpacing w:w="15" w:type="dxa"/>
        </w:trPr>
        <w:tc>
          <w:tcPr>
            <w:tcW w:w="0" w:type="auto"/>
            <w:vAlign w:val="center"/>
            <w:hideMark/>
          </w:tcPr>
          <w:p w14:paraId="2731C345" w14:textId="77777777" w:rsidR="00AD380E" w:rsidRPr="00AD380E" w:rsidRDefault="00AD380E" w:rsidP="00AD380E">
            <w:pPr>
              <w:rPr>
                <w:rFonts w:ascii="Arial" w:hAnsi="Arial" w:cs="Arial"/>
              </w:rPr>
            </w:pPr>
            <w:r w:rsidRPr="00AD380E">
              <w:rPr>
                <w:rFonts w:ascii="Arial" w:hAnsi="Arial" w:cs="Arial"/>
              </w:rPr>
              <w:t>Economic Impact</w:t>
            </w:r>
          </w:p>
        </w:tc>
        <w:tc>
          <w:tcPr>
            <w:tcW w:w="0" w:type="auto"/>
            <w:vAlign w:val="center"/>
            <w:hideMark/>
          </w:tcPr>
          <w:p w14:paraId="3B1CFA92" w14:textId="77777777" w:rsidR="00AD380E" w:rsidRPr="00AD380E" w:rsidRDefault="00AD380E" w:rsidP="00AD380E">
            <w:pPr>
              <w:rPr>
                <w:rFonts w:ascii="Arial" w:hAnsi="Arial" w:cs="Arial"/>
              </w:rPr>
            </w:pPr>
            <w:r w:rsidRPr="00AD380E">
              <w:rPr>
                <w:rFonts w:ascii="Arial" w:hAnsi="Arial" w:cs="Arial"/>
              </w:rPr>
              <w:t>Supports construction skills pipeline</w:t>
            </w:r>
          </w:p>
        </w:tc>
        <w:tc>
          <w:tcPr>
            <w:tcW w:w="0" w:type="auto"/>
            <w:vAlign w:val="center"/>
            <w:hideMark/>
          </w:tcPr>
          <w:p w14:paraId="61C577F9" w14:textId="77777777" w:rsidR="00AD380E" w:rsidRPr="00AD380E" w:rsidRDefault="00AD380E" w:rsidP="00AD380E">
            <w:pPr>
              <w:rPr>
                <w:rFonts w:ascii="Arial" w:hAnsi="Arial" w:cs="Arial"/>
              </w:rPr>
            </w:pPr>
            <w:r w:rsidRPr="00AD380E">
              <w:rPr>
                <w:rFonts w:ascii="Arial" w:hAnsi="Arial" w:cs="Arial"/>
              </w:rPr>
              <w:t>Protects heritage asset</w:t>
            </w:r>
          </w:p>
        </w:tc>
        <w:tc>
          <w:tcPr>
            <w:tcW w:w="0" w:type="auto"/>
            <w:vAlign w:val="center"/>
            <w:hideMark/>
          </w:tcPr>
          <w:p w14:paraId="6F98697D" w14:textId="77777777" w:rsidR="00AD380E" w:rsidRPr="00AD380E" w:rsidRDefault="00AD380E" w:rsidP="00AD380E">
            <w:pPr>
              <w:rPr>
                <w:rFonts w:ascii="Arial" w:hAnsi="Arial" w:cs="Arial"/>
              </w:rPr>
            </w:pPr>
            <w:r w:rsidRPr="00AD380E">
              <w:rPr>
                <w:rFonts w:ascii="Arial" w:hAnsi="Arial" w:cs="Arial"/>
              </w:rPr>
              <w:t>Regional economic resilience</w:t>
            </w:r>
          </w:p>
        </w:tc>
      </w:tr>
      <w:tr w:rsidR="00AD380E" w:rsidRPr="00AD380E" w14:paraId="0E4A640F" w14:textId="77777777">
        <w:trPr>
          <w:tblCellSpacing w:w="15" w:type="dxa"/>
        </w:trPr>
        <w:tc>
          <w:tcPr>
            <w:tcW w:w="0" w:type="auto"/>
            <w:vAlign w:val="center"/>
            <w:hideMark/>
          </w:tcPr>
          <w:p w14:paraId="26605B93" w14:textId="7DD73A52" w:rsidR="00AD380E" w:rsidRPr="00AD380E" w:rsidRDefault="00AD380E" w:rsidP="00AD380E">
            <w:pPr>
              <w:rPr>
                <w:rFonts w:ascii="Arial" w:hAnsi="Arial" w:cs="Arial"/>
              </w:rPr>
            </w:pPr>
            <w:r w:rsidRPr="00AD380E">
              <w:rPr>
                <w:rFonts w:ascii="Arial" w:hAnsi="Arial" w:cs="Arial"/>
              </w:rPr>
              <w:t>Well</w:t>
            </w:r>
            <w:r w:rsidR="008E4BD6">
              <w:rPr>
                <w:rFonts w:ascii="Arial" w:hAnsi="Arial" w:cs="Arial"/>
              </w:rPr>
              <w:t xml:space="preserve"> </w:t>
            </w:r>
            <w:r w:rsidRPr="00AD380E">
              <w:rPr>
                <w:rFonts w:ascii="Arial" w:hAnsi="Arial" w:cs="Arial"/>
              </w:rPr>
              <w:t>Being</w:t>
            </w:r>
          </w:p>
        </w:tc>
        <w:tc>
          <w:tcPr>
            <w:tcW w:w="0" w:type="auto"/>
            <w:vAlign w:val="center"/>
            <w:hideMark/>
          </w:tcPr>
          <w:p w14:paraId="59A5E12E" w14:textId="77777777" w:rsidR="00AD380E" w:rsidRPr="00AD380E" w:rsidRDefault="00AD380E" w:rsidP="00AD380E">
            <w:pPr>
              <w:rPr>
                <w:rFonts w:ascii="Arial" w:hAnsi="Arial" w:cs="Arial"/>
              </w:rPr>
            </w:pPr>
            <w:r w:rsidRPr="00AD380E">
              <w:rPr>
                <w:rFonts w:ascii="Arial" w:hAnsi="Arial" w:cs="Arial"/>
              </w:rPr>
              <w:t>Modern, adaptable learning environment</w:t>
            </w:r>
          </w:p>
        </w:tc>
        <w:tc>
          <w:tcPr>
            <w:tcW w:w="0" w:type="auto"/>
            <w:vAlign w:val="center"/>
            <w:hideMark/>
          </w:tcPr>
          <w:p w14:paraId="4BBC8630" w14:textId="77777777" w:rsidR="00AD380E" w:rsidRPr="00AD380E" w:rsidRDefault="00AD380E" w:rsidP="00AD380E">
            <w:pPr>
              <w:rPr>
                <w:rFonts w:ascii="Arial" w:hAnsi="Arial" w:cs="Arial"/>
              </w:rPr>
            </w:pPr>
            <w:r w:rsidRPr="00AD380E">
              <w:rPr>
                <w:rFonts w:ascii="Arial" w:hAnsi="Arial" w:cs="Arial"/>
              </w:rPr>
              <w:t>Fully accessible public building</w:t>
            </w:r>
          </w:p>
        </w:tc>
        <w:tc>
          <w:tcPr>
            <w:tcW w:w="0" w:type="auto"/>
            <w:vAlign w:val="center"/>
            <w:hideMark/>
          </w:tcPr>
          <w:p w14:paraId="1A74CF88" w14:textId="77777777" w:rsidR="00AD380E" w:rsidRPr="00AD380E" w:rsidRDefault="00AD380E" w:rsidP="00AD380E">
            <w:pPr>
              <w:rPr>
                <w:rFonts w:ascii="Arial" w:hAnsi="Arial" w:cs="Arial"/>
              </w:rPr>
            </w:pPr>
            <w:r w:rsidRPr="00AD380E">
              <w:rPr>
                <w:rFonts w:ascii="Arial" w:hAnsi="Arial" w:cs="Arial"/>
              </w:rPr>
              <w:t>Improved equality and inclusion</w:t>
            </w:r>
          </w:p>
        </w:tc>
      </w:tr>
    </w:tbl>
    <w:p w14:paraId="5194FF30" w14:textId="77777777" w:rsidR="00AD380E" w:rsidRPr="00AD380E" w:rsidRDefault="00AD380E" w:rsidP="004341C0">
      <w:pPr>
        <w:pStyle w:val="Heading1"/>
      </w:pPr>
      <w:bookmarkStart w:id="48" w:name="_Toc223447544"/>
      <w:r w:rsidRPr="00AD380E">
        <w:t>12. Conclusion</w:t>
      </w:r>
      <w:bookmarkEnd w:id="48"/>
    </w:p>
    <w:p w14:paraId="5C0EA715" w14:textId="77777777" w:rsidR="00AD380E" w:rsidRPr="00AD380E" w:rsidRDefault="00AD380E" w:rsidP="00AD380E">
      <w:pPr>
        <w:rPr>
          <w:rFonts w:ascii="Arial" w:hAnsi="Arial" w:cs="Arial"/>
        </w:rPr>
      </w:pPr>
      <w:r w:rsidRPr="00AD380E">
        <w:rPr>
          <w:rFonts w:ascii="Arial" w:hAnsi="Arial" w:cs="Arial"/>
        </w:rPr>
        <w:t>The two projects examined in this report—the new construction teaching facility and the refurbishment of the Dylan Thomas Centre—represent very different challenges for the University, but together they illustrate the importance of choosing procurement, tendering and contract strategies that genuinely reflect the nature of the work. A single approach would not have been appropriate for both, and the analysis shows why tailoring the strategy to each project leads to better outcomes in terms of cost, quality, risk and long</w:t>
      </w:r>
      <w:r w:rsidRPr="00AD380E">
        <w:rPr>
          <w:rFonts w:ascii="Arial" w:hAnsi="Arial" w:cs="Arial"/>
        </w:rPr>
        <w:noBreakHyphen/>
        <w:t>term value.</w:t>
      </w:r>
    </w:p>
    <w:p w14:paraId="392CB7E1" w14:textId="77777777" w:rsidR="00AD380E" w:rsidRPr="00AD380E" w:rsidRDefault="00AD380E" w:rsidP="00AD380E">
      <w:pPr>
        <w:rPr>
          <w:rFonts w:ascii="Arial" w:hAnsi="Arial" w:cs="Arial"/>
        </w:rPr>
      </w:pPr>
      <w:r w:rsidRPr="00AD380E">
        <w:rPr>
          <w:rFonts w:ascii="Arial" w:hAnsi="Arial" w:cs="Arial"/>
        </w:rPr>
        <w:t>The new construction teaching facility is a forward</w:t>
      </w:r>
      <w:r w:rsidRPr="00AD380E">
        <w:rPr>
          <w:rFonts w:ascii="Arial" w:hAnsi="Arial" w:cs="Arial"/>
        </w:rPr>
        <w:noBreakHyphen/>
        <w:t>looking project that supports the University’s ambition to strengthen its construction education offer. Its specialist workshop spaces, digital infrastructure and technical complexity make early contractor involvement essential. A two</w:t>
      </w:r>
      <w:r w:rsidRPr="00AD380E">
        <w:rPr>
          <w:rFonts w:ascii="Arial" w:hAnsi="Arial" w:cs="Arial"/>
        </w:rPr>
        <w:noBreakHyphen/>
        <w:t>stage Design and Build route, procured through a restricted framework tender, provides the right balance of collaboration, cost control and buildability. The JCT Design and Build Contract 2016 reinforces this by offering clear responsibility for design and construction while still allowing the University to shape the project during the pre</w:t>
      </w:r>
      <w:r w:rsidRPr="00AD380E">
        <w:rPr>
          <w:rFonts w:ascii="Arial" w:hAnsi="Arial" w:cs="Arial"/>
        </w:rPr>
        <w:noBreakHyphen/>
        <w:t xml:space="preserve">construction phase. This approach </w:t>
      </w:r>
      <w:r w:rsidRPr="00AD380E">
        <w:rPr>
          <w:rFonts w:ascii="Arial" w:hAnsi="Arial" w:cs="Arial"/>
        </w:rPr>
        <w:lastRenderedPageBreak/>
        <w:t>reduces design risk, supports sustainability goals and ensures that the building can adapt to future teaching needs.</w:t>
      </w:r>
    </w:p>
    <w:p w14:paraId="0397181F" w14:textId="77777777" w:rsidR="00AD380E" w:rsidRPr="00AD380E" w:rsidRDefault="00AD380E" w:rsidP="00AD380E">
      <w:pPr>
        <w:rPr>
          <w:rFonts w:ascii="Arial" w:hAnsi="Arial" w:cs="Arial"/>
        </w:rPr>
      </w:pPr>
      <w:r w:rsidRPr="00AD380E">
        <w:rPr>
          <w:rFonts w:ascii="Arial" w:hAnsi="Arial" w:cs="Arial"/>
        </w:rPr>
        <w:t>The Dylan Thomas Centre, by contrast, is a heritage building with significant accessibility shortcomings. Its refurbishment requires careful, sensitive design work that must be fully developed before a contractor is appointed. A Traditional procurement route, supported by a single</w:t>
      </w:r>
      <w:r w:rsidRPr="00AD380E">
        <w:rPr>
          <w:rFonts w:ascii="Arial" w:hAnsi="Arial" w:cs="Arial"/>
        </w:rPr>
        <w:noBreakHyphen/>
        <w:t>stage competitive tender through a Minor Works framework, gives the University the control it needs to ensure that accessibility improvements are compliant, appropriate and respectful of the building’s character. The JCT Intermediate Building Contract 2016 provides a suitable structure for managing the refurbishment, particularly given the likelihood of unforeseen conditions and the need for clear change</w:t>
      </w:r>
      <w:r w:rsidRPr="00AD380E">
        <w:rPr>
          <w:rFonts w:ascii="Arial" w:hAnsi="Arial" w:cs="Arial"/>
        </w:rPr>
        <w:noBreakHyphen/>
        <w:t>control mechanisms.</w:t>
      </w:r>
    </w:p>
    <w:p w14:paraId="56850785" w14:textId="77777777" w:rsidR="00AD380E" w:rsidRPr="00AD380E" w:rsidRDefault="00AD380E" w:rsidP="00AD380E">
      <w:pPr>
        <w:rPr>
          <w:rFonts w:ascii="Arial" w:hAnsi="Arial" w:cs="Arial"/>
        </w:rPr>
      </w:pPr>
      <w:r w:rsidRPr="00AD380E">
        <w:rPr>
          <w:rFonts w:ascii="Arial" w:hAnsi="Arial" w:cs="Arial"/>
        </w:rPr>
        <w:t>Across both projects, the analysis highlights the importance of understanding risk. The new build carries risks related to technical coordination and sustainability, while the refurbishment faces uncertainties linked to heritage constraints and existing conditions. By aligning procurement routes with these risk profiles, the University can allocate responsibilities more effectively and reduce the likelihood of delays, disputes or cost escalation.</w:t>
      </w:r>
    </w:p>
    <w:p w14:paraId="487E643D" w14:textId="77777777" w:rsidR="00AD380E" w:rsidRPr="00AD380E" w:rsidRDefault="00AD380E" w:rsidP="00AD380E">
      <w:pPr>
        <w:rPr>
          <w:rFonts w:ascii="Arial" w:hAnsi="Arial" w:cs="Arial"/>
        </w:rPr>
      </w:pPr>
      <w:r w:rsidRPr="00AD380E">
        <w:rPr>
          <w:rFonts w:ascii="Arial" w:hAnsi="Arial" w:cs="Arial"/>
        </w:rPr>
        <w:t>Sustainability and social value also play a central role. Both projects contribute to the University’s long</w:t>
      </w:r>
      <w:r w:rsidRPr="00AD380E">
        <w:rPr>
          <w:rFonts w:ascii="Arial" w:hAnsi="Arial" w:cs="Arial"/>
        </w:rPr>
        <w:noBreakHyphen/>
        <w:t>term goals, whether by improving energy performance, supporting local employment or enhancing community engagement. The new teaching facility strengthens the construction skills pipeline, while the refurbished Dylan Thomas Centre ensures that a culturally significant building remains inclusive and accessible.</w:t>
      </w:r>
    </w:p>
    <w:p w14:paraId="4934B69B" w14:textId="77777777" w:rsidR="00AD380E" w:rsidRPr="001833CF" w:rsidRDefault="00AD380E" w:rsidP="00E36531">
      <w:pPr>
        <w:rPr>
          <w:rFonts w:ascii="Arial" w:hAnsi="Arial" w:cs="Arial"/>
        </w:rPr>
      </w:pPr>
    </w:p>
    <w:p w14:paraId="22CD3CF8" w14:textId="77777777" w:rsidR="00CE79CD" w:rsidRPr="001833CF" w:rsidRDefault="00AD380E" w:rsidP="004341C0">
      <w:pPr>
        <w:pStyle w:val="Heading1"/>
        <w:rPr>
          <w:rFonts w:eastAsiaTheme="minorHAnsi"/>
        </w:rPr>
      </w:pPr>
      <w:bookmarkStart w:id="49" w:name="_Toc223447545"/>
      <w:r w:rsidRPr="00AD380E">
        <w:t xml:space="preserve">13. </w:t>
      </w:r>
      <w:r w:rsidR="00CE79CD" w:rsidRPr="001833CF">
        <w:rPr>
          <w:rFonts w:eastAsiaTheme="minorHAnsi"/>
        </w:rPr>
        <w:t>Reference List</w:t>
      </w:r>
      <w:bookmarkEnd w:id="49"/>
    </w:p>
    <w:p w14:paraId="58BB5039" w14:textId="77777777" w:rsidR="00F50FFC" w:rsidRPr="00F50FFC" w:rsidRDefault="00F50FFC" w:rsidP="00F50FFC">
      <w:pPr>
        <w:rPr>
          <w:rFonts w:ascii="Arial" w:hAnsi="Arial" w:cs="Arial"/>
        </w:rPr>
      </w:pPr>
      <w:r w:rsidRPr="00F50FFC">
        <w:rPr>
          <w:rFonts w:ascii="Arial" w:hAnsi="Arial" w:cs="Arial"/>
        </w:rPr>
        <w:t xml:space="preserve">BRE (2021) </w:t>
      </w:r>
      <w:r w:rsidRPr="00F50FFC">
        <w:rPr>
          <w:rFonts w:ascii="Arial" w:hAnsi="Arial" w:cs="Arial"/>
          <w:i/>
          <w:iCs/>
        </w:rPr>
        <w:t>BREEAM UK New Construction: Technical Manual</w:t>
      </w:r>
      <w:r w:rsidRPr="00F50FFC">
        <w:rPr>
          <w:rFonts w:ascii="Arial" w:hAnsi="Arial" w:cs="Arial"/>
        </w:rPr>
        <w:t>. Watford: Building Research Establishment.</w:t>
      </w:r>
    </w:p>
    <w:p w14:paraId="25018EB3" w14:textId="77777777" w:rsidR="00F50FFC" w:rsidRPr="00F50FFC" w:rsidRDefault="00F50FFC" w:rsidP="00F50FFC">
      <w:pPr>
        <w:rPr>
          <w:rFonts w:ascii="Arial" w:hAnsi="Arial" w:cs="Arial"/>
        </w:rPr>
      </w:pPr>
      <w:r w:rsidRPr="00F50FFC">
        <w:rPr>
          <w:rFonts w:ascii="Arial" w:hAnsi="Arial" w:cs="Arial"/>
        </w:rPr>
        <w:t xml:space="preserve">British Standards Institution (BSI) (2018) </w:t>
      </w:r>
      <w:r w:rsidRPr="00F50FFC">
        <w:rPr>
          <w:rFonts w:ascii="Arial" w:hAnsi="Arial" w:cs="Arial"/>
          <w:i/>
          <w:iCs/>
        </w:rPr>
        <w:t>BS 8300-1:2018 Design of an Accessible and Inclusive Built Environment – Part 1: External Environment</w:t>
      </w:r>
      <w:r w:rsidRPr="00F50FFC">
        <w:rPr>
          <w:rFonts w:ascii="Arial" w:hAnsi="Arial" w:cs="Arial"/>
        </w:rPr>
        <w:t>. London: BSI.</w:t>
      </w:r>
    </w:p>
    <w:p w14:paraId="47CC2365" w14:textId="77777777" w:rsidR="00F50FFC" w:rsidRPr="00F50FFC" w:rsidRDefault="00F50FFC" w:rsidP="00F50FFC">
      <w:pPr>
        <w:rPr>
          <w:rFonts w:ascii="Arial" w:hAnsi="Arial" w:cs="Arial"/>
        </w:rPr>
      </w:pPr>
      <w:r w:rsidRPr="00F50FFC">
        <w:rPr>
          <w:rFonts w:ascii="Arial" w:hAnsi="Arial" w:cs="Arial"/>
        </w:rPr>
        <w:t xml:space="preserve">Cabinet Office (2022) </w:t>
      </w:r>
      <w:r w:rsidRPr="00F50FFC">
        <w:rPr>
          <w:rFonts w:ascii="Arial" w:hAnsi="Arial" w:cs="Arial"/>
          <w:i/>
          <w:iCs/>
        </w:rPr>
        <w:t>The Construction Playbook: Government Guidance on Sourcing and Contracting Public Works Projects and Programmes</w:t>
      </w:r>
      <w:r w:rsidRPr="00F50FFC">
        <w:rPr>
          <w:rFonts w:ascii="Arial" w:hAnsi="Arial" w:cs="Arial"/>
        </w:rPr>
        <w:t>. London: HM Government.</w:t>
      </w:r>
    </w:p>
    <w:p w14:paraId="7D76C6A2" w14:textId="77777777" w:rsidR="00F50FFC" w:rsidRPr="00F50FFC" w:rsidRDefault="00F50FFC" w:rsidP="00F50FFC">
      <w:pPr>
        <w:rPr>
          <w:rFonts w:ascii="Arial" w:hAnsi="Arial" w:cs="Arial"/>
        </w:rPr>
      </w:pPr>
      <w:r w:rsidRPr="00F50FFC">
        <w:rPr>
          <w:rFonts w:ascii="Arial" w:hAnsi="Arial" w:cs="Arial"/>
        </w:rPr>
        <w:t xml:space="preserve">Chartered Institute of Building (CIOB) (2018) </w:t>
      </w:r>
      <w:r w:rsidRPr="00F50FFC">
        <w:rPr>
          <w:rFonts w:ascii="Arial" w:hAnsi="Arial" w:cs="Arial"/>
          <w:i/>
          <w:iCs/>
        </w:rPr>
        <w:t>Code of Practice for Project Management for Construction and Development</w:t>
      </w:r>
      <w:r w:rsidRPr="00F50FFC">
        <w:rPr>
          <w:rFonts w:ascii="Arial" w:hAnsi="Arial" w:cs="Arial"/>
        </w:rPr>
        <w:t>. 5th edn. Chichester: Wiley-Blackwell.</w:t>
      </w:r>
    </w:p>
    <w:p w14:paraId="50AF3919" w14:textId="77777777" w:rsidR="00F50FFC" w:rsidRPr="00F50FFC" w:rsidRDefault="00F50FFC" w:rsidP="00F50FFC">
      <w:pPr>
        <w:rPr>
          <w:rFonts w:ascii="Arial" w:hAnsi="Arial" w:cs="Arial"/>
        </w:rPr>
      </w:pPr>
      <w:r w:rsidRPr="00F50FFC">
        <w:rPr>
          <w:rFonts w:ascii="Arial" w:hAnsi="Arial" w:cs="Arial"/>
          <w:i/>
          <w:iCs/>
        </w:rPr>
        <w:t>Equality Act 2010</w:t>
      </w:r>
      <w:r w:rsidRPr="00F50FFC">
        <w:rPr>
          <w:rFonts w:ascii="Arial" w:hAnsi="Arial" w:cs="Arial"/>
        </w:rPr>
        <w:t>. London: The Stationery Office.</w:t>
      </w:r>
    </w:p>
    <w:p w14:paraId="6D2E64D9" w14:textId="77777777" w:rsidR="00F50FFC" w:rsidRPr="00F50FFC" w:rsidRDefault="00F50FFC" w:rsidP="00F50FFC">
      <w:pPr>
        <w:rPr>
          <w:rFonts w:ascii="Arial" w:hAnsi="Arial" w:cs="Arial"/>
        </w:rPr>
      </w:pPr>
      <w:r w:rsidRPr="00F50FFC">
        <w:rPr>
          <w:rFonts w:ascii="Arial" w:hAnsi="Arial" w:cs="Arial"/>
        </w:rPr>
        <w:t xml:space="preserve">Historic England (2017) </w:t>
      </w:r>
      <w:r w:rsidRPr="00F50FFC">
        <w:rPr>
          <w:rFonts w:ascii="Arial" w:hAnsi="Arial" w:cs="Arial"/>
          <w:i/>
          <w:iCs/>
        </w:rPr>
        <w:t>Easy Access to Historic Buildings</w:t>
      </w:r>
      <w:r w:rsidRPr="00F50FFC">
        <w:rPr>
          <w:rFonts w:ascii="Arial" w:hAnsi="Arial" w:cs="Arial"/>
        </w:rPr>
        <w:t>. London: Historic England.</w:t>
      </w:r>
    </w:p>
    <w:p w14:paraId="27DFC0D6" w14:textId="77777777" w:rsidR="00F50FFC" w:rsidRPr="00F50FFC" w:rsidRDefault="00F50FFC" w:rsidP="00F50FFC">
      <w:pPr>
        <w:rPr>
          <w:rFonts w:ascii="Arial" w:hAnsi="Arial" w:cs="Arial"/>
        </w:rPr>
      </w:pPr>
      <w:r w:rsidRPr="00F50FFC">
        <w:rPr>
          <w:rFonts w:ascii="Arial" w:hAnsi="Arial" w:cs="Arial"/>
        </w:rPr>
        <w:lastRenderedPageBreak/>
        <w:t xml:space="preserve">Historic England (2019) </w:t>
      </w:r>
      <w:r w:rsidRPr="00F50FFC">
        <w:rPr>
          <w:rFonts w:ascii="Arial" w:hAnsi="Arial" w:cs="Arial"/>
          <w:i/>
          <w:iCs/>
        </w:rPr>
        <w:t>Conservation Principles: Policies and Guidance</w:t>
      </w:r>
      <w:r w:rsidRPr="00F50FFC">
        <w:rPr>
          <w:rFonts w:ascii="Arial" w:hAnsi="Arial" w:cs="Arial"/>
        </w:rPr>
        <w:t>. London: Historic England.</w:t>
      </w:r>
    </w:p>
    <w:p w14:paraId="4DF589B7" w14:textId="77777777" w:rsidR="00F50FFC" w:rsidRPr="00F50FFC" w:rsidRDefault="00F50FFC" w:rsidP="00F50FFC">
      <w:pPr>
        <w:rPr>
          <w:rFonts w:ascii="Arial" w:hAnsi="Arial" w:cs="Arial"/>
        </w:rPr>
      </w:pPr>
      <w:r w:rsidRPr="00F50FFC">
        <w:rPr>
          <w:rFonts w:ascii="Arial" w:hAnsi="Arial" w:cs="Arial"/>
        </w:rPr>
        <w:t xml:space="preserve">Hughes, W., Champion, R. and Murdoch, J. (2015) </w:t>
      </w:r>
      <w:r w:rsidRPr="00F50FFC">
        <w:rPr>
          <w:rFonts w:ascii="Arial" w:hAnsi="Arial" w:cs="Arial"/>
          <w:i/>
          <w:iCs/>
        </w:rPr>
        <w:t>Construction Contracts: Law and Management</w:t>
      </w:r>
      <w:r w:rsidRPr="00F50FFC">
        <w:rPr>
          <w:rFonts w:ascii="Arial" w:hAnsi="Arial" w:cs="Arial"/>
        </w:rPr>
        <w:t>. 5th edn. Abingdon: Routledge.</w:t>
      </w:r>
    </w:p>
    <w:p w14:paraId="5FB0FF41" w14:textId="77777777" w:rsidR="00F50FFC" w:rsidRPr="00F50FFC" w:rsidRDefault="00F50FFC" w:rsidP="00F50FFC">
      <w:pPr>
        <w:rPr>
          <w:rFonts w:ascii="Arial" w:hAnsi="Arial" w:cs="Arial"/>
        </w:rPr>
      </w:pPr>
      <w:r w:rsidRPr="00F50FFC">
        <w:rPr>
          <w:rFonts w:ascii="Arial" w:hAnsi="Arial" w:cs="Arial"/>
        </w:rPr>
        <w:t xml:space="preserve">International Organization for Standardization (ISO) (2018) </w:t>
      </w:r>
      <w:r w:rsidRPr="00F50FFC">
        <w:rPr>
          <w:rFonts w:ascii="Arial" w:hAnsi="Arial" w:cs="Arial"/>
          <w:i/>
          <w:iCs/>
        </w:rPr>
        <w:t>ISO 31000:2018 Risk Management – Guidelines</w:t>
      </w:r>
      <w:r w:rsidRPr="00F50FFC">
        <w:rPr>
          <w:rFonts w:ascii="Arial" w:hAnsi="Arial" w:cs="Arial"/>
        </w:rPr>
        <w:t>. Geneva: ISO.</w:t>
      </w:r>
    </w:p>
    <w:p w14:paraId="243D4F49" w14:textId="77777777" w:rsidR="00F50FFC" w:rsidRPr="00F50FFC" w:rsidRDefault="00F50FFC" w:rsidP="00F50FFC">
      <w:pPr>
        <w:rPr>
          <w:rFonts w:ascii="Arial" w:hAnsi="Arial" w:cs="Arial"/>
        </w:rPr>
      </w:pPr>
      <w:r w:rsidRPr="00F50FFC">
        <w:rPr>
          <w:rFonts w:ascii="Arial" w:hAnsi="Arial" w:cs="Arial"/>
        </w:rPr>
        <w:t xml:space="preserve">Joint Contracts Tribunal (JCT) (2016a) </w:t>
      </w:r>
      <w:r w:rsidRPr="00F50FFC">
        <w:rPr>
          <w:rFonts w:ascii="Arial" w:hAnsi="Arial" w:cs="Arial"/>
          <w:i/>
          <w:iCs/>
        </w:rPr>
        <w:t>JCT Design and Build Contract 2016</w:t>
      </w:r>
      <w:r w:rsidRPr="00F50FFC">
        <w:rPr>
          <w:rFonts w:ascii="Arial" w:hAnsi="Arial" w:cs="Arial"/>
        </w:rPr>
        <w:t>. London: JCT.</w:t>
      </w:r>
    </w:p>
    <w:p w14:paraId="5F1761DC" w14:textId="77777777" w:rsidR="00F50FFC" w:rsidRPr="00F50FFC" w:rsidRDefault="00F50FFC" w:rsidP="00F50FFC">
      <w:pPr>
        <w:rPr>
          <w:rFonts w:ascii="Arial" w:hAnsi="Arial" w:cs="Arial"/>
        </w:rPr>
      </w:pPr>
      <w:r w:rsidRPr="00F50FFC">
        <w:rPr>
          <w:rFonts w:ascii="Arial" w:hAnsi="Arial" w:cs="Arial"/>
        </w:rPr>
        <w:t xml:space="preserve">Joint Contracts Tribunal (JCT) (2016b) </w:t>
      </w:r>
      <w:r w:rsidRPr="00F50FFC">
        <w:rPr>
          <w:rFonts w:ascii="Arial" w:hAnsi="Arial" w:cs="Arial"/>
          <w:i/>
          <w:iCs/>
        </w:rPr>
        <w:t>JCT Intermediate Building Contract 2016</w:t>
      </w:r>
      <w:r w:rsidRPr="00F50FFC">
        <w:rPr>
          <w:rFonts w:ascii="Arial" w:hAnsi="Arial" w:cs="Arial"/>
        </w:rPr>
        <w:t>. London: JCT.</w:t>
      </w:r>
    </w:p>
    <w:p w14:paraId="1F12138F" w14:textId="77777777" w:rsidR="00F50FFC" w:rsidRPr="00F50FFC" w:rsidRDefault="00F50FFC" w:rsidP="00F50FFC">
      <w:pPr>
        <w:rPr>
          <w:rFonts w:ascii="Arial" w:hAnsi="Arial" w:cs="Arial"/>
        </w:rPr>
      </w:pPr>
      <w:r w:rsidRPr="00F50FFC">
        <w:rPr>
          <w:rFonts w:ascii="Arial" w:hAnsi="Arial" w:cs="Arial"/>
        </w:rPr>
        <w:t xml:space="preserve">Morledge, R. and Smith, A. (2013) </w:t>
      </w:r>
      <w:r w:rsidRPr="00F50FFC">
        <w:rPr>
          <w:rFonts w:ascii="Arial" w:hAnsi="Arial" w:cs="Arial"/>
          <w:i/>
          <w:iCs/>
        </w:rPr>
        <w:t>Building Procurement</w:t>
      </w:r>
      <w:r w:rsidRPr="00F50FFC">
        <w:rPr>
          <w:rFonts w:ascii="Arial" w:hAnsi="Arial" w:cs="Arial"/>
        </w:rPr>
        <w:t>. 2nd edn. Chichester: Wiley-Blackwell.</w:t>
      </w:r>
    </w:p>
    <w:p w14:paraId="1385183D" w14:textId="77777777" w:rsidR="00F50FFC" w:rsidRPr="00F50FFC" w:rsidRDefault="00F50FFC" w:rsidP="00F50FFC">
      <w:pPr>
        <w:rPr>
          <w:rFonts w:ascii="Arial" w:hAnsi="Arial" w:cs="Arial"/>
        </w:rPr>
      </w:pPr>
      <w:r w:rsidRPr="00F50FFC">
        <w:rPr>
          <w:rFonts w:ascii="Arial" w:hAnsi="Arial" w:cs="Arial"/>
        </w:rPr>
        <w:t xml:space="preserve">Orbasli, A. (2013) </w:t>
      </w:r>
      <w:r w:rsidRPr="00F50FFC">
        <w:rPr>
          <w:rFonts w:ascii="Arial" w:hAnsi="Arial" w:cs="Arial"/>
          <w:i/>
          <w:iCs/>
        </w:rPr>
        <w:t>Architectural Conservation: Principles and Practice</w:t>
      </w:r>
      <w:r w:rsidRPr="00F50FFC">
        <w:rPr>
          <w:rFonts w:ascii="Arial" w:hAnsi="Arial" w:cs="Arial"/>
        </w:rPr>
        <w:t>. 2nd edn. Chichester: Wiley-Blackwell.</w:t>
      </w:r>
    </w:p>
    <w:p w14:paraId="73FF93FB" w14:textId="77777777" w:rsidR="00F50FFC" w:rsidRPr="00F50FFC" w:rsidRDefault="00F50FFC" w:rsidP="00F50FFC">
      <w:pPr>
        <w:rPr>
          <w:rFonts w:ascii="Arial" w:hAnsi="Arial" w:cs="Arial"/>
        </w:rPr>
      </w:pPr>
      <w:r w:rsidRPr="00F50FFC">
        <w:rPr>
          <w:rFonts w:ascii="Arial" w:hAnsi="Arial" w:cs="Arial"/>
        </w:rPr>
        <w:t xml:space="preserve">Royal Institute of British Architects (RIBA) (2020) </w:t>
      </w:r>
      <w:r w:rsidRPr="00F50FFC">
        <w:rPr>
          <w:rFonts w:ascii="Arial" w:hAnsi="Arial" w:cs="Arial"/>
          <w:i/>
          <w:iCs/>
        </w:rPr>
        <w:t>RIBA Plan of Work 2020 Overview</w:t>
      </w:r>
      <w:r w:rsidRPr="00F50FFC">
        <w:rPr>
          <w:rFonts w:ascii="Arial" w:hAnsi="Arial" w:cs="Arial"/>
        </w:rPr>
        <w:t>. London: RIBA.</w:t>
      </w:r>
    </w:p>
    <w:p w14:paraId="2EDCEA63" w14:textId="77777777" w:rsidR="00F50FFC" w:rsidRPr="00F50FFC" w:rsidRDefault="00F50FFC" w:rsidP="00F50FFC">
      <w:pPr>
        <w:rPr>
          <w:rFonts w:ascii="Arial" w:hAnsi="Arial" w:cs="Arial"/>
        </w:rPr>
      </w:pPr>
      <w:r w:rsidRPr="00F50FFC">
        <w:rPr>
          <w:rFonts w:ascii="Arial" w:hAnsi="Arial" w:cs="Arial"/>
        </w:rPr>
        <w:t xml:space="preserve">Royal Institution of Chartered Surveyors (RICS) (2014) </w:t>
      </w:r>
      <w:r w:rsidRPr="00F50FFC">
        <w:rPr>
          <w:rFonts w:ascii="Arial" w:hAnsi="Arial" w:cs="Arial"/>
          <w:i/>
          <w:iCs/>
        </w:rPr>
        <w:t>Whole Life Costing</w:t>
      </w:r>
      <w:r w:rsidRPr="00F50FFC">
        <w:rPr>
          <w:rFonts w:ascii="Arial" w:hAnsi="Arial" w:cs="Arial"/>
        </w:rPr>
        <w:t>. 2nd edn. London: RICS.</w:t>
      </w:r>
      <w:r w:rsidRPr="00F50FFC">
        <w:rPr>
          <w:rFonts w:ascii="Arial" w:hAnsi="Arial" w:cs="Arial"/>
        </w:rPr>
        <w:br/>
      </w:r>
      <w:r w:rsidRPr="00F50FFC">
        <w:rPr>
          <w:rFonts w:ascii="Arial" w:hAnsi="Arial" w:cs="Arial"/>
          <w:i/>
          <w:iCs/>
        </w:rPr>
        <w:t>(Note: added edition for accuracy—widely cited version)</w:t>
      </w:r>
    </w:p>
    <w:p w14:paraId="6C18A883" w14:textId="77777777" w:rsidR="00F50FFC" w:rsidRPr="00F50FFC" w:rsidRDefault="00F50FFC" w:rsidP="00F50FFC">
      <w:pPr>
        <w:rPr>
          <w:rFonts w:ascii="Arial" w:hAnsi="Arial" w:cs="Arial"/>
        </w:rPr>
      </w:pPr>
      <w:r w:rsidRPr="00F50FFC">
        <w:rPr>
          <w:rFonts w:ascii="Arial" w:hAnsi="Arial" w:cs="Arial"/>
        </w:rPr>
        <w:t xml:space="preserve">Royal National Institute of Blind People (RNIB) (2020) </w:t>
      </w:r>
      <w:r w:rsidRPr="00F50FFC">
        <w:rPr>
          <w:rFonts w:ascii="Arial" w:hAnsi="Arial" w:cs="Arial"/>
          <w:i/>
          <w:iCs/>
        </w:rPr>
        <w:t>Designing for People with Sight Loss</w:t>
      </w:r>
      <w:r w:rsidRPr="00F50FFC">
        <w:rPr>
          <w:rFonts w:ascii="Arial" w:hAnsi="Arial" w:cs="Arial"/>
        </w:rPr>
        <w:t>. London: RNIB.</w:t>
      </w:r>
    </w:p>
    <w:p w14:paraId="09058D8C" w14:textId="77777777" w:rsidR="00F50FFC" w:rsidRPr="00F50FFC" w:rsidRDefault="00F50FFC" w:rsidP="00F50FFC">
      <w:pPr>
        <w:rPr>
          <w:rFonts w:ascii="Arial" w:hAnsi="Arial" w:cs="Arial"/>
        </w:rPr>
      </w:pPr>
      <w:r w:rsidRPr="00F50FFC">
        <w:rPr>
          <w:rFonts w:ascii="Arial" w:hAnsi="Arial" w:cs="Arial"/>
        </w:rPr>
        <w:t xml:space="preserve">UK Green Building Council (UKGBC) (2021) </w:t>
      </w:r>
      <w:r w:rsidRPr="00F50FFC">
        <w:rPr>
          <w:rFonts w:ascii="Arial" w:hAnsi="Arial" w:cs="Arial"/>
          <w:i/>
          <w:iCs/>
        </w:rPr>
        <w:t>Net Zero Carbon Buildings: A Framework Definition</w:t>
      </w:r>
      <w:r w:rsidRPr="00F50FFC">
        <w:rPr>
          <w:rFonts w:ascii="Arial" w:hAnsi="Arial" w:cs="Arial"/>
        </w:rPr>
        <w:t>. London: UKGBC.</w:t>
      </w:r>
    </w:p>
    <w:p w14:paraId="3513F353" w14:textId="77777777" w:rsidR="00F50FFC" w:rsidRPr="00F50FFC" w:rsidRDefault="00F50FFC" w:rsidP="00F50FFC">
      <w:pPr>
        <w:rPr>
          <w:rFonts w:ascii="Arial" w:hAnsi="Arial" w:cs="Arial"/>
        </w:rPr>
      </w:pPr>
      <w:r w:rsidRPr="00F50FFC">
        <w:rPr>
          <w:rFonts w:ascii="Arial" w:hAnsi="Arial" w:cs="Arial"/>
        </w:rPr>
        <w:t xml:space="preserve">Welsh Government (2015) </w:t>
      </w:r>
      <w:r w:rsidRPr="00F50FFC">
        <w:rPr>
          <w:rFonts w:ascii="Arial" w:hAnsi="Arial" w:cs="Arial"/>
          <w:i/>
          <w:iCs/>
        </w:rPr>
        <w:t>Well-being of Future Generations (Wales) Act 2015</w:t>
      </w:r>
      <w:r w:rsidRPr="00F50FFC">
        <w:rPr>
          <w:rFonts w:ascii="Arial" w:hAnsi="Arial" w:cs="Arial"/>
        </w:rPr>
        <w:t>. Cardiff: Welsh Government.</w:t>
      </w:r>
    </w:p>
    <w:p w14:paraId="596A8B38" w14:textId="77777777" w:rsidR="00F50FFC" w:rsidRPr="00F50FFC" w:rsidRDefault="00F50FFC" w:rsidP="00F50FFC">
      <w:pPr>
        <w:rPr>
          <w:rFonts w:ascii="Arial" w:hAnsi="Arial" w:cs="Arial"/>
        </w:rPr>
      </w:pPr>
      <w:r w:rsidRPr="00F50FFC">
        <w:rPr>
          <w:rFonts w:ascii="Arial" w:hAnsi="Arial" w:cs="Arial"/>
        </w:rPr>
        <w:t xml:space="preserve">Welsh Government (2021) </w:t>
      </w:r>
      <w:r w:rsidRPr="00F50FFC">
        <w:rPr>
          <w:rFonts w:ascii="Arial" w:hAnsi="Arial" w:cs="Arial"/>
          <w:i/>
          <w:iCs/>
        </w:rPr>
        <w:t>Procurement Policy Statement Wales</w:t>
      </w:r>
      <w:r w:rsidRPr="00F50FFC">
        <w:rPr>
          <w:rFonts w:ascii="Arial" w:hAnsi="Arial" w:cs="Arial"/>
        </w:rPr>
        <w:t>. Cardiff: Welsh Government.</w:t>
      </w:r>
    </w:p>
    <w:p w14:paraId="53F341DD" w14:textId="5F54F156" w:rsidR="00E36531" w:rsidRPr="001833CF" w:rsidRDefault="00E36531" w:rsidP="00F50FFC">
      <w:pPr>
        <w:rPr>
          <w:rFonts w:ascii="Arial" w:hAnsi="Arial" w:cs="Arial"/>
        </w:rPr>
      </w:pPr>
    </w:p>
    <w:sectPr w:rsidR="00E36531" w:rsidRPr="001833C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4762A5"/>
    <w:multiLevelType w:val="multilevel"/>
    <w:tmpl w:val="2146CB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0863050"/>
    <w:multiLevelType w:val="multilevel"/>
    <w:tmpl w:val="37C607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184454E"/>
    <w:multiLevelType w:val="multilevel"/>
    <w:tmpl w:val="E6B662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1A66378"/>
    <w:multiLevelType w:val="multilevel"/>
    <w:tmpl w:val="7F4C0F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1B65365"/>
    <w:multiLevelType w:val="multilevel"/>
    <w:tmpl w:val="177C33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3230A1F"/>
    <w:multiLevelType w:val="multilevel"/>
    <w:tmpl w:val="DE1430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3806A25"/>
    <w:multiLevelType w:val="multilevel"/>
    <w:tmpl w:val="CD1EB63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03DF2ED5"/>
    <w:multiLevelType w:val="multilevel"/>
    <w:tmpl w:val="CCB26C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5DD28EE"/>
    <w:multiLevelType w:val="multilevel"/>
    <w:tmpl w:val="F28C69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7353DA2"/>
    <w:multiLevelType w:val="multilevel"/>
    <w:tmpl w:val="7B54B4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A5A3D0D"/>
    <w:multiLevelType w:val="multilevel"/>
    <w:tmpl w:val="C7405D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0B5E583C"/>
    <w:multiLevelType w:val="multilevel"/>
    <w:tmpl w:val="A02E94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0B9C03E5"/>
    <w:multiLevelType w:val="multilevel"/>
    <w:tmpl w:val="21E6EC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0BC41445"/>
    <w:multiLevelType w:val="multilevel"/>
    <w:tmpl w:val="B692A4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0C0A1A95"/>
    <w:multiLevelType w:val="multilevel"/>
    <w:tmpl w:val="049882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0C77579B"/>
    <w:multiLevelType w:val="multilevel"/>
    <w:tmpl w:val="4AEA84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0CD6208A"/>
    <w:multiLevelType w:val="multilevel"/>
    <w:tmpl w:val="0A7CA8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0EE63690"/>
    <w:multiLevelType w:val="multilevel"/>
    <w:tmpl w:val="C526F9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11D72271"/>
    <w:multiLevelType w:val="multilevel"/>
    <w:tmpl w:val="FA9E22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122C42E3"/>
    <w:multiLevelType w:val="multilevel"/>
    <w:tmpl w:val="9250AA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123833D6"/>
    <w:multiLevelType w:val="multilevel"/>
    <w:tmpl w:val="918C32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136544CB"/>
    <w:multiLevelType w:val="multilevel"/>
    <w:tmpl w:val="A050CE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14FB1D64"/>
    <w:multiLevelType w:val="multilevel"/>
    <w:tmpl w:val="607CC9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177C2A63"/>
    <w:multiLevelType w:val="multilevel"/>
    <w:tmpl w:val="96AA6A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1B1B7FDD"/>
    <w:multiLevelType w:val="multilevel"/>
    <w:tmpl w:val="46D846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1B9C6543"/>
    <w:multiLevelType w:val="multilevel"/>
    <w:tmpl w:val="F0E294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1E23559A"/>
    <w:multiLevelType w:val="multilevel"/>
    <w:tmpl w:val="6A78F6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2030027A"/>
    <w:multiLevelType w:val="multilevel"/>
    <w:tmpl w:val="6D188C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204F26C8"/>
    <w:multiLevelType w:val="multilevel"/>
    <w:tmpl w:val="EE08706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213B7F56"/>
    <w:multiLevelType w:val="multilevel"/>
    <w:tmpl w:val="C90AFD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27255EDA"/>
    <w:multiLevelType w:val="multilevel"/>
    <w:tmpl w:val="5ADC1B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276D490F"/>
    <w:multiLevelType w:val="multilevel"/>
    <w:tmpl w:val="EDE4FF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29100DCE"/>
    <w:multiLevelType w:val="multilevel"/>
    <w:tmpl w:val="ADB220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29D80A44"/>
    <w:multiLevelType w:val="multilevel"/>
    <w:tmpl w:val="0CD47A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2A8C6B7A"/>
    <w:multiLevelType w:val="multilevel"/>
    <w:tmpl w:val="CD2A7E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2B4A7288"/>
    <w:multiLevelType w:val="multilevel"/>
    <w:tmpl w:val="46D4A9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2DA67E0D"/>
    <w:multiLevelType w:val="multilevel"/>
    <w:tmpl w:val="24EE39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2E0A6CAB"/>
    <w:multiLevelType w:val="multilevel"/>
    <w:tmpl w:val="6C6E1D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2E9F4BD3"/>
    <w:multiLevelType w:val="multilevel"/>
    <w:tmpl w:val="4CA4B5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2EA6488E"/>
    <w:multiLevelType w:val="multilevel"/>
    <w:tmpl w:val="60BA37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335338D0"/>
    <w:multiLevelType w:val="multilevel"/>
    <w:tmpl w:val="6B0C48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37324807"/>
    <w:multiLevelType w:val="multilevel"/>
    <w:tmpl w:val="DF5A1A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378B1CFE"/>
    <w:multiLevelType w:val="multilevel"/>
    <w:tmpl w:val="DF58C0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38E60C9A"/>
    <w:multiLevelType w:val="multilevel"/>
    <w:tmpl w:val="29E212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3D43772A"/>
    <w:multiLevelType w:val="multilevel"/>
    <w:tmpl w:val="A0C66F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3D6E6C15"/>
    <w:multiLevelType w:val="multilevel"/>
    <w:tmpl w:val="5B740E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3E3B2A14"/>
    <w:multiLevelType w:val="multilevel"/>
    <w:tmpl w:val="E1AAE5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3FD64045"/>
    <w:multiLevelType w:val="multilevel"/>
    <w:tmpl w:val="A572B2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404E206B"/>
    <w:multiLevelType w:val="multilevel"/>
    <w:tmpl w:val="E332A2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44A36687"/>
    <w:multiLevelType w:val="multilevel"/>
    <w:tmpl w:val="244E08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44EE0E8A"/>
    <w:multiLevelType w:val="multilevel"/>
    <w:tmpl w:val="0C5684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4C6B59AF"/>
    <w:multiLevelType w:val="multilevel"/>
    <w:tmpl w:val="B95C9E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4CE24E96"/>
    <w:multiLevelType w:val="multilevel"/>
    <w:tmpl w:val="4D226F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4DDD51DF"/>
    <w:multiLevelType w:val="multilevel"/>
    <w:tmpl w:val="23060F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503C5116"/>
    <w:multiLevelType w:val="multilevel"/>
    <w:tmpl w:val="ED985E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507E3C5F"/>
    <w:multiLevelType w:val="multilevel"/>
    <w:tmpl w:val="A1D4B2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516D1AB5"/>
    <w:multiLevelType w:val="multilevel"/>
    <w:tmpl w:val="ACFA72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55975364"/>
    <w:multiLevelType w:val="multilevel"/>
    <w:tmpl w:val="C13245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590F51D7"/>
    <w:multiLevelType w:val="multilevel"/>
    <w:tmpl w:val="EBB082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5B255A89"/>
    <w:multiLevelType w:val="multilevel"/>
    <w:tmpl w:val="07D6E6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5BA63E66"/>
    <w:multiLevelType w:val="multilevel"/>
    <w:tmpl w:val="0268AD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5D9971E2"/>
    <w:multiLevelType w:val="multilevel"/>
    <w:tmpl w:val="6A6C11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5E4B37CA"/>
    <w:multiLevelType w:val="multilevel"/>
    <w:tmpl w:val="08F61D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63237FD5"/>
    <w:multiLevelType w:val="multilevel"/>
    <w:tmpl w:val="AF2009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66A4708D"/>
    <w:multiLevelType w:val="multilevel"/>
    <w:tmpl w:val="4C20CA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66F219E7"/>
    <w:multiLevelType w:val="multilevel"/>
    <w:tmpl w:val="E6781C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67823A09"/>
    <w:multiLevelType w:val="multilevel"/>
    <w:tmpl w:val="357AEE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684F63BE"/>
    <w:multiLevelType w:val="multilevel"/>
    <w:tmpl w:val="623AAD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15:restartNumberingAfterBreak="0">
    <w:nsid w:val="6BF55379"/>
    <w:multiLevelType w:val="multilevel"/>
    <w:tmpl w:val="0F28C5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9" w15:restartNumberingAfterBreak="0">
    <w:nsid w:val="6C264127"/>
    <w:multiLevelType w:val="multilevel"/>
    <w:tmpl w:val="75F4B2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6DB16EF5"/>
    <w:multiLevelType w:val="multilevel"/>
    <w:tmpl w:val="EED64D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1" w15:restartNumberingAfterBreak="0">
    <w:nsid w:val="6E4C1E5F"/>
    <w:multiLevelType w:val="multilevel"/>
    <w:tmpl w:val="8DE038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2" w15:restartNumberingAfterBreak="0">
    <w:nsid w:val="70023CB7"/>
    <w:multiLevelType w:val="multilevel"/>
    <w:tmpl w:val="025250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3" w15:restartNumberingAfterBreak="0">
    <w:nsid w:val="7064768A"/>
    <w:multiLevelType w:val="multilevel"/>
    <w:tmpl w:val="98F454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4" w15:restartNumberingAfterBreak="0">
    <w:nsid w:val="71FC2429"/>
    <w:multiLevelType w:val="multilevel"/>
    <w:tmpl w:val="0666E2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5" w15:restartNumberingAfterBreak="0">
    <w:nsid w:val="72B67EDE"/>
    <w:multiLevelType w:val="multilevel"/>
    <w:tmpl w:val="B0C2B7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6" w15:restartNumberingAfterBreak="0">
    <w:nsid w:val="749B3164"/>
    <w:multiLevelType w:val="multilevel"/>
    <w:tmpl w:val="E98A01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7" w15:restartNumberingAfterBreak="0">
    <w:nsid w:val="76852C66"/>
    <w:multiLevelType w:val="multilevel"/>
    <w:tmpl w:val="0F8260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8" w15:restartNumberingAfterBreak="0">
    <w:nsid w:val="780F32D7"/>
    <w:multiLevelType w:val="multilevel"/>
    <w:tmpl w:val="5E6EFD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9" w15:restartNumberingAfterBreak="0">
    <w:nsid w:val="79F6317E"/>
    <w:multiLevelType w:val="multilevel"/>
    <w:tmpl w:val="F1AC0C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0" w15:restartNumberingAfterBreak="0">
    <w:nsid w:val="7AA97D6C"/>
    <w:multiLevelType w:val="multilevel"/>
    <w:tmpl w:val="E550CB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1" w15:restartNumberingAfterBreak="0">
    <w:nsid w:val="7D7A0D15"/>
    <w:multiLevelType w:val="multilevel"/>
    <w:tmpl w:val="258E0D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75279756">
    <w:abstractNumId w:val="57"/>
  </w:num>
  <w:num w:numId="2" w16cid:durableId="285627056">
    <w:abstractNumId w:val="66"/>
  </w:num>
  <w:num w:numId="3" w16cid:durableId="1811314949">
    <w:abstractNumId w:val="72"/>
  </w:num>
  <w:num w:numId="4" w16cid:durableId="527765694">
    <w:abstractNumId w:val="77"/>
  </w:num>
  <w:num w:numId="5" w16cid:durableId="875700263">
    <w:abstractNumId w:val="49"/>
  </w:num>
  <w:num w:numId="6" w16cid:durableId="825320492">
    <w:abstractNumId w:val="64"/>
  </w:num>
  <w:num w:numId="7" w16cid:durableId="927227794">
    <w:abstractNumId w:val="46"/>
  </w:num>
  <w:num w:numId="8" w16cid:durableId="574703497">
    <w:abstractNumId w:val="35"/>
  </w:num>
  <w:num w:numId="9" w16cid:durableId="1640963390">
    <w:abstractNumId w:val="10"/>
  </w:num>
  <w:num w:numId="10" w16cid:durableId="710225989">
    <w:abstractNumId w:val="81"/>
  </w:num>
  <w:num w:numId="11" w16cid:durableId="1964117107">
    <w:abstractNumId w:val="20"/>
  </w:num>
  <w:num w:numId="12" w16cid:durableId="626354099">
    <w:abstractNumId w:val="45"/>
  </w:num>
  <w:num w:numId="13" w16cid:durableId="576325715">
    <w:abstractNumId w:val="16"/>
  </w:num>
  <w:num w:numId="14" w16cid:durableId="1940605654">
    <w:abstractNumId w:val="17"/>
  </w:num>
  <w:num w:numId="15" w16cid:durableId="2095082606">
    <w:abstractNumId w:val="42"/>
  </w:num>
  <w:num w:numId="16" w16cid:durableId="536430983">
    <w:abstractNumId w:val="1"/>
  </w:num>
  <w:num w:numId="17" w16cid:durableId="1420370401">
    <w:abstractNumId w:val="11"/>
  </w:num>
  <w:num w:numId="18" w16cid:durableId="760492949">
    <w:abstractNumId w:val="59"/>
  </w:num>
  <w:num w:numId="19" w16cid:durableId="1614286859">
    <w:abstractNumId w:val="19"/>
  </w:num>
  <w:num w:numId="20" w16cid:durableId="555823089">
    <w:abstractNumId w:val="41"/>
  </w:num>
  <w:num w:numId="21" w16cid:durableId="652955493">
    <w:abstractNumId w:val="70"/>
  </w:num>
  <w:num w:numId="22" w16cid:durableId="638072561">
    <w:abstractNumId w:val="31"/>
  </w:num>
  <w:num w:numId="23" w16cid:durableId="1848711895">
    <w:abstractNumId w:val="69"/>
  </w:num>
  <w:num w:numId="24" w16cid:durableId="603348678">
    <w:abstractNumId w:val="67"/>
  </w:num>
  <w:num w:numId="25" w16cid:durableId="1152525374">
    <w:abstractNumId w:val="36"/>
  </w:num>
  <w:num w:numId="26" w16cid:durableId="637684013">
    <w:abstractNumId w:val="23"/>
  </w:num>
  <w:num w:numId="27" w16cid:durableId="13464307">
    <w:abstractNumId w:val="22"/>
  </w:num>
  <w:num w:numId="28" w16cid:durableId="95566885">
    <w:abstractNumId w:val="24"/>
  </w:num>
  <w:num w:numId="29" w16cid:durableId="1227758746">
    <w:abstractNumId w:val="14"/>
  </w:num>
  <w:num w:numId="30" w16cid:durableId="1293556720">
    <w:abstractNumId w:val="9"/>
  </w:num>
  <w:num w:numId="31" w16cid:durableId="769661984">
    <w:abstractNumId w:val="79"/>
  </w:num>
  <w:num w:numId="32" w16cid:durableId="1377201342">
    <w:abstractNumId w:val="44"/>
  </w:num>
  <w:num w:numId="33" w16cid:durableId="1034111391">
    <w:abstractNumId w:val="78"/>
  </w:num>
  <w:num w:numId="34" w16cid:durableId="2081247054">
    <w:abstractNumId w:val="13"/>
  </w:num>
  <w:num w:numId="35" w16cid:durableId="377628043">
    <w:abstractNumId w:val="76"/>
  </w:num>
  <w:num w:numId="36" w16cid:durableId="1812555351">
    <w:abstractNumId w:val="0"/>
  </w:num>
  <w:num w:numId="37" w16cid:durableId="90861488">
    <w:abstractNumId w:val="74"/>
  </w:num>
  <w:num w:numId="38" w16cid:durableId="76945914">
    <w:abstractNumId w:val="18"/>
  </w:num>
  <w:num w:numId="39" w16cid:durableId="91434239">
    <w:abstractNumId w:val="2"/>
  </w:num>
  <w:num w:numId="40" w16cid:durableId="987317862">
    <w:abstractNumId w:val="62"/>
  </w:num>
  <w:num w:numId="41" w16cid:durableId="2048797821">
    <w:abstractNumId w:val="68"/>
  </w:num>
  <w:num w:numId="42" w16cid:durableId="1490562885">
    <w:abstractNumId w:val="65"/>
  </w:num>
  <w:num w:numId="43" w16cid:durableId="880677941">
    <w:abstractNumId w:val="25"/>
  </w:num>
  <w:num w:numId="44" w16cid:durableId="1115708161">
    <w:abstractNumId w:val="80"/>
  </w:num>
  <w:num w:numId="45" w16cid:durableId="127477994">
    <w:abstractNumId w:val="29"/>
  </w:num>
  <w:num w:numId="46" w16cid:durableId="1457289075">
    <w:abstractNumId w:val="3"/>
  </w:num>
  <w:num w:numId="47" w16cid:durableId="1298221846">
    <w:abstractNumId w:val="55"/>
  </w:num>
  <w:num w:numId="48" w16cid:durableId="1809735483">
    <w:abstractNumId w:val="56"/>
  </w:num>
  <w:num w:numId="49" w16cid:durableId="1999965080">
    <w:abstractNumId w:val="37"/>
  </w:num>
  <w:num w:numId="50" w16cid:durableId="1906139453">
    <w:abstractNumId w:val="4"/>
  </w:num>
  <w:num w:numId="51" w16cid:durableId="2098748086">
    <w:abstractNumId w:val="32"/>
  </w:num>
  <w:num w:numId="52" w16cid:durableId="622662409">
    <w:abstractNumId w:val="52"/>
  </w:num>
  <w:num w:numId="53" w16cid:durableId="1473865048">
    <w:abstractNumId w:val="73"/>
  </w:num>
  <w:num w:numId="54" w16cid:durableId="668951249">
    <w:abstractNumId w:val="38"/>
  </w:num>
  <w:num w:numId="55" w16cid:durableId="270168289">
    <w:abstractNumId w:val="34"/>
  </w:num>
  <w:num w:numId="56" w16cid:durableId="981424273">
    <w:abstractNumId w:val="7"/>
  </w:num>
  <w:num w:numId="57" w16cid:durableId="1602254461">
    <w:abstractNumId w:val="12"/>
  </w:num>
  <w:num w:numId="58" w16cid:durableId="1079450136">
    <w:abstractNumId w:val="63"/>
  </w:num>
  <w:num w:numId="59" w16cid:durableId="800155652">
    <w:abstractNumId w:val="43"/>
  </w:num>
  <w:num w:numId="60" w16cid:durableId="74057527">
    <w:abstractNumId w:val="48"/>
  </w:num>
  <w:num w:numId="61" w16cid:durableId="523983809">
    <w:abstractNumId w:val="8"/>
  </w:num>
  <w:num w:numId="62" w16cid:durableId="247545007">
    <w:abstractNumId w:val="54"/>
  </w:num>
  <w:num w:numId="63" w16cid:durableId="2009360388">
    <w:abstractNumId w:val="50"/>
  </w:num>
  <w:num w:numId="64" w16cid:durableId="1296179029">
    <w:abstractNumId w:val="27"/>
  </w:num>
  <w:num w:numId="65" w16cid:durableId="2068528938">
    <w:abstractNumId w:val="30"/>
  </w:num>
  <w:num w:numId="66" w16cid:durableId="1223444437">
    <w:abstractNumId w:val="6"/>
  </w:num>
  <w:num w:numId="67" w16cid:durableId="696850465">
    <w:abstractNumId w:val="53"/>
  </w:num>
  <w:num w:numId="68" w16cid:durableId="1850168884">
    <w:abstractNumId w:val="21"/>
  </w:num>
  <w:num w:numId="69" w16cid:durableId="1020208131">
    <w:abstractNumId w:val="60"/>
  </w:num>
  <w:num w:numId="70" w16cid:durableId="606012120">
    <w:abstractNumId w:val="40"/>
  </w:num>
  <w:num w:numId="71" w16cid:durableId="1465611458">
    <w:abstractNumId w:val="28"/>
  </w:num>
  <w:num w:numId="72" w16cid:durableId="71314670">
    <w:abstractNumId w:val="5"/>
  </w:num>
  <w:num w:numId="73" w16cid:durableId="1847598786">
    <w:abstractNumId w:val="33"/>
  </w:num>
  <w:num w:numId="74" w16cid:durableId="755252336">
    <w:abstractNumId w:val="39"/>
  </w:num>
  <w:num w:numId="75" w16cid:durableId="1151169315">
    <w:abstractNumId w:val="61"/>
  </w:num>
  <w:num w:numId="76" w16cid:durableId="76290900">
    <w:abstractNumId w:val="51"/>
  </w:num>
  <w:num w:numId="77" w16cid:durableId="369719645">
    <w:abstractNumId w:val="26"/>
  </w:num>
  <w:num w:numId="78" w16cid:durableId="2033648144">
    <w:abstractNumId w:val="47"/>
  </w:num>
  <w:num w:numId="79" w16cid:durableId="1734235780">
    <w:abstractNumId w:val="71"/>
  </w:num>
  <w:num w:numId="80" w16cid:durableId="453334450">
    <w:abstractNumId w:val="15"/>
  </w:num>
  <w:num w:numId="81" w16cid:durableId="457067771">
    <w:abstractNumId w:val="58"/>
  </w:num>
  <w:num w:numId="82" w16cid:durableId="782378654">
    <w:abstractNumId w:val="7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1574"/>
    <w:rsid w:val="000821FB"/>
    <w:rsid w:val="000A687E"/>
    <w:rsid w:val="000B486C"/>
    <w:rsid w:val="001833CF"/>
    <w:rsid w:val="00196D24"/>
    <w:rsid w:val="00266274"/>
    <w:rsid w:val="003E347B"/>
    <w:rsid w:val="004341C0"/>
    <w:rsid w:val="00594C9E"/>
    <w:rsid w:val="00625DB8"/>
    <w:rsid w:val="006E0ED6"/>
    <w:rsid w:val="007D4405"/>
    <w:rsid w:val="008426A3"/>
    <w:rsid w:val="0087317A"/>
    <w:rsid w:val="008B1BAE"/>
    <w:rsid w:val="008E4BD6"/>
    <w:rsid w:val="009A29FC"/>
    <w:rsid w:val="00AA0349"/>
    <w:rsid w:val="00AD380E"/>
    <w:rsid w:val="00AF4411"/>
    <w:rsid w:val="00CE79CD"/>
    <w:rsid w:val="00E13889"/>
    <w:rsid w:val="00E36531"/>
    <w:rsid w:val="00F459B6"/>
    <w:rsid w:val="00F50FFC"/>
    <w:rsid w:val="00FB15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8B2E25"/>
  <w15:chartTrackingRefBased/>
  <w15:docId w15:val="{3136FD53-A09E-4D2A-9D87-286393A0FC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B157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B157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B157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B157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B157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B157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B157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B157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B157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157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B157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B157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B157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B157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B157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B157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B157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B1574"/>
    <w:rPr>
      <w:rFonts w:eastAsiaTheme="majorEastAsia" w:cstheme="majorBidi"/>
      <w:color w:val="272727" w:themeColor="text1" w:themeTint="D8"/>
    </w:rPr>
  </w:style>
  <w:style w:type="paragraph" w:styleId="Title">
    <w:name w:val="Title"/>
    <w:basedOn w:val="Normal"/>
    <w:next w:val="Normal"/>
    <w:link w:val="TitleChar"/>
    <w:uiPriority w:val="10"/>
    <w:qFormat/>
    <w:rsid w:val="00FB157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B157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B157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B157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B1574"/>
    <w:pPr>
      <w:spacing w:before="160"/>
      <w:jc w:val="center"/>
    </w:pPr>
    <w:rPr>
      <w:i/>
      <w:iCs/>
      <w:color w:val="404040" w:themeColor="text1" w:themeTint="BF"/>
    </w:rPr>
  </w:style>
  <w:style w:type="character" w:customStyle="1" w:styleId="QuoteChar">
    <w:name w:val="Quote Char"/>
    <w:basedOn w:val="DefaultParagraphFont"/>
    <w:link w:val="Quote"/>
    <w:uiPriority w:val="29"/>
    <w:rsid w:val="00FB1574"/>
    <w:rPr>
      <w:i/>
      <w:iCs/>
      <w:color w:val="404040" w:themeColor="text1" w:themeTint="BF"/>
    </w:rPr>
  </w:style>
  <w:style w:type="paragraph" w:styleId="ListParagraph">
    <w:name w:val="List Paragraph"/>
    <w:basedOn w:val="Normal"/>
    <w:uiPriority w:val="34"/>
    <w:qFormat/>
    <w:rsid w:val="00FB1574"/>
    <w:pPr>
      <w:ind w:left="720"/>
      <w:contextualSpacing/>
    </w:pPr>
  </w:style>
  <w:style w:type="character" w:styleId="IntenseEmphasis">
    <w:name w:val="Intense Emphasis"/>
    <w:basedOn w:val="DefaultParagraphFont"/>
    <w:uiPriority w:val="21"/>
    <w:qFormat/>
    <w:rsid w:val="00FB1574"/>
    <w:rPr>
      <w:i/>
      <w:iCs/>
      <w:color w:val="0F4761" w:themeColor="accent1" w:themeShade="BF"/>
    </w:rPr>
  </w:style>
  <w:style w:type="paragraph" w:styleId="IntenseQuote">
    <w:name w:val="Intense Quote"/>
    <w:basedOn w:val="Normal"/>
    <w:next w:val="Normal"/>
    <w:link w:val="IntenseQuoteChar"/>
    <w:uiPriority w:val="30"/>
    <w:qFormat/>
    <w:rsid w:val="00FB157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B1574"/>
    <w:rPr>
      <w:i/>
      <w:iCs/>
      <w:color w:val="0F4761" w:themeColor="accent1" w:themeShade="BF"/>
    </w:rPr>
  </w:style>
  <w:style w:type="character" w:styleId="IntenseReference">
    <w:name w:val="Intense Reference"/>
    <w:basedOn w:val="DefaultParagraphFont"/>
    <w:uiPriority w:val="32"/>
    <w:qFormat/>
    <w:rsid w:val="00FB1574"/>
    <w:rPr>
      <w:b/>
      <w:bCs/>
      <w:smallCaps/>
      <w:color w:val="0F4761" w:themeColor="accent1" w:themeShade="BF"/>
      <w:spacing w:val="5"/>
    </w:rPr>
  </w:style>
  <w:style w:type="paragraph" w:styleId="TOCHeading">
    <w:name w:val="TOC Heading"/>
    <w:basedOn w:val="Heading1"/>
    <w:next w:val="Normal"/>
    <w:uiPriority w:val="39"/>
    <w:unhideWhenUsed/>
    <w:qFormat/>
    <w:rsid w:val="00196D24"/>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0B486C"/>
    <w:pPr>
      <w:spacing w:after="100"/>
    </w:pPr>
  </w:style>
  <w:style w:type="paragraph" w:styleId="TOC2">
    <w:name w:val="toc 2"/>
    <w:basedOn w:val="Normal"/>
    <w:next w:val="Normal"/>
    <w:autoRedefine/>
    <w:uiPriority w:val="39"/>
    <w:unhideWhenUsed/>
    <w:rsid w:val="000B486C"/>
    <w:pPr>
      <w:spacing w:after="100"/>
      <w:ind w:left="240"/>
    </w:pPr>
  </w:style>
  <w:style w:type="character" w:styleId="Hyperlink">
    <w:name w:val="Hyperlink"/>
    <w:basedOn w:val="DefaultParagraphFont"/>
    <w:uiPriority w:val="99"/>
    <w:unhideWhenUsed/>
    <w:rsid w:val="000B486C"/>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7525E5-C29E-4526-A9B8-FDA4D54AF3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216</TotalTime>
  <Pages>31</Pages>
  <Words>9627</Words>
  <Characters>54874</Characters>
  <Application>Microsoft Office Word</Application>
  <DocSecurity>0</DocSecurity>
  <Lines>457</Lines>
  <Paragraphs>128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64373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Jean-Paul Marshall (2023697)</dc:creator>
  <cp:keywords/>
  <dc:description/>
  <cp:lastModifiedBy>Jean-Paul Marshall (2023697)</cp:lastModifiedBy>
  <cp:revision>21</cp:revision>
  <dcterms:created xsi:type="dcterms:W3CDTF">2026-03-03T14:10:00Z</dcterms:created>
  <dcterms:modified xsi:type="dcterms:W3CDTF">2026-03-24T10:32:00Z</dcterms:modified>
</cp:coreProperties>
</file>