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00BE9" w14:textId="018278DC" w:rsidR="00AD32B0" w:rsidRPr="005036FE" w:rsidRDefault="00086FBA" w:rsidP="00AD32B0">
      <w:pPr>
        <w:spacing w:after="0" w:line="360" w:lineRule="auto"/>
        <w:jc w:val="both"/>
        <w:rPr>
          <w:rFonts w:ascii="Times New Roman" w:hAnsi="Times New Roman" w:cs="Times New Roman"/>
          <w:sz w:val="24"/>
          <w:szCs w:val="24"/>
        </w:rPr>
      </w:pPr>
      <w:r>
        <w:rPr>
          <w:noProof/>
        </w:rPr>
        <w:drawing>
          <wp:inline distT="0" distB="0" distL="0" distR="0" wp14:anchorId="56461A7A" wp14:editId="7778F90B">
            <wp:extent cx="5731510" cy="3180715"/>
            <wp:effectExtent l="0" t="0" r="2540" b="635"/>
            <wp:docPr id="52556552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65522" name="Picture 1" descr="A black and yellow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80715"/>
                    </a:xfrm>
                    <a:prstGeom prst="rect">
                      <a:avLst/>
                    </a:prstGeom>
                    <a:noFill/>
                    <a:ln>
                      <a:noFill/>
                    </a:ln>
                  </pic:spPr>
                </pic:pic>
              </a:graphicData>
            </a:graphic>
          </wp:inline>
        </w:drawing>
      </w:r>
    </w:p>
    <w:p w14:paraId="0FC5C3A3" w14:textId="525970F3" w:rsidR="00AD32B0"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Programme: Master of Business Administration</w:t>
      </w:r>
    </w:p>
    <w:p w14:paraId="2E4E21F6" w14:textId="77777777" w:rsidR="00A427F8" w:rsidRDefault="00A427F8" w:rsidP="00086FBA">
      <w:pPr>
        <w:spacing w:after="0" w:line="360" w:lineRule="auto"/>
        <w:jc w:val="center"/>
        <w:rPr>
          <w:rFonts w:ascii="Times New Roman" w:hAnsi="Times New Roman" w:cs="Times New Roman"/>
          <w:b/>
          <w:bCs/>
          <w:sz w:val="32"/>
          <w:szCs w:val="32"/>
        </w:rPr>
      </w:pPr>
    </w:p>
    <w:p w14:paraId="38EEA6AD" w14:textId="77777777" w:rsidR="00A427F8" w:rsidRDefault="00A427F8" w:rsidP="00A427F8">
      <w:pPr>
        <w:spacing w:after="0"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Dhirajkumar</w:t>
      </w:r>
      <w:proofErr w:type="spellEnd"/>
      <w:r>
        <w:rPr>
          <w:rFonts w:ascii="Times New Roman" w:hAnsi="Times New Roman" w:cs="Times New Roman"/>
          <w:b/>
          <w:bCs/>
          <w:sz w:val="32"/>
          <w:szCs w:val="32"/>
        </w:rPr>
        <w:t xml:space="preserve"> Parmar </w:t>
      </w:r>
    </w:p>
    <w:p w14:paraId="367D1B22" w14:textId="77777777" w:rsidR="00A427F8" w:rsidRDefault="00A427F8" w:rsidP="00A427F8">
      <w:pPr>
        <w:spacing w:after="0" w:line="360" w:lineRule="auto"/>
        <w:jc w:val="center"/>
        <w:rPr>
          <w:rFonts w:ascii="Times New Roman" w:hAnsi="Times New Roman" w:cs="Times New Roman"/>
          <w:b/>
          <w:bCs/>
          <w:sz w:val="32"/>
          <w:szCs w:val="32"/>
        </w:rPr>
      </w:pPr>
    </w:p>
    <w:p w14:paraId="7886AA7C" w14:textId="77777777" w:rsidR="00A427F8" w:rsidRDefault="00A427F8" w:rsidP="00A427F8">
      <w:pPr>
        <w:spacing w:after="0"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 :2421256</w:t>
      </w:r>
    </w:p>
    <w:p w14:paraId="39F64CD7" w14:textId="77777777" w:rsidR="00A427F8" w:rsidRPr="00086FBA" w:rsidRDefault="00A427F8" w:rsidP="00086FBA">
      <w:pPr>
        <w:spacing w:after="0" w:line="360" w:lineRule="auto"/>
        <w:jc w:val="center"/>
        <w:rPr>
          <w:rFonts w:ascii="Times New Roman" w:hAnsi="Times New Roman" w:cs="Times New Roman"/>
          <w:b/>
          <w:bCs/>
          <w:sz w:val="32"/>
          <w:szCs w:val="32"/>
        </w:rPr>
      </w:pPr>
    </w:p>
    <w:p w14:paraId="4C516B09" w14:textId="1102E6F0"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Module:</w:t>
      </w:r>
      <w:r w:rsidR="00477294">
        <w:rPr>
          <w:rFonts w:ascii="Times New Roman" w:hAnsi="Times New Roman" w:cs="Times New Roman"/>
          <w:b/>
          <w:bCs/>
          <w:sz w:val="32"/>
          <w:szCs w:val="32"/>
        </w:rPr>
        <w:t xml:space="preserve"> </w:t>
      </w:r>
      <w:r w:rsidR="00AB0F0F" w:rsidRPr="00AB0F0F">
        <w:rPr>
          <w:rFonts w:ascii="Times New Roman" w:hAnsi="Times New Roman" w:cs="Times New Roman"/>
          <w:b/>
          <w:bCs/>
          <w:sz w:val="32"/>
          <w:szCs w:val="32"/>
        </w:rPr>
        <w:t>Marketing Management Assessment 2</w:t>
      </w:r>
    </w:p>
    <w:p w14:paraId="524733F5"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12DCB6F4" w14:textId="51E445C7"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 xml:space="preserve">Module code: </w:t>
      </w:r>
      <w:r w:rsidR="00AB0F0F" w:rsidRPr="00AB0F0F">
        <w:rPr>
          <w:rFonts w:ascii="Times New Roman" w:hAnsi="Times New Roman" w:cs="Times New Roman"/>
          <w:b/>
          <w:bCs/>
          <w:sz w:val="32"/>
          <w:szCs w:val="32"/>
        </w:rPr>
        <w:t>LCBM7024</w:t>
      </w:r>
    </w:p>
    <w:p w14:paraId="4E2C706F"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0DBEC832" w14:textId="36AEF036" w:rsid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 xml:space="preserve">Lecturer: </w:t>
      </w:r>
      <w:r w:rsidR="00A427F8">
        <w:rPr>
          <w:rFonts w:ascii="Times New Roman" w:hAnsi="Times New Roman" w:cs="Times New Roman"/>
          <w:b/>
          <w:bCs/>
          <w:sz w:val="32"/>
          <w:szCs w:val="32"/>
        </w:rPr>
        <w:t>Dr. Haoran Liu</w:t>
      </w:r>
    </w:p>
    <w:p w14:paraId="4B971D68" w14:textId="77777777" w:rsidR="00A427F8" w:rsidRPr="00086FBA" w:rsidRDefault="00A427F8" w:rsidP="00086FBA">
      <w:pPr>
        <w:spacing w:after="0" w:line="360" w:lineRule="auto"/>
        <w:jc w:val="center"/>
        <w:rPr>
          <w:rFonts w:ascii="Times New Roman" w:hAnsi="Times New Roman" w:cs="Times New Roman"/>
          <w:b/>
          <w:bCs/>
          <w:sz w:val="32"/>
          <w:szCs w:val="32"/>
        </w:rPr>
      </w:pPr>
    </w:p>
    <w:p w14:paraId="4E340EBD" w14:textId="5C274E57" w:rsidR="00086FBA" w:rsidRPr="00086FBA" w:rsidRDefault="00086FBA" w:rsidP="00477294">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 xml:space="preserve">Assignment Title: </w:t>
      </w:r>
      <w:r w:rsidR="00AB0F0F" w:rsidRPr="00AB0F0F">
        <w:rPr>
          <w:rFonts w:ascii="Times New Roman" w:hAnsi="Times New Roman" w:cs="Times New Roman"/>
          <w:b/>
          <w:bCs/>
          <w:sz w:val="32"/>
          <w:szCs w:val="32"/>
        </w:rPr>
        <w:t>Strategic Brand Extension Proposal for Sainsbury’s: Launching Sainsbury’s Health+ to Capture the Growing Wellness Market</w:t>
      </w:r>
    </w:p>
    <w:p w14:paraId="5794A5B1"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6C12B02A" w14:textId="53FE13DC"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lastRenderedPageBreak/>
        <w:t xml:space="preserve">Word count: </w:t>
      </w:r>
      <w:r w:rsidR="00AB0F0F">
        <w:rPr>
          <w:rFonts w:ascii="Times New Roman" w:hAnsi="Times New Roman" w:cs="Times New Roman"/>
          <w:b/>
          <w:bCs/>
          <w:sz w:val="32"/>
          <w:szCs w:val="32"/>
        </w:rPr>
        <w:t>25</w:t>
      </w:r>
      <w:r w:rsidRPr="00086FBA">
        <w:rPr>
          <w:rFonts w:ascii="Times New Roman" w:hAnsi="Times New Roman" w:cs="Times New Roman"/>
          <w:b/>
          <w:bCs/>
          <w:sz w:val="32"/>
          <w:szCs w:val="32"/>
        </w:rPr>
        <w:t>00 words</w:t>
      </w:r>
    </w:p>
    <w:p w14:paraId="3374B2CC" w14:textId="77777777" w:rsidR="009C726D" w:rsidRPr="005036FE" w:rsidRDefault="009C726D" w:rsidP="00AD32B0">
      <w:pPr>
        <w:spacing w:after="0" w:line="360" w:lineRule="auto"/>
        <w:jc w:val="center"/>
        <w:rPr>
          <w:rFonts w:ascii="Times New Roman" w:hAnsi="Times New Roman" w:cs="Times New Roman"/>
          <w:b/>
          <w:bCs/>
          <w:sz w:val="24"/>
          <w:szCs w:val="24"/>
        </w:rPr>
      </w:pPr>
    </w:p>
    <w:p w14:paraId="438D4EDE" w14:textId="77777777" w:rsidR="009C726D" w:rsidRDefault="009C726D" w:rsidP="00AD32B0">
      <w:pPr>
        <w:spacing w:after="0" w:line="360" w:lineRule="auto"/>
        <w:jc w:val="center"/>
        <w:rPr>
          <w:rFonts w:ascii="Times New Roman" w:hAnsi="Times New Roman" w:cs="Times New Roman"/>
          <w:b/>
          <w:bCs/>
          <w:sz w:val="24"/>
          <w:szCs w:val="24"/>
        </w:rPr>
      </w:pPr>
    </w:p>
    <w:p w14:paraId="53A38547" w14:textId="77777777" w:rsidR="00477294" w:rsidRPr="005036FE" w:rsidRDefault="00477294" w:rsidP="00AD32B0">
      <w:pPr>
        <w:spacing w:after="0" w:line="360" w:lineRule="auto"/>
        <w:jc w:val="center"/>
        <w:rPr>
          <w:rFonts w:ascii="Times New Roman" w:hAnsi="Times New Roman" w:cs="Times New Roman"/>
          <w:b/>
          <w:bCs/>
          <w:sz w:val="24"/>
          <w:szCs w:val="24"/>
        </w:rPr>
      </w:pPr>
    </w:p>
    <w:p w14:paraId="0318C399" w14:textId="77777777" w:rsidR="00316AEC" w:rsidRDefault="00316AEC" w:rsidP="00250F16">
      <w:pPr>
        <w:spacing w:after="0" w:line="360" w:lineRule="auto"/>
        <w:rPr>
          <w:rFonts w:ascii="Times New Roman" w:hAnsi="Times New Roman" w:cs="Times New Roman"/>
          <w:b/>
          <w:bCs/>
          <w:sz w:val="24"/>
          <w:szCs w:val="24"/>
        </w:rPr>
      </w:pPr>
    </w:p>
    <w:p w14:paraId="5CB4F9B4" w14:textId="77777777" w:rsidR="0092185A" w:rsidRPr="0092185A" w:rsidRDefault="0092185A" w:rsidP="0092185A">
      <w:pPr>
        <w:pStyle w:val="TOCHeading1"/>
        <w:spacing w:before="0" w:line="480" w:lineRule="auto"/>
        <w:jc w:val="center"/>
        <w:rPr>
          <w:rFonts w:ascii="Times New Roman" w:hAnsi="Times New Roman" w:cs="Times New Roman"/>
          <w:b/>
          <w:bCs/>
          <w:color w:val="000000" w:themeColor="text1"/>
          <w:sz w:val="24"/>
          <w:szCs w:val="24"/>
        </w:rPr>
      </w:pPr>
      <w:r w:rsidRPr="0092185A">
        <w:rPr>
          <w:rFonts w:ascii="Times New Roman" w:hAnsi="Times New Roman" w:cs="Times New Roman"/>
          <w:b/>
          <w:bCs/>
          <w:color w:val="000000" w:themeColor="text1"/>
          <w:sz w:val="24"/>
          <w:szCs w:val="24"/>
        </w:rPr>
        <w:t>Table of Contents</w:t>
      </w:r>
      <w:r w:rsidRPr="0092185A">
        <w:rPr>
          <w:rFonts w:ascii="Times New Roman" w:eastAsia="Arial" w:hAnsi="Times New Roman" w:cs="Times New Roman"/>
          <w:sz w:val="24"/>
          <w:szCs w:val="24"/>
        </w:rPr>
        <w:fldChar w:fldCharType="begin"/>
      </w:r>
      <w:r w:rsidRPr="0092185A">
        <w:rPr>
          <w:rFonts w:ascii="Times New Roman" w:hAnsi="Times New Roman" w:cs="Times New Roman"/>
          <w:sz w:val="24"/>
          <w:szCs w:val="24"/>
        </w:rPr>
        <w:instrText xml:space="preserve"> TOC \o "1-3" \h \z \u </w:instrText>
      </w:r>
      <w:r w:rsidRPr="0092185A">
        <w:rPr>
          <w:rFonts w:ascii="Times New Roman" w:eastAsia="Arial" w:hAnsi="Times New Roman" w:cs="Times New Roman"/>
          <w:sz w:val="24"/>
          <w:szCs w:val="24"/>
        </w:rPr>
        <w:fldChar w:fldCharType="separate"/>
      </w:r>
    </w:p>
    <w:p w14:paraId="25DC5412" w14:textId="6FA1D060" w:rsidR="0092185A" w:rsidRPr="005A4C46" w:rsidRDefault="005A4C46" w:rsidP="0092185A">
      <w:pPr>
        <w:pStyle w:val="TOC1"/>
        <w:tabs>
          <w:tab w:val="right" w:leader="dot" w:pos="9019"/>
        </w:tabs>
        <w:spacing w:after="0" w:line="480" w:lineRule="auto"/>
        <w:jc w:val="both"/>
        <w:rPr>
          <w:rFonts w:ascii="Times New Roman" w:hAnsi="Times New Roman" w:cs="Times New Roman"/>
          <w:sz w:val="24"/>
          <w:szCs w:val="24"/>
          <w:lang w:val="en-IN"/>
        </w:rPr>
      </w:pPr>
      <w:r w:rsidRPr="005A4C46">
        <w:rPr>
          <w:rFonts w:ascii="Times New Roman" w:hAnsi="Times New Roman" w:cs="Times New Roman"/>
          <w:sz w:val="24"/>
          <w:szCs w:val="24"/>
        </w:rPr>
        <w:t>1. Introduction</w:t>
      </w:r>
      <w:hyperlink r:id="rId8" w:anchor="_Toc130301090" w:history="1">
        <w:r w:rsidR="0092185A" w:rsidRPr="005A4C46">
          <w:rPr>
            <w:rStyle w:val="Hyperlink"/>
            <w:rFonts w:ascii="Times New Roman" w:hAnsi="Times New Roman" w:cs="Times New Roman"/>
            <w:color w:val="auto"/>
            <w:sz w:val="24"/>
            <w:szCs w:val="24"/>
          </w:rPr>
          <w:tab/>
        </w:r>
        <w:r w:rsidR="0092185A" w:rsidRPr="005A4C46">
          <w:rPr>
            <w:rStyle w:val="Hyperlink"/>
            <w:rFonts w:ascii="Times New Roman" w:hAnsi="Times New Roman" w:cs="Times New Roman"/>
            <w:color w:val="auto"/>
            <w:sz w:val="24"/>
            <w:szCs w:val="24"/>
            <w:lang w:val="en-IN"/>
          </w:rPr>
          <w:t>3</w:t>
        </w:r>
      </w:hyperlink>
    </w:p>
    <w:p w14:paraId="6E5FF02A" w14:textId="4C56AEF7" w:rsidR="0092185A" w:rsidRPr="005A4C46" w:rsidRDefault="005A4C46" w:rsidP="0092185A">
      <w:pPr>
        <w:pStyle w:val="TOC1"/>
        <w:tabs>
          <w:tab w:val="right" w:leader="dot" w:pos="9019"/>
        </w:tabs>
        <w:spacing w:after="0" w:line="480" w:lineRule="auto"/>
        <w:jc w:val="both"/>
        <w:rPr>
          <w:rFonts w:ascii="Times New Roman" w:hAnsi="Times New Roman" w:cs="Times New Roman"/>
          <w:sz w:val="24"/>
          <w:szCs w:val="24"/>
          <w:lang w:val="en-IN"/>
        </w:rPr>
      </w:pPr>
      <w:r w:rsidRPr="005A4C46">
        <w:rPr>
          <w:rFonts w:ascii="Times New Roman" w:hAnsi="Times New Roman" w:cs="Times New Roman"/>
          <w:sz w:val="24"/>
          <w:szCs w:val="24"/>
        </w:rPr>
        <w:t>2. New Brand Extension: Sainsbury’s Health+</w:t>
      </w:r>
      <w:hyperlink r:id="rId9" w:anchor="_Toc130301090" w:history="1">
        <w:r w:rsidR="0092185A" w:rsidRPr="005A4C46">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3</w:t>
        </w:r>
      </w:hyperlink>
    </w:p>
    <w:p w14:paraId="718D72D8" w14:textId="253EE671" w:rsidR="0092185A" w:rsidRPr="005A4C46" w:rsidRDefault="005A4C46" w:rsidP="0092185A">
      <w:pPr>
        <w:pStyle w:val="TOC1"/>
        <w:tabs>
          <w:tab w:val="right" w:leader="dot" w:pos="9019"/>
        </w:tabs>
        <w:spacing w:after="0" w:line="480" w:lineRule="auto"/>
        <w:jc w:val="both"/>
        <w:rPr>
          <w:rStyle w:val="Hyperlink"/>
          <w:rFonts w:ascii="Times New Roman" w:hAnsi="Times New Roman" w:cs="Times New Roman"/>
          <w:color w:val="auto"/>
          <w:sz w:val="24"/>
          <w:szCs w:val="24"/>
          <w:lang w:val="en-IN"/>
        </w:rPr>
      </w:pPr>
      <w:hyperlink r:id="rId10" w:anchor="_Toc130301098" w:history="1">
        <w:r w:rsidRPr="005A4C46">
          <w:rPr>
            <w:rFonts w:ascii="Times New Roman" w:hAnsi="Times New Roman" w:cs="Times New Roman"/>
            <w:sz w:val="24"/>
            <w:szCs w:val="24"/>
          </w:rPr>
          <w:t>3. Segmentation, Targeting and Positioning (STP) Strategy</w:t>
        </w:r>
        <w:r w:rsidR="0092185A" w:rsidRPr="005A4C46">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5</w:t>
        </w:r>
      </w:hyperlink>
    </w:p>
    <w:p w14:paraId="40B4D3C4" w14:textId="28C75BAA" w:rsidR="005A4C46" w:rsidRPr="005A4C46" w:rsidRDefault="005A4C46" w:rsidP="005A4C46">
      <w:pPr>
        <w:pStyle w:val="TOC1"/>
        <w:tabs>
          <w:tab w:val="right" w:leader="dot" w:pos="9019"/>
        </w:tabs>
        <w:spacing w:after="0" w:line="480" w:lineRule="auto"/>
        <w:jc w:val="both"/>
        <w:rPr>
          <w:rFonts w:ascii="Times New Roman" w:hAnsi="Times New Roman" w:cs="Times New Roman"/>
          <w:sz w:val="24"/>
          <w:szCs w:val="24"/>
          <w:lang w:val="en-IN"/>
        </w:rPr>
      </w:pPr>
      <w:hyperlink r:id="rId11" w:anchor="_Toc130301098" w:history="1">
        <w:r w:rsidRPr="005A4C46">
          <w:rPr>
            <w:rFonts w:ascii="Times New Roman" w:hAnsi="Times New Roman" w:cs="Times New Roman"/>
            <w:sz w:val="24"/>
            <w:szCs w:val="24"/>
          </w:rPr>
          <w:t>4. Customer Persona/Profile</w:t>
        </w:r>
        <w:r w:rsidRPr="005A4C46">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7</w:t>
        </w:r>
      </w:hyperlink>
    </w:p>
    <w:p w14:paraId="742CE150" w14:textId="3FD81C19" w:rsidR="005A4C46" w:rsidRPr="005A4C46" w:rsidRDefault="005A4C46" w:rsidP="005A4C46">
      <w:pPr>
        <w:pStyle w:val="TOC1"/>
        <w:tabs>
          <w:tab w:val="right" w:leader="dot" w:pos="9019"/>
        </w:tabs>
        <w:spacing w:after="0" w:line="480" w:lineRule="auto"/>
        <w:jc w:val="both"/>
        <w:rPr>
          <w:rFonts w:ascii="Times New Roman" w:hAnsi="Times New Roman" w:cs="Times New Roman"/>
          <w:sz w:val="24"/>
          <w:szCs w:val="24"/>
          <w:lang w:val="en-IN"/>
        </w:rPr>
      </w:pPr>
      <w:hyperlink r:id="rId12" w:anchor="_Toc130301098" w:history="1">
        <w:r w:rsidRPr="005A4C46">
          <w:rPr>
            <w:rFonts w:ascii="Times New Roman" w:hAnsi="Times New Roman" w:cs="Times New Roman"/>
            <w:sz w:val="24"/>
            <w:szCs w:val="24"/>
          </w:rPr>
          <w:t>5. Marketing Mix Strategies</w:t>
        </w:r>
        <w:r w:rsidRPr="005A4C46">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8</w:t>
        </w:r>
      </w:hyperlink>
    </w:p>
    <w:p w14:paraId="78CCB577" w14:textId="40E452CA" w:rsidR="005A4C46" w:rsidRPr="005A4C46" w:rsidRDefault="005A4C46" w:rsidP="005A4C46">
      <w:pPr>
        <w:pStyle w:val="TOC1"/>
        <w:tabs>
          <w:tab w:val="right" w:leader="dot" w:pos="9019"/>
        </w:tabs>
        <w:spacing w:after="0" w:line="480" w:lineRule="auto"/>
        <w:jc w:val="both"/>
        <w:rPr>
          <w:rFonts w:ascii="Times New Roman" w:hAnsi="Times New Roman" w:cs="Times New Roman"/>
          <w:sz w:val="24"/>
          <w:szCs w:val="24"/>
          <w:lang w:val="en-IN"/>
        </w:rPr>
      </w:pPr>
      <w:hyperlink r:id="rId13" w:anchor="_Toc130301098" w:history="1">
        <w:r w:rsidRPr="005A4C46">
          <w:rPr>
            <w:rFonts w:ascii="Times New Roman" w:hAnsi="Times New Roman" w:cs="Times New Roman"/>
            <w:sz w:val="24"/>
            <w:szCs w:val="24"/>
          </w:rPr>
          <w:t>6. Conclusion and Recommendations</w:t>
        </w:r>
        <w:r w:rsidRPr="005A4C46">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12</w:t>
        </w:r>
      </w:hyperlink>
    </w:p>
    <w:p w14:paraId="605A9CBA" w14:textId="3212E4EE" w:rsidR="005A4C46" w:rsidRPr="005A4C46" w:rsidRDefault="005A4C46" w:rsidP="005A4C46">
      <w:pPr>
        <w:pStyle w:val="TOC1"/>
        <w:tabs>
          <w:tab w:val="right" w:leader="dot" w:pos="9019"/>
        </w:tabs>
        <w:spacing w:after="0" w:line="480" w:lineRule="auto"/>
        <w:jc w:val="both"/>
        <w:rPr>
          <w:rFonts w:ascii="Times New Roman" w:hAnsi="Times New Roman" w:cs="Times New Roman"/>
          <w:sz w:val="24"/>
          <w:szCs w:val="24"/>
          <w:lang w:val="en-IN"/>
        </w:rPr>
      </w:pPr>
      <w:hyperlink r:id="rId14" w:anchor="_Toc130301098" w:history="1">
        <w:r w:rsidRPr="005A4C46">
          <w:rPr>
            <w:rStyle w:val="Hyperlink"/>
            <w:rFonts w:ascii="Times New Roman" w:hAnsi="Times New Roman" w:cs="Times New Roman"/>
            <w:color w:val="auto"/>
            <w:sz w:val="24"/>
            <w:szCs w:val="24"/>
          </w:rPr>
          <w:t>References</w:t>
        </w:r>
        <w:r w:rsidRPr="005A4C46">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13</w:t>
        </w:r>
      </w:hyperlink>
    </w:p>
    <w:p w14:paraId="5B755E70" w14:textId="77777777" w:rsidR="005A4C46" w:rsidRPr="005A4C46" w:rsidRDefault="005A4C46" w:rsidP="005A4C46">
      <w:pPr>
        <w:rPr>
          <w:rFonts w:ascii="Times New Roman" w:hAnsi="Times New Roman" w:cs="Times New Roman"/>
          <w:sz w:val="24"/>
          <w:szCs w:val="24"/>
          <w:lang w:val="en-IN"/>
        </w:rPr>
      </w:pPr>
    </w:p>
    <w:p w14:paraId="27AB1427" w14:textId="5A7BA9F3" w:rsidR="00AD32B0" w:rsidRPr="005036FE" w:rsidRDefault="0092185A" w:rsidP="0092185A">
      <w:pPr>
        <w:rPr>
          <w:rFonts w:ascii="Times New Roman" w:hAnsi="Times New Roman" w:cs="Times New Roman"/>
          <w:sz w:val="24"/>
          <w:szCs w:val="24"/>
        </w:rPr>
      </w:pPr>
      <w:r w:rsidRPr="0092185A">
        <w:rPr>
          <w:rFonts w:ascii="Times New Roman" w:hAnsi="Times New Roman" w:cs="Times New Roman"/>
          <w:b/>
          <w:bCs/>
          <w:sz w:val="24"/>
          <w:szCs w:val="24"/>
        </w:rPr>
        <w:fldChar w:fldCharType="end"/>
      </w:r>
    </w:p>
    <w:p w14:paraId="14FBCC2E" w14:textId="77777777" w:rsidR="00AD32B0" w:rsidRDefault="00AD32B0">
      <w:pPr>
        <w:rPr>
          <w:rFonts w:ascii="Times New Roman" w:hAnsi="Times New Roman" w:cs="Times New Roman"/>
          <w:sz w:val="24"/>
          <w:szCs w:val="24"/>
        </w:rPr>
      </w:pPr>
    </w:p>
    <w:p w14:paraId="22D68972" w14:textId="77777777" w:rsidR="008769AE" w:rsidRDefault="008769AE">
      <w:pPr>
        <w:rPr>
          <w:rFonts w:ascii="Times New Roman" w:hAnsi="Times New Roman" w:cs="Times New Roman"/>
          <w:sz w:val="24"/>
          <w:szCs w:val="24"/>
        </w:rPr>
      </w:pPr>
    </w:p>
    <w:p w14:paraId="558DD8F1" w14:textId="77777777" w:rsidR="008769AE" w:rsidRDefault="008769AE">
      <w:pPr>
        <w:rPr>
          <w:rFonts w:ascii="Times New Roman" w:hAnsi="Times New Roman" w:cs="Times New Roman"/>
          <w:sz w:val="24"/>
          <w:szCs w:val="24"/>
        </w:rPr>
      </w:pPr>
    </w:p>
    <w:p w14:paraId="50E6F8A6" w14:textId="77777777" w:rsidR="008769AE" w:rsidRDefault="008769AE">
      <w:pPr>
        <w:rPr>
          <w:rFonts w:ascii="Times New Roman" w:hAnsi="Times New Roman" w:cs="Times New Roman"/>
          <w:sz w:val="24"/>
          <w:szCs w:val="24"/>
        </w:rPr>
      </w:pPr>
    </w:p>
    <w:p w14:paraId="268B47D1" w14:textId="77777777" w:rsidR="008769AE" w:rsidRDefault="008769AE">
      <w:pPr>
        <w:rPr>
          <w:rFonts w:ascii="Times New Roman" w:hAnsi="Times New Roman" w:cs="Times New Roman"/>
          <w:sz w:val="24"/>
          <w:szCs w:val="24"/>
        </w:rPr>
      </w:pPr>
    </w:p>
    <w:p w14:paraId="18520F65" w14:textId="77777777" w:rsidR="008769AE" w:rsidRDefault="008769AE">
      <w:pPr>
        <w:rPr>
          <w:rFonts w:ascii="Times New Roman" w:hAnsi="Times New Roman" w:cs="Times New Roman"/>
          <w:sz w:val="24"/>
          <w:szCs w:val="24"/>
        </w:rPr>
      </w:pPr>
    </w:p>
    <w:p w14:paraId="76DBEC9D" w14:textId="77777777" w:rsidR="008769AE" w:rsidRDefault="008769AE">
      <w:pPr>
        <w:rPr>
          <w:rFonts w:ascii="Times New Roman" w:hAnsi="Times New Roman" w:cs="Times New Roman"/>
          <w:sz w:val="24"/>
          <w:szCs w:val="24"/>
        </w:rPr>
      </w:pPr>
    </w:p>
    <w:p w14:paraId="274D4CE9" w14:textId="77777777" w:rsidR="008769AE" w:rsidRDefault="008769AE">
      <w:pPr>
        <w:rPr>
          <w:rFonts w:ascii="Times New Roman" w:hAnsi="Times New Roman" w:cs="Times New Roman"/>
          <w:sz w:val="24"/>
          <w:szCs w:val="24"/>
        </w:rPr>
      </w:pPr>
    </w:p>
    <w:p w14:paraId="28ABB979" w14:textId="77777777" w:rsidR="003D5BF7" w:rsidRDefault="003D5BF7">
      <w:pPr>
        <w:rPr>
          <w:rFonts w:ascii="Times New Roman" w:hAnsi="Times New Roman" w:cs="Times New Roman"/>
          <w:sz w:val="24"/>
          <w:szCs w:val="24"/>
        </w:rPr>
      </w:pPr>
    </w:p>
    <w:p w14:paraId="47384BE9" w14:textId="77777777" w:rsidR="003D5BF7" w:rsidRDefault="003D5BF7">
      <w:pPr>
        <w:rPr>
          <w:rFonts w:ascii="Times New Roman" w:hAnsi="Times New Roman" w:cs="Times New Roman"/>
          <w:sz w:val="24"/>
          <w:szCs w:val="24"/>
        </w:rPr>
      </w:pPr>
    </w:p>
    <w:p w14:paraId="0954848C" w14:textId="77777777" w:rsidR="003D5BF7" w:rsidRDefault="003D5BF7">
      <w:pPr>
        <w:rPr>
          <w:rFonts w:ascii="Times New Roman" w:hAnsi="Times New Roman" w:cs="Times New Roman"/>
          <w:sz w:val="24"/>
          <w:szCs w:val="24"/>
        </w:rPr>
      </w:pPr>
    </w:p>
    <w:p w14:paraId="6E7B510E" w14:textId="77777777" w:rsidR="0064423C" w:rsidRDefault="0064423C">
      <w:pPr>
        <w:rPr>
          <w:rFonts w:ascii="Times New Roman" w:hAnsi="Times New Roman" w:cs="Times New Roman"/>
          <w:sz w:val="24"/>
          <w:szCs w:val="24"/>
        </w:rPr>
      </w:pPr>
    </w:p>
    <w:p w14:paraId="62A25352" w14:textId="77777777" w:rsidR="0064423C" w:rsidRDefault="0064423C">
      <w:pPr>
        <w:rPr>
          <w:rFonts w:ascii="Times New Roman" w:hAnsi="Times New Roman" w:cs="Times New Roman"/>
          <w:sz w:val="24"/>
          <w:szCs w:val="24"/>
        </w:rPr>
      </w:pPr>
    </w:p>
    <w:p w14:paraId="64E22C45" w14:textId="77777777" w:rsidR="0064423C" w:rsidRDefault="0064423C">
      <w:pPr>
        <w:rPr>
          <w:rFonts w:ascii="Times New Roman" w:hAnsi="Times New Roman" w:cs="Times New Roman"/>
          <w:sz w:val="24"/>
          <w:szCs w:val="24"/>
        </w:rPr>
      </w:pPr>
    </w:p>
    <w:p w14:paraId="65B603A4" w14:textId="02DCC230" w:rsidR="00477294" w:rsidRDefault="00477294">
      <w:pPr>
        <w:rPr>
          <w:rFonts w:ascii="Times New Roman" w:hAnsi="Times New Roman" w:cs="Times New Roman"/>
          <w:sz w:val="24"/>
          <w:szCs w:val="24"/>
        </w:rPr>
      </w:pPr>
    </w:p>
    <w:p w14:paraId="5EA1DF3D" w14:textId="77777777" w:rsidR="00477294" w:rsidRDefault="00477294">
      <w:pPr>
        <w:rPr>
          <w:rFonts w:ascii="Times New Roman" w:hAnsi="Times New Roman" w:cs="Times New Roman"/>
          <w:sz w:val="24"/>
          <w:szCs w:val="24"/>
        </w:rPr>
      </w:pPr>
    </w:p>
    <w:p w14:paraId="2AAD3B4D" w14:textId="77777777" w:rsidR="007059EC" w:rsidRDefault="007059EC">
      <w:pPr>
        <w:rPr>
          <w:rFonts w:ascii="Times New Roman" w:hAnsi="Times New Roman" w:cs="Times New Roman"/>
          <w:sz w:val="24"/>
          <w:szCs w:val="24"/>
        </w:rPr>
      </w:pPr>
    </w:p>
    <w:p w14:paraId="487D4D47" w14:textId="77777777" w:rsidR="005A4C46" w:rsidRDefault="005A4C46">
      <w:pPr>
        <w:rPr>
          <w:rFonts w:ascii="Times New Roman" w:hAnsi="Times New Roman" w:cs="Times New Roman"/>
          <w:sz w:val="24"/>
          <w:szCs w:val="24"/>
        </w:rPr>
      </w:pPr>
    </w:p>
    <w:p w14:paraId="1121EFC3" w14:textId="77777777" w:rsidR="00D004F3" w:rsidRDefault="00D004F3" w:rsidP="00AB0F0F">
      <w:pPr>
        <w:spacing w:after="0" w:line="360" w:lineRule="auto"/>
        <w:jc w:val="both"/>
        <w:rPr>
          <w:rFonts w:ascii="Times New Roman" w:hAnsi="Times New Roman" w:cs="Times New Roman"/>
          <w:b/>
          <w:bCs/>
          <w:sz w:val="28"/>
          <w:szCs w:val="28"/>
        </w:rPr>
      </w:pPr>
    </w:p>
    <w:p w14:paraId="03AC23A9" w14:textId="324A4A14" w:rsidR="00AB0F0F" w:rsidRPr="00AB0F0F" w:rsidRDefault="00AB0F0F" w:rsidP="00AB0F0F">
      <w:pPr>
        <w:spacing w:after="0" w:line="360" w:lineRule="auto"/>
        <w:jc w:val="both"/>
        <w:outlineLvl w:val="1"/>
        <w:rPr>
          <w:rFonts w:ascii="Times New Roman" w:eastAsia="Times New Roman" w:hAnsi="Times New Roman" w:cs="Times New Roman"/>
          <w:b/>
          <w:bCs/>
          <w:kern w:val="0"/>
          <w:sz w:val="28"/>
          <w:szCs w:val="28"/>
          <w:lang w:eastAsia="en-GB"/>
          <w14:ligatures w14:val="none"/>
        </w:rPr>
      </w:pPr>
      <w:r w:rsidRPr="00AB0F0F">
        <w:rPr>
          <w:rFonts w:ascii="Times New Roman" w:eastAsia="Times New Roman" w:hAnsi="Times New Roman" w:cs="Times New Roman"/>
          <w:b/>
          <w:bCs/>
          <w:kern w:val="0"/>
          <w:sz w:val="28"/>
          <w:szCs w:val="28"/>
          <w:lang w:eastAsia="en-GB"/>
          <w14:ligatures w14:val="none"/>
        </w:rPr>
        <w:t xml:space="preserve">1. Introduction </w:t>
      </w:r>
    </w:p>
    <w:p w14:paraId="7DE0C0F0" w14:textId="77777777"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Established in 1869, Sainsbury’s has grown to become one of the United Kingdom’s most respected and trusted supermarket chains. It is well-known for its commitment to delivering quality products, good value for money, and excellent customer service. Over the decades, Sainsbury’s has successfully expanded its operations into areas such as clothing, banking, and online shopping, consistently adapting to meet the changing demands of the UK market (Smith, 2022).</w:t>
      </w:r>
    </w:p>
    <w:p w14:paraId="51DCD090"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3256C062" w14:textId="77777777"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In the current dynamic and competitive business environment, brand extension represents a powerful strategic approach. It allows companies to leverage the strength of an existing brand to introduce new products or services, reducing the risks and costs associated with launching new brands. Successful brand extensions can help companies access new markets, reinforce brand loyalty, and enhance overall brand equity (Keller, 2021).</w:t>
      </w:r>
    </w:p>
    <w:p w14:paraId="0E9B928F"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451F398E" w14:textId="49C0161A"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The purpose of this report is to propose a new brand extension for Sainsbury’s, called </w:t>
      </w:r>
      <w:r w:rsidRPr="00AB0F0F">
        <w:rPr>
          <w:rFonts w:ascii="Times New Roman" w:eastAsia="Times New Roman" w:hAnsi="Times New Roman" w:cs="Times New Roman"/>
          <w:b/>
          <w:bCs/>
          <w:kern w:val="0"/>
          <w:sz w:val="24"/>
          <w:szCs w:val="24"/>
          <w:lang w:eastAsia="en-GB"/>
          <w14:ligatures w14:val="none"/>
        </w:rPr>
        <w:t>Sainsbury’s Health+</w:t>
      </w:r>
      <w:r w:rsidRPr="00AB0F0F">
        <w:rPr>
          <w:rFonts w:ascii="Times New Roman" w:eastAsia="Times New Roman" w:hAnsi="Times New Roman" w:cs="Times New Roman"/>
          <w:kern w:val="0"/>
          <w:sz w:val="24"/>
          <w:szCs w:val="24"/>
          <w:lang w:eastAsia="en-GB"/>
          <w14:ligatures w14:val="none"/>
        </w:rPr>
        <w:t>. The report will outline the concept, target customer segments, marketing strategies, and the alignment of the extension with Sainsbury’s brand values, aiming to demonstrate how this initiative can strengthen the brand’s market position in the growing health and wellness sector.</w:t>
      </w:r>
    </w:p>
    <w:p w14:paraId="11CF718B"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19F7AB22" w14:textId="2464B5CF" w:rsidR="00AB0F0F" w:rsidRPr="00AB0F0F" w:rsidRDefault="00AB0F0F" w:rsidP="00AB0F0F">
      <w:pPr>
        <w:spacing w:after="0" w:line="360" w:lineRule="auto"/>
        <w:jc w:val="both"/>
        <w:outlineLvl w:val="1"/>
        <w:rPr>
          <w:rFonts w:ascii="Times New Roman" w:eastAsia="Times New Roman" w:hAnsi="Times New Roman" w:cs="Times New Roman"/>
          <w:b/>
          <w:bCs/>
          <w:kern w:val="0"/>
          <w:sz w:val="28"/>
          <w:szCs w:val="28"/>
          <w:lang w:eastAsia="en-GB"/>
          <w14:ligatures w14:val="none"/>
        </w:rPr>
      </w:pPr>
      <w:r w:rsidRPr="00AB0F0F">
        <w:rPr>
          <w:rFonts w:ascii="Times New Roman" w:eastAsia="Times New Roman" w:hAnsi="Times New Roman" w:cs="Times New Roman"/>
          <w:b/>
          <w:bCs/>
          <w:kern w:val="0"/>
          <w:sz w:val="28"/>
          <w:szCs w:val="28"/>
          <w:lang w:eastAsia="en-GB"/>
          <w14:ligatures w14:val="none"/>
        </w:rPr>
        <w:t xml:space="preserve">2. New Brand Extension: Sainsbury’s Health+ </w:t>
      </w:r>
    </w:p>
    <w:p w14:paraId="4D6CF5B1"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2.1 Description of the New Service</w:t>
      </w:r>
    </w:p>
    <w:p w14:paraId="681A716F"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Sainsbury’s Health+</w:t>
      </w:r>
      <w:r w:rsidRPr="00AB0F0F">
        <w:rPr>
          <w:rFonts w:ascii="Times New Roman" w:eastAsia="Times New Roman" w:hAnsi="Times New Roman" w:cs="Times New Roman"/>
          <w:kern w:val="0"/>
          <w:sz w:val="24"/>
          <w:szCs w:val="24"/>
          <w:lang w:eastAsia="en-GB"/>
          <w14:ligatures w14:val="none"/>
        </w:rPr>
        <w:t xml:space="preserve"> is a new wellness-focused service designed to offer both in-store and online preventive healthcare and lifestyle services. The service will feature:</w:t>
      </w:r>
    </w:p>
    <w:p w14:paraId="597EA7A8" w14:textId="77777777" w:rsidR="00AB0F0F" w:rsidRPr="00AB0F0F" w:rsidRDefault="00AB0F0F" w:rsidP="00AB0F0F">
      <w:pPr>
        <w:numPr>
          <w:ilvl w:val="0"/>
          <w:numId w:val="96"/>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In-Store Wellness Hubs</w:t>
      </w:r>
      <w:r w:rsidRPr="00AB0F0F">
        <w:rPr>
          <w:rFonts w:ascii="Times New Roman" w:eastAsia="Times New Roman" w:hAnsi="Times New Roman" w:cs="Times New Roman"/>
          <w:kern w:val="0"/>
          <w:sz w:val="24"/>
          <w:szCs w:val="24"/>
          <w:lang w:eastAsia="en-GB"/>
          <w14:ligatures w14:val="none"/>
        </w:rPr>
        <w:t>: Dedicated areas inside larger Sainsbury’s supermarkets offering health screenings, dietary advice, and wellness workshops.</w:t>
      </w:r>
    </w:p>
    <w:p w14:paraId="6AF2CD4B" w14:textId="77777777" w:rsidR="00AB0F0F" w:rsidRPr="00AB0F0F" w:rsidRDefault="00AB0F0F" w:rsidP="00AB0F0F">
      <w:pPr>
        <w:numPr>
          <w:ilvl w:val="0"/>
          <w:numId w:val="96"/>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Online Wellness Platform</w:t>
      </w:r>
      <w:r w:rsidRPr="00AB0F0F">
        <w:rPr>
          <w:rFonts w:ascii="Times New Roman" w:eastAsia="Times New Roman" w:hAnsi="Times New Roman" w:cs="Times New Roman"/>
          <w:kern w:val="0"/>
          <w:sz w:val="24"/>
          <w:szCs w:val="24"/>
          <w:lang w:eastAsia="en-GB"/>
          <w14:ligatures w14:val="none"/>
        </w:rPr>
        <w:t>: A digital portal providing customers with virtual consultations, fitness and nutrition plans, and health tracking features.</w:t>
      </w:r>
    </w:p>
    <w:p w14:paraId="7FBA9A59" w14:textId="77777777" w:rsidR="00AB0F0F" w:rsidRPr="00AB0F0F" w:rsidRDefault="00AB0F0F" w:rsidP="00AB0F0F">
      <w:pPr>
        <w:numPr>
          <w:ilvl w:val="0"/>
          <w:numId w:val="96"/>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lastRenderedPageBreak/>
        <w:t>Mobile Application</w:t>
      </w:r>
      <w:r w:rsidRPr="00AB0F0F">
        <w:rPr>
          <w:rFonts w:ascii="Times New Roman" w:eastAsia="Times New Roman" w:hAnsi="Times New Roman" w:cs="Times New Roman"/>
          <w:kern w:val="0"/>
          <w:sz w:val="24"/>
          <w:szCs w:val="24"/>
          <w:lang w:eastAsia="en-GB"/>
          <w14:ligatures w14:val="none"/>
        </w:rPr>
        <w:t>: An easy-to-use app allowing customers to book appointments, receive health updates, and access personalised wellness content.</w:t>
      </w:r>
    </w:p>
    <w:p w14:paraId="34C03BF3"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The goal is to integrate wellness services into customers' regular shopping experience, making health management more accessible and convenient.</w:t>
      </w:r>
    </w:p>
    <w:p w14:paraId="4DC8973E"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2.2 Strategic Rationale Behind Choosing the Health and Wellness Sector</w:t>
      </w:r>
    </w:p>
    <w:p w14:paraId="0FB6761B" w14:textId="709B418A"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The UK health and wellness industry is expanding rapidly, valued at over £20 billion and continuing to grow post-pandemic (Johnson, 2023). Consumers are increasingly prioritising physical and mental wellbeing, with 73% of people in the UK recognising wellness as an essential part of their daily lives (Williams, 2024).</w:t>
      </w:r>
      <w:r>
        <w:rPr>
          <w:rFonts w:ascii="Times New Roman" w:eastAsia="Times New Roman" w:hAnsi="Times New Roman" w:cs="Times New Roman"/>
          <w:kern w:val="0"/>
          <w:sz w:val="24"/>
          <w:szCs w:val="24"/>
          <w:lang w:eastAsia="en-GB"/>
          <w14:ligatures w14:val="none"/>
        </w:rPr>
        <w:t xml:space="preserve"> </w:t>
      </w:r>
      <w:r w:rsidRPr="00AB0F0F">
        <w:rPr>
          <w:rFonts w:ascii="Times New Roman" w:eastAsia="Times New Roman" w:hAnsi="Times New Roman" w:cs="Times New Roman"/>
          <w:kern w:val="0"/>
          <w:sz w:val="24"/>
          <w:szCs w:val="24"/>
          <w:lang w:eastAsia="en-GB"/>
          <w14:ligatures w14:val="none"/>
        </w:rPr>
        <w:t>Entering the wellness market offers Sainsbury’s the opportunity to diversify its business, attract new customer segments, and reinforce its position as a socially responsible retailer. It also capitalises on growing consumer demand for convenient, affordable wellness solutions integrated into everyday environments.</w:t>
      </w:r>
    </w:p>
    <w:p w14:paraId="65DD9FC1" w14:textId="24EA3455"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Moreover, healthcare and wellness services often drive frequent repeat visits, enhancing customer loyalty and lifetime value. </w:t>
      </w:r>
    </w:p>
    <w:p w14:paraId="7E605029"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0246A6ED"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2.3 Link to Sainsbury’s Core Brand Values</w:t>
      </w:r>
    </w:p>
    <w:p w14:paraId="6B7E9694"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The launch of </w:t>
      </w:r>
      <w:r w:rsidRPr="00AB0F0F">
        <w:rPr>
          <w:rFonts w:ascii="Times New Roman" w:eastAsia="Times New Roman" w:hAnsi="Times New Roman" w:cs="Times New Roman"/>
          <w:b/>
          <w:bCs/>
          <w:kern w:val="0"/>
          <w:sz w:val="24"/>
          <w:szCs w:val="24"/>
          <w:lang w:eastAsia="en-GB"/>
          <w14:ligatures w14:val="none"/>
        </w:rPr>
        <w:t>Sainsbury’s Health+</w:t>
      </w:r>
      <w:r w:rsidRPr="00AB0F0F">
        <w:rPr>
          <w:rFonts w:ascii="Times New Roman" w:eastAsia="Times New Roman" w:hAnsi="Times New Roman" w:cs="Times New Roman"/>
          <w:kern w:val="0"/>
          <w:sz w:val="24"/>
          <w:szCs w:val="24"/>
          <w:lang w:eastAsia="en-GB"/>
          <w14:ligatures w14:val="none"/>
        </w:rPr>
        <w:t xml:space="preserve"> aligns closely with the company’s long-standing brand values:</w:t>
      </w:r>
    </w:p>
    <w:p w14:paraId="7263ACB8" w14:textId="77777777" w:rsidR="00AB0F0F" w:rsidRPr="00AB0F0F" w:rsidRDefault="00AB0F0F" w:rsidP="00AB0F0F">
      <w:pPr>
        <w:numPr>
          <w:ilvl w:val="0"/>
          <w:numId w:val="97"/>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Trust</w:t>
      </w:r>
      <w:r w:rsidRPr="00AB0F0F">
        <w:rPr>
          <w:rFonts w:ascii="Times New Roman" w:eastAsia="Times New Roman" w:hAnsi="Times New Roman" w:cs="Times New Roman"/>
          <w:kern w:val="0"/>
          <w:sz w:val="24"/>
          <w:szCs w:val="24"/>
          <w:lang w:eastAsia="en-GB"/>
          <w14:ligatures w14:val="none"/>
        </w:rPr>
        <w:t>: By offering credible and professional health services within its trusted retail spaces.</w:t>
      </w:r>
    </w:p>
    <w:p w14:paraId="74E5F079" w14:textId="77777777" w:rsidR="00AB0F0F" w:rsidRPr="00AB0F0F" w:rsidRDefault="00AB0F0F" w:rsidP="00AB0F0F">
      <w:pPr>
        <w:numPr>
          <w:ilvl w:val="0"/>
          <w:numId w:val="97"/>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Quality</w:t>
      </w:r>
      <w:r w:rsidRPr="00AB0F0F">
        <w:rPr>
          <w:rFonts w:ascii="Times New Roman" w:eastAsia="Times New Roman" w:hAnsi="Times New Roman" w:cs="Times New Roman"/>
          <w:kern w:val="0"/>
          <w:sz w:val="24"/>
          <w:szCs w:val="24"/>
          <w:lang w:eastAsia="en-GB"/>
          <w14:ligatures w14:val="none"/>
        </w:rPr>
        <w:t>: Ensuring all services are delivered by qualified professionals and maintaining high standards.</w:t>
      </w:r>
    </w:p>
    <w:p w14:paraId="344745DF" w14:textId="77777777" w:rsidR="00AB0F0F" w:rsidRPr="00AB0F0F" w:rsidRDefault="00AB0F0F" w:rsidP="00AB0F0F">
      <w:pPr>
        <w:numPr>
          <w:ilvl w:val="0"/>
          <w:numId w:val="97"/>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Accessibility</w:t>
      </w:r>
      <w:r w:rsidRPr="00AB0F0F">
        <w:rPr>
          <w:rFonts w:ascii="Times New Roman" w:eastAsia="Times New Roman" w:hAnsi="Times New Roman" w:cs="Times New Roman"/>
          <w:kern w:val="0"/>
          <w:sz w:val="24"/>
          <w:szCs w:val="24"/>
          <w:lang w:eastAsia="en-GB"/>
          <w14:ligatures w14:val="none"/>
        </w:rPr>
        <w:t>: Making wellness services affordable and available in convenient locations, including online.</w:t>
      </w:r>
    </w:p>
    <w:p w14:paraId="2D5055DA" w14:textId="77777777"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This alignment strengthens customer confidence and ensures the new service feels like a natural and authentic evolution of the Sainsbury’s brand (Taylor, 2021).</w:t>
      </w:r>
    </w:p>
    <w:p w14:paraId="4C76FA4F"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7DFA5DDD"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2.4 Market Gaps and Opportunities</w:t>
      </w:r>
    </w:p>
    <w:tbl>
      <w:tblPr>
        <w:tblStyle w:val="PlainTable1"/>
        <w:tblW w:w="0" w:type="auto"/>
        <w:tblLook w:val="04A0" w:firstRow="1" w:lastRow="0" w:firstColumn="1" w:lastColumn="0" w:noHBand="0" w:noVBand="1"/>
      </w:tblPr>
      <w:tblGrid>
        <w:gridCol w:w="4014"/>
        <w:gridCol w:w="5002"/>
      </w:tblGrid>
      <w:tr w:rsidR="00AB0F0F" w:rsidRPr="00AB0F0F" w14:paraId="09B7FB8C" w14:textId="77777777" w:rsidTr="00AB0F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EFE70B"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Market Gap</w:t>
            </w:r>
          </w:p>
        </w:tc>
        <w:tc>
          <w:tcPr>
            <w:tcW w:w="0" w:type="auto"/>
            <w:hideMark/>
          </w:tcPr>
          <w:p w14:paraId="767F38EE" w14:textId="77777777" w:rsidR="00AB0F0F" w:rsidRPr="00AB0F0F" w:rsidRDefault="00AB0F0F" w:rsidP="00AB0F0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Opportunity for Sainsbury’s Health+</w:t>
            </w:r>
          </w:p>
        </w:tc>
      </w:tr>
      <w:tr w:rsidR="00AB0F0F" w:rsidRPr="00AB0F0F" w14:paraId="39A655CF" w14:textId="77777777" w:rsidTr="00AB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39F1B6" w14:textId="77777777" w:rsidR="00AB0F0F" w:rsidRPr="00AB0F0F" w:rsidRDefault="00AB0F0F" w:rsidP="00AB0F0F">
            <w:pPr>
              <w:spacing w:line="360" w:lineRule="auto"/>
              <w:jc w:val="both"/>
              <w:rPr>
                <w:rFonts w:ascii="Times New Roman" w:eastAsia="Times New Roman" w:hAnsi="Times New Roman" w:cs="Times New Roman"/>
                <w:b w:val="0"/>
                <w:bCs w:val="0"/>
                <w:kern w:val="0"/>
                <w:sz w:val="24"/>
                <w:szCs w:val="24"/>
                <w:lang w:eastAsia="en-GB"/>
                <w14:ligatures w14:val="none"/>
              </w:rPr>
            </w:pPr>
            <w:r w:rsidRPr="00AB0F0F">
              <w:rPr>
                <w:rFonts w:ascii="Times New Roman" w:eastAsia="Times New Roman" w:hAnsi="Times New Roman" w:cs="Times New Roman"/>
                <w:b w:val="0"/>
                <w:bCs w:val="0"/>
                <w:kern w:val="0"/>
                <w:sz w:val="24"/>
                <w:szCs w:val="24"/>
                <w:lang w:eastAsia="en-GB"/>
                <w14:ligatures w14:val="none"/>
              </w:rPr>
              <w:t>Limited access to affordable preventive care</w:t>
            </w:r>
          </w:p>
        </w:tc>
        <w:tc>
          <w:tcPr>
            <w:tcW w:w="0" w:type="auto"/>
            <w:hideMark/>
          </w:tcPr>
          <w:p w14:paraId="33FADABD" w14:textId="77777777" w:rsidR="00AB0F0F" w:rsidRPr="00AB0F0F" w:rsidRDefault="00AB0F0F" w:rsidP="00AB0F0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Offer low-cost screenings and advice in everyday locations</w:t>
            </w:r>
          </w:p>
        </w:tc>
      </w:tr>
      <w:tr w:rsidR="00AB0F0F" w:rsidRPr="00AB0F0F" w14:paraId="552CBC94" w14:textId="77777777" w:rsidTr="00AB0F0F">
        <w:tc>
          <w:tcPr>
            <w:cnfStyle w:val="001000000000" w:firstRow="0" w:lastRow="0" w:firstColumn="1" w:lastColumn="0" w:oddVBand="0" w:evenVBand="0" w:oddHBand="0" w:evenHBand="0" w:firstRowFirstColumn="0" w:firstRowLastColumn="0" w:lastRowFirstColumn="0" w:lastRowLastColumn="0"/>
            <w:tcW w:w="0" w:type="auto"/>
            <w:hideMark/>
          </w:tcPr>
          <w:p w14:paraId="3D36B52D"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Fragmented wellness services</w:t>
            </w:r>
          </w:p>
        </w:tc>
        <w:tc>
          <w:tcPr>
            <w:tcW w:w="0" w:type="auto"/>
            <w:hideMark/>
          </w:tcPr>
          <w:p w14:paraId="76D1440E" w14:textId="77777777" w:rsidR="00AB0F0F" w:rsidRPr="00AB0F0F" w:rsidRDefault="00AB0F0F" w:rsidP="00AB0F0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Provide integrated wellness hubs combining multiple services</w:t>
            </w:r>
          </w:p>
        </w:tc>
      </w:tr>
      <w:tr w:rsidR="00AB0F0F" w:rsidRPr="00AB0F0F" w14:paraId="4CF330D4" w14:textId="77777777" w:rsidTr="00AB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B5E65"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lastRenderedPageBreak/>
              <w:t>Lack of convenience in traditional healthcare</w:t>
            </w:r>
          </w:p>
        </w:tc>
        <w:tc>
          <w:tcPr>
            <w:tcW w:w="0" w:type="auto"/>
            <w:hideMark/>
          </w:tcPr>
          <w:p w14:paraId="5671205B" w14:textId="77777777" w:rsidR="00AB0F0F" w:rsidRPr="00AB0F0F" w:rsidRDefault="00AB0F0F" w:rsidP="00AB0F0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Embed health services into regular shopping routines</w:t>
            </w:r>
          </w:p>
        </w:tc>
      </w:tr>
      <w:tr w:rsidR="00AB0F0F" w:rsidRPr="00AB0F0F" w14:paraId="4C5DD207" w14:textId="77777777" w:rsidTr="00AB0F0F">
        <w:tc>
          <w:tcPr>
            <w:cnfStyle w:val="001000000000" w:firstRow="0" w:lastRow="0" w:firstColumn="1" w:lastColumn="0" w:oddVBand="0" w:evenVBand="0" w:oddHBand="0" w:evenHBand="0" w:firstRowFirstColumn="0" w:firstRowLastColumn="0" w:lastRowFirstColumn="0" w:lastRowLastColumn="0"/>
            <w:tcW w:w="0" w:type="auto"/>
            <w:hideMark/>
          </w:tcPr>
          <w:p w14:paraId="28A512D4"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Growing demand for personalised wellness</w:t>
            </w:r>
          </w:p>
        </w:tc>
        <w:tc>
          <w:tcPr>
            <w:tcW w:w="0" w:type="auto"/>
            <w:hideMark/>
          </w:tcPr>
          <w:p w14:paraId="5FD01260" w14:textId="77777777" w:rsidR="00AB0F0F" w:rsidRPr="00AB0F0F" w:rsidRDefault="00AB0F0F" w:rsidP="00AB0F0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Deliver tailored wellness programs through digital tools</w:t>
            </w:r>
          </w:p>
        </w:tc>
      </w:tr>
    </w:tbl>
    <w:p w14:paraId="464F38A0"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By addressing these clear market gaps, Sainsbury’s Health+ can differentiate itself from traditional healthcare providers and position itself as a leader in accessible, everyday wellness solutions (Brown, 2024).</w:t>
      </w:r>
    </w:p>
    <w:p w14:paraId="7A1FDEAB" w14:textId="77777777" w:rsidR="00AB0F0F" w:rsidRDefault="00AB0F0F" w:rsidP="00AB0F0F">
      <w:pPr>
        <w:spacing w:after="0" w:line="360" w:lineRule="auto"/>
        <w:jc w:val="both"/>
        <w:rPr>
          <w:rFonts w:ascii="Times New Roman" w:hAnsi="Times New Roman" w:cs="Times New Roman"/>
          <w:b/>
          <w:bCs/>
          <w:sz w:val="24"/>
          <w:szCs w:val="24"/>
        </w:rPr>
      </w:pPr>
    </w:p>
    <w:p w14:paraId="0F107E4E" w14:textId="38394AF8" w:rsidR="00AB0F0F" w:rsidRPr="00AB0F0F" w:rsidRDefault="00AB0F0F" w:rsidP="00AB0F0F">
      <w:pPr>
        <w:spacing w:after="0" w:line="360" w:lineRule="auto"/>
        <w:jc w:val="both"/>
        <w:outlineLvl w:val="1"/>
        <w:rPr>
          <w:rFonts w:ascii="Times New Roman" w:eastAsia="Times New Roman" w:hAnsi="Times New Roman" w:cs="Times New Roman"/>
          <w:b/>
          <w:bCs/>
          <w:kern w:val="0"/>
          <w:sz w:val="28"/>
          <w:szCs w:val="28"/>
          <w:lang w:eastAsia="en-GB"/>
          <w14:ligatures w14:val="none"/>
        </w:rPr>
      </w:pPr>
      <w:r w:rsidRPr="00AB0F0F">
        <w:rPr>
          <w:rFonts w:ascii="Times New Roman" w:eastAsia="Times New Roman" w:hAnsi="Times New Roman" w:cs="Times New Roman"/>
          <w:b/>
          <w:bCs/>
          <w:kern w:val="0"/>
          <w:sz w:val="28"/>
          <w:szCs w:val="28"/>
          <w:lang w:eastAsia="en-GB"/>
          <w14:ligatures w14:val="none"/>
        </w:rPr>
        <w:t xml:space="preserve">3. Segmentation, Targeting, and Positioning (STP) Strategy </w:t>
      </w:r>
    </w:p>
    <w:p w14:paraId="06CA216C"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3.1 Segmentation</w:t>
      </w:r>
    </w:p>
    <w:p w14:paraId="1370F0B9"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For the Sainsbury’s Health+ brand extension, a clear segmentation strategy is necessary to ensure a strong market fit.</w:t>
      </w:r>
    </w:p>
    <w:p w14:paraId="6ECF9D6E" w14:textId="77777777" w:rsidR="00AB0F0F" w:rsidRPr="00AB0F0F" w:rsidRDefault="00AB0F0F" w:rsidP="00AB0F0F">
      <w:pPr>
        <w:numPr>
          <w:ilvl w:val="0"/>
          <w:numId w:val="98"/>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Demographic Segmentation</w:t>
      </w:r>
      <w:r w:rsidRPr="00AB0F0F">
        <w:rPr>
          <w:rFonts w:ascii="Times New Roman" w:eastAsia="Times New Roman" w:hAnsi="Times New Roman" w:cs="Times New Roman"/>
          <w:kern w:val="0"/>
          <w:sz w:val="24"/>
          <w:szCs w:val="24"/>
          <w:lang w:eastAsia="en-GB"/>
          <w14:ligatures w14:val="none"/>
        </w:rPr>
        <w:t>: The primary demographic segment includes individuals aged between 25 and 65 years from middle-income households. This group represents a broad section of consumers who are health-conscious but also value affordability and convenience (Kotler et al., 2021).</w:t>
      </w:r>
    </w:p>
    <w:p w14:paraId="2DD775F4" w14:textId="77777777" w:rsidR="00AB0F0F" w:rsidRPr="00AB0F0F" w:rsidRDefault="00AB0F0F" w:rsidP="00AB0F0F">
      <w:pPr>
        <w:numPr>
          <w:ilvl w:val="0"/>
          <w:numId w:val="98"/>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Psychographic Segmentation</w:t>
      </w:r>
      <w:r w:rsidRPr="00AB0F0F">
        <w:rPr>
          <w:rFonts w:ascii="Times New Roman" w:eastAsia="Times New Roman" w:hAnsi="Times New Roman" w:cs="Times New Roman"/>
          <w:kern w:val="0"/>
          <w:sz w:val="24"/>
          <w:szCs w:val="24"/>
          <w:lang w:eastAsia="en-GB"/>
          <w14:ligatures w14:val="none"/>
        </w:rPr>
        <w:t xml:space="preserve">: </w:t>
      </w:r>
      <w:proofErr w:type="spellStart"/>
      <w:r w:rsidRPr="00AB0F0F">
        <w:rPr>
          <w:rFonts w:ascii="Times New Roman" w:eastAsia="Times New Roman" w:hAnsi="Times New Roman" w:cs="Times New Roman"/>
          <w:kern w:val="0"/>
          <w:sz w:val="24"/>
          <w:szCs w:val="24"/>
          <w:lang w:eastAsia="en-GB"/>
          <w14:ligatures w14:val="none"/>
        </w:rPr>
        <w:t>Psychographically</w:t>
      </w:r>
      <w:proofErr w:type="spellEnd"/>
      <w:r w:rsidRPr="00AB0F0F">
        <w:rPr>
          <w:rFonts w:ascii="Times New Roman" w:eastAsia="Times New Roman" w:hAnsi="Times New Roman" w:cs="Times New Roman"/>
          <w:kern w:val="0"/>
          <w:sz w:val="24"/>
          <w:szCs w:val="24"/>
          <w:lang w:eastAsia="en-GB"/>
          <w14:ligatures w14:val="none"/>
        </w:rPr>
        <w:t>, the focus is on individuals who lead busy lifestyles and prioritise personal health and wellness. These customers are proactive about maintaining their well-being but require flexible solutions that fit into their demanding schedules (Solomon, 2020).</w:t>
      </w:r>
    </w:p>
    <w:p w14:paraId="3DD4E82F" w14:textId="77777777" w:rsidR="00AB0F0F" w:rsidRPr="00AB0F0F" w:rsidRDefault="00AB0F0F" w:rsidP="00AB0F0F">
      <w:pPr>
        <w:numPr>
          <w:ilvl w:val="0"/>
          <w:numId w:val="98"/>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Behavioural Segmentation</w:t>
      </w:r>
      <w:r w:rsidRPr="00AB0F0F">
        <w:rPr>
          <w:rFonts w:ascii="Times New Roman" w:eastAsia="Times New Roman" w:hAnsi="Times New Roman" w:cs="Times New Roman"/>
          <w:kern w:val="0"/>
          <w:sz w:val="24"/>
          <w:szCs w:val="24"/>
          <w:lang w:eastAsia="en-GB"/>
          <w14:ligatures w14:val="none"/>
        </w:rPr>
        <w:t>: Behaviourally, the segment targets consumers who seek convenience and are loyalty-driven. These customers prefer brands that offer integrated services and consistent value, often staying loyal to brands they trust and rewarding excellent service with repeat business (Baines et al., 2022).</w:t>
      </w:r>
    </w:p>
    <w:p w14:paraId="2BDC250C"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This segmentation enables Sainsbury’s Health+ to tailor its wellness services to a well-defined audience with high potential for engagement and loyalty.</w:t>
      </w:r>
    </w:p>
    <w:p w14:paraId="37860C42" w14:textId="08FDE603"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2C912415"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3.2 Targeting</w:t>
      </w:r>
    </w:p>
    <w:p w14:paraId="572206E1"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Sainsbury’s Health+ will adopt a </w:t>
      </w:r>
      <w:r w:rsidRPr="00AB0F0F">
        <w:rPr>
          <w:rFonts w:ascii="Times New Roman" w:eastAsia="Times New Roman" w:hAnsi="Times New Roman" w:cs="Times New Roman"/>
          <w:b/>
          <w:bCs/>
          <w:kern w:val="0"/>
          <w:sz w:val="24"/>
          <w:szCs w:val="24"/>
          <w:lang w:eastAsia="en-GB"/>
          <w14:ligatures w14:val="none"/>
        </w:rPr>
        <w:t>differentiated targeting strategy</w:t>
      </w:r>
      <w:r w:rsidRPr="00AB0F0F">
        <w:rPr>
          <w:rFonts w:ascii="Times New Roman" w:eastAsia="Times New Roman" w:hAnsi="Times New Roman" w:cs="Times New Roman"/>
          <w:kern w:val="0"/>
          <w:sz w:val="24"/>
          <w:szCs w:val="24"/>
          <w:lang w:eastAsia="en-GB"/>
          <w14:ligatures w14:val="none"/>
        </w:rPr>
        <w:t>, offering tailored services to meet the distinct needs of the defined segments.</w:t>
      </w:r>
    </w:p>
    <w:p w14:paraId="4F6EC9FE"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Justification for Target Market</w:t>
      </w:r>
      <w:r w:rsidRPr="00AB0F0F">
        <w:rPr>
          <w:rFonts w:ascii="Times New Roman" w:eastAsia="Times New Roman" w:hAnsi="Times New Roman" w:cs="Times New Roman"/>
          <w:kern w:val="0"/>
          <w:sz w:val="24"/>
          <w:szCs w:val="24"/>
          <w:lang w:eastAsia="en-GB"/>
          <w14:ligatures w14:val="none"/>
        </w:rPr>
        <w:t>:</w:t>
      </w:r>
    </w:p>
    <w:p w14:paraId="6847F076"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The UK wellness market is booming, valued at approximately £23 billion in 2023, and continues to grow annually (Johnson, 2023). A significant proportion of middle-income earners </w:t>
      </w:r>
      <w:r w:rsidRPr="00AB0F0F">
        <w:rPr>
          <w:rFonts w:ascii="Times New Roman" w:eastAsia="Times New Roman" w:hAnsi="Times New Roman" w:cs="Times New Roman"/>
          <w:kern w:val="0"/>
          <w:sz w:val="24"/>
          <w:szCs w:val="24"/>
          <w:lang w:eastAsia="en-GB"/>
          <w14:ligatures w14:val="none"/>
        </w:rPr>
        <w:lastRenderedPageBreak/>
        <w:t>between 25 and 65 years old are increasingly health-aware, seeking convenient and affordable wellness services.</w:t>
      </w:r>
    </w:p>
    <w:p w14:paraId="2AE0BAE1"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According to recent studies, around 70% of consumers in this age group report actively seeking ways to integrate wellness into their daily lives (Williams, 2024). Busy working professionals and families, in particular, demand easily accessible, reliable health services without the inconvenience of attending separate clinics or health centres.</w:t>
      </w:r>
    </w:p>
    <w:p w14:paraId="0A6E25AE"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By targeting these segments, Sainsbury’s can leverage its widespread retail presence to meet latent consumer demand, while enhancing customer loyalty through an integrated wellness offering.</w:t>
      </w:r>
    </w:p>
    <w:p w14:paraId="3EA832D1" w14:textId="0F6DB35F"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55B25504"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3.3 Positioning</w:t>
      </w:r>
    </w:p>
    <w:p w14:paraId="3574532B"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Sainsbury’s Health+ Value Proposition</w:t>
      </w:r>
      <w:r w:rsidRPr="00AB0F0F">
        <w:rPr>
          <w:rFonts w:ascii="Times New Roman" w:eastAsia="Times New Roman" w:hAnsi="Times New Roman" w:cs="Times New Roman"/>
          <w:kern w:val="0"/>
          <w:sz w:val="24"/>
          <w:szCs w:val="24"/>
          <w:lang w:eastAsia="en-GB"/>
          <w14:ligatures w14:val="none"/>
        </w:rPr>
        <w:t>:</w:t>
      </w:r>
    </w:p>
    <w:p w14:paraId="4AA774DC"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The value proposition for Sainsbury’s Health+ is captured in the brand message:</w:t>
      </w:r>
    </w:p>
    <w:p w14:paraId="153AE667"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"Affordable Everyday Wellness at Your Fingertips."</w:t>
      </w:r>
    </w:p>
    <w:p w14:paraId="0FA5C607"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This reflects Sainsbury’s commitment to providing high-quality, accessible wellness services that are seamlessly integrated into customers' daily shopping experiences.</w:t>
      </w:r>
    </w:p>
    <w:p w14:paraId="65AAAE64"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Positioning Against Competitors</w:t>
      </w:r>
      <w:r w:rsidRPr="00AB0F0F">
        <w:rPr>
          <w:rFonts w:ascii="Times New Roman" w:eastAsia="Times New Roman" w:hAnsi="Times New Roman" w:cs="Times New Roman"/>
          <w:kern w:val="0"/>
          <w:sz w:val="24"/>
          <w:szCs w:val="24"/>
          <w:lang w:eastAsia="en-GB"/>
          <w14:ligatures w14:val="none"/>
        </w:rPr>
        <w:t>:</w:t>
      </w:r>
    </w:p>
    <w:p w14:paraId="5FF126D7" w14:textId="77777777"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To successfully position Health+, Sainsbury’s must differentiate itself from established competitors like Boots and Holland &amp; Barrett. While Boots offers pharmaceutical services and Holland &amp; Barrett focuses on health products, Sainsbury’s Health+ will provide a comprehensive, integrated service that combines physical wellness hubs, digital health tracking, and affordable consultations all in one familiar environment.</w:t>
      </w:r>
    </w:p>
    <w:p w14:paraId="3E94499A"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416BF141"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Positioning Map</w:t>
      </w:r>
      <w:r w:rsidRPr="00AB0F0F">
        <w:rPr>
          <w:rFonts w:ascii="Times New Roman" w:eastAsia="Times New Roman" w:hAnsi="Times New Roman" w:cs="Times New Roman"/>
          <w:kern w:val="0"/>
          <w:sz w:val="24"/>
          <w:szCs w:val="24"/>
          <w:lang w:eastAsia="en-GB"/>
          <w14:ligatures w14:val="none"/>
        </w:rPr>
        <w:t>:</w:t>
      </w:r>
    </w:p>
    <w:p w14:paraId="65131AB6" w14:textId="77777777"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Below is a simplified positioning map showing Sainsbury’s Health+ relative to key competitors:</w:t>
      </w:r>
    </w:p>
    <w:p w14:paraId="46A6B4A3" w14:textId="2CEDBBEB" w:rsidR="00AB0F0F" w:rsidRPr="00AB0F0F" w:rsidRDefault="00AB0F0F" w:rsidP="00AB0F0F">
      <w:pPr>
        <w:spacing w:after="0" w:line="360" w:lineRule="auto"/>
        <w:jc w:val="center"/>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5334617A" wp14:editId="16DA00E5">
            <wp:extent cx="3596493" cy="2735820"/>
            <wp:effectExtent l="0" t="0" r="4445" b="7620"/>
            <wp:docPr id="1277437069"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Output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05974" cy="2743032"/>
                    </a:xfrm>
                    <a:prstGeom prst="rect">
                      <a:avLst/>
                    </a:prstGeom>
                    <a:noFill/>
                    <a:ln>
                      <a:noFill/>
                    </a:ln>
                  </pic:spPr>
                </pic:pic>
              </a:graphicData>
            </a:graphic>
          </wp:inline>
        </w:drawing>
      </w:r>
    </w:p>
    <w:p w14:paraId="1370CAFD" w14:textId="77777777"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1CFCC74E" w14:textId="5636E80B"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In this positioning, Sainsbury’s Health+ occupies a unique space: offering </w:t>
      </w:r>
      <w:r w:rsidRPr="00AB0F0F">
        <w:rPr>
          <w:rFonts w:ascii="Times New Roman" w:eastAsia="Times New Roman" w:hAnsi="Times New Roman" w:cs="Times New Roman"/>
          <w:b/>
          <w:bCs/>
          <w:kern w:val="0"/>
          <w:sz w:val="24"/>
          <w:szCs w:val="24"/>
          <w:lang w:eastAsia="en-GB"/>
          <w14:ligatures w14:val="none"/>
        </w:rPr>
        <w:t>comprehensive services at an affordable price</w:t>
      </w:r>
      <w:r w:rsidRPr="00AB0F0F">
        <w:rPr>
          <w:rFonts w:ascii="Times New Roman" w:eastAsia="Times New Roman" w:hAnsi="Times New Roman" w:cs="Times New Roman"/>
          <w:kern w:val="0"/>
          <w:sz w:val="24"/>
          <w:szCs w:val="24"/>
          <w:lang w:eastAsia="en-GB"/>
          <w14:ligatures w14:val="none"/>
        </w:rPr>
        <w:t>, an area currently underserved by mainstream competitors (Keller, 2021).</w:t>
      </w:r>
    </w:p>
    <w:p w14:paraId="2876CFA2" w14:textId="77777777"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By focusing on affordability, convenience, and integration with daily life, Sainsbury’s Health+ can attract a broad audience of health-conscious consumers who seek value and simplicity.</w:t>
      </w:r>
    </w:p>
    <w:p w14:paraId="60761227" w14:textId="77777777" w:rsidR="00AB0F0F" w:rsidRPr="00AB0F0F" w:rsidRDefault="00AB0F0F" w:rsidP="00AB0F0F">
      <w:pPr>
        <w:spacing w:after="0" w:line="360" w:lineRule="auto"/>
        <w:jc w:val="both"/>
        <w:rPr>
          <w:rFonts w:ascii="Times New Roman" w:eastAsia="Times New Roman" w:hAnsi="Times New Roman" w:cs="Times New Roman"/>
          <w:kern w:val="0"/>
          <w:sz w:val="28"/>
          <w:szCs w:val="28"/>
          <w:lang w:eastAsia="en-GB"/>
          <w14:ligatures w14:val="none"/>
        </w:rPr>
      </w:pPr>
    </w:p>
    <w:p w14:paraId="4300B082" w14:textId="204D0CB0" w:rsidR="00AB0F0F" w:rsidRPr="00AB0F0F" w:rsidRDefault="00AB0F0F" w:rsidP="00AB0F0F">
      <w:pPr>
        <w:spacing w:after="0" w:line="360" w:lineRule="auto"/>
        <w:jc w:val="both"/>
        <w:outlineLvl w:val="1"/>
        <w:rPr>
          <w:rFonts w:ascii="Times New Roman" w:eastAsia="Times New Roman" w:hAnsi="Times New Roman" w:cs="Times New Roman"/>
          <w:b/>
          <w:bCs/>
          <w:kern w:val="0"/>
          <w:sz w:val="28"/>
          <w:szCs w:val="28"/>
          <w:lang w:eastAsia="en-GB"/>
          <w14:ligatures w14:val="none"/>
        </w:rPr>
      </w:pPr>
      <w:r w:rsidRPr="00AB0F0F">
        <w:rPr>
          <w:rFonts w:ascii="Times New Roman" w:eastAsia="Times New Roman" w:hAnsi="Times New Roman" w:cs="Times New Roman"/>
          <w:b/>
          <w:bCs/>
          <w:kern w:val="0"/>
          <w:sz w:val="28"/>
          <w:szCs w:val="28"/>
          <w:lang w:eastAsia="en-GB"/>
          <w14:ligatures w14:val="none"/>
        </w:rPr>
        <w:t xml:space="preserve">4. Customer Persona/Profile </w:t>
      </w:r>
    </w:p>
    <w:p w14:paraId="0C804EE2"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4.1 Demographic Profile</w:t>
      </w:r>
    </w:p>
    <w:p w14:paraId="33B3E77F" w14:textId="2614C185"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The primary target customer for Sainsbury’s Health+ is represented by </w:t>
      </w:r>
      <w:r w:rsidRPr="00AB0F0F">
        <w:rPr>
          <w:rFonts w:ascii="Times New Roman" w:eastAsia="Times New Roman" w:hAnsi="Times New Roman" w:cs="Times New Roman"/>
          <w:b/>
          <w:bCs/>
          <w:kern w:val="0"/>
          <w:sz w:val="24"/>
          <w:szCs w:val="24"/>
          <w:lang w:eastAsia="en-GB"/>
          <w14:ligatures w14:val="none"/>
        </w:rPr>
        <w:t>Emma Turner</w:t>
      </w:r>
      <w:r w:rsidRPr="00AB0F0F">
        <w:rPr>
          <w:rFonts w:ascii="Times New Roman" w:eastAsia="Times New Roman" w:hAnsi="Times New Roman" w:cs="Times New Roman"/>
          <w:kern w:val="0"/>
          <w:sz w:val="24"/>
          <w:szCs w:val="24"/>
          <w:lang w:eastAsia="en-GB"/>
          <w14:ligatures w14:val="none"/>
        </w:rPr>
        <w:t>, a 38-year-old mid-level manager residing in suburban London. Emma earns an annual income of approximately £40,000, positioning her within the middle-income bracket commonly associated with strong purchasing power and brand loyalty (Baines et al., 2022).</w:t>
      </w:r>
      <w:r>
        <w:rPr>
          <w:rFonts w:ascii="Times New Roman" w:eastAsia="Times New Roman" w:hAnsi="Times New Roman" w:cs="Times New Roman"/>
          <w:kern w:val="0"/>
          <w:sz w:val="24"/>
          <w:szCs w:val="24"/>
          <w:lang w:eastAsia="en-GB"/>
          <w14:ligatures w14:val="none"/>
        </w:rPr>
        <w:t xml:space="preserve"> </w:t>
      </w:r>
      <w:r w:rsidRPr="00AB0F0F">
        <w:rPr>
          <w:rFonts w:ascii="Times New Roman" w:eastAsia="Times New Roman" w:hAnsi="Times New Roman" w:cs="Times New Roman"/>
          <w:kern w:val="0"/>
          <w:sz w:val="24"/>
          <w:szCs w:val="24"/>
          <w:lang w:eastAsia="en-GB"/>
          <w14:ligatures w14:val="none"/>
        </w:rPr>
        <w:t>Emma lives with her partner and two young children, making her a typical representation of a modern urban family. Her shopping behaviour reflects a strong preference for brands that offer convenience, efficiency, and value for money (Kotler et al., 2021). She frequently shops at supermarkets like Sainsbury’s, both instore and online, leveraging loyalty programs such as Nectar Points to maximise value</w:t>
      </w:r>
    </w:p>
    <w:p w14:paraId="17C4BDEB" w14:textId="08E0C5DD"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71B69E7C"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4.2 Psychographic Profile</w:t>
      </w:r>
    </w:p>
    <w:p w14:paraId="05EAEB25"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Emma’s lifestyle and attitudes perfectly align with the core offering of Sainsbury’s Health+:</w:t>
      </w:r>
    </w:p>
    <w:p w14:paraId="204B93BB" w14:textId="77777777" w:rsidR="00AB0F0F" w:rsidRPr="00AB0F0F" w:rsidRDefault="00AB0F0F" w:rsidP="00AB0F0F">
      <w:pPr>
        <w:numPr>
          <w:ilvl w:val="0"/>
          <w:numId w:val="99"/>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lastRenderedPageBreak/>
        <w:t>Motivations</w:t>
      </w:r>
      <w:r w:rsidRPr="00AB0F0F">
        <w:rPr>
          <w:rFonts w:ascii="Times New Roman" w:eastAsia="Times New Roman" w:hAnsi="Times New Roman" w:cs="Times New Roman"/>
          <w:kern w:val="0"/>
          <w:sz w:val="24"/>
          <w:szCs w:val="24"/>
          <w:lang w:eastAsia="en-GB"/>
          <w14:ligatures w14:val="none"/>
        </w:rPr>
        <w:t>: Emma is highly motivated by a desire to maintain a healthy lifestyle while balancing the demands of a busy career and family life. She values solutions that promote physical and mental wellbeing without demanding significant time commitments (Williams, 2024).</w:t>
      </w:r>
    </w:p>
    <w:p w14:paraId="0E6F23A2" w14:textId="77777777" w:rsidR="00AB0F0F" w:rsidRPr="00AB0F0F" w:rsidRDefault="00AB0F0F" w:rsidP="00AB0F0F">
      <w:pPr>
        <w:numPr>
          <w:ilvl w:val="0"/>
          <w:numId w:val="99"/>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Values</w:t>
      </w:r>
      <w:r w:rsidRPr="00AB0F0F">
        <w:rPr>
          <w:rFonts w:ascii="Times New Roman" w:eastAsia="Times New Roman" w:hAnsi="Times New Roman" w:cs="Times New Roman"/>
          <w:kern w:val="0"/>
          <w:sz w:val="24"/>
          <w:szCs w:val="24"/>
          <w:lang w:eastAsia="en-GB"/>
          <w14:ligatures w14:val="none"/>
        </w:rPr>
        <w:t xml:space="preserve">: Emma places high importance on </w:t>
      </w:r>
      <w:r w:rsidRPr="00AB0F0F">
        <w:rPr>
          <w:rFonts w:ascii="Times New Roman" w:eastAsia="Times New Roman" w:hAnsi="Times New Roman" w:cs="Times New Roman"/>
          <w:b/>
          <w:bCs/>
          <w:kern w:val="0"/>
          <w:sz w:val="24"/>
          <w:szCs w:val="24"/>
          <w:lang w:eastAsia="en-GB"/>
          <w14:ligatures w14:val="none"/>
        </w:rPr>
        <w:t>convenience</w:t>
      </w:r>
      <w:r w:rsidRPr="00AB0F0F">
        <w:rPr>
          <w:rFonts w:ascii="Times New Roman" w:eastAsia="Times New Roman" w:hAnsi="Times New Roman" w:cs="Times New Roman"/>
          <w:kern w:val="0"/>
          <w:sz w:val="24"/>
          <w:szCs w:val="24"/>
          <w:lang w:eastAsia="en-GB"/>
          <w14:ligatures w14:val="none"/>
        </w:rPr>
        <w:t xml:space="preserve">, </w:t>
      </w:r>
      <w:r w:rsidRPr="00AB0F0F">
        <w:rPr>
          <w:rFonts w:ascii="Times New Roman" w:eastAsia="Times New Roman" w:hAnsi="Times New Roman" w:cs="Times New Roman"/>
          <w:b/>
          <w:bCs/>
          <w:kern w:val="0"/>
          <w:sz w:val="24"/>
          <w:szCs w:val="24"/>
          <w:lang w:eastAsia="en-GB"/>
          <w14:ligatures w14:val="none"/>
        </w:rPr>
        <w:t>affordability</w:t>
      </w:r>
      <w:r w:rsidRPr="00AB0F0F">
        <w:rPr>
          <w:rFonts w:ascii="Times New Roman" w:eastAsia="Times New Roman" w:hAnsi="Times New Roman" w:cs="Times New Roman"/>
          <w:kern w:val="0"/>
          <w:sz w:val="24"/>
          <w:szCs w:val="24"/>
          <w:lang w:eastAsia="en-GB"/>
          <w14:ligatures w14:val="none"/>
        </w:rPr>
        <w:t xml:space="preserve">, and </w:t>
      </w:r>
      <w:r w:rsidRPr="00AB0F0F">
        <w:rPr>
          <w:rFonts w:ascii="Times New Roman" w:eastAsia="Times New Roman" w:hAnsi="Times New Roman" w:cs="Times New Roman"/>
          <w:b/>
          <w:bCs/>
          <w:kern w:val="0"/>
          <w:sz w:val="24"/>
          <w:szCs w:val="24"/>
          <w:lang w:eastAsia="en-GB"/>
          <w14:ligatures w14:val="none"/>
        </w:rPr>
        <w:t>quality</w:t>
      </w:r>
      <w:r w:rsidRPr="00AB0F0F">
        <w:rPr>
          <w:rFonts w:ascii="Times New Roman" w:eastAsia="Times New Roman" w:hAnsi="Times New Roman" w:cs="Times New Roman"/>
          <w:kern w:val="0"/>
          <w:sz w:val="24"/>
          <w:szCs w:val="24"/>
          <w:lang w:eastAsia="en-GB"/>
          <w14:ligatures w14:val="none"/>
        </w:rPr>
        <w:t>. She seeks brands that simplify her life while delivering tangible benefits, particularly in areas related to health and wellness (Johnson, 2023).</w:t>
      </w:r>
    </w:p>
    <w:p w14:paraId="58B6C841" w14:textId="77777777" w:rsidR="00AB0F0F" w:rsidRPr="00AB0F0F" w:rsidRDefault="00AB0F0F" w:rsidP="00AB0F0F">
      <w:pPr>
        <w:numPr>
          <w:ilvl w:val="0"/>
          <w:numId w:val="99"/>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Pain Points</w:t>
      </w:r>
      <w:r w:rsidRPr="00AB0F0F">
        <w:rPr>
          <w:rFonts w:ascii="Times New Roman" w:eastAsia="Times New Roman" w:hAnsi="Times New Roman" w:cs="Times New Roman"/>
          <w:kern w:val="0"/>
          <w:sz w:val="24"/>
          <w:szCs w:val="24"/>
          <w:lang w:eastAsia="en-GB"/>
          <w14:ligatures w14:val="none"/>
        </w:rPr>
        <w:t>: A major frustration for Emma is the difficulty of scheduling traditional healthcare appointments around her busy schedule. Long waiting times and inflexible booking systems often prevent her from seeking preventive care as often as she would like (Brown, 2024).</w:t>
      </w:r>
    </w:p>
    <w:p w14:paraId="772D4D9C" w14:textId="77777777" w:rsidR="00AB0F0F" w:rsidRPr="00AB0F0F" w:rsidRDefault="00AB0F0F" w:rsidP="00AB0F0F">
      <w:pPr>
        <w:numPr>
          <w:ilvl w:val="0"/>
          <w:numId w:val="99"/>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Buying Behaviour</w:t>
      </w:r>
      <w:r w:rsidRPr="00AB0F0F">
        <w:rPr>
          <w:rFonts w:ascii="Times New Roman" w:eastAsia="Times New Roman" w:hAnsi="Times New Roman" w:cs="Times New Roman"/>
          <w:kern w:val="0"/>
          <w:sz w:val="24"/>
          <w:szCs w:val="24"/>
          <w:lang w:eastAsia="en-GB"/>
          <w14:ligatures w14:val="none"/>
        </w:rPr>
        <w:t>: Emma actively shops online and in physical stores, showing a strong preference for retailers offering both channels seamlessly. She is highly engaged with loyalty programs and is receptive to personalised offers and recommendations through apps and digital platforms.</w:t>
      </w:r>
    </w:p>
    <w:p w14:paraId="20075E5F"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By targeting customers like Emma, Sainsbury’s Health+ can capitalise on a clear need for accessible, trustworthy wellness services delivered in a convenient and familiar environment.</w:t>
      </w:r>
    </w:p>
    <w:p w14:paraId="55BC305C" w14:textId="32136CF4"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2F982F10" w14:textId="2E4792ED"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 xml:space="preserve">Customer Persona </w:t>
      </w:r>
    </w:p>
    <w:tbl>
      <w:tblPr>
        <w:tblStyle w:val="PlainTable1"/>
        <w:tblW w:w="0" w:type="auto"/>
        <w:tblLook w:val="04A0" w:firstRow="1" w:lastRow="0" w:firstColumn="1" w:lastColumn="0" w:noHBand="0" w:noVBand="1"/>
      </w:tblPr>
      <w:tblGrid>
        <w:gridCol w:w="2077"/>
        <w:gridCol w:w="4582"/>
      </w:tblGrid>
      <w:tr w:rsidR="00AB0F0F" w:rsidRPr="00AB0F0F" w14:paraId="5F032F22" w14:textId="77777777" w:rsidTr="00AB0F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523307"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Attribute</w:t>
            </w:r>
          </w:p>
        </w:tc>
        <w:tc>
          <w:tcPr>
            <w:tcW w:w="0" w:type="auto"/>
            <w:hideMark/>
          </w:tcPr>
          <w:p w14:paraId="787C98EA" w14:textId="77777777" w:rsidR="00AB0F0F" w:rsidRPr="00AB0F0F" w:rsidRDefault="00AB0F0F" w:rsidP="00AB0F0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Details</w:t>
            </w:r>
          </w:p>
        </w:tc>
      </w:tr>
      <w:tr w:rsidR="00AB0F0F" w:rsidRPr="00AB0F0F" w14:paraId="147B3CFC" w14:textId="77777777" w:rsidTr="00AB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341B5F"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Name</w:t>
            </w:r>
          </w:p>
        </w:tc>
        <w:tc>
          <w:tcPr>
            <w:tcW w:w="0" w:type="auto"/>
            <w:hideMark/>
          </w:tcPr>
          <w:p w14:paraId="220AD432" w14:textId="77777777" w:rsidR="00AB0F0F" w:rsidRPr="00AB0F0F" w:rsidRDefault="00AB0F0F" w:rsidP="00AB0F0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Emma Turner</w:t>
            </w:r>
          </w:p>
        </w:tc>
      </w:tr>
      <w:tr w:rsidR="00AB0F0F" w:rsidRPr="00AB0F0F" w14:paraId="27E01BAD" w14:textId="77777777" w:rsidTr="00AB0F0F">
        <w:tc>
          <w:tcPr>
            <w:cnfStyle w:val="001000000000" w:firstRow="0" w:lastRow="0" w:firstColumn="1" w:lastColumn="0" w:oddVBand="0" w:evenVBand="0" w:oddHBand="0" w:evenHBand="0" w:firstRowFirstColumn="0" w:firstRowLastColumn="0" w:lastRowFirstColumn="0" w:lastRowLastColumn="0"/>
            <w:tcW w:w="0" w:type="auto"/>
            <w:hideMark/>
          </w:tcPr>
          <w:p w14:paraId="56DF5993"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Age</w:t>
            </w:r>
          </w:p>
        </w:tc>
        <w:tc>
          <w:tcPr>
            <w:tcW w:w="0" w:type="auto"/>
            <w:hideMark/>
          </w:tcPr>
          <w:p w14:paraId="517C47EC" w14:textId="77777777" w:rsidR="00AB0F0F" w:rsidRPr="00AB0F0F" w:rsidRDefault="00AB0F0F" w:rsidP="00AB0F0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38</w:t>
            </w:r>
          </w:p>
        </w:tc>
      </w:tr>
      <w:tr w:rsidR="00AB0F0F" w:rsidRPr="00AB0F0F" w14:paraId="73961465" w14:textId="77777777" w:rsidTr="00AB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9287C0"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Profession</w:t>
            </w:r>
          </w:p>
        </w:tc>
        <w:tc>
          <w:tcPr>
            <w:tcW w:w="0" w:type="auto"/>
            <w:hideMark/>
          </w:tcPr>
          <w:p w14:paraId="1F6EAAAB" w14:textId="77777777" w:rsidR="00AB0F0F" w:rsidRPr="00AB0F0F" w:rsidRDefault="00AB0F0F" w:rsidP="00AB0F0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Mid-level Manager</w:t>
            </w:r>
          </w:p>
        </w:tc>
      </w:tr>
      <w:tr w:rsidR="00AB0F0F" w:rsidRPr="00AB0F0F" w14:paraId="1D56EC17" w14:textId="77777777" w:rsidTr="00AB0F0F">
        <w:tc>
          <w:tcPr>
            <w:cnfStyle w:val="001000000000" w:firstRow="0" w:lastRow="0" w:firstColumn="1" w:lastColumn="0" w:oddVBand="0" w:evenVBand="0" w:oddHBand="0" w:evenHBand="0" w:firstRowFirstColumn="0" w:firstRowLastColumn="0" w:lastRowFirstColumn="0" w:lastRowLastColumn="0"/>
            <w:tcW w:w="0" w:type="auto"/>
            <w:hideMark/>
          </w:tcPr>
          <w:p w14:paraId="5F996252"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Income</w:t>
            </w:r>
          </w:p>
        </w:tc>
        <w:tc>
          <w:tcPr>
            <w:tcW w:w="0" w:type="auto"/>
            <w:hideMark/>
          </w:tcPr>
          <w:p w14:paraId="1A5DD8E8" w14:textId="77777777" w:rsidR="00AB0F0F" w:rsidRPr="00AB0F0F" w:rsidRDefault="00AB0F0F" w:rsidP="00AB0F0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£40,000/year</w:t>
            </w:r>
          </w:p>
        </w:tc>
      </w:tr>
      <w:tr w:rsidR="00AB0F0F" w:rsidRPr="00AB0F0F" w14:paraId="677A2074" w14:textId="77777777" w:rsidTr="00AB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ABDD7D"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Family</w:t>
            </w:r>
          </w:p>
        </w:tc>
        <w:tc>
          <w:tcPr>
            <w:tcW w:w="0" w:type="auto"/>
            <w:hideMark/>
          </w:tcPr>
          <w:p w14:paraId="1E5CC18E" w14:textId="77777777" w:rsidR="00AB0F0F" w:rsidRPr="00AB0F0F" w:rsidRDefault="00AB0F0F" w:rsidP="00AB0F0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Two children</w:t>
            </w:r>
          </w:p>
        </w:tc>
      </w:tr>
      <w:tr w:rsidR="00AB0F0F" w:rsidRPr="00AB0F0F" w14:paraId="44EF4A9F" w14:textId="77777777" w:rsidTr="00AB0F0F">
        <w:tc>
          <w:tcPr>
            <w:cnfStyle w:val="001000000000" w:firstRow="0" w:lastRow="0" w:firstColumn="1" w:lastColumn="0" w:oddVBand="0" w:evenVBand="0" w:oddHBand="0" w:evenHBand="0" w:firstRowFirstColumn="0" w:firstRowLastColumn="0" w:lastRowFirstColumn="0" w:lastRowLastColumn="0"/>
            <w:tcW w:w="0" w:type="auto"/>
            <w:hideMark/>
          </w:tcPr>
          <w:p w14:paraId="533BE100"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Location</w:t>
            </w:r>
          </w:p>
        </w:tc>
        <w:tc>
          <w:tcPr>
            <w:tcW w:w="0" w:type="auto"/>
            <w:hideMark/>
          </w:tcPr>
          <w:p w14:paraId="3B339531" w14:textId="77777777" w:rsidR="00AB0F0F" w:rsidRPr="00AB0F0F" w:rsidRDefault="00AB0F0F" w:rsidP="00AB0F0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Suburban London</w:t>
            </w:r>
          </w:p>
        </w:tc>
      </w:tr>
      <w:tr w:rsidR="00AB0F0F" w:rsidRPr="00AB0F0F" w14:paraId="13B0731C" w14:textId="77777777" w:rsidTr="00AB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0E9D17"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Motivations</w:t>
            </w:r>
          </w:p>
        </w:tc>
        <w:tc>
          <w:tcPr>
            <w:tcW w:w="0" w:type="auto"/>
            <w:hideMark/>
          </w:tcPr>
          <w:p w14:paraId="6AAD4156" w14:textId="77777777" w:rsidR="00AB0F0F" w:rsidRPr="00AB0F0F" w:rsidRDefault="00AB0F0F" w:rsidP="00AB0F0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Healthy lifestyle, time efficiency</w:t>
            </w:r>
          </w:p>
        </w:tc>
      </w:tr>
      <w:tr w:rsidR="00AB0F0F" w:rsidRPr="00AB0F0F" w14:paraId="07DF09D0" w14:textId="77777777" w:rsidTr="00AB0F0F">
        <w:tc>
          <w:tcPr>
            <w:cnfStyle w:val="001000000000" w:firstRow="0" w:lastRow="0" w:firstColumn="1" w:lastColumn="0" w:oddVBand="0" w:evenVBand="0" w:oddHBand="0" w:evenHBand="0" w:firstRowFirstColumn="0" w:firstRowLastColumn="0" w:lastRowFirstColumn="0" w:lastRowLastColumn="0"/>
            <w:tcW w:w="0" w:type="auto"/>
            <w:hideMark/>
          </w:tcPr>
          <w:p w14:paraId="733CBE1A"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Values</w:t>
            </w:r>
          </w:p>
        </w:tc>
        <w:tc>
          <w:tcPr>
            <w:tcW w:w="0" w:type="auto"/>
            <w:hideMark/>
          </w:tcPr>
          <w:p w14:paraId="7C55EFD7" w14:textId="77777777" w:rsidR="00AB0F0F" w:rsidRPr="00AB0F0F" w:rsidRDefault="00AB0F0F" w:rsidP="00AB0F0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Convenience, affordability, quality</w:t>
            </w:r>
          </w:p>
        </w:tc>
      </w:tr>
      <w:tr w:rsidR="00AB0F0F" w:rsidRPr="00AB0F0F" w14:paraId="70CB51FA" w14:textId="77777777" w:rsidTr="00AB0F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882A09"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Pain Points</w:t>
            </w:r>
          </w:p>
        </w:tc>
        <w:tc>
          <w:tcPr>
            <w:tcW w:w="0" w:type="auto"/>
            <w:hideMark/>
          </w:tcPr>
          <w:p w14:paraId="0CC15AF6" w14:textId="77777777" w:rsidR="00AB0F0F" w:rsidRPr="00AB0F0F" w:rsidRDefault="00AB0F0F" w:rsidP="00AB0F0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Lack of time for health appointments</w:t>
            </w:r>
          </w:p>
        </w:tc>
      </w:tr>
      <w:tr w:rsidR="00AB0F0F" w:rsidRPr="00AB0F0F" w14:paraId="289D92C8" w14:textId="77777777" w:rsidTr="00AB0F0F">
        <w:tc>
          <w:tcPr>
            <w:cnfStyle w:val="001000000000" w:firstRow="0" w:lastRow="0" w:firstColumn="1" w:lastColumn="0" w:oddVBand="0" w:evenVBand="0" w:oddHBand="0" w:evenHBand="0" w:firstRowFirstColumn="0" w:firstRowLastColumn="0" w:lastRowFirstColumn="0" w:lastRowLastColumn="0"/>
            <w:tcW w:w="0" w:type="auto"/>
            <w:hideMark/>
          </w:tcPr>
          <w:p w14:paraId="4314D004" w14:textId="77777777" w:rsidR="00AB0F0F" w:rsidRPr="00AB0F0F" w:rsidRDefault="00AB0F0F" w:rsidP="00AB0F0F">
            <w:pPr>
              <w:spacing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Buying Behaviour</w:t>
            </w:r>
          </w:p>
        </w:tc>
        <w:tc>
          <w:tcPr>
            <w:tcW w:w="0" w:type="auto"/>
            <w:hideMark/>
          </w:tcPr>
          <w:p w14:paraId="107D0E62" w14:textId="77777777" w:rsidR="00AB0F0F" w:rsidRPr="00AB0F0F" w:rsidRDefault="00AB0F0F" w:rsidP="00AB0F0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Online and instore shopping, loyalty app user</w:t>
            </w:r>
          </w:p>
        </w:tc>
      </w:tr>
    </w:tbl>
    <w:p w14:paraId="55204145" w14:textId="77777777" w:rsidR="00AB0F0F" w:rsidRPr="00AB0F0F" w:rsidRDefault="00AB0F0F" w:rsidP="00AB0F0F">
      <w:pPr>
        <w:spacing w:after="0" w:line="360" w:lineRule="auto"/>
        <w:jc w:val="both"/>
        <w:rPr>
          <w:rFonts w:ascii="Times New Roman" w:hAnsi="Times New Roman" w:cs="Times New Roman"/>
          <w:b/>
          <w:bCs/>
          <w:sz w:val="24"/>
          <w:szCs w:val="24"/>
        </w:rPr>
      </w:pPr>
    </w:p>
    <w:p w14:paraId="119D4C1A" w14:textId="599AFFDD" w:rsidR="00AB0F0F" w:rsidRPr="00AB0F0F" w:rsidRDefault="00AB0F0F" w:rsidP="00AB0F0F">
      <w:pPr>
        <w:spacing w:after="0" w:line="360" w:lineRule="auto"/>
        <w:jc w:val="both"/>
        <w:outlineLvl w:val="1"/>
        <w:rPr>
          <w:rFonts w:ascii="Times New Roman" w:eastAsia="Times New Roman" w:hAnsi="Times New Roman" w:cs="Times New Roman"/>
          <w:b/>
          <w:bCs/>
          <w:kern w:val="0"/>
          <w:sz w:val="28"/>
          <w:szCs w:val="28"/>
          <w:lang w:eastAsia="en-GB"/>
          <w14:ligatures w14:val="none"/>
        </w:rPr>
      </w:pPr>
      <w:r w:rsidRPr="00AB0F0F">
        <w:rPr>
          <w:rFonts w:ascii="Times New Roman" w:eastAsia="Times New Roman" w:hAnsi="Times New Roman" w:cs="Times New Roman"/>
          <w:b/>
          <w:bCs/>
          <w:kern w:val="0"/>
          <w:sz w:val="28"/>
          <w:szCs w:val="28"/>
          <w:lang w:eastAsia="en-GB"/>
          <w14:ligatures w14:val="none"/>
        </w:rPr>
        <w:t xml:space="preserve">5. Marketing Mix Strategies (7Ps) </w:t>
      </w:r>
    </w:p>
    <w:p w14:paraId="5A7D37D8" w14:textId="77777777" w:rsid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The launch of </w:t>
      </w:r>
      <w:r w:rsidRPr="00AB0F0F">
        <w:rPr>
          <w:rFonts w:ascii="Times New Roman" w:eastAsia="Times New Roman" w:hAnsi="Times New Roman" w:cs="Times New Roman"/>
          <w:b/>
          <w:bCs/>
          <w:kern w:val="0"/>
          <w:sz w:val="24"/>
          <w:szCs w:val="24"/>
          <w:lang w:eastAsia="en-GB"/>
          <w14:ligatures w14:val="none"/>
        </w:rPr>
        <w:t>Sainsbury’s Health+</w:t>
      </w:r>
      <w:r w:rsidRPr="00AB0F0F">
        <w:rPr>
          <w:rFonts w:ascii="Times New Roman" w:eastAsia="Times New Roman" w:hAnsi="Times New Roman" w:cs="Times New Roman"/>
          <w:kern w:val="0"/>
          <w:sz w:val="24"/>
          <w:szCs w:val="24"/>
          <w:lang w:eastAsia="en-GB"/>
          <w14:ligatures w14:val="none"/>
        </w:rPr>
        <w:t xml:space="preserve"> will leverage the extended </w:t>
      </w:r>
      <w:r w:rsidRPr="00AB0F0F">
        <w:rPr>
          <w:rFonts w:ascii="Times New Roman" w:eastAsia="Times New Roman" w:hAnsi="Times New Roman" w:cs="Times New Roman"/>
          <w:b/>
          <w:bCs/>
          <w:kern w:val="0"/>
          <w:sz w:val="24"/>
          <w:szCs w:val="24"/>
          <w:lang w:eastAsia="en-GB"/>
          <w14:ligatures w14:val="none"/>
        </w:rPr>
        <w:t>7Ps marketing mix</w:t>
      </w:r>
      <w:r w:rsidRPr="00AB0F0F">
        <w:rPr>
          <w:rFonts w:ascii="Times New Roman" w:eastAsia="Times New Roman" w:hAnsi="Times New Roman" w:cs="Times New Roman"/>
          <w:kern w:val="0"/>
          <w:sz w:val="24"/>
          <w:szCs w:val="24"/>
          <w:lang w:eastAsia="en-GB"/>
          <w14:ligatures w14:val="none"/>
        </w:rPr>
        <w:t xml:space="preserve"> to deliver a high-quality, service-oriented brand extension.</w:t>
      </w:r>
    </w:p>
    <w:p w14:paraId="58EB7C63"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10D42E5E"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5.1 Product</w:t>
      </w:r>
    </w:p>
    <w:p w14:paraId="370377E8"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Sainsbury’s Health+</w:t>
      </w:r>
      <w:r w:rsidRPr="00AB0F0F">
        <w:rPr>
          <w:rFonts w:ascii="Times New Roman" w:eastAsia="Times New Roman" w:hAnsi="Times New Roman" w:cs="Times New Roman"/>
          <w:kern w:val="0"/>
          <w:sz w:val="24"/>
          <w:szCs w:val="24"/>
          <w:lang w:eastAsia="en-GB"/>
          <w14:ligatures w14:val="none"/>
        </w:rPr>
        <w:t xml:space="preserve"> offers comprehensive wellness services, including </w:t>
      </w:r>
      <w:r w:rsidRPr="00AB0F0F">
        <w:rPr>
          <w:rFonts w:ascii="Times New Roman" w:eastAsia="Times New Roman" w:hAnsi="Times New Roman" w:cs="Times New Roman"/>
          <w:b/>
          <w:bCs/>
          <w:kern w:val="0"/>
          <w:sz w:val="24"/>
          <w:szCs w:val="24"/>
          <w:lang w:eastAsia="en-GB"/>
          <w14:ligatures w14:val="none"/>
        </w:rPr>
        <w:t>health screenings</w:t>
      </w:r>
      <w:r w:rsidRPr="00AB0F0F">
        <w:rPr>
          <w:rFonts w:ascii="Times New Roman" w:eastAsia="Times New Roman" w:hAnsi="Times New Roman" w:cs="Times New Roman"/>
          <w:kern w:val="0"/>
          <w:sz w:val="24"/>
          <w:szCs w:val="24"/>
          <w:lang w:eastAsia="en-GB"/>
          <w14:ligatures w14:val="none"/>
        </w:rPr>
        <w:t xml:space="preserve">, </w:t>
      </w:r>
      <w:r w:rsidRPr="00AB0F0F">
        <w:rPr>
          <w:rFonts w:ascii="Times New Roman" w:eastAsia="Times New Roman" w:hAnsi="Times New Roman" w:cs="Times New Roman"/>
          <w:b/>
          <w:bCs/>
          <w:kern w:val="0"/>
          <w:sz w:val="24"/>
          <w:szCs w:val="24"/>
          <w:lang w:eastAsia="en-GB"/>
          <w14:ligatures w14:val="none"/>
        </w:rPr>
        <w:t>diet consultations</w:t>
      </w:r>
      <w:r w:rsidRPr="00AB0F0F">
        <w:rPr>
          <w:rFonts w:ascii="Times New Roman" w:eastAsia="Times New Roman" w:hAnsi="Times New Roman" w:cs="Times New Roman"/>
          <w:kern w:val="0"/>
          <w:sz w:val="24"/>
          <w:szCs w:val="24"/>
          <w:lang w:eastAsia="en-GB"/>
          <w14:ligatures w14:val="none"/>
        </w:rPr>
        <w:t xml:space="preserve">, and </w:t>
      </w:r>
      <w:r w:rsidRPr="00AB0F0F">
        <w:rPr>
          <w:rFonts w:ascii="Times New Roman" w:eastAsia="Times New Roman" w:hAnsi="Times New Roman" w:cs="Times New Roman"/>
          <w:b/>
          <w:bCs/>
          <w:kern w:val="0"/>
          <w:sz w:val="24"/>
          <w:szCs w:val="24"/>
          <w:lang w:eastAsia="en-GB"/>
          <w14:ligatures w14:val="none"/>
        </w:rPr>
        <w:t>mental wellness workshops</w:t>
      </w:r>
      <w:r w:rsidRPr="00AB0F0F">
        <w:rPr>
          <w:rFonts w:ascii="Times New Roman" w:eastAsia="Times New Roman" w:hAnsi="Times New Roman" w:cs="Times New Roman"/>
          <w:kern w:val="0"/>
          <w:sz w:val="24"/>
          <w:szCs w:val="24"/>
          <w:lang w:eastAsia="en-GB"/>
          <w14:ligatures w14:val="none"/>
        </w:rPr>
        <w:t>. These services will be accessible through in-store hubs and an online platform.</w:t>
      </w:r>
    </w:p>
    <w:p w14:paraId="1B1BDC1F"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Service quality will be ensured by employing qualified health practitioners and by implementing rigorous training programmes. Reliability will be further supported by consistent service delivery standards, which are crucial in building customer trust (Kotler et al., 2021).</w:t>
      </w:r>
    </w:p>
    <w:p w14:paraId="16D846C3"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Customers will be able to book personalised diet plans, attend wellness seminars, and monitor their health progress, blending medical precision with retail convenience (Baines et al., 2022).</w:t>
      </w:r>
    </w:p>
    <w:p w14:paraId="021F74D8" w14:textId="5D0FD98D"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0BD23952"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5.2 Price</w:t>
      </w:r>
    </w:p>
    <w:p w14:paraId="1AEDB0C5"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A </w:t>
      </w:r>
      <w:r w:rsidRPr="00AB0F0F">
        <w:rPr>
          <w:rFonts w:ascii="Times New Roman" w:eastAsia="Times New Roman" w:hAnsi="Times New Roman" w:cs="Times New Roman"/>
          <w:b/>
          <w:bCs/>
          <w:kern w:val="0"/>
          <w:sz w:val="24"/>
          <w:szCs w:val="24"/>
          <w:lang w:eastAsia="en-GB"/>
          <w14:ligatures w14:val="none"/>
        </w:rPr>
        <w:t>competitive and affordable pricing</w:t>
      </w:r>
      <w:r w:rsidRPr="00AB0F0F">
        <w:rPr>
          <w:rFonts w:ascii="Times New Roman" w:eastAsia="Times New Roman" w:hAnsi="Times New Roman" w:cs="Times New Roman"/>
          <w:kern w:val="0"/>
          <w:sz w:val="24"/>
          <w:szCs w:val="24"/>
          <w:lang w:eastAsia="en-GB"/>
          <w14:ligatures w14:val="none"/>
        </w:rPr>
        <w:t xml:space="preserve"> strategy will be employed to make preventive healthcare services accessible to a wider audience. Individual health screenings and consultations will be priced lower than private clinics to encourage mass adoption.</w:t>
      </w:r>
    </w:p>
    <w:p w14:paraId="2BA345F5"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Bundled offers</w:t>
      </w:r>
      <w:r w:rsidRPr="00AB0F0F">
        <w:rPr>
          <w:rFonts w:ascii="Times New Roman" w:eastAsia="Times New Roman" w:hAnsi="Times New Roman" w:cs="Times New Roman"/>
          <w:kern w:val="0"/>
          <w:sz w:val="24"/>
          <w:szCs w:val="24"/>
          <w:lang w:eastAsia="en-GB"/>
          <w14:ligatures w14:val="none"/>
        </w:rPr>
        <w:t xml:space="preserve"> will combine services (e.g., "Nutrition and Mental Wellness Package") and offer </w:t>
      </w:r>
      <w:r w:rsidRPr="00AB0F0F">
        <w:rPr>
          <w:rFonts w:ascii="Times New Roman" w:eastAsia="Times New Roman" w:hAnsi="Times New Roman" w:cs="Times New Roman"/>
          <w:b/>
          <w:bCs/>
          <w:kern w:val="0"/>
          <w:sz w:val="24"/>
          <w:szCs w:val="24"/>
          <w:lang w:eastAsia="en-GB"/>
          <w14:ligatures w14:val="none"/>
        </w:rPr>
        <w:t>Nectar loyalty points</w:t>
      </w:r>
      <w:r w:rsidRPr="00AB0F0F">
        <w:rPr>
          <w:rFonts w:ascii="Times New Roman" w:eastAsia="Times New Roman" w:hAnsi="Times New Roman" w:cs="Times New Roman"/>
          <w:kern w:val="0"/>
          <w:sz w:val="24"/>
          <w:szCs w:val="24"/>
          <w:lang w:eastAsia="en-GB"/>
          <w14:ligatures w14:val="none"/>
        </w:rPr>
        <w:t>, enhancing perceived value and encouraging repeat use (Smith, 2023).</w:t>
      </w:r>
    </w:p>
    <w:p w14:paraId="31BF8EC6"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Penetration pricing</w:t>
      </w:r>
      <w:r w:rsidRPr="00AB0F0F">
        <w:rPr>
          <w:rFonts w:ascii="Times New Roman" w:eastAsia="Times New Roman" w:hAnsi="Times New Roman" w:cs="Times New Roman"/>
          <w:kern w:val="0"/>
          <w:sz w:val="24"/>
          <w:szCs w:val="24"/>
          <w:lang w:eastAsia="en-GB"/>
          <w14:ligatures w14:val="none"/>
        </w:rPr>
        <w:t xml:space="preserve"> will be used during the initial six months, offering significant discounts to attract early adopters and establish a loyal customer base (Jobber and Ellis-Chadwick, 2020). Once the service gains market traction, prices may be adjusted slightly upward while maintaining affordability.</w:t>
      </w:r>
    </w:p>
    <w:p w14:paraId="1CD51E0E" w14:textId="4419CC2A"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36EED24B"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5.3 Place</w:t>
      </w:r>
    </w:p>
    <w:p w14:paraId="03066938"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Sainsbury’s Health+ Wellness Hubs</w:t>
      </w:r>
      <w:r w:rsidRPr="00AB0F0F">
        <w:rPr>
          <w:rFonts w:ascii="Times New Roman" w:eastAsia="Times New Roman" w:hAnsi="Times New Roman" w:cs="Times New Roman"/>
          <w:kern w:val="0"/>
          <w:sz w:val="24"/>
          <w:szCs w:val="24"/>
          <w:lang w:eastAsia="en-GB"/>
          <w14:ligatures w14:val="none"/>
        </w:rPr>
        <w:t xml:space="preserve"> will be located within larger Sainsbury’s stores across urban and suburban locations, providing easy access for daily shoppers.</w:t>
      </w:r>
    </w:p>
    <w:p w14:paraId="27FF3C99"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An integrated </w:t>
      </w:r>
      <w:r w:rsidRPr="00AB0F0F">
        <w:rPr>
          <w:rFonts w:ascii="Times New Roman" w:eastAsia="Times New Roman" w:hAnsi="Times New Roman" w:cs="Times New Roman"/>
          <w:b/>
          <w:bCs/>
          <w:kern w:val="0"/>
          <w:sz w:val="24"/>
          <w:szCs w:val="24"/>
          <w:lang w:eastAsia="en-GB"/>
          <w14:ligatures w14:val="none"/>
        </w:rPr>
        <w:t>online platform</w:t>
      </w:r>
      <w:r w:rsidRPr="00AB0F0F">
        <w:rPr>
          <w:rFonts w:ascii="Times New Roman" w:eastAsia="Times New Roman" w:hAnsi="Times New Roman" w:cs="Times New Roman"/>
          <w:kern w:val="0"/>
          <w:sz w:val="24"/>
          <w:szCs w:val="24"/>
          <w:lang w:eastAsia="en-GB"/>
          <w14:ligatures w14:val="none"/>
        </w:rPr>
        <w:t xml:space="preserve"> will allow users to book appointments, receive virtual consultations, and manage wellness plans through both the website and a mobile app (Solomon, 2020).</w:t>
      </w:r>
    </w:p>
    <w:p w14:paraId="5CFD3116" w14:textId="66EA815E"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78510363" w14:textId="77777777" w:rsidR="00AB0F0F" w:rsidRPr="00AB0F0F" w:rsidRDefault="00AB0F0F" w:rsidP="00AB0F0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5.4 Promotion</w:t>
      </w:r>
    </w:p>
    <w:p w14:paraId="56FBEA78"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A fully integrated promotional strategy will support the brand extension:</w:t>
      </w:r>
    </w:p>
    <w:p w14:paraId="195EE107" w14:textId="77777777" w:rsidR="00AB0F0F" w:rsidRPr="00AB0F0F" w:rsidRDefault="00AB0F0F" w:rsidP="00AB0F0F">
      <w:pPr>
        <w:numPr>
          <w:ilvl w:val="0"/>
          <w:numId w:val="100"/>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Social media marketing</w:t>
      </w:r>
      <w:r w:rsidRPr="00AB0F0F">
        <w:rPr>
          <w:rFonts w:ascii="Times New Roman" w:eastAsia="Times New Roman" w:hAnsi="Times New Roman" w:cs="Times New Roman"/>
          <w:kern w:val="0"/>
          <w:sz w:val="24"/>
          <w:szCs w:val="24"/>
          <w:lang w:eastAsia="en-GB"/>
          <w14:ligatures w14:val="none"/>
        </w:rPr>
        <w:t xml:space="preserve"> will use targeted Facebook, Instagram, and TikTok campaigns, focusing on health, lifestyle, and wellness audiences.</w:t>
      </w:r>
    </w:p>
    <w:p w14:paraId="67EB7E71" w14:textId="77777777" w:rsidR="00AB0F0F" w:rsidRPr="00AB0F0F" w:rsidRDefault="00AB0F0F" w:rsidP="00AB0F0F">
      <w:pPr>
        <w:numPr>
          <w:ilvl w:val="0"/>
          <w:numId w:val="100"/>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lastRenderedPageBreak/>
        <w:t>Email marketing</w:t>
      </w:r>
      <w:r w:rsidRPr="00AB0F0F">
        <w:rPr>
          <w:rFonts w:ascii="Times New Roman" w:eastAsia="Times New Roman" w:hAnsi="Times New Roman" w:cs="Times New Roman"/>
          <w:kern w:val="0"/>
          <w:sz w:val="24"/>
          <w:szCs w:val="24"/>
          <w:lang w:eastAsia="en-GB"/>
          <w14:ligatures w14:val="none"/>
        </w:rPr>
        <w:t xml:space="preserve"> will be tailored for Nectar card holders, offering exclusive wellness packages and incentives.</w:t>
      </w:r>
    </w:p>
    <w:p w14:paraId="505E9808" w14:textId="77777777" w:rsidR="00AB0F0F" w:rsidRPr="00AB0F0F" w:rsidRDefault="00AB0F0F" w:rsidP="00AB0F0F">
      <w:pPr>
        <w:numPr>
          <w:ilvl w:val="0"/>
          <w:numId w:val="100"/>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In-store posters and digital screens</w:t>
      </w:r>
      <w:r w:rsidRPr="00AB0F0F">
        <w:rPr>
          <w:rFonts w:ascii="Times New Roman" w:eastAsia="Times New Roman" w:hAnsi="Times New Roman" w:cs="Times New Roman"/>
          <w:kern w:val="0"/>
          <w:sz w:val="24"/>
          <w:szCs w:val="24"/>
          <w:lang w:eastAsia="en-GB"/>
          <w14:ligatures w14:val="none"/>
        </w:rPr>
        <w:t xml:space="preserve"> will promote Health+ within Sainsbury’s supermarkets.</w:t>
      </w:r>
    </w:p>
    <w:p w14:paraId="57FB42B9"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Additionally, </w:t>
      </w:r>
      <w:r w:rsidRPr="00AB0F0F">
        <w:rPr>
          <w:rFonts w:ascii="Times New Roman" w:eastAsia="Times New Roman" w:hAnsi="Times New Roman" w:cs="Times New Roman"/>
          <w:b/>
          <w:bCs/>
          <w:kern w:val="0"/>
          <w:sz w:val="24"/>
          <w:szCs w:val="24"/>
          <w:lang w:eastAsia="en-GB"/>
          <w14:ligatures w14:val="none"/>
        </w:rPr>
        <w:t>collaborations with NHS-backed initiatives</w:t>
      </w:r>
      <w:r w:rsidRPr="00AB0F0F">
        <w:rPr>
          <w:rFonts w:ascii="Times New Roman" w:eastAsia="Times New Roman" w:hAnsi="Times New Roman" w:cs="Times New Roman"/>
          <w:kern w:val="0"/>
          <w:sz w:val="24"/>
          <w:szCs w:val="24"/>
          <w:lang w:eastAsia="en-GB"/>
          <w14:ligatures w14:val="none"/>
        </w:rPr>
        <w:t xml:space="preserve"> and trusted </w:t>
      </w:r>
      <w:r w:rsidRPr="00AB0F0F">
        <w:rPr>
          <w:rFonts w:ascii="Times New Roman" w:eastAsia="Times New Roman" w:hAnsi="Times New Roman" w:cs="Times New Roman"/>
          <w:b/>
          <w:bCs/>
          <w:kern w:val="0"/>
          <w:sz w:val="24"/>
          <w:szCs w:val="24"/>
          <w:lang w:eastAsia="en-GB"/>
          <w14:ligatures w14:val="none"/>
        </w:rPr>
        <w:t>health influencers</w:t>
      </w:r>
      <w:r w:rsidRPr="00AB0F0F">
        <w:rPr>
          <w:rFonts w:ascii="Times New Roman" w:eastAsia="Times New Roman" w:hAnsi="Times New Roman" w:cs="Times New Roman"/>
          <w:kern w:val="0"/>
          <w:sz w:val="24"/>
          <w:szCs w:val="24"/>
          <w:lang w:eastAsia="en-GB"/>
          <w14:ligatures w14:val="none"/>
        </w:rPr>
        <w:t xml:space="preserve"> will build credibility (Brown, 2024).</w:t>
      </w:r>
    </w:p>
    <w:p w14:paraId="5D3B888D"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Seasonal campaigns like a </w:t>
      </w:r>
      <w:r w:rsidRPr="00AB0F0F">
        <w:rPr>
          <w:rFonts w:ascii="Times New Roman" w:eastAsia="Times New Roman" w:hAnsi="Times New Roman" w:cs="Times New Roman"/>
          <w:b/>
          <w:bCs/>
          <w:kern w:val="0"/>
          <w:sz w:val="24"/>
          <w:szCs w:val="24"/>
          <w:lang w:eastAsia="en-GB"/>
          <w14:ligatures w14:val="none"/>
        </w:rPr>
        <w:t>“New Year Wellness Reset”</w:t>
      </w:r>
      <w:r w:rsidRPr="00AB0F0F">
        <w:rPr>
          <w:rFonts w:ascii="Times New Roman" w:eastAsia="Times New Roman" w:hAnsi="Times New Roman" w:cs="Times New Roman"/>
          <w:kern w:val="0"/>
          <w:sz w:val="24"/>
          <w:szCs w:val="24"/>
          <w:lang w:eastAsia="en-GB"/>
          <w14:ligatures w14:val="none"/>
        </w:rPr>
        <w:t xml:space="preserve"> or “Summer Health Challenge” will tie promotions to customer lifestyle patterns, driving engagement during key periods (Johnson, 2023).</w:t>
      </w:r>
    </w:p>
    <w:p w14:paraId="4FF25ECA" w14:textId="4D71DC93"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p>
    <w:p w14:paraId="4117F483" w14:textId="77777777" w:rsidR="005A4C46" w:rsidRPr="005A4C46" w:rsidRDefault="005A4C46" w:rsidP="005A4C46">
      <w:pPr>
        <w:spacing w:after="0" w:line="360" w:lineRule="auto"/>
        <w:jc w:val="both"/>
        <w:outlineLvl w:val="1"/>
        <w:rPr>
          <w:rFonts w:ascii="Times New Roman" w:eastAsia="Times New Roman" w:hAnsi="Times New Roman" w:cs="Times New Roman"/>
          <w:b/>
          <w:bCs/>
          <w:kern w:val="0"/>
          <w:sz w:val="24"/>
          <w:szCs w:val="24"/>
          <w:lang w:eastAsia="en-GB"/>
          <w14:ligatures w14:val="none"/>
        </w:rPr>
      </w:pPr>
      <w:r w:rsidRPr="005A4C46">
        <w:rPr>
          <w:rFonts w:ascii="Times New Roman" w:eastAsia="Times New Roman" w:hAnsi="Times New Roman" w:cs="Times New Roman"/>
          <w:b/>
          <w:bCs/>
          <w:kern w:val="0"/>
          <w:sz w:val="24"/>
          <w:szCs w:val="24"/>
          <w:lang w:eastAsia="en-GB"/>
          <w14:ligatures w14:val="none"/>
        </w:rPr>
        <w:t>5.5 People</w:t>
      </w:r>
    </w:p>
    <w:p w14:paraId="1C053454" w14:textId="4B820BD1" w:rsid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The success of </w:t>
      </w:r>
      <w:r w:rsidRPr="005A4C46">
        <w:rPr>
          <w:rFonts w:ascii="Times New Roman" w:eastAsia="Times New Roman" w:hAnsi="Times New Roman" w:cs="Times New Roman"/>
          <w:b/>
          <w:bCs/>
          <w:kern w:val="0"/>
          <w:sz w:val="24"/>
          <w:szCs w:val="24"/>
          <w:lang w:eastAsia="en-GB"/>
          <w14:ligatures w14:val="none"/>
        </w:rPr>
        <w:t>Sainsbury’s Health+</w:t>
      </w:r>
      <w:r w:rsidRPr="005A4C46">
        <w:rPr>
          <w:rFonts w:ascii="Times New Roman" w:eastAsia="Times New Roman" w:hAnsi="Times New Roman" w:cs="Times New Roman"/>
          <w:kern w:val="0"/>
          <w:sz w:val="24"/>
          <w:szCs w:val="24"/>
          <w:lang w:eastAsia="en-GB"/>
          <w14:ligatures w14:val="none"/>
        </w:rPr>
        <w:t xml:space="preserve"> will be fundamentally dependent on the quality, professionalism, and attitude of its people. The brand will invest in employing </w:t>
      </w:r>
      <w:r w:rsidRPr="005A4C46">
        <w:rPr>
          <w:rFonts w:ascii="Times New Roman" w:eastAsia="Times New Roman" w:hAnsi="Times New Roman" w:cs="Times New Roman"/>
          <w:b/>
          <w:bCs/>
          <w:kern w:val="0"/>
          <w:sz w:val="24"/>
          <w:szCs w:val="24"/>
          <w:lang w:eastAsia="en-GB"/>
          <w14:ligatures w14:val="none"/>
        </w:rPr>
        <w:t>highly trained wellness advisors</w:t>
      </w:r>
      <w:r w:rsidRPr="005A4C46">
        <w:rPr>
          <w:rFonts w:ascii="Times New Roman" w:eastAsia="Times New Roman" w:hAnsi="Times New Roman" w:cs="Times New Roman"/>
          <w:kern w:val="0"/>
          <w:sz w:val="24"/>
          <w:szCs w:val="24"/>
          <w:lang w:eastAsia="en-GB"/>
          <w14:ligatures w14:val="none"/>
        </w:rPr>
        <w:t>, including certified nutritionists, experienced wellness coaches, and qualified mental health support specialists. These professionals will deliver services both in-store and virtually, ensuring that customers receive expert guidance tailored to their individual health needs.</w:t>
      </w:r>
      <w:r>
        <w:rPr>
          <w:rFonts w:ascii="Times New Roman" w:eastAsia="Times New Roman" w:hAnsi="Times New Roman" w:cs="Times New Roman"/>
          <w:kern w:val="0"/>
          <w:sz w:val="24"/>
          <w:szCs w:val="24"/>
          <w:lang w:eastAsia="en-GB"/>
          <w14:ligatures w14:val="none"/>
        </w:rPr>
        <w:t xml:space="preserve"> </w:t>
      </w:r>
      <w:r w:rsidRPr="005A4C46">
        <w:rPr>
          <w:rFonts w:ascii="Times New Roman" w:eastAsia="Times New Roman" w:hAnsi="Times New Roman" w:cs="Times New Roman"/>
          <w:kern w:val="0"/>
          <w:sz w:val="24"/>
          <w:szCs w:val="24"/>
          <w:lang w:eastAsia="en-GB"/>
          <w14:ligatures w14:val="none"/>
        </w:rPr>
        <w:t xml:space="preserve">Customer service excellence will be placed at the core of operations. All Health+ staff will be trained intensively to demonstrate </w:t>
      </w:r>
      <w:r w:rsidRPr="005A4C46">
        <w:rPr>
          <w:rFonts w:ascii="Times New Roman" w:eastAsia="Times New Roman" w:hAnsi="Times New Roman" w:cs="Times New Roman"/>
          <w:b/>
          <w:bCs/>
          <w:kern w:val="0"/>
          <w:sz w:val="24"/>
          <w:szCs w:val="24"/>
          <w:lang w:eastAsia="en-GB"/>
          <w14:ligatures w14:val="none"/>
        </w:rPr>
        <w:t>empathy</w:t>
      </w:r>
      <w:r w:rsidRPr="005A4C46">
        <w:rPr>
          <w:rFonts w:ascii="Times New Roman" w:eastAsia="Times New Roman" w:hAnsi="Times New Roman" w:cs="Times New Roman"/>
          <w:kern w:val="0"/>
          <w:sz w:val="24"/>
          <w:szCs w:val="24"/>
          <w:lang w:eastAsia="en-GB"/>
          <w14:ligatures w14:val="none"/>
        </w:rPr>
        <w:t xml:space="preserve">, </w:t>
      </w:r>
      <w:r w:rsidRPr="005A4C46">
        <w:rPr>
          <w:rFonts w:ascii="Times New Roman" w:eastAsia="Times New Roman" w:hAnsi="Times New Roman" w:cs="Times New Roman"/>
          <w:b/>
          <w:bCs/>
          <w:kern w:val="0"/>
          <w:sz w:val="24"/>
          <w:szCs w:val="24"/>
          <w:lang w:eastAsia="en-GB"/>
          <w14:ligatures w14:val="none"/>
        </w:rPr>
        <w:t>professionalism</w:t>
      </w:r>
      <w:r w:rsidRPr="005A4C46">
        <w:rPr>
          <w:rFonts w:ascii="Times New Roman" w:eastAsia="Times New Roman" w:hAnsi="Times New Roman" w:cs="Times New Roman"/>
          <w:kern w:val="0"/>
          <w:sz w:val="24"/>
          <w:szCs w:val="24"/>
          <w:lang w:eastAsia="en-GB"/>
          <w14:ligatures w14:val="none"/>
        </w:rPr>
        <w:t xml:space="preserve">, </w:t>
      </w:r>
      <w:r w:rsidRPr="005A4C46">
        <w:rPr>
          <w:rFonts w:ascii="Times New Roman" w:eastAsia="Times New Roman" w:hAnsi="Times New Roman" w:cs="Times New Roman"/>
          <w:b/>
          <w:bCs/>
          <w:kern w:val="0"/>
          <w:sz w:val="24"/>
          <w:szCs w:val="24"/>
          <w:lang w:eastAsia="en-GB"/>
          <w14:ligatures w14:val="none"/>
        </w:rPr>
        <w:t>confidentiality</w:t>
      </w:r>
      <w:r w:rsidRPr="005A4C46">
        <w:rPr>
          <w:rFonts w:ascii="Times New Roman" w:eastAsia="Times New Roman" w:hAnsi="Times New Roman" w:cs="Times New Roman"/>
          <w:kern w:val="0"/>
          <w:sz w:val="24"/>
          <w:szCs w:val="24"/>
          <w:lang w:eastAsia="en-GB"/>
          <w14:ligatures w14:val="none"/>
        </w:rPr>
        <w:t xml:space="preserve">, and </w:t>
      </w:r>
      <w:r w:rsidRPr="005A4C46">
        <w:rPr>
          <w:rFonts w:ascii="Times New Roman" w:eastAsia="Times New Roman" w:hAnsi="Times New Roman" w:cs="Times New Roman"/>
          <w:b/>
          <w:bCs/>
          <w:kern w:val="0"/>
          <w:sz w:val="24"/>
          <w:szCs w:val="24"/>
          <w:lang w:eastAsia="en-GB"/>
          <w14:ligatures w14:val="none"/>
        </w:rPr>
        <w:t>deep product knowledge</w:t>
      </w:r>
      <w:r w:rsidRPr="005A4C46">
        <w:rPr>
          <w:rFonts w:ascii="Times New Roman" w:eastAsia="Times New Roman" w:hAnsi="Times New Roman" w:cs="Times New Roman"/>
          <w:kern w:val="0"/>
          <w:sz w:val="24"/>
          <w:szCs w:val="24"/>
          <w:lang w:eastAsia="en-GB"/>
          <w14:ligatures w14:val="none"/>
        </w:rPr>
        <w:t xml:space="preserve"> during all customer interactions. According to Parasuraman et al. (2020), employees’ behaviour and interaction quality significantly influence customers' perceptions of service excellence and brand trust, especially in service industries such as healthcare and wellness.</w:t>
      </w:r>
    </w:p>
    <w:p w14:paraId="071C8689" w14:textId="77777777"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p>
    <w:p w14:paraId="593707A9" w14:textId="021977C7"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To maintain high service standards, Sainsbury’s will implement </w:t>
      </w:r>
      <w:r w:rsidRPr="005A4C46">
        <w:rPr>
          <w:rFonts w:ascii="Times New Roman" w:eastAsia="Times New Roman" w:hAnsi="Times New Roman" w:cs="Times New Roman"/>
          <w:b/>
          <w:bCs/>
          <w:kern w:val="0"/>
          <w:sz w:val="24"/>
          <w:szCs w:val="24"/>
          <w:lang w:eastAsia="en-GB"/>
          <w14:ligatures w14:val="none"/>
        </w:rPr>
        <w:t>staff empowerment strategies</w:t>
      </w:r>
      <w:r w:rsidRPr="005A4C46">
        <w:rPr>
          <w:rFonts w:ascii="Times New Roman" w:eastAsia="Times New Roman" w:hAnsi="Times New Roman" w:cs="Times New Roman"/>
          <w:kern w:val="0"/>
          <w:sz w:val="24"/>
          <w:szCs w:val="24"/>
          <w:lang w:eastAsia="en-GB"/>
          <w14:ligatures w14:val="none"/>
        </w:rPr>
        <w:t xml:space="preserve"> that include regular professional development programmes, external wellness certifications, and internal training workshops. Staff will be encouraged to pursue continuous learning on the latest health trends, customer care innovations, and emotional intelligence skills. Additionally, providing employees with decision-making authority within their roles will foster higher motivation, accountability, and commitment to delivering exceptional service (Baines et al., 2022).</w:t>
      </w:r>
      <w:r>
        <w:rPr>
          <w:rFonts w:ascii="Times New Roman" w:eastAsia="Times New Roman" w:hAnsi="Times New Roman" w:cs="Times New Roman"/>
          <w:kern w:val="0"/>
          <w:sz w:val="24"/>
          <w:szCs w:val="24"/>
          <w:lang w:eastAsia="en-GB"/>
          <w14:ligatures w14:val="none"/>
        </w:rPr>
        <w:t xml:space="preserve"> </w:t>
      </w:r>
    </w:p>
    <w:p w14:paraId="2F2DB3AA" w14:textId="77777777" w:rsidR="005A4C46" w:rsidRPr="005A4C46" w:rsidRDefault="005A4C46" w:rsidP="005A4C46">
      <w:pPr>
        <w:spacing w:after="0" w:line="360" w:lineRule="auto"/>
        <w:jc w:val="both"/>
        <w:outlineLvl w:val="1"/>
        <w:rPr>
          <w:rFonts w:ascii="Times New Roman" w:eastAsia="Times New Roman" w:hAnsi="Times New Roman" w:cs="Times New Roman"/>
          <w:b/>
          <w:bCs/>
          <w:kern w:val="0"/>
          <w:sz w:val="24"/>
          <w:szCs w:val="24"/>
          <w:lang w:eastAsia="en-GB"/>
          <w14:ligatures w14:val="none"/>
        </w:rPr>
      </w:pPr>
      <w:r w:rsidRPr="005A4C46">
        <w:rPr>
          <w:rFonts w:ascii="Times New Roman" w:eastAsia="Times New Roman" w:hAnsi="Times New Roman" w:cs="Times New Roman"/>
          <w:b/>
          <w:bCs/>
          <w:kern w:val="0"/>
          <w:sz w:val="24"/>
          <w:szCs w:val="24"/>
          <w:lang w:eastAsia="en-GB"/>
          <w14:ligatures w14:val="none"/>
        </w:rPr>
        <w:t>5.6 Process</w:t>
      </w:r>
    </w:p>
    <w:p w14:paraId="7BBB44A6" w14:textId="62445DE8"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Delivering a seamless, efficient, and customer-centred process is critical to the success of Sainsbury’s Health+. As services revolve around personalised health consultations, smooth and intuitive operational procedures will be a major differentiator.</w:t>
      </w:r>
      <w:r>
        <w:rPr>
          <w:rFonts w:ascii="Times New Roman" w:eastAsia="Times New Roman" w:hAnsi="Times New Roman" w:cs="Times New Roman"/>
          <w:kern w:val="0"/>
          <w:sz w:val="24"/>
          <w:szCs w:val="24"/>
          <w:lang w:eastAsia="en-GB"/>
          <w14:ligatures w14:val="none"/>
        </w:rPr>
        <w:t xml:space="preserve"> </w:t>
      </w:r>
      <w:r w:rsidRPr="005A4C46">
        <w:rPr>
          <w:rFonts w:ascii="Times New Roman" w:eastAsia="Times New Roman" w:hAnsi="Times New Roman" w:cs="Times New Roman"/>
          <w:kern w:val="0"/>
          <w:sz w:val="24"/>
          <w:szCs w:val="24"/>
          <w:lang w:eastAsia="en-GB"/>
          <w14:ligatures w14:val="none"/>
        </w:rPr>
        <w:t xml:space="preserve">The customer journey will begin with an </w:t>
      </w:r>
      <w:r w:rsidRPr="005A4C46">
        <w:rPr>
          <w:rFonts w:ascii="Times New Roman" w:eastAsia="Times New Roman" w:hAnsi="Times New Roman" w:cs="Times New Roman"/>
          <w:b/>
          <w:bCs/>
          <w:kern w:val="0"/>
          <w:sz w:val="24"/>
          <w:szCs w:val="24"/>
          <w:lang w:eastAsia="en-GB"/>
          <w14:ligatures w14:val="none"/>
        </w:rPr>
        <w:t>easy online appointment booking system</w:t>
      </w:r>
      <w:r w:rsidRPr="005A4C46">
        <w:rPr>
          <w:rFonts w:ascii="Times New Roman" w:eastAsia="Times New Roman" w:hAnsi="Times New Roman" w:cs="Times New Roman"/>
          <w:kern w:val="0"/>
          <w:sz w:val="24"/>
          <w:szCs w:val="24"/>
          <w:lang w:eastAsia="en-GB"/>
          <w14:ligatures w14:val="none"/>
        </w:rPr>
        <w:t xml:space="preserve">, available via the Sainsbury’s Health+ </w:t>
      </w:r>
      <w:r w:rsidRPr="005A4C46">
        <w:rPr>
          <w:rFonts w:ascii="Times New Roman" w:eastAsia="Times New Roman" w:hAnsi="Times New Roman" w:cs="Times New Roman"/>
          <w:kern w:val="0"/>
          <w:sz w:val="24"/>
          <w:szCs w:val="24"/>
          <w:lang w:eastAsia="en-GB"/>
          <w14:ligatures w14:val="none"/>
        </w:rPr>
        <w:lastRenderedPageBreak/>
        <w:t>website and mobile app. Customers will be able to view available services, select convenient time slots, receive service descriptions, and make secure payments digitally. This frictionless process reduces barriers to engagement and appeals strongly to busy, digitally savvy consumers (Kotler et al., 2021).</w:t>
      </w:r>
    </w:p>
    <w:p w14:paraId="5A459867" w14:textId="77777777" w:rsid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b/>
          <w:bCs/>
          <w:kern w:val="0"/>
          <w:sz w:val="24"/>
          <w:szCs w:val="24"/>
          <w:lang w:eastAsia="en-GB"/>
          <w14:ligatures w14:val="none"/>
        </w:rPr>
        <w:t>Seamless in-store experiences</w:t>
      </w:r>
      <w:r w:rsidRPr="005A4C46">
        <w:rPr>
          <w:rFonts w:ascii="Times New Roman" w:eastAsia="Times New Roman" w:hAnsi="Times New Roman" w:cs="Times New Roman"/>
          <w:kern w:val="0"/>
          <w:sz w:val="24"/>
          <w:szCs w:val="24"/>
          <w:lang w:eastAsia="en-GB"/>
          <w14:ligatures w14:val="none"/>
        </w:rPr>
        <w:t xml:space="preserve"> will be delivered through </w:t>
      </w:r>
      <w:r w:rsidRPr="005A4C46">
        <w:rPr>
          <w:rFonts w:ascii="Times New Roman" w:eastAsia="Times New Roman" w:hAnsi="Times New Roman" w:cs="Times New Roman"/>
          <w:b/>
          <w:bCs/>
          <w:kern w:val="0"/>
          <w:sz w:val="24"/>
          <w:szCs w:val="24"/>
          <w:lang w:eastAsia="en-GB"/>
          <w14:ligatures w14:val="none"/>
        </w:rPr>
        <w:t>dedicated Health+ kiosks</w:t>
      </w:r>
      <w:r w:rsidRPr="005A4C46">
        <w:rPr>
          <w:rFonts w:ascii="Times New Roman" w:eastAsia="Times New Roman" w:hAnsi="Times New Roman" w:cs="Times New Roman"/>
          <w:kern w:val="0"/>
          <w:sz w:val="24"/>
          <w:szCs w:val="24"/>
          <w:lang w:eastAsia="en-GB"/>
          <w14:ligatures w14:val="none"/>
        </w:rPr>
        <w:t xml:space="preserve"> and clearly signposted consultation areas. Staff will guide customers from arrival to consultation completion in a stress-free, welcoming environment. Minimal waiting times, organised check-ins, and clear service pathways will enhance operational efficiency.</w:t>
      </w:r>
    </w:p>
    <w:p w14:paraId="13C2986C" w14:textId="77777777"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p>
    <w:p w14:paraId="52688321" w14:textId="571EE82A"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Furthermore, </w:t>
      </w:r>
      <w:r w:rsidRPr="005A4C46">
        <w:rPr>
          <w:rFonts w:ascii="Times New Roman" w:eastAsia="Times New Roman" w:hAnsi="Times New Roman" w:cs="Times New Roman"/>
          <w:b/>
          <w:bCs/>
          <w:kern w:val="0"/>
          <w:sz w:val="24"/>
          <w:szCs w:val="24"/>
          <w:lang w:eastAsia="en-GB"/>
          <w14:ligatures w14:val="none"/>
        </w:rPr>
        <w:t>automated follow-up reminders</w:t>
      </w:r>
      <w:r w:rsidRPr="005A4C46">
        <w:rPr>
          <w:rFonts w:ascii="Times New Roman" w:eastAsia="Times New Roman" w:hAnsi="Times New Roman" w:cs="Times New Roman"/>
          <w:kern w:val="0"/>
          <w:sz w:val="24"/>
          <w:szCs w:val="24"/>
          <w:lang w:eastAsia="en-GB"/>
          <w14:ligatures w14:val="none"/>
        </w:rPr>
        <w:t xml:space="preserve"> will be sent to customers via app notifications, emails, or SMS messages after appointments. These communications will not only encourage future visits but also offer personalised health tips, loyalty offers, and feedback surveys, strengthening ongoing engagement (Williams, 2024).</w:t>
      </w:r>
      <w:r>
        <w:rPr>
          <w:rFonts w:ascii="Times New Roman" w:eastAsia="Times New Roman" w:hAnsi="Times New Roman" w:cs="Times New Roman"/>
          <w:kern w:val="0"/>
          <w:sz w:val="24"/>
          <w:szCs w:val="24"/>
          <w:lang w:eastAsia="en-GB"/>
          <w14:ligatures w14:val="none"/>
        </w:rPr>
        <w:t xml:space="preserve"> </w:t>
      </w:r>
      <w:r w:rsidRPr="005A4C46">
        <w:rPr>
          <w:rFonts w:ascii="Times New Roman" w:eastAsia="Times New Roman" w:hAnsi="Times New Roman" w:cs="Times New Roman"/>
          <w:kern w:val="0"/>
          <w:sz w:val="24"/>
          <w:szCs w:val="24"/>
          <w:lang w:eastAsia="en-GB"/>
          <w14:ligatures w14:val="none"/>
        </w:rPr>
        <w:t>Overall, the emphasis on an efficient, technology-enabled, and customer-centric process ensures that Health+ will deliver not just a service but a superior health and wellness experience.</w:t>
      </w:r>
    </w:p>
    <w:p w14:paraId="0E7B6694" w14:textId="57BD6F58"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p>
    <w:p w14:paraId="2F1AEA39" w14:textId="77777777" w:rsidR="005A4C46" w:rsidRPr="005A4C46" w:rsidRDefault="005A4C46" w:rsidP="005A4C46">
      <w:pPr>
        <w:spacing w:after="0" w:line="360" w:lineRule="auto"/>
        <w:jc w:val="both"/>
        <w:outlineLvl w:val="1"/>
        <w:rPr>
          <w:rFonts w:ascii="Times New Roman" w:eastAsia="Times New Roman" w:hAnsi="Times New Roman" w:cs="Times New Roman"/>
          <w:b/>
          <w:bCs/>
          <w:kern w:val="0"/>
          <w:sz w:val="24"/>
          <w:szCs w:val="24"/>
          <w:lang w:eastAsia="en-GB"/>
          <w14:ligatures w14:val="none"/>
        </w:rPr>
      </w:pPr>
      <w:r w:rsidRPr="005A4C46">
        <w:rPr>
          <w:rFonts w:ascii="Times New Roman" w:eastAsia="Times New Roman" w:hAnsi="Times New Roman" w:cs="Times New Roman"/>
          <w:b/>
          <w:bCs/>
          <w:kern w:val="0"/>
          <w:sz w:val="24"/>
          <w:szCs w:val="24"/>
          <w:lang w:eastAsia="en-GB"/>
          <w14:ligatures w14:val="none"/>
        </w:rPr>
        <w:t>5.7 Physical Evidence</w:t>
      </w:r>
    </w:p>
    <w:p w14:paraId="369857DC" w14:textId="77777777" w:rsid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In services marketing, </w:t>
      </w:r>
      <w:r w:rsidRPr="005A4C46">
        <w:rPr>
          <w:rFonts w:ascii="Times New Roman" w:eastAsia="Times New Roman" w:hAnsi="Times New Roman" w:cs="Times New Roman"/>
          <w:b/>
          <w:bCs/>
          <w:kern w:val="0"/>
          <w:sz w:val="24"/>
          <w:szCs w:val="24"/>
          <w:lang w:eastAsia="en-GB"/>
          <w14:ligatures w14:val="none"/>
        </w:rPr>
        <w:t>physical evidence</w:t>
      </w:r>
      <w:r w:rsidRPr="005A4C46">
        <w:rPr>
          <w:rFonts w:ascii="Times New Roman" w:eastAsia="Times New Roman" w:hAnsi="Times New Roman" w:cs="Times New Roman"/>
          <w:kern w:val="0"/>
          <w:sz w:val="24"/>
          <w:szCs w:val="24"/>
          <w:lang w:eastAsia="en-GB"/>
          <w14:ligatures w14:val="none"/>
        </w:rPr>
        <w:t xml:space="preserve"> plays a crucial role in creating tangible assurance for customers, especially when services are intangible, such as health consultations. Sainsbury’s Health+ will focus on delivering strong, consistent physical cues across all customer touchpoints.</w:t>
      </w:r>
    </w:p>
    <w:p w14:paraId="62021339" w14:textId="77777777"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p>
    <w:p w14:paraId="0D6F73E2" w14:textId="77777777" w:rsid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Firstly, </w:t>
      </w:r>
      <w:r w:rsidRPr="005A4C46">
        <w:rPr>
          <w:rFonts w:ascii="Times New Roman" w:eastAsia="Times New Roman" w:hAnsi="Times New Roman" w:cs="Times New Roman"/>
          <w:b/>
          <w:bCs/>
          <w:kern w:val="0"/>
          <w:sz w:val="24"/>
          <w:szCs w:val="24"/>
          <w:lang w:eastAsia="en-GB"/>
          <w14:ligatures w14:val="none"/>
        </w:rPr>
        <w:t>branded Health+ kiosks</w:t>
      </w:r>
      <w:r w:rsidRPr="005A4C46">
        <w:rPr>
          <w:rFonts w:ascii="Times New Roman" w:eastAsia="Times New Roman" w:hAnsi="Times New Roman" w:cs="Times New Roman"/>
          <w:kern w:val="0"/>
          <w:sz w:val="24"/>
          <w:szCs w:val="24"/>
          <w:lang w:eastAsia="en-GB"/>
          <w14:ligatures w14:val="none"/>
        </w:rPr>
        <w:t xml:space="preserve"> will be prominently positioned inside selected Sainsbury’s stores. These kiosks will be designed with a clean, contemporary aesthetic, incorporating </w:t>
      </w:r>
      <w:r w:rsidRPr="005A4C46">
        <w:rPr>
          <w:rFonts w:ascii="Times New Roman" w:eastAsia="Times New Roman" w:hAnsi="Times New Roman" w:cs="Times New Roman"/>
          <w:b/>
          <w:bCs/>
          <w:kern w:val="0"/>
          <w:sz w:val="24"/>
          <w:szCs w:val="24"/>
          <w:lang w:eastAsia="en-GB"/>
          <w14:ligatures w14:val="none"/>
        </w:rPr>
        <w:t>soft lighting</w:t>
      </w:r>
      <w:r w:rsidRPr="005A4C46">
        <w:rPr>
          <w:rFonts w:ascii="Times New Roman" w:eastAsia="Times New Roman" w:hAnsi="Times New Roman" w:cs="Times New Roman"/>
          <w:kern w:val="0"/>
          <w:sz w:val="24"/>
          <w:szCs w:val="24"/>
          <w:lang w:eastAsia="en-GB"/>
          <w14:ligatures w14:val="none"/>
        </w:rPr>
        <w:t xml:space="preserve">, </w:t>
      </w:r>
      <w:r w:rsidRPr="005A4C46">
        <w:rPr>
          <w:rFonts w:ascii="Times New Roman" w:eastAsia="Times New Roman" w:hAnsi="Times New Roman" w:cs="Times New Roman"/>
          <w:b/>
          <w:bCs/>
          <w:kern w:val="0"/>
          <w:sz w:val="24"/>
          <w:szCs w:val="24"/>
          <w:lang w:eastAsia="en-GB"/>
          <w14:ligatures w14:val="none"/>
        </w:rPr>
        <w:t>calming colour schemes</w:t>
      </w:r>
      <w:r w:rsidRPr="005A4C46">
        <w:rPr>
          <w:rFonts w:ascii="Times New Roman" w:eastAsia="Times New Roman" w:hAnsi="Times New Roman" w:cs="Times New Roman"/>
          <w:kern w:val="0"/>
          <w:sz w:val="24"/>
          <w:szCs w:val="24"/>
          <w:lang w:eastAsia="en-GB"/>
          <w14:ligatures w14:val="none"/>
        </w:rPr>
        <w:t xml:space="preserve"> (such as light greens and blues symbolising health and tranquillity), </w:t>
      </w:r>
      <w:r w:rsidRPr="005A4C46">
        <w:rPr>
          <w:rFonts w:ascii="Times New Roman" w:eastAsia="Times New Roman" w:hAnsi="Times New Roman" w:cs="Times New Roman"/>
          <w:b/>
          <w:bCs/>
          <w:kern w:val="0"/>
          <w:sz w:val="24"/>
          <w:szCs w:val="24"/>
          <w:lang w:eastAsia="en-GB"/>
          <w14:ligatures w14:val="none"/>
        </w:rPr>
        <w:t>wellness imagery</w:t>
      </w:r>
      <w:r w:rsidRPr="005A4C46">
        <w:rPr>
          <w:rFonts w:ascii="Times New Roman" w:eastAsia="Times New Roman" w:hAnsi="Times New Roman" w:cs="Times New Roman"/>
          <w:kern w:val="0"/>
          <w:sz w:val="24"/>
          <w:szCs w:val="24"/>
          <w:lang w:eastAsia="en-GB"/>
          <w14:ligatures w14:val="none"/>
        </w:rPr>
        <w:t>, and professional signage. Staff uniforms will feature clear Health+ branding, reinforcing brand identity and professionalism visually.</w:t>
      </w:r>
    </w:p>
    <w:p w14:paraId="4758AC2D" w14:textId="77777777"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p>
    <w:p w14:paraId="07BD5A3B" w14:textId="77777777" w:rsid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The in-store design will create an environment that immediately signals trustworthiness, comfort, and professionalism, important factors in customer decision-making for wellness services (Solomon, 2020).</w:t>
      </w:r>
    </w:p>
    <w:p w14:paraId="2C628452" w14:textId="77777777"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p>
    <w:p w14:paraId="063B3499" w14:textId="77777777"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In the digital environment, a dedicated </w:t>
      </w:r>
      <w:r w:rsidRPr="005A4C46">
        <w:rPr>
          <w:rFonts w:ascii="Times New Roman" w:eastAsia="Times New Roman" w:hAnsi="Times New Roman" w:cs="Times New Roman"/>
          <w:b/>
          <w:bCs/>
          <w:kern w:val="0"/>
          <w:sz w:val="24"/>
          <w:szCs w:val="24"/>
          <w:lang w:eastAsia="en-GB"/>
          <w14:ligatures w14:val="none"/>
        </w:rPr>
        <w:t>Sainsbury’s Health+ website</w:t>
      </w:r>
      <w:r w:rsidRPr="005A4C46">
        <w:rPr>
          <w:rFonts w:ascii="Times New Roman" w:eastAsia="Times New Roman" w:hAnsi="Times New Roman" w:cs="Times New Roman"/>
          <w:kern w:val="0"/>
          <w:sz w:val="24"/>
          <w:szCs w:val="24"/>
          <w:lang w:eastAsia="en-GB"/>
          <w14:ligatures w14:val="none"/>
        </w:rPr>
        <w:t xml:space="preserve"> and </w:t>
      </w:r>
      <w:r w:rsidRPr="005A4C46">
        <w:rPr>
          <w:rFonts w:ascii="Times New Roman" w:eastAsia="Times New Roman" w:hAnsi="Times New Roman" w:cs="Times New Roman"/>
          <w:b/>
          <w:bCs/>
          <w:kern w:val="0"/>
          <w:sz w:val="24"/>
          <w:szCs w:val="24"/>
          <w:lang w:eastAsia="en-GB"/>
          <w14:ligatures w14:val="none"/>
        </w:rPr>
        <w:t>mobile application</w:t>
      </w:r>
      <w:r w:rsidRPr="005A4C46">
        <w:rPr>
          <w:rFonts w:ascii="Times New Roman" w:eastAsia="Times New Roman" w:hAnsi="Times New Roman" w:cs="Times New Roman"/>
          <w:kern w:val="0"/>
          <w:sz w:val="24"/>
          <w:szCs w:val="24"/>
          <w:lang w:eastAsia="en-GB"/>
          <w14:ligatures w14:val="none"/>
        </w:rPr>
        <w:t xml:space="preserve"> will reinforce the brand image. The online platforms will feature user-friendly interfaces, </w:t>
      </w:r>
      <w:r w:rsidRPr="005A4C46">
        <w:rPr>
          <w:rFonts w:ascii="Times New Roman" w:eastAsia="Times New Roman" w:hAnsi="Times New Roman" w:cs="Times New Roman"/>
          <w:kern w:val="0"/>
          <w:sz w:val="24"/>
          <w:szCs w:val="24"/>
          <w:lang w:eastAsia="en-GB"/>
          <w14:ligatures w14:val="none"/>
        </w:rPr>
        <w:lastRenderedPageBreak/>
        <w:t>consistent branding elements (logos, colours, tone of voice), and secure, easy-to-use functionalities such as appointment scheduling and wellness content access (Keller, 2021).</w:t>
      </w:r>
    </w:p>
    <w:p w14:paraId="285D76AC" w14:textId="77777777" w:rsidR="005A4C46" w:rsidRPr="005A4C46" w:rsidRDefault="005A4C46" w:rsidP="005A4C46">
      <w:pPr>
        <w:spacing w:after="0" w:line="360" w:lineRule="auto"/>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By ensuring consistency between physical and digital touchpoints, Sainsbury’s Health+ can strengthen customer trust, enhance perceived service quality, and create a holistic brand experience that bridges instore and online engagements.</w:t>
      </w:r>
    </w:p>
    <w:p w14:paraId="7E850B26" w14:textId="77777777" w:rsidR="00AB0F0F" w:rsidRPr="00AB0F0F" w:rsidRDefault="00AB0F0F" w:rsidP="00AB0F0F">
      <w:pPr>
        <w:spacing w:after="0" w:line="360" w:lineRule="auto"/>
        <w:jc w:val="both"/>
        <w:rPr>
          <w:rFonts w:ascii="Times New Roman" w:eastAsia="Times New Roman" w:hAnsi="Times New Roman" w:cs="Times New Roman"/>
          <w:kern w:val="0"/>
          <w:sz w:val="28"/>
          <w:szCs w:val="28"/>
          <w:lang w:eastAsia="en-GB"/>
          <w14:ligatures w14:val="none"/>
        </w:rPr>
      </w:pPr>
    </w:p>
    <w:p w14:paraId="57A9EA28" w14:textId="671F5712" w:rsidR="00AB0F0F" w:rsidRPr="00AB0F0F" w:rsidRDefault="00AB0F0F" w:rsidP="00AB0F0F">
      <w:pPr>
        <w:spacing w:after="0" w:line="360" w:lineRule="auto"/>
        <w:jc w:val="both"/>
        <w:outlineLvl w:val="1"/>
        <w:rPr>
          <w:rFonts w:ascii="Times New Roman" w:eastAsia="Times New Roman" w:hAnsi="Times New Roman" w:cs="Times New Roman"/>
          <w:b/>
          <w:bCs/>
          <w:kern w:val="0"/>
          <w:sz w:val="28"/>
          <w:szCs w:val="28"/>
          <w:lang w:eastAsia="en-GB"/>
          <w14:ligatures w14:val="none"/>
        </w:rPr>
      </w:pPr>
      <w:r w:rsidRPr="00AB0F0F">
        <w:rPr>
          <w:rFonts w:ascii="Times New Roman" w:eastAsia="Times New Roman" w:hAnsi="Times New Roman" w:cs="Times New Roman"/>
          <w:b/>
          <w:bCs/>
          <w:kern w:val="0"/>
          <w:sz w:val="28"/>
          <w:szCs w:val="28"/>
          <w:lang w:eastAsia="en-GB"/>
          <w14:ligatures w14:val="none"/>
        </w:rPr>
        <w:t xml:space="preserve">6. Conclusion and Recommendations </w:t>
      </w:r>
    </w:p>
    <w:p w14:paraId="2C88F2F3"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 xml:space="preserve">The proposed </w:t>
      </w:r>
      <w:r w:rsidRPr="00AB0F0F">
        <w:rPr>
          <w:rFonts w:ascii="Times New Roman" w:eastAsia="Times New Roman" w:hAnsi="Times New Roman" w:cs="Times New Roman"/>
          <w:b/>
          <w:bCs/>
          <w:kern w:val="0"/>
          <w:sz w:val="24"/>
          <w:szCs w:val="24"/>
          <w:lang w:eastAsia="en-GB"/>
          <w14:ligatures w14:val="none"/>
        </w:rPr>
        <w:t>Sainsbury’s Health+</w:t>
      </w:r>
      <w:r w:rsidRPr="00AB0F0F">
        <w:rPr>
          <w:rFonts w:ascii="Times New Roman" w:eastAsia="Times New Roman" w:hAnsi="Times New Roman" w:cs="Times New Roman"/>
          <w:kern w:val="0"/>
          <w:sz w:val="24"/>
          <w:szCs w:val="24"/>
          <w:lang w:eastAsia="en-GB"/>
          <w14:ligatures w14:val="none"/>
        </w:rPr>
        <w:t xml:space="preserve"> brand extension represents a strategic fit for Sainsbury’s evolving portfolio. It leverages the brand’s strong reputation for quality, trust, and accessibility while addressing emerging customer needs in health and wellness. Through the integration of preventive health services into its retail stores and online platforms, Sainsbury’s can enhance customer engagement, drive loyalty, and create new revenue streams.</w:t>
      </w:r>
    </w:p>
    <w:p w14:paraId="1CDD15C4"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The 7Ps marketing strategy carefully aligns with customer expectations, ensuring that Health+ will offer a convenient, affordable, and trustworthy experience. Its holistic wellness offering differentiates it from competitors like Boots and Holland &amp; Barrett, positioning Sainsbury’s at the forefront of accessible healthcare innovation.</w:t>
      </w:r>
    </w:p>
    <w:p w14:paraId="6898D099"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Future recommendations</w:t>
      </w:r>
      <w:r w:rsidRPr="00AB0F0F">
        <w:rPr>
          <w:rFonts w:ascii="Times New Roman" w:eastAsia="Times New Roman" w:hAnsi="Times New Roman" w:cs="Times New Roman"/>
          <w:kern w:val="0"/>
          <w:sz w:val="24"/>
          <w:szCs w:val="24"/>
          <w:lang w:eastAsia="en-GB"/>
          <w14:ligatures w14:val="none"/>
        </w:rPr>
        <w:t xml:space="preserve"> include:</w:t>
      </w:r>
    </w:p>
    <w:p w14:paraId="498779F6" w14:textId="77777777" w:rsidR="00AB0F0F" w:rsidRPr="00AB0F0F" w:rsidRDefault="00AB0F0F" w:rsidP="00AB0F0F">
      <w:pPr>
        <w:numPr>
          <w:ilvl w:val="0"/>
          <w:numId w:val="103"/>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Expansion into standalone Health+ clinics</w:t>
      </w:r>
      <w:r w:rsidRPr="00AB0F0F">
        <w:rPr>
          <w:rFonts w:ascii="Times New Roman" w:eastAsia="Times New Roman" w:hAnsi="Times New Roman" w:cs="Times New Roman"/>
          <w:kern w:val="0"/>
          <w:sz w:val="24"/>
          <w:szCs w:val="24"/>
          <w:lang w:eastAsia="en-GB"/>
          <w14:ligatures w14:val="none"/>
        </w:rPr>
        <w:t xml:space="preserve"> if initial uptake is strong, further establishing Sainsbury’s presence in the healthcare sector.</w:t>
      </w:r>
    </w:p>
    <w:p w14:paraId="6D5EC049" w14:textId="77777777" w:rsidR="00AB0F0F" w:rsidRPr="00AB0F0F" w:rsidRDefault="00AB0F0F" w:rsidP="00AB0F0F">
      <w:pPr>
        <w:numPr>
          <w:ilvl w:val="0"/>
          <w:numId w:val="103"/>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Broader service offerings</w:t>
      </w:r>
      <w:r w:rsidRPr="00AB0F0F">
        <w:rPr>
          <w:rFonts w:ascii="Times New Roman" w:eastAsia="Times New Roman" w:hAnsi="Times New Roman" w:cs="Times New Roman"/>
          <w:kern w:val="0"/>
          <w:sz w:val="24"/>
          <w:szCs w:val="24"/>
          <w:lang w:eastAsia="en-GB"/>
          <w14:ligatures w14:val="none"/>
        </w:rPr>
        <w:t xml:space="preserve"> such as physiotherapy or chronic disease management support.</w:t>
      </w:r>
    </w:p>
    <w:p w14:paraId="67039C44" w14:textId="77777777" w:rsidR="00AB0F0F" w:rsidRPr="00AB0F0F" w:rsidRDefault="00AB0F0F" w:rsidP="00AB0F0F">
      <w:pPr>
        <w:numPr>
          <w:ilvl w:val="0"/>
          <w:numId w:val="103"/>
        </w:numPr>
        <w:spacing w:after="0" w:line="360" w:lineRule="auto"/>
        <w:ind w:left="0"/>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b/>
          <w:bCs/>
          <w:kern w:val="0"/>
          <w:sz w:val="24"/>
          <w:szCs w:val="24"/>
          <w:lang w:eastAsia="en-GB"/>
          <w14:ligatures w14:val="none"/>
        </w:rPr>
        <w:t>Partnerships with digital health startups</w:t>
      </w:r>
      <w:r w:rsidRPr="00AB0F0F">
        <w:rPr>
          <w:rFonts w:ascii="Times New Roman" w:eastAsia="Times New Roman" w:hAnsi="Times New Roman" w:cs="Times New Roman"/>
          <w:kern w:val="0"/>
          <w:sz w:val="24"/>
          <w:szCs w:val="24"/>
          <w:lang w:eastAsia="en-GB"/>
          <w14:ligatures w14:val="none"/>
        </w:rPr>
        <w:t xml:space="preserve"> to integrate advanced AI-driven wellness recommendations.</w:t>
      </w:r>
    </w:p>
    <w:p w14:paraId="108EBE57" w14:textId="77777777" w:rsidR="00AB0F0F" w:rsidRPr="00AB0F0F" w:rsidRDefault="00AB0F0F" w:rsidP="00AB0F0F">
      <w:pPr>
        <w:spacing w:after="0" w:line="360" w:lineRule="auto"/>
        <w:jc w:val="both"/>
        <w:rPr>
          <w:rFonts w:ascii="Times New Roman" w:eastAsia="Times New Roman" w:hAnsi="Times New Roman" w:cs="Times New Roman"/>
          <w:kern w:val="0"/>
          <w:sz w:val="24"/>
          <w:szCs w:val="24"/>
          <w:lang w:eastAsia="en-GB"/>
          <w14:ligatures w14:val="none"/>
        </w:rPr>
      </w:pPr>
      <w:r w:rsidRPr="00AB0F0F">
        <w:rPr>
          <w:rFonts w:ascii="Times New Roman" w:eastAsia="Times New Roman" w:hAnsi="Times New Roman" w:cs="Times New Roman"/>
          <w:kern w:val="0"/>
          <w:sz w:val="24"/>
          <w:szCs w:val="24"/>
          <w:lang w:eastAsia="en-GB"/>
          <w14:ligatures w14:val="none"/>
        </w:rPr>
        <w:t>By proactively addressing wellness trends, Sainsbury’s Health+ can become a cornerstone of the company's long-term growth and brand enhancement strategy.</w:t>
      </w:r>
    </w:p>
    <w:p w14:paraId="631DA9EC" w14:textId="77777777" w:rsidR="00AB0F0F" w:rsidRDefault="00AB0F0F" w:rsidP="00AB0F0F">
      <w:pPr>
        <w:spacing w:after="0" w:line="360" w:lineRule="auto"/>
        <w:jc w:val="both"/>
        <w:rPr>
          <w:rFonts w:ascii="Times New Roman" w:hAnsi="Times New Roman" w:cs="Times New Roman"/>
          <w:b/>
          <w:bCs/>
          <w:sz w:val="24"/>
          <w:szCs w:val="24"/>
        </w:rPr>
      </w:pPr>
    </w:p>
    <w:p w14:paraId="3FCD6715" w14:textId="77777777" w:rsidR="005A4C46" w:rsidRDefault="005A4C46" w:rsidP="00AB0F0F">
      <w:pPr>
        <w:spacing w:after="0" w:line="360" w:lineRule="auto"/>
        <w:jc w:val="both"/>
        <w:rPr>
          <w:rFonts w:ascii="Times New Roman" w:hAnsi="Times New Roman" w:cs="Times New Roman"/>
          <w:b/>
          <w:bCs/>
          <w:sz w:val="24"/>
          <w:szCs w:val="24"/>
        </w:rPr>
      </w:pPr>
    </w:p>
    <w:p w14:paraId="65C03346" w14:textId="77777777" w:rsidR="005A4C46" w:rsidRDefault="005A4C46" w:rsidP="00AB0F0F">
      <w:pPr>
        <w:spacing w:after="0" w:line="360" w:lineRule="auto"/>
        <w:jc w:val="both"/>
        <w:rPr>
          <w:rFonts w:ascii="Times New Roman" w:hAnsi="Times New Roman" w:cs="Times New Roman"/>
          <w:b/>
          <w:bCs/>
          <w:sz w:val="24"/>
          <w:szCs w:val="24"/>
        </w:rPr>
      </w:pPr>
    </w:p>
    <w:p w14:paraId="41DF59A9" w14:textId="77777777" w:rsidR="005A4C46" w:rsidRDefault="005A4C46" w:rsidP="00AB0F0F">
      <w:pPr>
        <w:spacing w:after="0" w:line="360" w:lineRule="auto"/>
        <w:jc w:val="both"/>
        <w:rPr>
          <w:rFonts w:ascii="Times New Roman" w:hAnsi="Times New Roman" w:cs="Times New Roman"/>
          <w:b/>
          <w:bCs/>
          <w:sz w:val="24"/>
          <w:szCs w:val="24"/>
        </w:rPr>
      </w:pPr>
    </w:p>
    <w:p w14:paraId="23B48C00" w14:textId="77777777" w:rsidR="005A4C46" w:rsidRDefault="005A4C46" w:rsidP="00AB0F0F">
      <w:pPr>
        <w:spacing w:after="0" w:line="360" w:lineRule="auto"/>
        <w:jc w:val="both"/>
        <w:rPr>
          <w:rFonts w:ascii="Times New Roman" w:hAnsi="Times New Roman" w:cs="Times New Roman"/>
          <w:b/>
          <w:bCs/>
          <w:sz w:val="24"/>
          <w:szCs w:val="24"/>
        </w:rPr>
      </w:pPr>
    </w:p>
    <w:p w14:paraId="1D4600A3" w14:textId="77777777" w:rsidR="005A4C46" w:rsidRDefault="005A4C46" w:rsidP="00AB0F0F">
      <w:pPr>
        <w:spacing w:after="0" w:line="360" w:lineRule="auto"/>
        <w:jc w:val="both"/>
        <w:rPr>
          <w:rFonts w:ascii="Times New Roman" w:hAnsi="Times New Roman" w:cs="Times New Roman"/>
          <w:b/>
          <w:bCs/>
          <w:sz w:val="24"/>
          <w:szCs w:val="24"/>
        </w:rPr>
      </w:pPr>
    </w:p>
    <w:p w14:paraId="252BCE89" w14:textId="77777777" w:rsidR="005A4C46" w:rsidRDefault="005A4C46" w:rsidP="00AB0F0F">
      <w:pPr>
        <w:spacing w:after="0" w:line="360" w:lineRule="auto"/>
        <w:jc w:val="both"/>
        <w:rPr>
          <w:rFonts w:ascii="Times New Roman" w:hAnsi="Times New Roman" w:cs="Times New Roman"/>
          <w:b/>
          <w:bCs/>
          <w:sz w:val="24"/>
          <w:szCs w:val="24"/>
        </w:rPr>
      </w:pPr>
    </w:p>
    <w:p w14:paraId="1E3D05DD" w14:textId="77777777" w:rsidR="005A4C46" w:rsidRDefault="005A4C46" w:rsidP="00AB0F0F">
      <w:pPr>
        <w:spacing w:after="0" w:line="360" w:lineRule="auto"/>
        <w:jc w:val="both"/>
        <w:rPr>
          <w:rFonts w:ascii="Times New Roman" w:hAnsi="Times New Roman" w:cs="Times New Roman"/>
          <w:b/>
          <w:bCs/>
          <w:sz w:val="24"/>
          <w:szCs w:val="24"/>
        </w:rPr>
      </w:pPr>
    </w:p>
    <w:p w14:paraId="4D0A490A" w14:textId="77777777" w:rsidR="005A4C46" w:rsidRDefault="005A4C46" w:rsidP="00AB0F0F">
      <w:pPr>
        <w:spacing w:after="0" w:line="360" w:lineRule="auto"/>
        <w:jc w:val="both"/>
        <w:rPr>
          <w:rFonts w:ascii="Times New Roman" w:hAnsi="Times New Roman" w:cs="Times New Roman"/>
          <w:b/>
          <w:bCs/>
          <w:sz w:val="24"/>
          <w:szCs w:val="24"/>
        </w:rPr>
      </w:pPr>
    </w:p>
    <w:p w14:paraId="1B10CA51" w14:textId="77777777" w:rsidR="005A4C46" w:rsidRDefault="005A4C46" w:rsidP="00AB0F0F">
      <w:pPr>
        <w:spacing w:after="0" w:line="360" w:lineRule="auto"/>
        <w:jc w:val="both"/>
        <w:rPr>
          <w:rFonts w:ascii="Times New Roman" w:hAnsi="Times New Roman" w:cs="Times New Roman"/>
          <w:b/>
          <w:bCs/>
          <w:sz w:val="24"/>
          <w:szCs w:val="24"/>
        </w:rPr>
      </w:pPr>
    </w:p>
    <w:p w14:paraId="3EFADEB5" w14:textId="77777777" w:rsidR="005A4C46" w:rsidRDefault="005A4C46" w:rsidP="00AB0F0F">
      <w:pPr>
        <w:spacing w:after="0" w:line="360" w:lineRule="auto"/>
        <w:jc w:val="both"/>
        <w:rPr>
          <w:rFonts w:ascii="Times New Roman" w:hAnsi="Times New Roman" w:cs="Times New Roman"/>
          <w:b/>
          <w:bCs/>
          <w:sz w:val="24"/>
          <w:szCs w:val="24"/>
        </w:rPr>
      </w:pPr>
    </w:p>
    <w:p w14:paraId="2FF698FD" w14:textId="5850934B" w:rsidR="005A4C46" w:rsidRPr="005A4C46" w:rsidRDefault="005A4C46" w:rsidP="00AB0F0F">
      <w:pPr>
        <w:spacing w:after="0" w:line="360" w:lineRule="auto"/>
        <w:jc w:val="both"/>
        <w:rPr>
          <w:rFonts w:ascii="Times New Roman" w:hAnsi="Times New Roman" w:cs="Times New Roman"/>
          <w:b/>
          <w:bCs/>
          <w:sz w:val="28"/>
          <w:szCs w:val="28"/>
        </w:rPr>
      </w:pPr>
      <w:r w:rsidRPr="005A4C46">
        <w:rPr>
          <w:rFonts w:ascii="Times New Roman" w:hAnsi="Times New Roman" w:cs="Times New Roman"/>
          <w:b/>
          <w:bCs/>
          <w:sz w:val="28"/>
          <w:szCs w:val="28"/>
        </w:rPr>
        <w:t>References</w:t>
      </w:r>
    </w:p>
    <w:p w14:paraId="422C754E"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Baines, P., Fill, C. and Rosengren, S. (2022) </w:t>
      </w:r>
      <w:r w:rsidRPr="005A4C46">
        <w:rPr>
          <w:rFonts w:ascii="Times New Roman" w:eastAsia="Times New Roman" w:hAnsi="Times New Roman" w:cs="Times New Roman"/>
          <w:i/>
          <w:iCs/>
          <w:kern w:val="0"/>
          <w:sz w:val="24"/>
          <w:szCs w:val="24"/>
          <w:lang w:eastAsia="en-GB"/>
          <w14:ligatures w14:val="none"/>
        </w:rPr>
        <w:t>Marketing</w:t>
      </w:r>
      <w:r w:rsidRPr="005A4C46">
        <w:rPr>
          <w:rFonts w:ascii="Times New Roman" w:eastAsia="Times New Roman" w:hAnsi="Times New Roman" w:cs="Times New Roman"/>
          <w:kern w:val="0"/>
          <w:sz w:val="24"/>
          <w:szCs w:val="24"/>
          <w:lang w:eastAsia="en-GB"/>
          <w14:ligatures w14:val="none"/>
        </w:rPr>
        <w:t>. 6th ed. Oxford: Oxford University Press.</w:t>
      </w:r>
    </w:p>
    <w:p w14:paraId="3E9D0661"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Brown, P. (2024) ‘Health Communication Strategies in Retail Settings’, </w:t>
      </w:r>
      <w:r w:rsidRPr="005A4C46">
        <w:rPr>
          <w:rFonts w:ascii="Times New Roman" w:eastAsia="Times New Roman" w:hAnsi="Times New Roman" w:cs="Times New Roman"/>
          <w:i/>
          <w:iCs/>
          <w:kern w:val="0"/>
          <w:sz w:val="24"/>
          <w:szCs w:val="24"/>
          <w:lang w:eastAsia="en-GB"/>
          <w14:ligatures w14:val="none"/>
        </w:rPr>
        <w:t>Journal of Health Marketing</w:t>
      </w:r>
      <w:r w:rsidRPr="005A4C46">
        <w:rPr>
          <w:rFonts w:ascii="Times New Roman" w:eastAsia="Times New Roman" w:hAnsi="Times New Roman" w:cs="Times New Roman"/>
          <w:kern w:val="0"/>
          <w:sz w:val="24"/>
          <w:szCs w:val="24"/>
          <w:lang w:eastAsia="en-GB"/>
          <w14:ligatures w14:val="none"/>
        </w:rPr>
        <w:t>, 31(1), pp. 45–62.</w:t>
      </w:r>
    </w:p>
    <w:p w14:paraId="290A974C"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Chaffey, D. and Ellis-Chadwick, F. (2022) </w:t>
      </w:r>
      <w:r w:rsidRPr="005A4C46">
        <w:rPr>
          <w:rFonts w:ascii="Times New Roman" w:eastAsia="Times New Roman" w:hAnsi="Times New Roman" w:cs="Times New Roman"/>
          <w:i/>
          <w:iCs/>
          <w:kern w:val="0"/>
          <w:sz w:val="24"/>
          <w:szCs w:val="24"/>
          <w:lang w:eastAsia="en-GB"/>
          <w14:ligatures w14:val="none"/>
        </w:rPr>
        <w:t>Digital Marketing: Strategy, Implementation and Practice</w:t>
      </w:r>
      <w:r w:rsidRPr="005A4C46">
        <w:rPr>
          <w:rFonts w:ascii="Times New Roman" w:eastAsia="Times New Roman" w:hAnsi="Times New Roman" w:cs="Times New Roman"/>
          <w:kern w:val="0"/>
          <w:sz w:val="24"/>
          <w:szCs w:val="24"/>
          <w:lang w:eastAsia="en-GB"/>
          <w14:ligatures w14:val="none"/>
        </w:rPr>
        <w:t>. 8th ed. Harlow: Pearson.</w:t>
      </w:r>
    </w:p>
    <w:p w14:paraId="165B1335"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Euromonitor International (2023) </w:t>
      </w:r>
      <w:r w:rsidRPr="005A4C46">
        <w:rPr>
          <w:rFonts w:ascii="Times New Roman" w:eastAsia="Times New Roman" w:hAnsi="Times New Roman" w:cs="Times New Roman"/>
          <w:i/>
          <w:iCs/>
          <w:kern w:val="0"/>
          <w:sz w:val="24"/>
          <w:szCs w:val="24"/>
          <w:lang w:eastAsia="en-GB"/>
          <w14:ligatures w14:val="none"/>
        </w:rPr>
        <w:t>Health and Wellness in the United Kingdom</w:t>
      </w:r>
      <w:r w:rsidRPr="005A4C46">
        <w:rPr>
          <w:rFonts w:ascii="Times New Roman" w:eastAsia="Times New Roman" w:hAnsi="Times New Roman" w:cs="Times New Roman"/>
          <w:kern w:val="0"/>
          <w:sz w:val="24"/>
          <w:szCs w:val="24"/>
          <w:lang w:eastAsia="en-GB"/>
          <w14:ligatures w14:val="none"/>
        </w:rPr>
        <w:t>. London: Euromonitor.</w:t>
      </w:r>
    </w:p>
    <w:p w14:paraId="3EFC8E81"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Global Wellness Institute (2023) </w:t>
      </w:r>
      <w:r w:rsidRPr="005A4C46">
        <w:rPr>
          <w:rFonts w:ascii="Times New Roman" w:eastAsia="Times New Roman" w:hAnsi="Times New Roman" w:cs="Times New Roman"/>
          <w:i/>
          <w:iCs/>
          <w:kern w:val="0"/>
          <w:sz w:val="24"/>
          <w:szCs w:val="24"/>
          <w:lang w:eastAsia="en-GB"/>
          <w14:ligatures w14:val="none"/>
        </w:rPr>
        <w:t>Global Wellness Economy Monitor</w:t>
      </w:r>
      <w:r w:rsidRPr="005A4C46">
        <w:rPr>
          <w:rFonts w:ascii="Times New Roman" w:eastAsia="Times New Roman" w:hAnsi="Times New Roman" w:cs="Times New Roman"/>
          <w:kern w:val="0"/>
          <w:sz w:val="24"/>
          <w:szCs w:val="24"/>
          <w:lang w:eastAsia="en-GB"/>
          <w14:ligatures w14:val="none"/>
        </w:rPr>
        <w:t>. Miami: GWI.</w:t>
      </w:r>
    </w:p>
    <w:p w14:paraId="79F3B1D1"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Jobber, D. and Ellis-Chadwick, F. (2020) </w:t>
      </w:r>
      <w:r w:rsidRPr="005A4C46">
        <w:rPr>
          <w:rFonts w:ascii="Times New Roman" w:eastAsia="Times New Roman" w:hAnsi="Times New Roman" w:cs="Times New Roman"/>
          <w:i/>
          <w:iCs/>
          <w:kern w:val="0"/>
          <w:sz w:val="24"/>
          <w:szCs w:val="24"/>
          <w:lang w:eastAsia="en-GB"/>
          <w14:ligatures w14:val="none"/>
        </w:rPr>
        <w:t>Principles and Practice of Marketing</w:t>
      </w:r>
      <w:r w:rsidRPr="005A4C46">
        <w:rPr>
          <w:rFonts w:ascii="Times New Roman" w:eastAsia="Times New Roman" w:hAnsi="Times New Roman" w:cs="Times New Roman"/>
          <w:kern w:val="0"/>
          <w:sz w:val="24"/>
          <w:szCs w:val="24"/>
          <w:lang w:eastAsia="en-GB"/>
          <w14:ligatures w14:val="none"/>
        </w:rPr>
        <w:t>. 9th ed. London: McGraw-Hill Education.</w:t>
      </w:r>
    </w:p>
    <w:p w14:paraId="14F99FA8"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Johnson, M. (2023) ‘Emerging Trends in Consumer Wellness in the UK’, </w:t>
      </w:r>
      <w:r w:rsidRPr="005A4C46">
        <w:rPr>
          <w:rFonts w:ascii="Times New Roman" w:eastAsia="Times New Roman" w:hAnsi="Times New Roman" w:cs="Times New Roman"/>
          <w:i/>
          <w:iCs/>
          <w:kern w:val="0"/>
          <w:sz w:val="24"/>
          <w:szCs w:val="24"/>
          <w:lang w:eastAsia="en-GB"/>
          <w14:ligatures w14:val="none"/>
        </w:rPr>
        <w:t>Journal of Strategic Marketing</w:t>
      </w:r>
      <w:r w:rsidRPr="005A4C46">
        <w:rPr>
          <w:rFonts w:ascii="Times New Roman" w:eastAsia="Times New Roman" w:hAnsi="Times New Roman" w:cs="Times New Roman"/>
          <w:kern w:val="0"/>
          <w:sz w:val="24"/>
          <w:szCs w:val="24"/>
          <w:lang w:eastAsia="en-GB"/>
          <w14:ligatures w14:val="none"/>
        </w:rPr>
        <w:t>, 30(2), pp. 199–213.</w:t>
      </w:r>
    </w:p>
    <w:p w14:paraId="476EA5E8"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Keller, K. L. (2021) </w:t>
      </w:r>
      <w:r w:rsidRPr="005A4C46">
        <w:rPr>
          <w:rFonts w:ascii="Times New Roman" w:eastAsia="Times New Roman" w:hAnsi="Times New Roman" w:cs="Times New Roman"/>
          <w:i/>
          <w:iCs/>
          <w:kern w:val="0"/>
          <w:sz w:val="24"/>
          <w:szCs w:val="24"/>
          <w:lang w:eastAsia="en-GB"/>
          <w14:ligatures w14:val="none"/>
        </w:rPr>
        <w:t>Strategic Brand Management: Building, Measuring, and Managing Brand Equity</w:t>
      </w:r>
      <w:r w:rsidRPr="005A4C46">
        <w:rPr>
          <w:rFonts w:ascii="Times New Roman" w:eastAsia="Times New Roman" w:hAnsi="Times New Roman" w:cs="Times New Roman"/>
          <w:kern w:val="0"/>
          <w:sz w:val="24"/>
          <w:szCs w:val="24"/>
          <w:lang w:eastAsia="en-GB"/>
          <w14:ligatures w14:val="none"/>
        </w:rPr>
        <w:t>. 5th ed. Harlow: Pearson.</w:t>
      </w:r>
    </w:p>
    <w:p w14:paraId="7ADF7FC2"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Kotler, P., Keller, K. L. and Hoon, A. C. (2021) </w:t>
      </w:r>
      <w:r w:rsidRPr="005A4C46">
        <w:rPr>
          <w:rFonts w:ascii="Times New Roman" w:eastAsia="Times New Roman" w:hAnsi="Times New Roman" w:cs="Times New Roman"/>
          <w:i/>
          <w:iCs/>
          <w:kern w:val="0"/>
          <w:sz w:val="24"/>
          <w:szCs w:val="24"/>
          <w:lang w:eastAsia="en-GB"/>
          <w14:ligatures w14:val="none"/>
        </w:rPr>
        <w:t>Marketing Management</w:t>
      </w:r>
      <w:r w:rsidRPr="005A4C46">
        <w:rPr>
          <w:rFonts w:ascii="Times New Roman" w:eastAsia="Times New Roman" w:hAnsi="Times New Roman" w:cs="Times New Roman"/>
          <w:kern w:val="0"/>
          <w:sz w:val="24"/>
          <w:szCs w:val="24"/>
          <w:lang w:eastAsia="en-GB"/>
          <w14:ligatures w14:val="none"/>
        </w:rPr>
        <w:t>. 16th ed. Harlow: Pearson Education.</w:t>
      </w:r>
    </w:p>
    <w:p w14:paraId="6B352471"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McKinsey &amp; Company (2024) </w:t>
      </w:r>
      <w:r w:rsidRPr="005A4C46">
        <w:rPr>
          <w:rFonts w:ascii="Times New Roman" w:eastAsia="Times New Roman" w:hAnsi="Times New Roman" w:cs="Times New Roman"/>
          <w:i/>
          <w:iCs/>
          <w:kern w:val="0"/>
          <w:sz w:val="24"/>
          <w:szCs w:val="24"/>
          <w:lang w:eastAsia="en-GB"/>
          <w14:ligatures w14:val="none"/>
        </w:rPr>
        <w:t>The Trends Defining the $1.8 Trillion Global Wellness Market</w:t>
      </w:r>
      <w:r w:rsidRPr="005A4C46">
        <w:rPr>
          <w:rFonts w:ascii="Times New Roman" w:eastAsia="Times New Roman" w:hAnsi="Times New Roman" w:cs="Times New Roman"/>
          <w:kern w:val="0"/>
          <w:sz w:val="24"/>
          <w:szCs w:val="24"/>
          <w:lang w:eastAsia="en-GB"/>
          <w14:ligatures w14:val="none"/>
        </w:rPr>
        <w:t>. Available at: [mckinsey.com] (Accessed: 24 April 2025).</w:t>
      </w:r>
    </w:p>
    <w:p w14:paraId="70C403B3"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Parasuraman, A., Zeithaml, V. A. and Berry, L. L. (2020) </w:t>
      </w:r>
      <w:r w:rsidRPr="005A4C46">
        <w:rPr>
          <w:rFonts w:ascii="Times New Roman" w:eastAsia="Times New Roman" w:hAnsi="Times New Roman" w:cs="Times New Roman"/>
          <w:i/>
          <w:iCs/>
          <w:kern w:val="0"/>
          <w:sz w:val="24"/>
          <w:szCs w:val="24"/>
          <w:lang w:eastAsia="en-GB"/>
          <w14:ligatures w14:val="none"/>
        </w:rPr>
        <w:t>Delivering Quality Service: Balancing Customer Perceptions and Expectations</w:t>
      </w:r>
      <w:r w:rsidRPr="005A4C46">
        <w:rPr>
          <w:rFonts w:ascii="Times New Roman" w:eastAsia="Times New Roman" w:hAnsi="Times New Roman" w:cs="Times New Roman"/>
          <w:kern w:val="0"/>
          <w:sz w:val="24"/>
          <w:szCs w:val="24"/>
          <w:lang w:eastAsia="en-GB"/>
          <w14:ligatures w14:val="none"/>
        </w:rPr>
        <w:t>. New York: Free Press.</w:t>
      </w:r>
    </w:p>
    <w:p w14:paraId="2ACEE596"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Sainsbury’s plc (2024) </w:t>
      </w:r>
      <w:r w:rsidRPr="005A4C46">
        <w:rPr>
          <w:rFonts w:ascii="Times New Roman" w:eastAsia="Times New Roman" w:hAnsi="Times New Roman" w:cs="Times New Roman"/>
          <w:i/>
          <w:iCs/>
          <w:kern w:val="0"/>
          <w:sz w:val="24"/>
          <w:szCs w:val="24"/>
          <w:lang w:eastAsia="en-GB"/>
          <w14:ligatures w14:val="none"/>
        </w:rPr>
        <w:t>Annual Report and Financial Statements 2024</w:t>
      </w:r>
      <w:r w:rsidRPr="005A4C46">
        <w:rPr>
          <w:rFonts w:ascii="Times New Roman" w:eastAsia="Times New Roman" w:hAnsi="Times New Roman" w:cs="Times New Roman"/>
          <w:kern w:val="0"/>
          <w:sz w:val="24"/>
          <w:szCs w:val="24"/>
          <w:lang w:eastAsia="en-GB"/>
          <w14:ligatures w14:val="none"/>
        </w:rPr>
        <w:t>. London: Sainsbury’s.</w:t>
      </w:r>
    </w:p>
    <w:p w14:paraId="5E4A7332"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Smith, A. (2023) ‘Retail Brand Extensions into Healthcare Services’, </w:t>
      </w:r>
      <w:r w:rsidRPr="005A4C46">
        <w:rPr>
          <w:rFonts w:ascii="Times New Roman" w:eastAsia="Times New Roman" w:hAnsi="Times New Roman" w:cs="Times New Roman"/>
          <w:i/>
          <w:iCs/>
          <w:kern w:val="0"/>
          <w:sz w:val="24"/>
          <w:szCs w:val="24"/>
          <w:lang w:eastAsia="en-GB"/>
          <w14:ligatures w14:val="none"/>
        </w:rPr>
        <w:t>International Journal of Retail and Distribution Management</w:t>
      </w:r>
      <w:r w:rsidRPr="005A4C46">
        <w:rPr>
          <w:rFonts w:ascii="Times New Roman" w:eastAsia="Times New Roman" w:hAnsi="Times New Roman" w:cs="Times New Roman"/>
          <w:kern w:val="0"/>
          <w:sz w:val="24"/>
          <w:szCs w:val="24"/>
          <w:lang w:eastAsia="en-GB"/>
          <w14:ligatures w14:val="none"/>
        </w:rPr>
        <w:t>, 51(5), pp. 622–635.</w:t>
      </w:r>
    </w:p>
    <w:p w14:paraId="69323ED8"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Solomon, M. R. (2020) </w:t>
      </w:r>
      <w:r w:rsidRPr="005A4C46">
        <w:rPr>
          <w:rFonts w:ascii="Times New Roman" w:eastAsia="Times New Roman" w:hAnsi="Times New Roman" w:cs="Times New Roman"/>
          <w:i/>
          <w:iCs/>
          <w:kern w:val="0"/>
          <w:sz w:val="24"/>
          <w:szCs w:val="24"/>
          <w:lang w:eastAsia="en-GB"/>
          <w14:ligatures w14:val="none"/>
        </w:rPr>
        <w:t>Consumer Behaviour: Buying, Having, and Being</w:t>
      </w:r>
      <w:r w:rsidRPr="005A4C46">
        <w:rPr>
          <w:rFonts w:ascii="Times New Roman" w:eastAsia="Times New Roman" w:hAnsi="Times New Roman" w:cs="Times New Roman"/>
          <w:kern w:val="0"/>
          <w:sz w:val="24"/>
          <w:szCs w:val="24"/>
          <w:lang w:eastAsia="en-GB"/>
          <w14:ligatures w14:val="none"/>
        </w:rPr>
        <w:t>. 13th ed. Harlow: Pearson.</w:t>
      </w:r>
    </w:p>
    <w:p w14:paraId="47A1E412"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Statista (2024) </w:t>
      </w:r>
      <w:r w:rsidRPr="005A4C46">
        <w:rPr>
          <w:rFonts w:ascii="Times New Roman" w:eastAsia="Times New Roman" w:hAnsi="Times New Roman" w:cs="Times New Roman"/>
          <w:i/>
          <w:iCs/>
          <w:kern w:val="0"/>
          <w:sz w:val="24"/>
          <w:szCs w:val="24"/>
          <w:lang w:eastAsia="en-GB"/>
          <w14:ligatures w14:val="none"/>
        </w:rPr>
        <w:t>Health and Wellness Market Value in the UK 2020–2025</w:t>
      </w:r>
      <w:r w:rsidRPr="005A4C46">
        <w:rPr>
          <w:rFonts w:ascii="Times New Roman" w:eastAsia="Times New Roman" w:hAnsi="Times New Roman" w:cs="Times New Roman"/>
          <w:kern w:val="0"/>
          <w:sz w:val="24"/>
          <w:szCs w:val="24"/>
          <w:lang w:eastAsia="en-GB"/>
          <w14:ligatures w14:val="none"/>
        </w:rPr>
        <w:t>. Available at: [statista.com] (Accessed: 24 April 2025).</w:t>
      </w:r>
    </w:p>
    <w:p w14:paraId="28B76D31"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Taylor, M. (2021) ‘Building Trust Through Retail Brand Extensions’, </w:t>
      </w:r>
      <w:r w:rsidRPr="005A4C46">
        <w:rPr>
          <w:rFonts w:ascii="Times New Roman" w:eastAsia="Times New Roman" w:hAnsi="Times New Roman" w:cs="Times New Roman"/>
          <w:i/>
          <w:iCs/>
          <w:kern w:val="0"/>
          <w:sz w:val="24"/>
          <w:szCs w:val="24"/>
          <w:lang w:eastAsia="en-GB"/>
          <w14:ligatures w14:val="none"/>
        </w:rPr>
        <w:t>European Journal of Marketing</w:t>
      </w:r>
      <w:r w:rsidRPr="005A4C46">
        <w:rPr>
          <w:rFonts w:ascii="Times New Roman" w:eastAsia="Times New Roman" w:hAnsi="Times New Roman" w:cs="Times New Roman"/>
          <w:kern w:val="0"/>
          <w:sz w:val="24"/>
          <w:szCs w:val="24"/>
          <w:lang w:eastAsia="en-GB"/>
          <w14:ligatures w14:val="none"/>
        </w:rPr>
        <w:t>, 55(7), pp. 1923–1941.</w:t>
      </w:r>
    </w:p>
    <w:p w14:paraId="1FE4C4CC"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lastRenderedPageBreak/>
        <w:t xml:space="preserve">Vargo, S. L. and Lusch, R. F. (2021) </w:t>
      </w:r>
      <w:r w:rsidRPr="005A4C46">
        <w:rPr>
          <w:rFonts w:ascii="Times New Roman" w:eastAsia="Times New Roman" w:hAnsi="Times New Roman" w:cs="Times New Roman"/>
          <w:i/>
          <w:iCs/>
          <w:kern w:val="0"/>
          <w:sz w:val="24"/>
          <w:szCs w:val="24"/>
          <w:lang w:eastAsia="en-GB"/>
          <w14:ligatures w14:val="none"/>
        </w:rPr>
        <w:t>Service-Dominant Logic: Premises, Perspectives, Possibilities</w:t>
      </w:r>
      <w:r w:rsidRPr="005A4C46">
        <w:rPr>
          <w:rFonts w:ascii="Times New Roman" w:eastAsia="Times New Roman" w:hAnsi="Times New Roman" w:cs="Times New Roman"/>
          <w:kern w:val="0"/>
          <w:sz w:val="24"/>
          <w:szCs w:val="24"/>
          <w:lang w:eastAsia="en-GB"/>
          <w14:ligatures w14:val="none"/>
        </w:rPr>
        <w:t>. Cambridge: Cambridge University Press.</w:t>
      </w:r>
    </w:p>
    <w:p w14:paraId="265E9157"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Williams, D. (2024) ‘The Convenience Economy and Consumer Health Choices’, </w:t>
      </w:r>
      <w:r w:rsidRPr="005A4C46">
        <w:rPr>
          <w:rFonts w:ascii="Times New Roman" w:eastAsia="Times New Roman" w:hAnsi="Times New Roman" w:cs="Times New Roman"/>
          <w:i/>
          <w:iCs/>
          <w:kern w:val="0"/>
          <w:sz w:val="24"/>
          <w:szCs w:val="24"/>
          <w:lang w:eastAsia="en-GB"/>
          <w14:ligatures w14:val="none"/>
        </w:rPr>
        <w:t>European Journal of Marketing</w:t>
      </w:r>
      <w:r w:rsidRPr="005A4C46">
        <w:rPr>
          <w:rFonts w:ascii="Times New Roman" w:eastAsia="Times New Roman" w:hAnsi="Times New Roman" w:cs="Times New Roman"/>
          <w:kern w:val="0"/>
          <w:sz w:val="24"/>
          <w:szCs w:val="24"/>
          <w:lang w:eastAsia="en-GB"/>
          <w14:ligatures w14:val="none"/>
        </w:rPr>
        <w:t>, 58(2), pp. 122–141.</w:t>
      </w:r>
    </w:p>
    <w:p w14:paraId="14FA782C"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Zeithaml, V. A., Bitner, M. J. and Gremler, D. D. (2021) </w:t>
      </w:r>
      <w:r w:rsidRPr="005A4C46">
        <w:rPr>
          <w:rFonts w:ascii="Times New Roman" w:eastAsia="Times New Roman" w:hAnsi="Times New Roman" w:cs="Times New Roman"/>
          <w:i/>
          <w:iCs/>
          <w:kern w:val="0"/>
          <w:sz w:val="24"/>
          <w:szCs w:val="24"/>
          <w:lang w:eastAsia="en-GB"/>
          <w14:ligatures w14:val="none"/>
        </w:rPr>
        <w:t>Services Marketing: Integrating Customer Focus Across the Firm</w:t>
      </w:r>
      <w:r w:rsidRPr="005A4C46">
        <w:rPr>
          <w:rFonts w:ascii="Times New Roman" w:eastAsia="Times New Roman" w:hAnsi="Times New Roman" w:cs="Times New Roman"/>
          <w:kern w:val="0"/>
          <w:sz w:val="24"/>
          <w:szCs w:val="24"/>
          <w:lang w:eastAsia="en-GB"/>
          <w14:ligatures w14:val="none"/>
        </w:rPr>
        <w:t>. 8th ed. New York: McGraw-Hill Education.</w:t>
      </w:r>
    </w:p>
    <w:p w14:paraId="67E0E0FC" w14:textId="77777777" w:rsidR="005A4C46" w:rsidRPr="005A4C46" w:rsidRDefault="005A4C46" w:rsidP="005A4C46">
      <w:pPr>
        <w:pStyle w:val="ListParagraph"/>
        <w:numPr>
          <w:ilvl w:val="0"/>
          <w:numId w:val="105"/>
        </w:numPr>
        <w:spacing w:after="0" w:line="360" w:lineRule="auto"/>
        <w:ind w:left="0" w:hanging="357"/>
        <w:jc w:val="both"/>
        <w:rPr>
          <w:rFonts w:ascii="Times New Roman" w:eastAsia="Times New Roman" w:hAnsi="Times New Roman" w:cs="Times New Roman"/>
          <w:kern w:val="0"/>
          <w:sz w:val="24"/>
          <w:szCs w:val="24"/>
          <w:lang w:eastAsia="en-GB"/>
          <w14:ligatures w14:val="none"/>
        </w:rPr>
      </w:pPr>
      <w:r w:rsidRPr="005A4C46">
        <w:rPr>
          <w:rFonts w:ascii="Times New Roman" w:eastAsia="Times New Roman" w:hAnsi="Times New Roman" w:cs="Times New Roman"/>
          <w:kern w:val="0"/>
          <w:sz w:val="24"/>
          <w:szCs w:val="24"/>
          <w:lang w:eastAsia="en-GB"/>
          <w14:ligatures w14:val="none"/>
        </w:rPr>
        <w:t xml:space="preserve">Zlate, S. (2022) ‘Brand Extension Strategies in the Retail Sector’, </w:t>
      </w:r>
      <w:r w:rsidRPr="005A4C46">
        <w:rPr>
          <w:rFonts w:ascii="Times New Roman" w:eastAsia="Times New Roman" w:hAnsi="Times New Roman" w:cs="Times New Roman"/>
          <w:i/>
          <w:iCs/>
          <w:kern w:val="0"/>
          <w:sz w:val="24"/>
          <w:szCs w:val="24"/>
          <w:lang w:eastAsia="en-GB"/>
          <w14:ligatures w14:val="none"/>
        </w:rPr>
        <w:t>Journal of Business Research</w:t>
      </w:r>
      <w:r w:rsidRPr="005A4C46">
        <w:rPr>
          <w:rFonts w:ascii="Times New Roman" w:eastAsia="Times New Roman" w:hAnsi="Times New Roman" w:cs="Times New Roman"/>
          <w:kern w:val="0"/>
          <w:sz w:val="24"/>
          <w:szCs w:val="24"/>
          <w:lang w:eastAsia="en-GB"/>
          <w14:ligatures w14:val="none"/>
        </w:rPr>
        <w:t>, 149, pp. 560–570.</w:t>
      </w:r>
    </w:p>
    <w:p w14:paraId="0B071580" w14:textId="77777777" w:rsidR="005A4C46" w:rsidRPr="0091599C" w:rsidRDefault="005A4C46" w:rsidP="00AB0F0F">
      <w:pPr>
        <w:spacing w:after="0" w:line="360" w:lineRule="auto"/>
        <w:jc w:val="both"/>
        <w:rPr>
          <w:rFonts w:ascii="Times New Roman" w:hAnsi="Times New Roman" w:cs="Times New Roman"/>
          <w:b/>
          <w:bCs/>
          <w:sz w:val="24"/>
          <w:szCs w:val="24"/>
        </w:rPr>
      </w:pPr>
    </w:p>
    <w:sectPr w:rsidR="005A4C46" w:rsidRPr="0091599C" w:rsidSect="00AD32B0">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3DA65" w14:textId="77777777" w:rsidR="00A705BF" w:rsidRDefault="00A705BF" w:rsidP="00AD32B0">
      <w:pPr>
        <w:spacing w:after="0" w:line="240" w:lineRule="auto"/>
      </w:pPr>
      <w:r>
        <w:separator/>
      </w:r>
    </w:p>
  </w:endnote>
  <w:endnote w:type="continuationSeparator" w:id="0">
    <w:p w14:paraId="3A91F499" w14:textId="77777777" w:rsidR="00A705BF" w:rsidRDefault="00A705BF" w:rsidP="00AD3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744452"/>
      <w:docPartObj>
        <w:docPartGallery w:val="Page Numbers (Bottom of Page)"/>
        <w:docPartUnique/>
      </w:docPartObj>
    </w:sdtPr>
    <w:sdtEndPr>
      <w:rPr>
        <w:color w:val="7F7F7F" w:themeColor="background1" w:themeShade="7F"/>
        <w:spacing w:val="60"/>
      </w:rPr>
    </w:sdtEndPr>
    <w:sdtContent>
      <w:p w14:paraId="2A921658" w14:textId="025B5CB4" w:rsidR="00AD32B0" w:rsidRDefault="00AD32B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AA4B57" w14:textId="77777777" w:rsidR="00AD32B0" w:rsidRDefault="00AD3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3F205" w14:textId="77777777" w:rsidR="00A705BF" w:rsidRDefault="00A705BF" w:rsidP="00AD32B0">
      <w:pPr>
        <w:spacing w:after="0" w:line="240" w:lineRule="auto"/>
      </w:pPr>
      <w:r>
        <w:separator/>
      </w:r>
    </w:p>
  </w:footnote>
  <w:footnote w:type="continuationSeparator" w:id="0">
    <w:p w14:paraId="6BC86387" w14:textId="77777777" w:rsidR="00A705BF" w:rsidRDefault="00A705BF" w:rsidP="00AD3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02C0F"/>
    <w:multiLevelType w:val="hybridMultilevel"/>
    <w:tmpl w:val="DBAA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B0D75"/>
    <w:multiLevelType w:val="multilevel"/>
    <w:tmpl w:val="D6365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81440"/>
    <w:multiLevelType w:val="multilevel"/>
    <w:tmpl w:val="32F6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BA79F1"/>
    <w:multiLevelType w:val="multilevel"/>
    <w:tmpl w:val="E3B4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E1577A"/>
    <w:multiLevelType w:val="multilevel"/>
    <w:tmpl w:val="548AC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471AEA"/>
    <w:multiLevelType w:val="hybridMultilevel"/>
    <w:tmpl w:val="6074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004FC3"/>
    <w:multiLevelType w:val="multilevel"/>
    <w:tmpl w:val="78DE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4E6A11"/>
    <w:multiLevelType w:val="multilevel"/>
    <w:tmpl w:val="D0109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B5444E9"/>
    <w:multiLevelType w:val="hybridMultilevel"/>
    <w:tmpl w:val="9F38B5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0DA76A04"/>
    <w:multiLevelType w:val="hybridMultilevel"/>
    <w:tmpl w:val="CCEE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780E9A"/>
    <w:multiLevelType w:val="hybridMultilevel"/>
    <w:tmpl w:val="D044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A25528"/>
    <w:multiLevelType w:val="hybridMultilevel"/>
    <w:tmpl w:val="3B70A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1D6000"/>
    <w:multiLevelType w:val="multilevel"/>
    <w:tmpl w:val="3056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D825A5"/>
    <w:multiLevelType w:val="hybridMultilevel"/>
    <w:tmpl w:val="8C4CA1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706F35"/>
    <w:multiLevelType w:val="multilevel"/>
    <w:tmpl w:val="3B92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FF69C1"/>
    <w:multiLevelType w:val="hybridMultilevel"/>
    <w:tmpl w:val="29F0587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7067EB8"/>
    <w:multiLevelType w:val="hybridMultilevel"/>
    <w:tmpl w:val="759A1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7763C08"/>
    <w:multiLevelType w:val="multilevel"/>
    <w:tmpl w:val="97F63C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7967DE1"/>
    <w:multiLevelType w:val="multilevel"/>
    <w:tmpl w:val="DC5C32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7A8489B"/>
    <w:multiLevelType w:val="hybridMultilevel"/>
    <w:tmpl w:val="45C87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7D86DB2"/>
    <w:multiLevelType w:val="multilevel"/>
    <w:tmpl w:val="4CB07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B635DFA"/>
    <w:multiLevelType w:val="multilevel"/>
    <w:tmpl w:val="17E04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BAD7547"/>
    <w:multiLevelType w:val="hybridMultilevel"/>
    <w:tmpl w:val="8A485EBC"/>
    <w:lvl w:ilvl="0" w:tplc="26DAE8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C4A7213"/>
    <w:multiLevelType w:val="hybridMultilevel"/>
    <w:tmpl w:val="AD0AD568"/>
    <w:lvl w:ilvl="0" w:tplc="08090001">
      <w:start w:val="1"/>
      <w:numFmt w:val="bullet"/>
      <w:lvlText w:val=""/>
      <w:lvlJc w:val="left"/>
      <w:pPr>
        <w:ind w:left="720" w:hanging="360"/>
      </w:pPr>
      <w:rPr>
        <w:rFonts w:ascii="Symbol" w:hAnsi="Symbol" w:hint="default"/>
      </w:rPr>
    </w:lvl>
    <w:lvl w:ilvl="1" w:tplc="FF0AE59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D7B3E23"/>
    <w:multiLevelType w:val="hybridMultilevel"/>
    <w:tmpl w:val="1C30C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1D9808AD"/>
    <w:multiLevelType w:val="multilevel"/>
    <w:tmpl w:val="06F0A3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DCB336F"/>
    <w:multiLevelType w:val="hybridMultilevel"/>
    <w:tmpl w:val="DBF6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E7E0354"/>
    <w:multiLevelType w:val="multilevel"/>
    <w:tmpl w:val="939EC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0063739"/>
    <w:multiLevelType w:val="multilevel"/>
    <w:tmpl w:val="92A4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05B7CFC"/>
    <w:multiLevelType w:val="multilevel"/>
    <w:tmpl w:val="4FEEC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2361907"/>
    <w:multiLevelType w:val="multilevel"/>
    <w:tmpl w:val="9DE6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2DC7CCF"/>
    <w:multiLevelType w:val="multilevel"/>
    <w:tmpl w:val="E6865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30A669E"/>
    <w:multiLevelType w:val="multilevel"/>
    <w:tmpl w:val="FBDA9E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549142F"/>
    <w:multiLevelType w:val="multilevel"/>
    <w:tmpl w:val="17A0D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7EA0423"/>
    <w:multiLevelType w:val="hybridMultilevel"/>
    <w:tmpl w:val="72C0B87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8C678D5"/>
    <w:multiLevelType w:val="multilevel"/>
    <w:tmpl w:val="B9907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A2879B1"/>
    <w:multiLevelType w:val="hybridMultilevel"/>
    <w:tmpl w:val="6E40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BEB1021"/>
    <w:multiLevelType w:val="hybridMultilevel"/>
    <w:tmpl w:val="2962F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2E9263BD"/>
    <w:multiLevelType w:val="multilevel"/>
    <w:tmpl w:val="1C287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02B0FBE"/>
    <w:multiLevelType w:val="multilevel"/>
    <w:tmpl w:val="48E864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10C6131"/>
    <w:multiLevelType w:val="multilevel"/>
    <w:tmpl w:val="D46E2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19B402C"/>
    <w:multiLevelType w:val="multilevel"/>
    <w:tmpl w:val="4F8AD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5703F71"/>
    <w:multiLevelType w:val="multilevel"/>
    <w:tmpl w:val="395E1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6AB7936"/>
    <w:multiLevelType w:val="hybridMultilevel"/>
    <w:tmpl w:val="0994B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39192653"/>
    <w:multiLevelType w:val="multilevel"/>
    <w:tmpl w:val="D5AA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D63458E"/>
    <w:multiLevelType w:val="multilevel"/>
    <w:tmpl w:val="5D1456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D9E2611"/>
    <w:multiLevelType w:val="hybridMultilevel"/>
    <w:tmpl w:val="25E40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E5E5BC7"/>
    <w:multiLevelType w:val="multilevel"/>
    <w:tmpl w:val="72C8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F9215A7"/>
    <w:multiLevelType w:val="multilevel"/>
    <w:tmpl w:val="9D241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34152AD"/>
    <w:multiLevelType w:val="hybridMultilevel"/>
    <w:tmpl w:val="F16C6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3916575"/>
    <w:multiLevelType w:val="multilevel"/>
    <w:tmpl w:val="176E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4CF69FA"/>
    <w:multiLevelType w:val="multilevel"/>
    <w:tmpl w:val="E4622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4E65E44"/>
    <w:multiLevelType w:val="hybridMultilevel"/>
    <w:tmpl w:val="BC7C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5424574"/>
    <w:multiLevelType w:val="multilevel"/>
    <w:tmpl w:val="77B4A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64B6A2A"/>
    <w:multiLevelType w:val="hybridMultilevel"/>
    <w:tmpl w:val="3A86A1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5" w15:restartNumberingAfterBreak="0">
    <w:nsid w:val="4671224E"/>
    <w:multiLevelType w:val="multilevel"/>
    <w:tmpl w:val="927C0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69E69C7"/>
    <w:multiLevelType w:val="multilevel"/>
    <w:tmpl w:val="8E46A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6F02F15"/>
    <w:multiLevelType w:val="hybridMultilevel"/>
    <w:tmpl w:val="4054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7486309"/>
    <w:multiLevelType w:val="multilevel"/>
    <w:tmpl w:val="5D7235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C93680F"/>
    <w:multiLevelType w:val="hybridMultilevel"/>
    <w:tmpl w:val="C16E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F966D2A"/>
    <w:multiLevelType w:val="multilevel"/>
    <w:tmpl w:val="7EC8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1AE36A3"/>
    <w:multiLevelType w:val="multilevel"/>
    <w:tmpl w:val="7C925D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1B26739"/>
    <w:multiLevelType w:val="multilevel"/>
    <w:tmpl w:val="7A48B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2DD2530"/>
    <w:multiLevelType w:val="multilevel"/>
    <w:tmpl w:val="98186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3B511CF"/>
    <w:multiLevelType w:val="multilevel"/>
    <w:tmpl w:val="C6E49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3E01216"/>
    <w:multiLevelType w:val="multilevel"/>
    <w:tmpl w:val="02FE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498150A"/>
    <w:multiLevelType w:val="multilevel"/>
    <w:tmpl w:val="95DA3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4C43741"/>
    <w:multiLevelType w:val="hybridMultilevel"/>
    <w:tmpl w:val="CB889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6387C0A"/>
    <w:multiLevelType w:val="hybridMultilevel"/>
    <w:tmpl w:val="C3FE9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63B622D"/>
    <w:multiLevelType w:val="hybridMultilevel"/>
    <w:tmpl w:val="25FA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646088B"/>
    <w:multiLevelType w:val="multilevel"/>
    <w:tmpl w:val="F88EF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73727F0"/>
    <w:multiLevelType w:val="multilevel"/>
    <w:tmpl w:val="C1987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8A33AF1"/>
    <w:multiLevelType w:val="multilevel"/>
    <w:tmpl w:val="03CC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93F15A3"/>
    <w:multiLevelType w:val="multilevel"/>
    <w:tmpl w:val="7CFAFC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59F84DF1"/>
    <w:multiLevelType w:val="multilevel"/>
    <w:tmpl w:val="A664B2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5D734C05"/>
    <w:multiLevelType w:val="multilevel"/>
    <w:tmpl w:val="1E367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EB638D9"/>
    <w:multiLevelType w:val="multilevel"/>
    <w:tmpl w:val="547EB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F26745F"/>
    <w:multiLevelType w:val="multilevel"/>
    <w:tmpl w:val="5D282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FF87562"/>
    <w:multiLevelType w:val="multilevel"/>
    <w:tmpl w:val="286AF4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03B0A94"/>
    <w:multiLevelType w:val="multilevel"/>
    <w:tmpl w:val="00EC9E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20818B0"/>
    <w:multiLevelType w:val="multilevel"/>
    <w:tmpl w:val="907C8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76530A"/>
    <w:multiLevelType w:val="multilevel"/>
    <w:tmpl w:val="C8CE2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4C106D1"/>
    <w:multiLevelType w:val="multilevel"/>
    <w:tmpl w:val="6838CA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60F123E"/>
    <w:multiLevelType w:val="multilevel"/>
    <w:tmpl w:val="09BC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6214D35"/>
    <w:multiLevelType w:val="multilevel"/>
    <w:tmpl w:val="59BAB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7306018"/>
    <w:multiLevelType w:val="hybridMultilevel"/>
    <w:tmpl w:val="8BC8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83D3A19"/>
    <w:multiLevelType w:val="multilevel"/>
    <w:tmpl w:val="2C5C3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8641CD6"/>
    <w:multiLevelType w:val="hybridMultilevel"/>
    <w:tmpl w:val="EABCE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69360172"/>
    <w:multiLevelType w:val="hybridMultilevel"/>
    <w:tmpl w:val="34CC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6AC13F09"/>
    <w:multiLevelType w:val="multilevel"/>
    <w:tmpl w:val="DDEE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6B667D30"/>
    <w:multiLevelType w:val="hybridMultilevel"/>
    <w:tmpl w:val="74102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1" w15:restartNumberingAfterBreak="0">
    <w:nsid w:val="6DD71D38"/>
    <w:multiLevelType w:val="multilevel"/>
    <w:tmpl w:val="2F4A80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6FF012E7"/>
    <w:multiLevelType w:val="multilevel"/>
    <w:tmpl w:val="C01A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06E063F"/>
    <w:multiLevelType w:val="multilevel"/>
    <w:tmpl w:val="F48C4B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1B5035E"/>
    <w:multiLevelType w:val="multilevel"/>
    <w:tmpl w:val="C00E7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72F60FA7"/>
    <w:multiLevelType w:val="multilevel"/>
    <w:tmpl w:val="6A64F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73C219E1"/>
    <w:multiLevelType w:val="multilevel"/>
    <w:tmpl w:val="22BC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526727F"/>
    <w:multiLevelType w:val="multilevel"/>
    <w:tmpl w:val="669E4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5F219B1"/>
    <w:multiLevelType w:val="hybridMultilevel"/>
    <w:tmpl w:val="CAEAF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70D0235"/>
    <w:multiLevelType w:val="hybridMultilevel"/>
    <w:tmpl w:val="C8166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A7A6B91"/>
    <w:multiLevelType w:val="multilevel"/>
    <w:tmpl w:val="EF1EE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7B2C07FE"/>
    <w:multiLevelType w:val="hybridMultilevel"/>
    <w:tmpl w:val="645EC99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BBF234A"/>
    <w:multiLevelType w:val="multilevel"/>
    <w:tmpl w:val="F74E0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7DCD76B3"/>
    <w:multiLevelType w:val="multilevel"/>
    <w:tmpl w:val="139ED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7DD5270E"/>
    <w:multiLevelType w:val="hybridMultilevel"/>
    <w:tmpl w:val="0ADE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653663">
    <w:abstractNumId w:val="85"/>
  </w:num>
  <w:num w:numId="2" w16cid:durableId="947468622">
    <w:abstractNumId w:val="36"/>
  </w:num>
  <w:num w:numId="3" w16cid:durableId="872351620">
    <w:abstractNumId w:val="37"/>
  </w:num>
  <w:num w:numId="4" w16cid:durableId="1030184490">
    <w:abstractNumId w:val="57"/>
  </w:num>
  <w:num w:numId="5" w16cid:durableId="1800341715">
    <w:abstractNumId w:val="52"/>
  </w:num>
  <w:num w:numId="6" w16cid:durableId="850946860">
    <w:abstractNumId w:val="68"/>
  </w:num>
  <w:num w:numId="7" w16cid:durableId="1674912216">
    <w:abstractNumId w:val="24"/>
  </w:num>
  <w:num w:numId="8" w16cid:durableId="449054940">
    <w:abstractNumId w:val="23"/>
  </w:num>
  <w:num w:numId="9" w16cid:durableId="1923678721">
    <w:abstractNumId w:val="19"/>
  </w:num>
  <w:num w:numId="10" w16cid:durableId="1404640616">
    <w:abstractNumId w:val="49"/>
  </w:num>
  <w:num w:numId="11" w16cid:durableId="573273963">
    <w:abstractNumId w:val="10"/>
  </w:num>
  <w:num w:numId="12" w16cid:durableId="1355379402">
    <w:abstractNumId w:val="98"/>
  </w:num>
  <w:num w:numId="13" w16cid:durableId="1495292448">
    <w:abstractNumId w:val="103"/>
  </w:num>
  <w:num w:numId="14" w16cid:durableId="993072498">
    <w:abstractNumId w:val="51"/>
  </w:num>
  <w:num w:numId="15" w16cid:durableId="1408381825">
    <w:abstractNumId w:val="93"/>
  </w:num>
  <w:num w:numId="16" w16cid:durableId="1916817954">
    <w:abstractNumId w:val="35"/>
  </w:num>
  <w:num w:numId="17" w16cid:durableId="1761489679">
    <w:abstractNumId w:val="5"/>
  </w:num>
  <w:num w:numId="18" w16cid:durableId="550961338">
    <w:abstractNumId w:val="9"/>
  </w:num>
  <w:num w:numId="19" w16cid:durableId="21131877">
    <w:abstractNumId w:val="50"/>
  </w:num>
  <w:num w:numId="20" w16cid:durableId="174199317">
    <w:abstractNumId w:val="92"/>
  </w:num>
  <w:num w:numId="21" w16cid:durableId="1895851451">
    <w:abstractNumId w:val="63"/>
  </w:num>
  <w:num w:numId="22" w16cid:durableId="234172061">
    <w:abstractNumId w:val="2"/>
  </w:num>
  <w:num w:numId="23" w16cid:durableId="1197547824">
    <w:abstractNumId w:val="94"/>
  </w:num>
  <w:num w:numId="24" w16cid:durableId="1142037963">
    <w:abstractNumId w:val="83"/>
  </w:num>
  <w:num w:numId="25" w16cid:durableId="1630696470">
    <w:abstractNumId w:val="84"/>
  </w:num>
  <w:num w:numId="26" w16cid:durableId="1650792756">
    <w:abstractNumId w:val="44"/>
  </w:num>
  <w:num w:numId="27" w16cid:durableId="162624883">
    <w:abstractNumId w:val="53"/>
  </w:num>
  <w:num w:numId="28" w16cid:durableId="1234704305">
    <w:abstractNumId w:val="12"/>
  </w:num>
  <w:num w:numId="29" w16cid:durableId="1499077982">
    <w:abstractNumId w:val="29"/>
  </w:num>
  <w:num w:numId="30" w16cid:durableId="1916160483">
    <w:abstractNumId w:val="64"/>
  </w:num>
  <w:num w:numId="31" w16cid:durableId="1895239323">
    <w:abstractNumId w:val="28"/>
  </w:num>
  <w:num w:numId="32" w16cid:durableId="444807453">
    <w:abstractNumId w:val="65"/>
  </w:num>
  <w:num w:numId="33" w16cid:durableId="365840043">
    <w:abstractNumId w:val="77"/>
  </w:num>
  <w:num w:numId="34" w16cid:durableId="563487793">
    <w:abstractNumId w:val="47"/>
  </w:num>
  <w:num w:numId="35" w16cid:durableId="1473449926">
    <w:abstractNumId w:val="40"/>
  </w:num>
  <w:num w:numId="36" w16cid:durableId="1930697542">
    <w:abstractNumId w:val="11"/>
  </w:num>
  <w:num w:numId="37" w16cid:durableId="1303658090">
    <w:abstractNumId w:val="102"/>
  </w:num>
  <w:num w:numId="38" w16cid:durableId="1667170529">
    <w:abstractNumId w:val="25"/>
  </w:num>
  <w:num w:numId="39" w16cid:durableId="105660048">
    <w:abstractNumId w:val="79"/>
  </w:num>
  <w:num w:numId="40" w16cid:durableId="740366732">
    <w:abstractNumId w:val="71"/>
  </w:num>
  <w:num w:numId="41" w16cid:durableId="696584334">
    <w:abstractNumId w:val="61"/>
  </w:num>
  <w:num w:numId="42" w16cid:durableId="1491561283">
    <w:abstractNumId w:val="74"/>
  </w:num>
  <w:num w:numId="43" w16cid:durableId="1788694646">
    <w:abstractNumId w:val="58"/>
  </w:num>
  <w:num w:numId="44" w16cid:durableId="2030521871">
    <w:abstractNumId w:val="95"/>
  </w:num>
  <w:num w:numId="45" w16cid:durableId="248198566">
    <w:abstractNumId w:val="86"/>
  </w:num>
  <w:num w:numId="46" w16cid:durableId="1784498338">
    <w:abstractNumId w:val="82"/>
  </w:num>
  <w:num w:numId="47" w16cid:durableId="924076195">
    <w:abstractNumId w:val="45"/>
  </w:num>
  <w:num w:numId="48" w16cid:durableId="1964577634">
    <w:abstractNumId w:val="91"/>
  </w:num>
  <w:num w:numId="49" w16cid:durableId="2136868644">
    <w:abstractNumId w:val="73"/>
  </w:num>
  <w:num w:numId="50" w16cid:durableId="737173694">
    <w:abstractNumId w:val="18"/>
  </w:num>
  <w:num w:numId="51" w16cid:durableId="1010641245">
    <w:abstractNumId w:val="32"/>
  </w:num>
  <w:num w:numId="52" w16cid:durableId="557522806">
    <w:abstractNumId w:val="26"/>
  </w:num>
  <w:num w:numId="53" w16cid:durableId="1207794525">
    <w:abstractNumId w:val="30"/>
  </w:num>
  <w:num w:numId="54" w16cid:durableId="304429142">
    <w:abstractNumId w:val="80"/>
  </w:num>
  <w:num w:numId="55" w16cid:durableId="1641109232">
    <w:abstractNumId w:val="6"/>
  </w:num>
  <w:num w:numId="56" w16cid:durableId="496187294">
    <w:abstractNumId w:val="3"/>
  </w:num>
  <w:num w:numId="57" w16cid:durableId="2062360013">
    <w:abstractNumId w:val="21"/>
  </w:num>
  <w:num w:numId="58" w16cid:durableId="2022316228">
    <w:abstractNumId w:val="100"/>
  </w:num>
  <w:num w:numId="59" w16cid:durableId="1641152857">
    <w:abstractNumId w:val="70"/>
  </w:num>
  <w:num w:numId="60" w16cid:durableId="1792355390">
    <w:abstractNumId w:val="0"/>
  </w:num>
  <w:num w:numId="61" w16cid:durableId="1073047691">
    <w:abstractNumId w:val="20"/>
  </w:num>
  <w:num w:numId="62" w16cid:durableId="1892380149">
    <w:abstractNumId w:val="72"/>
  </w:num>
  <w:num w:numId="63" w16cid:durableId="1850214865">
    <w:abstractNumId w:val="96"/>
  </w:num>
  <w:num w:numId="64" w16cid:durableId="1665087445">
    <w:abstractNumId w:val="60"/>
  </w:num>
  <w:num w:numId="65" w16cid:durableId="1758210072">
    <w:abstractNumId w:val="27"/>
  </w:num>
  <w:num w:numId="66" w16cid:durableId="908073980">
    <w:abstractNumId w:val="42"/>
  </w:num>
  <w:num w:numId="67" w16cid:durableId="1003970143">
    <w:abstractNumId w:val="66"/>
  </w:num>
  <w:num w:numId="68" w16cid:durableId="1231379788">
    <w:abstractNumId w:val="62"/>
  </w:num>
  <w:num w:numId="69" w16cid:durableId="147138725">
    <w:abstractNumId w:val="7"/>
  </w:num>
  <w:num w:numId="70" w16cid:durableId="1158955855">
    <w:abstractNumId w:val="88"/>
  </w:num>
  <w:num w:numId="71" w16cid:durableId="1544439544">
    <w:abstractNumId w:val="56"/>
  </w:num>
  <w:num w:numId="72" w16cid:durableId="1475177311">
    <w:abstractNumId w:val="78"/>
  </w:num>
  <w:num w:numId="73" w16cid:durableId="1714573583">
    <w:abstractNumId w:val="89"/>
  </w:num>
  <w:num w:numId="74" w16cid:durableId="749156310">
    <w:abstractNumId w:val="17"/>
  </w:num>
  <w:num w:numId="75" w16cid:durableId="669647364">
    <w:abstractNumId w:val="39"/>
  </w:num>
  <w:num w:numId="76" w16cid:durableId="1909264961">
    <w:abstractNumId w:val="1"/>
  </w:num>
  <w:num w:numId="77" w16cid:durableId="1649699261">
    <w:abstractNumId w:val="14"/>
  </w:num>
  <w:num w:numId="78" w16cid:durableId="2067335020">
    <w:abstractNumId w:val="99"/>
  </w:num>
  <w:num w:numId="79" w16cid:durableId="1323655019">
    <w:abstractNumId w:val="59"/>
  </w:num>
  <w:num w:numId="80" w16cid:durableId="1352801860">
    <w:abstractNumId w:val="13"/>
  </w:num>
  <w:num w:numId="81" w16cid:durableId="2141800063">
    <w:abstractNumId w:val="46"/>
  </w:num>
  <w:num w:numId="82" w16cid:durableId="363210024">
    <w:abstractNumId w:val="101"/>
  </w:num>
  <w:num w:numId="83" w16cid:durableId="1789933778">
    <w:abstractNumId w:val="31"/>
  </w:num>
  <w:num w:numId="84" w16cid:durableId="734472937">
    <w:abstractNumId w:val="69"/>
  </w:num>
  <w:num w:numId="85" w16cid:durableId="1680158727">
    <w:abstractNumId w:val="34"/>
  </w:num>
  <w:num w:numId="86" w16cid:durableId="1914700075">
    <w:abstractNumId w:val="104"/>
  </w:num>
  <w:num w:numId="87" w16cid:durableId="35204125">
    <w:abstractNumId w:val="22"/>
  </w:num>
  <w:num w:numId="88" w16cid:durableId="909273585">
    <w:abstractNumId w:val="8"/>
  </w:num>
  <w:num w:numId="89" w16cid:durableId="1419787920">
    <w:abstractNumId w:val="76"/>
  </w:num>
  <w:num w:numId="90" w16cid:durableId="1570312054">
    <w:abstractNumId w:val="67"/>
  </w:num>
  <w:num w:numId="91" w16cid:durableId="87972810">
    <w:abstractNumId w:val="16"/>
  </w:num>
  <w:num w:numId="92" w16cid:durableId="1684356310">
    <w:abstractNumId w:val="15"/>
  </w:num>
  <w:num w:numId="93" w16cid:durableId="27730923">
    <w:abstractNumId w:val="90"/>
  </w:num>
  <w:num w:numId="94" w16cid:durableId="355427514">
    <w:abstractNumId w:val="43"/>
  </w:num>
  <w:num w:numId="95" w16cid:durableId="1196507596">
    <w:abstractNumId w:val="87"/>
  </w:num>
  <w:num w:numId="96" w16cid:durableId="944583644">
    <w:abstractNumId w:val="97"/>
  </w:num>
  <w:num w:numId="97" w16cid:durableId="967391759">
    <w:abstractNumId w:val="41"/>
  </w:num>
  <w:num w:numId="98" w16cid:durableId="300769963">
    <w:abstractNumId w:val="55"/>
  </w:num>
  <w:num w:numId="99" w16cid:durableId="1094477648">
    <w:abstractNumId w:val="33"/>
  </w:num>
  <w:num w:numId="100" w16cid:durableId="377900296">
    <w:abstractNumId w:val="38"/>
  </w:num>
  <w:num w:numId="101" w16cid:durableId="334842750">
    <w:abstractNumId w:val="81"/>
  </w:num>
  <w:num w:numId="102" w16cid:durableId="1505584251">
    <w:abstractNumId w:val="75"/>
  </w:num>
  <w:num w:numId="103" w16cid:durableId="712924014">
    <w:abstractNumId w:val="48"/>
  </w:num>
  <w:num w:numId="104" w16cid:durableId="2105370913">
    <w:abstractNumId w:val="4"/>
  </w:num>
  <w:num w:numId="105" w16cid:durableId="689332942">
    <w:abstractNumId w:val="5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B0"/>
    <w:rsid w:val="0001097A"/>
    <w:rsid w:val="00026741"/>
    <w:rsid w:val="00086FBA"/>
    <w:rsid w:val="000C584E"/>
    <w:rsid w:val="000D39B9"/>
    <w:rsid w:val="001445B6"/>
    <w:rsid w:val="0016634C"/>
    <w:rsid w:val="00184F90"/>
    <w:rsid w:val="00250F16"/>
    <w:rsid w:val="0025533E"/>
    <w:rsid w:val="002757CE"/>
    <w:rsid w:val="0028472F"/>
    <w:rsid w:val="002A11CC"/>
    <w:rsid w:val="00316AEC"/>
    <w:rsid w:val="003575EF"/>
    <w:rsid w:val="00365CF0"/>
    <w:rsid w:val="003747ED"/>
    <w:rsid w:val="003A5E6F"/>
    <w:rsid w:val="003B70AD"/>
    <w:rsid w:val="003D154F"/>
    <w:rsid w:val="003D5BF7"/>
    <w:rsid w:val="003E0181"/>
    <w:rsid w:val="0046256A"/>
    <w:rsid w:val="0046691F"/>
    <w:rsid w:val="00477294"/>
    <w:rsid w:val="004A030F"/>
    <w:rsid w:val="004A3E73"/>
    <w:rsid w:val="00503299"/>
    <w:rsid w:val="005036FE"/>
    <w:rsid w:val="00511AB8"/>
    <w:rsid w:val="005140E8"/>
    <w:rsid w:val="00537569"/>
    <w:rsid w:val="005631CD"/>
    <w:rsid w:val="005A4C46"/>
    <w:rsid w:val="005B779E"/>
    <w:rsid w:val="00617AF7"/>
    <w:rsid w:val="006402C4"/>
    <w:rsid w:val="0064423C"/>
    <w:rsid w:val="00646AD4"/>
    <w:rsid w:val="006546FE"/>
    <w:rsid w:val="00677F85"/>
    <w:rsid w:val="006864C4"/>
    <w:rsid w:val="006B650C"/>
    <w:rsid w:val="006C1703"/>
    <w:rsid w:val="006D06C5"/>
    <w:rsid w:val="007059EC"/>
    <w:rsid w:val="007844E7"/>
    <w:rsid w:val="007A4886"/>
    <w:rsid w:val="007D064D"/>
    <w:rsid w:val="008769AE"/>
    <w:rsid w:val="008C437C"/>
    <w:rsid w:val="0091599C"/>
    <w:rsid w:val="0092185A"/>
    <w:rsid w:val="00933395"/>
    <w:rsid w:val="00936713"/>
    <w:rsid w:val="009C726D"/>
    <w:rsid w:val="009F4BD8"/>
    <w:rsid w:val="00A427F8"/>
    <w:rsid w:val="00A670E0"/>
    <w:rsid w:val="00A705BF"/>
    <w:rsid w:val="00A96DFE"/>
    <w:rsid w:val="00A97FFE"/>
    <w:rsid w:val="00AB0F0F"/>
    <w:rsid w:val="00AD32B0"/>
    <w:rsid w:val="00B01BB5"/>
    <w:rsid w:val="00B02210"/>
    <w:rsid w:val="00BB29A7"/>
    <w:rsid w:val="00BD1895"/>
    <w:rsid w:val="00C61E77"/>
    <w:rsid w:val="00CE69E4"/>
    <w:rsid w:val="00CF45EB"/>
    <w:rsid w:val="00CF6CF0"/>
    <w:rsid w:val="00D004F3"/>
    <w:rsid w:val="00D701F5"/>
    <w:rsid w:val="00D97515"/>
    <w:rsid w:val="00E97E2E"/>
    <w:rsid w:val="00EB7B30"/>
    <w:rsid w:val="00ED62A2"/>
    <w:rsid w:val="00ED6A35"/>
    <w:rsid w:val="00F75C43"/>
    <w:rsid w:val="00F8154A"/>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CB882"/>
  <w15:chartTrackingRefBased/>
  <w15:docId w15:val="{738A8E31-7AA8-45FA-8156-1B94AD614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2B0"/>
  </w:style>
  <w:style w:type="paragraph" w:styleId="Heading1">
    <w:name w:val="heading 1"/>
    <w:basedOn w:val="Normal"/>
    <w:next w:val="Normal"/>
    <w:link w:val="Heading1Char"/>
    <w:uiPriority w:val="9"/>
    <w:qFormat/>
    <w:rsid w:val="00AD3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3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3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D3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D3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3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3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D3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D3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2B0"/>
    <w:rPr>
      <w:rFonts w:eastAsiaTheme="majorEastAsia" w:cstheme="majorBidi"/>
      <w:color w:val="272727" w:themeColor="text1" w:themeTint="D8"/>
    </w:rPr>
  </w:style>
  <w:style w:type="paragraph" w:styleId="Title">
    <w:name w:val="Title"/>
    <w:basedOn w:val="Normal"/>
    <w:next w:val="Normal"/>
    <w:link w:val="TitleChar"/>
    <w:uiPriority w:val="10"/>
    <w:qFormat/>
    <w:rsid w:val="00AD3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2B0"/>
    <w:pPr>
      <w:spacing w:before="160"/>
      <w:jc w:val="center"/>
    </w:pPr>
    <w:rPr>
      <w:i/>
      <w:iCs/>
      <w:color w:val="404040" w:themeColor="text1" w:themeTint="BF"/>
    </w:rPr>
  </w:style>
  <w:style w:type="character" w:customStyle="1" w:styleId="QuoteChar">
    <w:name w:val="Quote Char"/>
    <w:basedOn w:val="DefaultParagraphFont"/>
    <w:link w:val="Quote"/>
    <w:uiPriority w:val="29"/>
    <w:rsid w:val="00AD32B0"/>
    <w:rPr>
      <w:i/>
      <w:iCs/>
      <w:color w:val="404040" w:themeColor="text1" w:themeTint="BF"/>
    </w:rPr>
  </w:style>
  <w:style w:type="paragraph" w:styleId="ListParagraph">
    <w:name w:val="List Paragraph"/>
    <w:basedOn w:val="Normal"/>
    <w:uiPriority w:val="34"/>
    <w:qFormat/>
    <w:rsid w:val="00AD32B0"/>
    <w:pPr>
      <w:ind w:left="720"/>
      <w:contextualSpacing/>
    </w:pPr>
  </w:style>
  <w:style w:type="character" w:styleId="IntenseEmphasis">
    <w:name w:val="Intense Emphasis"/>
    <w:basedOn w:val="DefaultParagraphFont"/>
    <w:uiPriority w:val="21"/>
    <w:qFormat/>
    <w:rsid w:val="00AD32B0"/>
    <w:rPr>
      <w:i/>
      <w:iCs/>
      <w:color w:val="0F4761" w:themeColor="accent1" w:themeShade="BF"/>
    </w:rPr>
  </w:style>
  <w:style w:type="paragraph" w:styleId="IntenseQuote">
    <w:name w:val="Intense Quote"/>
    <w:basedOn w:val="Normal"/>
    <w:next w:val="Normal"/>
    <w:link w:val="IntenseQuoteChar"/>
    <w:uiPriority w:val="30"/>
    <w:qFormat/>
    <w:rsid w:val="00AD3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2B0"/>
    <w:rPr>
      <w:i/>
      <w:iCs/>
      <w:color w:val="0F4761" w:themeColor="accent1" w:themeShade="BF"/>
    </w:rPr>
  </w:style>
  <w:style w:type="character" w:styleId="IntenseReference">
    <w:name w:val="Intense Reference"/>
    <w:basedOn w:val="DefaultParagraphFont"/>
    <w:uiPriority w:val="32"/>
    <w:qFormat/>
    <w:rsid w:val="00AD32B0"/>
    <w:rPr>
      <w:b/>
      <w:bCs/>
      <w:smallCaps/>
      <w:color w:val="0F4761" w:themeColor="accent1" w:themeShade="BF"/>
      <w:spacing w:val="5"/>
    </w:rPr>
  </w:style>
  <w:style w:type="paragraph" w:styleId="Header">
    <w:name w:val="header"/>
    <w:basedOn w:val="Normal"/>
    <w:link w:val="HeaderChar"/>
    <w:uiPriority w:val="99"/>
    <w:unhideWhenUsed/>
    <w:rsid w:val="00AD3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2B0"/>
  </w:style>
  <w:style w:type="paragraph" w:styleId="Footer">
    <w:name w:val="footer"/>
    <w:basedOn w:val="Normal"/>
    <w:link w:val="FooterChar"/>
    <w:uiPriority w:val="99"/>
    <w:unhideWhenUsed/>
    <w:rsid w:val="00AD3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2B0"/>
  </w:style>
  <w:style w:type="paragraph" w:styleId="TOC1">
    <w:name w:val="toc 1"/>
    <w:basedOn w:val="Normal"/>
    <w:next w:val="Normal"/>
    <w:uiPriority w:val="39"/>
    <w:unhideWhenUsed/>
    <w:qFormat/>
    <w:rsid w:val="00AD32B0"/>
    <w:pPr>
      <w:spacing w:after="100" w:line="276" w:lineRule="auto"/>
    </w:pPr>
    <w:rPr>
      <w:rFonts w:ascii="Arial" w:eastAsia="Arial" w:hAnsi="Arial" w:cs="Arial"/>
      <w:kern w:val="0"/>
      <w14:ligatures w14:val="none"/>
    </w:rPr>
  </w:style>
  <w:style w:type="paragraph" w:customStyle="1" w:styleId="TOCHeading1">
    <w:name w:val="TOC Heading1"/>
    <w:basedOn w:val="Heading1"/>
    <w:next w:val="Normal"/>
    <w:uiPriority w:val="39"/>
    <w:unhideWhenUsed/>
    <w:qFormat/>
    <w:rsid w:val="00AD32B0"/>
    <w:pPr>
      <w:spacing w:before="240" w:after="0"/>
      <w:outlineLvl w:val="9"/>
    </w:pPr>
    <w:rPr>
      <w:kern w:val="0"/>
      <w:sz w:val="32"/>
      <w:szCs w:val="32"/>
      <w:lang w:val="en-US"/>
      <w14:ligatures w14:val="none"/>
    </w:rPr>
  </w:style>
  <w:style w:type="table" w:styleId="TableGrid">
    <w:name w:val="Table Grid"/>
    <w:basedOn w:val="TableNormal"/>
    <w:uiPriority w:val="39"/>
    <w:rsid w:val="00BB29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01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701F5"/>
    <w:rPr>
      <w:b/>
      <w:bCs/>
    </w:rPr>
  </w:style>
  <w:style w:type="character" w:styleId="Emphasis">
    <w:name w:val="Emphasis"/>
    <w:basedOn w:val="DefaultParagraphFont"/>
    <w:uiPriority w:val="20"/>
    <w:qFormat/>
    <w:rsid w:val="00316AEC"/>
    <w:rPr>
      <w:i/>
      <w:iCs/>
    </w:rPr>
  </w:style>
  <w:style w:type="character" w:styleId="Hyperlink">
    <w:name w:val="Hyperlink"/>
    <w:basedOn w:val="DefaultParagraphFont"/>
    <w:uiPriority w:val="99"/>
    <w:unhideWhenUsed/>
    <w:rsid w:val="00ED62A2"/>
    <w:rPr>
      <w:color w:val="467886" w:themeColor="hyperlink"/>
      <w:u w:val="single"/>
    </w:rPr>
  </w:style>
  <w:style w:type="character" w:styleId="UnresolvedMention">
    <w:name w:val="Unresolved Mention"/>
    <w:basedOn w:val="DefaultParagraphFont"/>
    <w:uiPriority w:val="99"/>
    <w:semiHidden/>
    <w:unhideWhenUsed/>
    <w:rsid w:val="00ED62A2"/>
    <w:rPr>
      <w:color w:val="605E5C"/>
      <w:shd w:val="clear" w:color="auto" w:fill="E1DFDD"/>
    </w:rPr>
  </w:style>
  <w:style w:type="character" w:customStyle="1" w:styleId="truncate">
    <w:name w:val="truncate"/>
    <w:basedOn w:val="DefaultParagraphFont"/>
    <w:rsid w:val="005036FE"/>
  </w:style>
  <w:style w:type="table" w:styleId="PlainTable1">
    <w:name w:val="Plain Table 1"/>
    <w:basedOn w:val="TableNormal"/>
    <w:uiPriority w:val="41"/>
    <w:rsid w:val="005036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86F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relative">
    <w:name w:val="relative"/>
    <w:basedOn w:val="DefaultParagraphFont"/>
    <w:rsid w:val="000D39B9"/>
  </w:style>
  <w:style w:type="character" w:customStyle="1" w:styleId="ml-1">
    <w:name w:val="ml-1"/>
    <w:basedOn w:val="DefaultParagraphFont"/>
    <w:rsid w:val="000D39B9"/>
  </w:style>
  <w:style w:type="character" w:customStyle="1" w:styleId="max-w-full">
    <w:name w:val="max-w-full"/>
    <w:basedOn w:val="DefaultParagraphFont"/>
    <w:rsid w:val="000D39B9"/>
  </w:style>
  <w:style w:type="character" w:customStyle="1" w:styleId="-mr-1">
    <w:name w:val="-mr-1"/>
    <w:basedOn w:val="DefaultParagraphFont"/>
    <w:rsid w:val="000D39B9"/>
  </w:style>
  <w:style w:type="character" w:customStyle="1" w:styleId="katex-mathml">
    <w:name w:val="katex-mathml"/>
    <w:basedOn w:val="DefaultParagraphFont"/>
    <w:rsid w:val="007059EC"/>
  </w:style>
  <w:style w:type="character" w:customStyle="1" w:styleId="mord">
    <w:name w:val="mord"/>
    <w:basedOn w:val="DefaultParagraphFont"/>
    <w:rsid w:val="007059EC"/>
  </w:style>
  <w:style w:type="character" w:customStyle="1" w:styleId="mrel">
    <w:name w:val="mrel"/>
    <w:basedOn w:val="DefaultParagraphFont"/>
    <w:rsid w:val="007059EC"/>
  </w:style>
  <w:style w:type="character" w:customStyle="1" w:styleId="mbin">
    <w:name w:val="mbin"/>
    <w:basedOn w:val="DefaultParagraphFont"/>
    <w:rsid w:val="007059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2019">
      <w:bodyDiv w:val="1"/>
      <w:marLeft w:val="0"/>
      <w:marRight w:val="0"/>
      <w:marTop w:val="0"/>
      <w:marBottom w:val="0"/>
      <w:divBdr>
        <w:top w:val="none" w:sz="0" w:space="0" w:color="auto"/>
        <w:left w:val="none" w:sz="0" w:space="0" w:color="auto"/>
        <w:bottom w:val="none" w:sz="0" w:space="0" w:color="auto"/>
        <w:right w:val="none" w:sz="0" w:space="0" w:color="auto"/>
      </w:divBdr>
    </w:div>
    <w:div w:id="30351055">
      <w:bodyDiv w:val="1"/>
      <w:marLeft w:val="0"/>
      <w:marRight w:val="0"/>
      <w:marTop w:val="0"/>
      <w:marBottom w:val="0"/>
      <w:divBdr>
        <w:top w:val="none" w:sz="0" w:space="0" w:color="auto"/>
        <w:left w:val="none" w:sz="0" w:space="0" w:color="auto"/>
        <w:bottom w:val="none" w:sz="0" w:space="0" w:color="auto"/>
        <w:right w:val="none" w:sz="0" w:space="0" w:color="auto"/>
      </w:divBdr>
    </w:div>
    <w:div w:id="37752397">
      <w:bodyDiv w:val="1"/>
      <w:marLeft w:val="0"/>
      <w:marRight w:val="0"/>
      <w:marTop w:val="0"/>
      <w:marBottom w:val="0"/>
      <w:divBdr>
        <w:top w:val="none" w:sz="0" w:space="0" w:color="auto"/>
        <w:left w:val="none" w:sz="0" w:space="0" w:color="auto"/>
        <w:bottom w:val="none" w:sz="0" w:space="0" w:color="auto"/>
        <w:right w:val="none" w:sz="0" w:space="0" w:color="auto"/>
      </w:divBdr>
    </w:div>
    <w:div w:id="71394937">
      <w:bodyDiv w:val="1"/>
      <w:marLeft w:val="0"/>
      <w:marRight w:val="0"/>
      <w:marTop w:val="0"/>
      <w:marBottom w:val="0"/>
      <w:divBdr>
        <w:top w:val="none" w:sz="0" w:space="0" w:color="auto"/>
        <w:left w:val="none" w:sz="0" w:space="0" w:color="auto"/>
        <w:bottom w:val="none" w:sz="0" w:space="0" w:color="auto"/>
        <w:right w:val="none" w:sz="0" w:space="0" w:color="auto"/>
      </w:divBdr>
    </w:div>
    <w:div w:id="85808616">
      <w:bodyDiv w:val="1"/>
      <w:marLeft w:val="0"/>
      <w:marRight w:val="0"/>
      <w:marTop w:val="0"/>
      <w:marBottom w:val="0"/>
      <w:divBdr>
        <w:top w:val="none" w:sz="0" w:space="0" w:color="auto"/>
        <w:left w:val="none" w:sz="0" w:space="0" w:color="auto"/>
        <w:bottom w:val="none" w:sz="0" w:space="0" w:color="auto"/>
        <w:right w:val="none" w:sz="0" w:space="0" w:color="auto"/>
      </w:divBdr>
    </w:div>
    <w:div w:id="88041697">
      <w:bodyDiv w:val="1"/>
      <w:marLeft w:val="0"/>
      <w:marRight w:val="0"/>
      <w:marTop w:val="0"/>
      <w:marBottom w:val="0"/>
      <w:divBdr>
        <w:top w:val="none" w:sz="0" w:space="0" w:color="auto"/>
        <w:left w:val="none" w:sz="0" w:space="0" w:color="auto"/>
        <w:bottom w:val="none" w:sz="0" w:space="0" w:color="auto"/>
        <w:right w:val="none" w:sz="0" w:space="0" w:color="auto"/>
      </w:divBdr>
    </w:div>
    <w:div w:id="90397339">
      <w:bodyDiv w:val="1"/>
      <w:marLeft w:val="0"/>
      <w:marRight w:val="0"/>
      <w:marTop w:val="0"/>
      <w:marBottom w:val="0"/>
      <w:divBdr>
        <w:top w:val="none" w:sz="0" w:space="0" w:color="auto"/>
        <w:left w:val="none" w:sz="0" w:space="0" w:color="auto"/>
        <w:bottom w:val="none" w:sz="0" w:space="0" w:color="auto"/>
        <w:right w:val="none" w:sz="0" w:space="0" w:color="auto"/>
      </w:divBdr>
    </w:div>
    <w:div w:id="137498159">
      <w:bodyDiv w:val="1"/>
      <w:marLeft w:val="0"/>
      <w:marRight w:val="0"/>
      <w:marTop w:val="0"/>
      <w:marBottom w:val="0"/>
      <w:divBdr>
        <w:top w:val="none" w:sz="0" w:space="0" w:color="auto"/>
        <w:left w:val="none" w:sz="0" w:space="0" w:color="auto"/>
        <w:bottom w:val="none" w:sz="0" w:space="0" w:color="auto"/>
        <w:right w:val="none" w:sz="0" w:space="0" w:color="auto"/>
      </w:divBdr>
    </w:div>
    <w:div w:id="143013060">
      <w:bodyDiv w:val="1"/>
      <w:marLeft w:val="0"/>
      <w:marRight w:val="0"/>
      <w:marTop w:val="0"/>
      <w:marBottom w:val="0"/>
      <w:divBdr>
        <w:top w:val="none" w:sz="0" w:space="0" w:color="auto"/>
        <w:left w:val="none" w:sz="0" w:space="0" w:color="auto"/>
        <w:bottom w:val="none" w:sz="0" w:space="0" w:color="auto"/>
        <w:right w:val="none" w:sz="0" w:space="0" w:color="auto"/>
      </w:divBdr>
      <w:divsChild>
        <w:div w:id="1495535874">
          <w:marLeft w:val="0"/>
          <w:marRight w:val="0"/>
          <w:marTop w:val="0"/>
          <w:marBottom w:val="0"/>
          <w:divBdr>
            <w:top w:val="none" w:sz="0" w:space="0" w:color="auto"/>
            <w:left w:val="none" w:sz="0" w:space="0" w:color="auto"/>
            <w:bottom w:val="none" w:sz="0" w:space="0" w:color="auto"/>
            <w:right w:val="none" w:sz="0" w:space="0" w:color="auto"/>
          </w:divBdr>
          <w:divsChild>
            <w:div w:id="57162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10914">
      <w:bodyDiv w:val="1"/>
      <w:marLeft w:val="0"/>
      <w:marRight w:val="0"/>
      <w:marTop w:val="0"/>
      <w:marBottom w:val="0"/>
      <w:divBdr>
        <w:top w:val="none" w:sz="0" w:space="0" w:color="auto"/>
        <w:left w:val="none" w:sz="0" w:space="0" w:color="auto"/>
        <w:bottom w:val="none" w:sz="0" w:space="0" w:color="auto"/>
        <w:right w:val="none" w:sz="0" w:space="0" w:color="auto"/>
      </w:divBdr>
    </w:div>
    <w:div w:id="155192203">
      <w:bodyDiv w:val="1"/>
      <w:marLeft w:val="0"/>
      <w:marRight w:val="0"/>
      <w:marTop w:val="0"/>
      <w:marBottom w:val="0"/>
      <w:divBdr>
        <w:top w:val="none" w:sz="0" w:space="0" w:color="auto"/>
        <w:left w:val="none" w:sz="0" w:space="0" w:color="auto"/>
        <w:bottom w:val="none" w:sz="0" w:space="0" w:color="auto"/>
        <w:right w:val="none" w:sz="0" w:space="0" w:color="auto"/>
      </w:divBdr>
    </w:div>
    <w:div w:id="182089590">
      <w:bodyDiv w:val="1"/>
      <w:marLeft w:val="0"/>
      <w:marRight w:val="0"/>
      <w:marTop w:val="0"/>
      <w:marBottom w:val="0"/>
      <w:divBdr>
        <w:top w:val="none" w:sz="0" w:space="0" w:color="auto"/>
        <w:left w:val="none" w:sz="0" w:space="0" w:color="auto"/>
        <w:bottom w:val="none" w:sz="0" w:space="0" w:color="auto"/>
        <w:right w:val="none" w:sz="0" w:space="0" w:color="auto"/>
      </w:divBdr>
      <w:divsChild>
        <w:div w:id="839275770">
          <w:marLeft w:val="0"/>
          <w:marRight w:val="0"/>
          <w:marTop w:val="0"/>
          <w:marBottom w:val="0"/>
          <w:divBdr>
            <w:top w:val="none" w:sz="0" w:space="0" w:color="auto"/>
            <w:left w:val="none" w:sz="0" w:space="0" w:color="auto"/>
            <w:bottom w:val="none" w:sz="0" w:space="0" w:color="auto"/>
            <w:right w:val="none" w:sz="0" w:space="0" w:color="auto"/>
          </w:divBdr>
          <w:divsChild>
            <w:div w:id="60977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49931">
      <w:bodyDiv w:val="1"/>
      <w:marLeft w:val="0"/>
      <w:marRight w:val="0"/>
      <w:marTop w:val="0"/>
      <w:marBottom w:val="0"/>
      <w:divBdr>
        <w:top w:val="none" w:sz="0" w:space="0" w:color="auto"/>
        <w:left w:val="none" w:sz="0" w:space="0" w:color="auto"/>
        <w:bottom w:val="none" w:sz="0" w:space="0" w:color="auto"/>
        <w:right w:val="none" w:sz="0" w:space="0" w:color="auto"/>
      </w:divBdr>
    </w:div>
    <w:div w:id="213931746">
      <w:bodyDiv w:val="1"/>
      <w:marLeft w:val="0"/>
      <w:marRight w:val="0"/>
      <w:marTop w:val="0"/>
      <w:marBottom w:val="0"/>
      <w:divBdr>
        <w:top w:val="none" w:sz="0" w:space="0" w:color="auto"/>
        <w:left w:val="none" w:sz="0" w:space="0" w:color="auto"/>
        <w:bottom w:val="none" w:sz="0" w:space="0" w:color="auto"/>
        <w:right w:val="none" w:sz="0" w:space="0" w:color="auto"/>
      </w:divBdr>
    </w:div>
    <w:div w:id="256136683">
      <w:bodyDiv w:val="1"/>
      <w:marLeft w:val="0"/>
      <w:marRight w:val="0"/>
      <w:marTop w:val="0"/>
      <w:marBottom w:val="0"/>
      <w:divBdr>
        <w:top w:val="none" w:sz="0" w:space="0" w:color="auto"/>
        <w:left w:val="none" w:sz="0" w:space="0" w:color="auto"/>
        <w:bottom w:val="none" w:sz="0" w:space="0" w:color="auto"/>
        <w:right w:val="none" w:sz="0" w:space="0" w:color="auto"/>
      </w:divBdr>
      <w:divsChild>
        <w:div w:id="952251199">
          <w:marLeft w:val="0"/>
          <w:marRight w:val="0"/>
          <w:marTop w:val="0"/>
          <w:marBottom w:val="0"/>
          <w:divBdr>
            <w:top w:val="none" w:sz="0" w:space="0" w:color="auto"/>
            <w:left w:val="none" w:sz="0" w:space="0" w:color="auto"/>
            <w:bottom w:val="none" w:sz="0" w:space="0" w:color="auto"/>
            <w:right w:val="none" w:sz="0" w:space="0" w:color="auto"/>
          </w:divBdr>
        </w:div>
      </w:divsChild>
    </w:div>
    <w:div w:id="277033693">
      <w:bodyDiv w:val="1"/>
      <w:marLeft w:val="0"/>
      <w:marRight w:val="0"/>
      <w:marTop w:val="0"/>
      <w:marBottom w:val="0"/>
      <w:divBdr>
        <w:top w:val="none" w:sz="0" w:space="0" w:color="auto"/>
        <w:left w:val="none" w:sz="0" w:space="0" w:color="auto"/>
        <w:bottom w:val="none" w:sz="0" w:space="0" w:color="auto"/>
        <w:right w:val="none" w:sz="0" w:space="0" w:color="auto"/>
      </w:divBdr>
    </w:div>
    <w:div w:id="325596826">
      <w:bodyDiv w:val="1"/>
      <w:marLeft w:val="0"/>
      <w:marRight w:val="0"/>
      <w:marTop w:val="0"/>
      <w:marBottom w:val="0"/>
      <w:divBdr>
        <w:top w:val="none" w:sz="0" w:space="0" w:color="auto"/>
        <w:left w:val="none" w:sz="0" w:space="0" w:color="auto"/>
        <w:bottom w:val="none" w:sz="0" w:space="0" w:color="auto"/>
        <w:right w:val="none" w:sz="0" w:space="0" w:color="auto"/>
      </w:divBdr>
    </w:div>
    <w:div w:id="326055999">
      <w:bodyDiv w:val="1"/>
      <w:marLeft w:val="0"/>
      <w:marRight w:val="0"/>
      <w:marTop w:val="0"/>
      <w:marBottom w:val="0"/>
      <w:divBdr>
        <w:top w:val="none" w:sz="0" w:space="0" w:color="auto"/>
        <w:left w:val="none" w:sz="0" w:space="0" w:color="auto"/>
        <w:bottom w:val="none" w:sz="0" w:space="0" w:color="auto"/>
        <w:right w:val="none" w:sz="0" w:space="0" w:color="auto"/>
      </w:divBdr>
    </w:div>
    <w:div w:id="328019314">
      <w:bodyDiv w:val="1"/>
      <w:marLeft w:val="0"/>
      <w:marRight w:val="0"/>
      <w:marTop w:val="0"/>
      <w:marBottom w:val="0"/>
      <w:divBdr>
        <w:top w:val="none" w:sz="0" w:space="0" w:color="auto"/>
        <w:left w:val="none" w:sz="0" w:space="0" w:color="auto"/>
        <w:bottom w:val="none" w:sz="0" w:space="0" w:color="auto"/>
        <w:right w:val="none" w:sz="0" w:space="0" w:color="auto"/>
      </w:divBdr>
    </w:div>
    <w:div w:id="333192792">
      <w:bodyDiv w:val="1"/>
      <w:marLeft w:val="0"/>
      <w:marRight w:val="0"/>
      <w:marTop w:val="0"/>
      <w:marBottom w:val="0"/>
      <w:divBdr>
        <w:top w:val="none" w:sz="0" w:space="0" w:color="auto"/>
        <w:left w:val="none" w:sz="0" w:space="0" w:color="auto"/>
        <w:bottom w:val="none" w:sz="0" w:space="0" w:color="auto"/>
        <w:right w:val="none" w:sz="0" w:space="0" w:color="auto"/>
      </w:divBdr>
    </w:div>
    <w:div w:id="345210282">
      <w:bodyDiv w:val="1"/>
      <w:marLeft w:val="0"/>
      <w:marRight w:val="0"/>
      <w:marTop w:val="0"/>
      <w:marBottom w:val="0"/>
      <w:divBdr>
        <w:top w:val="none" w:sz="0" w:space="0" w:color="auto"/>
        <w:left w:val="none" w:sz="0" w:space="0" w:color="auto"/>
        <w:bottom w:val="none" w:sz="0" w:space="0" w:color="auto"/>
        <w:right w:val="none" w:sz="0" w:space="0" w:color="auto"/>
      </w:divBdr>
    </w:div>
    <w:div w:id="351228927">
      <w:bodyDiv w:val="1"/>
      <w:marLeft w:val="0"/>
      <w:marRight w:val="0"/>
      <w:marTop w:val="0"/>
      <w:marBottom w:val="0"/>
      <w:divBdr>
        <w:top w:val="none" w:sz="0" w:space="0" w:color="auto"/>
        <w:left w:val="none" w:sz="0" w:space="0" w:color="auto"/>
        <w:bottom w:val="none" w:sz="0" w:space="0" w:color="auto"/>
        <w:right w:val="none" w:sz="0" w:space="0" w:color="auto"/>
      </w:divBdr>
      <w:divsChild>
        <w:div w:id="1995252772">
          <w:marLeft w:val="0"/>
          <w:marRight w:val="0"/>
          <w:marTop w:val="0"/>
          <w:marBottom w:val="0"/>
          <w:divBdr>
            <w:top w:val="none" w:sz="0" w:space="0" w:color="auto"/>
            <w:left w:val="none" w:sz="0" w:space="0" w:color="auto"/>
            <w:bottom w:val="none" w:sz="0" w:space="0" w:color="auto"/>
            <w:right w:val="none" w:sz="0" w:space="0" w:color="auto"/>
          </w:divBdr>
        </w:div>
      </w:divsChild>
    </w:div>
    <w:div w:id="356926001">
      <w:bodyDiv w:val="1"/>
      <w:marLeft w:val="0"/>
      <w:marRight w:val="0"/>
      <w:marTop w:val="0"/>
      <w:marBottom w:val="0"/>
      <w:divBdr>
        <w:top w:val="none" w:sz="0" w:space="0" w:color="auto"/>
        <w:left w:val="none" w:sz="0" w:space="0" w:color="auto"/>
        <w:bottom w:val="none" w:sz="0" w:space="0" w:color="auto"/>
        <w:right w:val="none" w:sz="0" w:space="0" w:color="auto"/>
      </w:divBdr>
    </w:div>
    <w:div w:id="389156710">
      <w:bodyDiv w:val="1"/>
      <w:marLeft w:val="0"/>
      <w:marRight w:val="0"/>
      <w:marTop w:val="0"/>
      <w:marBottom w:val="0"/>
      <w:divBdr>
        <w:top w:val="none" w:sz="0" w:space="0" w:color="auto"/>
        <w:left w:val="none" w:sz="0" w:space="0" w:color="auto"/>
        <w:bottom w:val="none" w:sz="0" w:space="0" w:color="auto"/>
        <w:right w:val="none" w:sz="0" w:space="0" w:color="auto"/>
      </w:divBdr>
    </w:div>
    <w:div w:id="390156709">
      <w:bodyDiv w:val="1"/>
      <w:marLeft w:val="0"/>
      <w:marRight w:val="0"/>
      <w:marTop w:val="0"/>
      <w:marBottom w:val="0"/>
      <w:divBdr>
        <w:top w:val="none" w:sz="0" w:space="0" w:color="auto"/>
        <w:left w:val="none" w:sz="0" w:space="0" w:color="auto"/>
        <w:bottom w:val="none" w:sz="0" w:space="0" w:color="auto"/>
        <w:right w:val="none" w:sz="0" w:space="0" w:color="auto"/>
      </w:divBdr>
    </w:div>
    <w:div w:id="441650366">
      <w:bodyDiv w:val="1"/>
      <w:marLeft w:val="0"/>
      <w:marRight w:val="0"/>
      <w:marTop w:val="0"/>
      <w:marBottom w:val="0"/>
      <w:divBdr>
        <w:top w:val="none" w:sz="0" w:space="0" w:color="auto"/>
        <w:left w:val="none" w:sz="0" w:space="0" w:color="auto"/>
        <w:bottom w:val="none" w:sz="0" w:space="0" w:color="auto"/>
        <w:right w:val="none" w:sz="0" w:space="0" w:color="auto"/>
      </w:divBdr>
    </w:div>
    <w:div w:id="454712484">
      <w:bodyDiv w:val="1"/>
      <w:marLeft w:val="0"/>
      <w:marRight w:val="0"/>
      <w:marTop w:val="0"/>
      <w:marBottom w:val="0"/>
      <w:divBdr>
        <w:top w:val="none" w:sz="0" w:space="0" w:color="auto"/>
        <w:left w:val="none" w:sz="0" w:space="0" w:color="auto"/>
        <w:bottom w:val="none" w:sz="0" w:space="0" w:color="auto"/>
        <w:right w:val="none" w:sz="0" w:space="0" w:color="auto"/>
      </w:divBdr>
    </w:div>
    <w:div w:id="460542400">
      <w:bodyDiv w:val="1"/>
      <w:marLeft w:val="0"/>
      <w:marRight w:val="0"/>
      <w:marTop w:val="0"/>
      <w:marBottom w:val="0"/>
      <w:divBdr>
        <w:top w:val="none" w:sz="0" w:space="0" w:color="auto"/>
        <w:left w:val="none" w:sz="0" w:space="0" w:color="auto"/>
        <w:bottom w:val="none" w:sz="0" w:space="0" w:color="auto"/>
        <w:right w:val="none" w:sz="0" w:space="0" w:color="auto"/>
      </w:divBdr>
    </w:div>
    <w:div w:id="461653164">
      <w:bodyDiv w:val="1"/>
      <w:marLeft w:val="0"/>
      <w:marRight w:val="0"/>
      <w:marTop w:val="0"/>
      <w:marBottom w:val="0"/>
      <w:divBdr>
        <w:top w:val="none" w:sz="0" w:space="0" w:color="auto"/>
        <w:left w:val="none" w:sz="0" w:space="0" w:color="auto"/>
        <w:bottom w:val="none" w:sz="0" w:space="0" w:color="auto"/>
        <w:right w:val="none" w:sz="0" w:space="0" w:color="auto"/>
      </w:divBdr>
    </w:div>
    <w:div w:id="484247892">
      <w:bodyDiv w:val="1"/>
      <w:marLeft w:val="0"/>
      <w:marRight w:val="0"/>
      <w:marTop w:val="0"/>
      <w:marBottom w:val="0"/>
      <w:divBdr>
        <w:top w:val="none" w:sz="0" w:space="0" w:color="auto"/>
        <w:left w:val="none" w:sz="0" w:space="0" w:color="auto"/>
        <w:bottom w:val="none" w:sz="0" w:space="0" w:color="auto"/>
        <w:right w:val="none" w:sz="0" w:space="0" w:color="auto"/>
      </w:divBdr>
    </w:div>
    <w:div w:id="484786840">
      <w:bodyDiv w:val="1"/>
      <w:marLeft w:val="0"/>
      <w:marRight w:val="0"/>
      <w:marTop w:val="0"/>
      <w:marBottom w:val="0"/>
      <w:divBdr>
        <w:top w:val="none" w:sz="0" w:space="0" w:color="auto"/>
        <w:left w:val="none" w:sz="0" w:space="0" w:color="auto"/>
        <w:bottom w:val="none" w:sz="0" w:space="0" w:color="auto"/>
        <w:right w:val="none" w:sz="0" w:space="0" w:color="auto"/>
      </w:divBdr>
    </w:div>
    <w:div w:id="486213897">
      <w:bodyDiv w:val="1"/>
      <w:marLeft w:val="0"/>
      <w:marRight w:val="0"/>
      <w:marTop w:val="0"/>
      <w:marBottom w:val="0"/>
      <w:divBdr>
        <w:top w:val="none" w:sz="0" w:space="0" w:color="auto"/>
        <w:left w:val="none" w:sz="0" w:space="0" w:color="auto"/>
        <w:bottom w:val="none" w:sz="0" w:space="0" w:color="auto"/>
        <w:right w:val="none" w:sz="0" w:space="0" w:color="auto"/>
      </w:divBdr>
    </w:div>
    <w:div w:id="502942258">
      <w:bodyDiv w:val="1"/>
      <w:marLeft w:val="0"/>
      <w:marRight w:val="0"/>
      <w:marTop w:val="0"/>
      <w:marBottom w:val="0"/>
      <w:divBdr>
        <w:top w:val="none" w:sz="0" w:space="0" w:color="auto"/>
        <w:left w:val="none" w:sz="0" w:space="0" w:color="auto"/>
        <w:bottom w:val="none" w:sz="0" w:space="0" w:color="auto"/>
        <w:right w:val="none" w:sz="0" w:space="0" w:color="auto"/>
      </w:divBdr>
    </w:div>
    <w:div w:id="520633286">
      <w:bodyDiv w:val="1"/>
      <w:marLeft w:val="0"/>
      <w:marRight w:val="0"/>
      <w:marTop w:val="0"/>
      <w:marBottom w:val="0"/>
      <w:divBdr>
        <w:top w:val="none" w:sz="0" w:space="0" w:color="auto"/>
        <w:left w:val="none" w:sz="0" w:space="0" w:color="auto"/>
        <w:bottom w:val="none" w:sz="0" w:space="0" w:color="auto"/>
        <w:right w:val="none" w:sz="0" w:space="0" w:color="auto"/>
      </w:divBdr>
    </w:div>
    <w:div w:id="525599021">
      <w:bodyDiv w:val="1"/>
      <w:marLeft w:val="0"/>
      <w:marRight w:val="0"/>
      <w:marTop w:val="0"/>
      <w:marBottom w:val="0"/>
      <w:divBdr>
        <w:top w:val="none" w:sz="0" w:space="0" w:color="auto"/>
        <w:left w:val="none" w:sz="0" w:space="0" w:color="auto"/>
        <w:bottom w:val="none" w:sz="0" w:space="0" w:color="auto"/>
        <w:right w:val="none" w:sz="0" w:space="0" w:color="auto"/>
      </w:divBdr>
    </w:div>
    <w:div w:id="531961300">
      <w:bodyDiv w:val="1"/>
      <w:marLeft w:val="0"/>
      <w:marRight w:val="0"/>
      <w:marTop w:val="0"/>
      <w:marBottom w:val="0"/>
      <w:divBdr>
        <w:top w:val="none" w:sz="0" w:space="0" w:color="auto"/>
        <w:left w:val="none" w:sz="0" w:space="0" w:color="auto"/>
        <w:bottom w:val="none" w:sz="0" w:space="0" w:color="auto"/>
        <w:right w:val="none" w:sz="0" w:space="0" w:color="auto"/>
      </w:divBdr>
    </w:div>
    <w:div w:id="550728125">
      <w:bodyDiv w:val="1"/>
      <w:marLeft w:val="0"/>
      <w:marRight w:val="0"/>
      <w:marTop w:val="0"/>
      <w:marBottom w:val="0"/>
      <w:divBdr>
        <w:top w:val="none" w:sz="0" w:space="0" w:color="auto"/>
        <w:left w:val="none" w:sz="0" w:space="0" w:color="auto"/>
        <w:bottom w:val="none" w:sz="0" w:space="0" w:color="auto"/>
        <w:right w:val="none" w:sz="0" w:space="0" w:color="auto"/>
      </w:divBdr>
    </w:div>
    <w:div w:id="574634492">
      <w:bodyDiv w:val="1"/>
      <w:marLeft w:val="0"/>
      <w:marRight w:val="0"/>
      <w:marTop w:val="0"/>
      <w:marBottom w:val="0"/>
      <w:divBdr>
        <w:top w:val="none" w:sz="0" w:space="0" w:color="auto"/>
        <w:left w:val="none" w:sz="0" w:space="0" w:color="auto"/>
        <w:bottom w:val="none" w:sz="0" w:space="0" w:color="auto"/>
        <w:right w:val="none" w:sz="0" w:space="0" w:color="auto"/>
      </w:divBdr>
    </w:div>
    <w:div w:id="635986614">
      <w:bodyDiv w:val="1"/>
      <w:marLeft w:val="0"/>
      <w:marRight w:val="0"/>
      <w:marTop w:val="0"/>
      <w:marBottom w:val="0"/>
      <w:divBdr>
        <w:top w:val="none" w:sz="0" w:space="0" w:color="auto"/>
        <w:left w:val="none" w:sz="0" w:space="0" w:color="auto"/>
        <w:bottom w:val="none" w:sz="0" w:space="0" w:color="auto"/>
        <w:right w:val="none" w:sz="0" w:space="0" w:color="auto"/>
      </w:divBdr>
    </w:div>
    <w:div w:id="648635350">
      <w:bodyDiv w:val="1"/>
      <w:marLeft w:val="0"/>
      <w:marRight w:val="0"/>
      <w:marTop w:val="0"/>
      <w:marBottom w:val="0"/>
      <w:divBdr>
        <w:top w:val="none" w:sz="0" w:space="0" w:color="auto"/>
        <w:left w:val="none" w:sz="0" w:space="0" w:color="auto"/>
        <w:bottom w:val="none" w:sz="0" w:space="0" w:color="auto"/>
        <w:right w:val="none" w:sz="0" w:space="0" w:color="auto"/>
      </w:divBdr>
    </w:div>
    <w:div w:id="658462734">
      <w:bodyDiv w:val="1"/>
      <w:marLeft w:val="0"/>
      <w:marRight w:val="0"/>
      <w:marTop w:val="0"/>
      <w:marBottom w:val="0"/>
      <w:divBdr>
        <w:top w:val="none" w:sz="0" w:space="0" w:color="auto"/>
        <w:left w:val="none" w:sz="0" w:space="0" w:color="auto"/>
        <w:bottom w:val="none" w:sz="0" w:space="0" w:color="auto"/>
        <w:right w:val="none" w:sz="0" w:space="0" w:color="auto"/>
      </w:divBdr>
    </w:div>
    <w:div w:id="678510195">
      <w:bodyDiv w:val="1"/>
      <w:marLeft w:val="0"/>
      <w:marRight w:val="0"/>
      <w:marTop w:val="0"/>
      <w:marBottom w:val="0"/>
      <w:divBdr>
        <w:top w:val="none" w:sz="0" w:space="0" w:color="auto"/>
        <w:left w:val="none" w:sz="0" w:space="0" w:color="auto"/>
        <w:bottom w:val="none" w:sz="0" w:space="0" w:color="auto"/>
        <w:right w:val="none" w:sz="0" w:space="0" w:color="auto"/>
      </w:divBdr>
      <w:divsChild>
        <w:div w:id="88435393">
          <w:marLeft w:val="0"/>
          <w:marRight w:val="0"/>
          <w:marTop w:val="0"/>
          <w:marBottom w:val="0"/>
          <w:divBdr>
            <w:top w:val="none" w:sz="0" w:space="0" w:color="auto"/>
            <w:left w:val="none" w:sz="0" w:space="0" w:color="auto"/>
            <w:bottom w:val="none" w:sz="0" w:space="0" w:color="auto"/>
            <w:right w:val="none" w:sz="0" w:space="0" w:color="auto"/>
          </w:divBdr>
          <w:divsChild>
            <w:div w:id="29892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520132">
      <w:bodyDiv w:val="1"/>
      <w:marLeft w:val="0"/>
      <w:marRight w:val="0"/>
      <w:marTop w:val="0"/>
      <w:marBottom w:val="0"/>
      <w:divBdr>
        <w:top w:val="none" w:sz="0" w:space="0" w:color="auto"/>
        <w:left w:val="none" w:sz="0" w:space="0" w:color="auto"/>
        <w:bottom w:val="none" w:sz="0" w:space="0" w:color="auto"/>
        <w:right w:val="none" w:sz="0" w:space="0" w:color="auto"/>
      </w:divBdr>
    </w:div>
    <w:div w:id="744231116">
      <w:bodyDiv w:val="1"/>
      <w:marLeft w:val="0"/>
      <w:marRight w:val="0"/>
      <w:marTop w:val="0"/>
      <w:marBottom w:val="0"/>
      <w:divBdr>
        <w:top w:val="none" w:sz="0" w:space="0" w:color="auto"/>
        <w:left w:val="none" w:sz="0" w:space="0" w:color="auto"/>
        <w:bottom w:val="none" w:sz="0" w:space="0" w:color="auto"/>
        <w:right w:val="none" w:sz="0" w:space="0" w:color="auto"/>
      </w:divBdr>
    </w:div>
    <w:div w:id="775175730">
      <w:bodyDiv w:val="1"/>
      <w:marLeft w:val="0"/>
      <w:marRight w:val="0"/>
      <w:marTop w:val="0"/>
      <w:marBottom w:val="0"/>
      <w:divBdr>
        <w:top w:val="none" w:sz="0" w:space="0" w:color="auto"/>
        <w:left w:val="none" w:sz="0" w:space="0" w:color="auto"/>
        <w:bottom w:val="none" w:sz="0" w:space="0" w:color="auto"/>
        <w:right w:val="none" w:sz="0" w:space="0" w:color="auto"/>
      </w:divBdr>
    </w:div>
    <w:div w:id="778451880">
      <w:bodyDiv w:val="1"/>
      <w:marLeft w:val="0"/>
      <w:marRight w:val="0"/>
      <w:marTop w:val="0"/>
      <w:marBottom w:val="0"/>
      <w:divBdr>
        <w:top w:val="none" w:sz="0" w:space="0" w:color="auto"/>
        <w:left w:val="none" w:sz="0" w:space="0" w:color="auto"/>
        <w:bottom w:val="none" w:sz="0" w:space="0" w:color="auto"/>
        <w:right w:val="none" w:sz="0" w:space="0" w:color="auto"/>
      </w:divBdr>
    </w:div>
    <w:div w:id="809440673">
      <w:bodyDiv w:val="1"/>
      <w:marLeft w:val="0"/>
      <w:marRight w:val="0"/>
      <w:marTop w:val="0"/>
      <w:marBottom w:val="0"/>
      <w:divBdr>
        <w:top w:val="none" w:sz="0" w:space="0" w:color="auto"/>
        <w:left w:val="none" w:sz="0" w:space="0" w:color="auto"/>
        <w:bottom w:val="none" w:sz="0" w:space="0" w:color="auto"/>
        <w:right w:val="none" w:sz="0" w:space="0" w:color="auto"/>
      </w:divBdr>
    </w:div>
    <w:div w:id="881281806">
      <w:bodyDiv w:val="1"/>
      <w:marLeft w:val="0"/>
      <w:marRight w:val="0"/>
      <w:marTop w:val="0"/>
      <w:marBottom w:val="0"/>
      <w:divBdr>
        <w:top w:val="none" w:sz="0" w:space="0" w:color="auto"/>
        <w:left w:val="none" w:sz="0" w:space="0" w:color="auto"/>
        <w:bottom w:val="none" w:sz="0" w:space="0" w:color="auto"/>
        <w:right w:val="none" w:sz="0" w:space="0" w:color="auto"/>
      </w:divBdr>
      <w:divsChild>
        <w:div w:id="349140461">
          <w:marLeft w:val="0"/>
          <w:marRight w:val="0"/>
          <w:marTop w:val="0"/>
          <w:marBottom w:val="0"/>
          <w:divBdr>
            <w:top w:val="none" w:sz="0" w:space="0" w:color="auto"/>
            <w:left w:val="none" w:sz="0" w:space="0" w:color="auto"/>
            <w:bottom w:val="none" w:sz="0" w:space="0" w:color="auto"/>
            <w:right w:val="none" w:sz="0" w:space="0" w:color="auto"/>
          </w:divBdr>
        </w:div>
      </w:divsChild>
    </w:div>
    <w:div w:id="896355446">
      <w:bodyDiv w:val="1"/>
      <w:marLeft w:val="0"/>
      <w:marRight w:val="0"/>
      <w:marTop w:val="0"/>
      <w:marBottom w:val="0"/>
      <w:divBdr>
        <w:top w:val="none" w:sz="0" w:space="0" w:color="auto"/>
        <w:left w:val="none" w:sz="0" w:space="0" w:color="auto"/>
        <w:bottom w:val="none" w:sz="0" w:space="0" w:color="auto"/>
        <w:right w:val="none" w:sz="0" w:space="0" w:color="auto"/>
      </w:divBdr>
    </w:div>
    <w:div w:id="909583217">
      <w:bodyDiv w:val="1"/>
      <w:marLeft w:val="0"/>
      <w:marRight w:val="0"/>
      <w:marTop w:val="0"/>
      <w:marBottom w:val="0"/>
      <w:divBdr>
        <w:top w:val="none" w:sz="0" w:space="0" w:color="auto"/>
        <w:left w:val="none" w:sz="0" w:space="0" w:color="auto"/>
        <w:bottom w:val="none" w:sz="0" w:space="0" w:color="auto"/>
        <w:right w:val="none" w:sz="0" w:space="0" w:color="auto"/>
      </w:divBdr>
    </w:div>
    <w:div w:id="913667226">
      <w:bodyDiv w:val="1"/>
      <w:marLeft w:val="0"/>
      <w:marRight w:val="0"/>
      <w:marTop w:val="0"/>
      <w:marBottom w:val="0"/>
      <w:divBdr>
        <w:top w:val="none" w:sz="0" w:space="0" w:color="auto"/>
        <w:left w:val="none" w:sz="0" w:space="0" w:color="auto"/>
        <w:bottom w:val="none" w:sz="0" w:space="0" w:color="auto"/>
        <w:right w:val="none" w:sz="0" w:space="0" w:color="auto"/>
      </w:divBdr>
      <w:divsChild>
        <w:div w:id="520976347">
          <w:marLeft w:val="0"/>
          <w:marRight w:val="0"/>
          <w:marTop w:val="0"/>
          <w:marBottom w:val="0"/>
          <w:divBdr>
            <w:top w:val="none" w:sz="0" w:space="0" w:color="auto"/>
            <w:left w:val="none" w:sz="0" w:space="0" w:color="auto"/>
            <w:bottom w:val="none" w:sz="0" w:space="0" w:color="auto"/>
            <w:right w:val="none" w:sz="0" w:space="0" w:color="auto"/>
          </w:divBdr>
        </w:div>
        <w:div w:id="1199511602">
          <w:marLeft w:val="0"/>
          <w:marRight w:val="0"/>
          <w:marTop w:val="0"/>
          <w:marBottom w:val="0"/>
          <w:divBdr>
            <w:top w:val="none" w:sz="0" w:space="0" w:color="auto"/>
            <w:left w:val="none" w:sz="0" w:space="0" w:color="auto"/>
            <w:bottom w:val="none" w:sz="0" w:space="0" w:color="auto"/>
            <w:right w:val="none" w:sz="0" w:space="0" w:color="auto"/>
          </w:divBdr>
        </w:div>
        <w:div w:id="1072120778">
          <w:marLeft w:val="0"/>
          <w:marRight w:val="0"/>
          <w:marTop w:val="0"/>
          <w:marBottom w:val="0"/>
          <w:divBdr>
            <w:top w:val="none" w:sz="0" w:space="0" w:color="auto"/>
            <w:left w:val="none" w:sz="0" w:space="0" w:color="auto"/>
            <w:bottom w:val="none" w:sz="0" w:space="0" w:color="auto"/>
            <w:right w:val="none" w:sz="0" w:space="0" w:color="auto"/>
          </w:divBdr>
        </w:div>
        <w:div w:id="967079310">
          <w:marLeft w:val="0"/>
          <w:marRight w:val="0"/>
          <w:marTop w:val="0"/>
          <w:marBottom w:val="0"/>
          <w:divBdr>
            <w:top w:val="none" w:sz="0" w:space="0" w:color="auto"/>
            <w:left w:val="none" w:sz="0" w:space="0" w:color="auto"/>
            <w:bottom w:val="none" w:sz="0" w:space="0" w:color="auto"/>
            <w:right w:val="none" w:sz="0" w:space="0" w:color="auto"/>
          </w:divBdr>
        </w:div>
        <w:div w:id="1667710001">
          <w:marLeft w:val="0"/>
          <w:marRight w:val="0"/>
          <w:marTop w:val="0"/>
          <w:marBottom w:val="0"/>
          <w:divBdr>
            <w:top w:val="none" w:sz="0" w:space="0" w:color="auto"/>
            <w:left w:val="none" w:sz="0" w:space="0" w:color="auto"/>
            <w:bottom w:val="none" w:sz="0" w:space="0" w:color="auto"/>
            <w:right w:val="none" w:sz="0" w:space="0" w:color="auto"/>
          </w:divBdr>
        </w:div>
        <w:div w:id="833187335">
          <w:marLeft w:val="0"/>
          <w:marRight w:val="0"/>
          <w:marTop w:val="0"/>
          <w:marBottom w:val="0"/>
          <w:divBdr>
            <w:top w:val="none" w:sz="0" w:space="0" w:color="auto"/>
            <w:left w:val="none" w:sz="0" w:space="0" w:color="auto"/>
            <w:bottom w:val="none" w:sz="0" w:space="0" w:color="auto"/>
            <w:right w:val="none" w:sz="0" w:space="0" w:color="auto"/>
          </w:divBdr>
        </w:div>
      </w:divsChild>
    </w:div>
    <w:div w:id="969941354">
      <w:bodyDiv w:val="1"/>
      <w:marLeft w:val="0"/>
      <w:marRight w:val="0"/>
      <w:marTop w:val="0"/>
      <w:marBottom w:val="0"/>
      <w:divBdr>
        <w:top w:val="none" w:sz="0" w:space="0" w:color="auto"/>
        <w:left w:val="none" w:sz="0" w:space="0" w:color="auto"/>
        <w:bottom w:val="none" w:sz="0" w:space="0" w:color="auto"/>
        <w:right w:val="none" w:sz="0" w:space="0" w:color="auto"/>
      </w:divBdr>
    </w:div>
    <w:div w:id="1002929065">
      <w:bodyDiv w:val="1"/>
      <w:marLeft w:val="0"/>
      <w:marRight w:val="0"/>
      <w:marTop w:val="0"/>
      <w:marBottom w:val="0"/>
      <w:divBdr>
        <w:top w:val="none" w:sz="0" w:space="0" w:color="auto"/>
        <w:left w:val="none" w:sz="0" w:space="0" w:color="auto"/>
        <w:bottom w:val="none" w:sz="0" w:space="0" w:color="auto"/>
        <w:right w:val="none" w:sz="0" w:space="0" w:color="auto"/>
      </w:divBdr>
    </w:div>
    <w:div w:id="1010058407">
      <w:bodyDiv w:val="1"/>
      <w:marLeft w:val="0"/>
      <w:marRight w:val="0"/>
      <w:marTop w:val="0"/>
      <w:marBottom w:val="0"/>
      <w:divBdr>
        <w:top w:val="none" w:sz="0" w:space="0" w:color="auto"/>
        <w:left w:val="none" w:sz="0" w:space="0" w:color="auto"/>
        <w:bottom w:val="none" w:sz="0" w:space="0" w:color="auto"/>
        <w:right w:val="none" w:sz="0" w:space="0" w:color="auto"/>
      </w:divBdr>
    </w:div>
    <w:div w:id="1049039544">
      <w:bodyDiv w:val="1"/>
      <w:marLeft w:val="0"/>
      <w:marRight w:val="0"/>
      <w:marTop w:val="0"/>
      <w:marBottom w:val="0"/>
      <w:divBdr>
        <w:top w:val="none" w:sz="0" w:space="0" w:color="auto"/>
        <w:left w:val="none" w:sz="0" w:space="0" w:color="auto"/>
        <w:bottom w:val="none" w:sz="0" w:space="0" w:color="auto"/>
        <w:right w:val="none" w:sz="0" w:space="0" w:color="auto"/>
      </w:divBdr>
    </w:div>
    <w:div w:id="1065420007">
      <w:bodyDiv w:val="1"/>
      <w:marLeft w:val="0"/>
      <w:marRight w:val="0"/>
      <w:marTop w:val="0"/>
      <w:marBottom w:val="0"/>
      <w:divBdr>
        <w:top w:val="none" w:sz="0" w:space="0" w:color="auto"/>
        <w:left w:val="none" w:sz="0" w:space="0" w:color="auto"/>
        <w:bottom w:val="none" w:sz="0" w:space="0" w:color="auto"/>
        <w:right w:val="none" w:sz="0" w:space="0" w:color="auto"/>
      </w:divBdr>
    </w:div>
    <w:div w:id="1101295686">
      <w:bodyDiv w:val="1"/>
      <w:marLeft w:val="0"/>
      <w:marRight w:val="0"/>
      <w:marTop w:val="0"/>
      <w:marBottom w:val="0"/>
      <w:divBdr>
        <w:top w:val="none" w:sz="0" w:space="0" w:color="auto"/>
        <w:left w:val="none" w:sz="0" w:space="0" w:color="auto"/>
        <w:bottom w:val="none" w:sz="0" w:space="0" w:color="auto"/>
        <w:right w:val="none" w:sz="0" w:space="0" w:color="auto"/>
      </w:divBdr>
      <w:divsChild>
        <w:div w:id="1096749199">
          <w:marLeft w:val="0"/>
          <w:marRight w:val="0"/>
          <w:marTop w:val="0"/>
          <w:marBottom w:val="0"/>
          <w:divBdr>
            <w:top w:val="none" w:sz="0" w:space="0" w:color="auto"/>
            <w:left w:val="none" w:sz="0" w:space="0" w:color="auto"/>
            <w:bottom w:val="none" w:sz="0" w:space="0" w:color="auto"/>
            <w:right w:val="none" w:sz="0" w:space="0" w:color="auto"/>
          </w:divBdr>
          <w:divsChild>
            <w:div w:id="119134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722951">
      <w:bodyDiv w:val="1"/>
      <w:marLeft w:val="0"/>
      <w:marRight w:val="0"/>
      <w:marTop w:val="0"/>
      <w:marBottom w:val="0"/>
      <w:divBdr>
        <w:top w:val="none" w:sz="0" w:space="0" w:color="auto"/>
        <w:left w:val="none" w:sz="0" w:space="0" w:color="auto"/>
        <w:bottom w:val="none" w:sz="0" w:space="0" w:color="auto"/>
        <w:right w:val="none" w:sz="0" w:space="0" w:color="auto"/>
      </w:divBdr>
    </w:div>
    <w:div w:id="1140343580">
      <w:bodyDiv w:val="1"/>
      <w:marLeft w:val="0"/>
      <w:marRight w:val="0"/>
      <w:marTop w:val="0"/>
      <w:marBottom w:val="0"/>
      <w:divBdr>
        <w:top w:val="none" w:sz="0" w:space="0" w:color="auto"/>
        <w:left w:val="none" w:sz="0" w:space="0" w:color="auto"/>
        <w:bottom w:val="none" w:sz="0" w:space="0" w:color="auto"/>
        <w:right w:val="none" w:sz="0" w:space="0" w:color="auto"/>
      </w:divBdr>
    </w:div>
    <w:div w:id="1147207979">
      <w:bodyDiv w:val="1"/>
      <w:marLeft w:val="0"/>
      <w:marRight w:val="0"/>
      <w:marTop w:val="0"/>
      <w:marBottom w:val="0"/>
      <w:divBdr>
        <w:top w:val="none" w:sz="0" w:space="0" w:color="auto"/>
        <w:left w:val="none" w:sz="0" w:space="0" w:color="auto"/>
        <w:bottom w:val="none" w:sz="0" w:space="0" w:color="auto"/>
        <w:right w:val="none" w:sz="0" w:space="0" w:color="auto"/>
      </w:divBdr>
    </w:div>
    <w:div w:id="1196625098">
      <w:bodyDiv w:val="1"/>
      <w:marLeft w:val="0"/>
      <w:marRight w:val="0"/>
      <w:marTop w:val="0"/>
      <w:marBottom w:val="0"/>
      <w:divBdr>
        <w:top w:val="none" w:sz="0" w:space="0" w:color="auto"/>
        <w:left w:val="none" w:sz="0" w:space="0" w:color="auto"/>
        <w:bottom w:val="none" w:sz="0" w:space="0" w:color="auto"/>
        <w:right w:val="none" w:sz="0" w:space="0" w:color="auto"/>
      </w:divBdr>
    </w:div>
    <w:div w:id="1215311586">
      <w:bodyDiv w:val="1"/>
      <w:marLeft w:val="0"/>
      <w:marRight w:val="0"/>
      <w:marTop w:val="0"/>
      <w:marBottom w:val="0"/>
      <w:divBdr>
        <w:top w:val="none" w:sz="0" w:space="0" w:color="auto"/>
        <w:left w:val="none" w:sz="0" w:space="0" w:color="auto"/>
        <w:bottom w:val="none" w:sz="0" w:space="0" w:color="auto"/>
        <w:right w:val="none" w:sz="0" w:space="0" w:color="auto"/>
      </w:divBdr>
      <w:divsChild>
        <w:div w:id="1006396328">
          <w:marLeft w:val="0"/>
          <w:marRight w:val="0"/>
          <w:marTop w:val="0"/>
          <w:marBottom w:val="0"/>
          <w:divBdr>
            <w:top w:val="none" w:sz="0" w:space="0" w:color="auto"/>
            <w:left w:val="none" w:sz="0" w:space="0" w:color="auto"/>
            <w:bottom w:val="none" w:sz="0" w:space="0" w:color="auto"/>
            <w:right w:val="none" w:sz="0" w:space="0" w:color="auto"/>
          </w:divBdr>
        </w:div>
      </w:divsChild>
    </w:div>
    <w:div w:id="1226454456">
      <w:bodyDiv w:val="1"/>
      <w:marLeft w:val="0"/>
      <w:marRight w:val="0"/>
      <w:marTop w:val="0"/>
      <w:marBottom w:val="0"/>
      <w:divBdr>
        <w:top w:val="none" w:sz="0" w:space="0" w:color="auto"/>
        <w:left w:val="none" w:sz="0" w:space="0" w:color="auto"/>
        <w:bottom w:val="none" w:sz="0" w:space="0" w:color="auto"/>
        <w:right w:val="none" w:sz="0" w:space="0" w:color="auto"/>
      </w:divBdr>
    </w:div>
    <w:div w:id="1241792123">
      <w:bodyDiv w:val="1"/>
      <w:marLeft w:val="0"/>
      <w:marRight w:val="0"/>
      <w:marTop w:val="0"/>
      <w:marBottom w:val="0"/>
      <w:divBdr>
        <w:top w:val="none" w:sz="0" w:space="0" w:color="auto"/>
        <w:left w:val="none" w:sz="0" w:space="0" w:color="auto"/>
        <w:bottom w:val="none" w:sz="0" w:space="0" w:color="auto"/>
        <w:right w:val="none" w:sz="0" w:space="0" w:color="auto"/>
      </w:divBdr>
    </w:div>
    <w:div w:id="1269043040">
      <w:bodyDiv w:val="1"/>
      <w:marLeft w:val="0"/>
      <w:marRight w:val="0"/>
      <w:marTop w:val="0"/>
      <w:marBottom w:val="0"/>
      <w:divBdr>
        <w:top w:val="none" w:sz="0" w:space="0" w:color="auto"/>
        <w:left w:val="none" w:sz="0" w:space="0" w:color="auto"/>
        <w:bottom w:val="none" w:sz="0" w:space="0" w:color="auto"/>
        <w:right w:val="none" w:sz="0" w:space="0" w:color="auto"/>
      </w:divBdr>
    </w:div>
    <w:div w:id="1277255304">
      <w:bodyDiv w:val="1"/>
      <w:marLeft w:val="0"/>
      <w:marRight w:val="0"/>
      <w:marTop w:val="0"/>
      <w:marBottom w:val="0"/>
      <w:divBdr>
        <w:top w:val="none" w:sz="0" w:space="0" w:color="auto"/>
        <w:left w:val="none" w:sz="0" w:space="0" w:color="auto"/>
        <w:bottom w:val="none" w:sz="0" w:space="0" w:color="auto"/>
        <w:right w:val="none" w:sz="0" w:space="0" w:color="auto"/>
      </w:divBdr>
    </w:div>
    <w:div w:id="1289356374">
      <w:bodyDiv w:val="1"/>
      <w:marLeft w:val="0"/>
      <w:marRight w:val="0"/>
      <w:marTop w:val="0"/>
      <w:marBottom w:val="0"/>
      <w:divBdr>
        <w:top w:val="none" w:sz="0" w:space="0" w:color="auto"/>
        <w:left w:val="none" w:sz="0" w:space="0" w:color="auto"/>
        <w:bottom w:val="none" w:sz="0" w:space="0" w:color="auto"/>
        <w:right w:val="none" w:sz="0" w:space="0" w:color="auto"/>
      </w:divBdr>
    </w:div>
    <w:div w:id="1294940810">
      <w:bodyDiv w:val="1"/>
      <w:marLeft w:val="0"/>
      <w:marRight w:val="0"/>
      <w:marTop w:val="0"/>
      <w:marBottom w:val="0"/>
      <w:divBdr>
        <w:top w:val="none" w:sz="0" w:space="0" w:color="auto"/>
        <w:left w:val="none" w:sz="0" w:space="0" w:color="auto"/>
        <w:bottom w:val="none" w:sz="0" w:space="0" w:color="auto"/>
        <w:right w:val="none" w:sz="0" w:space="0" w:color="auto"/>
      </w:divBdr>
    </w:div>
    <w:div w:id="1320379538">
      <w:bodyDiv w:val="1"/>
      <w:marLeft w:val="0"/>
      <w:marRight w:val="0"/>
      <w:marTop w:val="0"/>
      <w:marBottom w:val="0"/>
      <w:divBdr>
        <w:top w:val="none" w:sz="0" w:space="0" w:color="auto"/>
        <w:left w:val="none" w:sz="0" w:space="0" w:color="auto"/>
        <w:bottom w:val="none" w:sz="0" w:space="0" w:color="auto"/>
        <w:right w:val="none" w:sz="0" w:space="0" w:color="auto"/>
      </w:divBdr>
    </w:div>
    <w:div w:id="1333067960">
      <w:bodyDiv w:val="1"/>
      <w:marLeft w:val="0"/>
      <w:marRight w:val="0"/>
      <w:marTop w:val="0"/>
      <w:marBottom w:val="0"/>
      <w:divBdr>
        <w:top w:val="none" w:sz="0" w:space="0" w:color="auto"/>
        <w:left w:val="none" w:sz="0" w:space="0" w:color="auto"/>
        <w:bottom w:val="none" w:sz="0" w:space="0" w:color="auto"/>
        <w:right w:val="none" w:sz="0" w:space="0" w:color="auto"/>
      </w:divBdr>
    </w:div>
    <w:div w:id="1400982164">
      <w:bodyDiv w:val="1"/>
      <w:marLeft w:val="0"/>
      <w:marRight w:val="0"/>
      <w:marTop w:val="0"/>
      <w:marBottom w:val="0"/>
      <w:divBdr>
        <w:top w:val="none" w:sz="0" w:space="0" w:color="auto"/>
        <w:left w:val="none" w:sz="0" w:space="0" w:color="auto"/>
        <w:bottom w:val="none" w:sz="0" w:space="0" w:color="auto"/>
        <w:right w:val="none" w:sz="0" w:space="0" w:color="auto"/>
      </w:divBdr>
    </w:div>
    <w:div w:id="1408186938">
      <w:bodyDiv w:val="1"/>
      <w:marLeft w:val="0"/>
      <w:marRight w:val="0"/>
      <w:marTop w:val="0"/>
      <w:marBottom w:val="0"/>
      <w:divBdr>
        <w:top w:val="none" w:sz="0" w:space="0" w:color="auto"/>
        <w:left w:val="none" w:sz="0" w:space="0" w:color="auto"/>
        <w:bottom w:val="none" w:sz="0" w:space="0" w:color="auto"/>
        <w:right w:val="none" w:sz="0" w:space="0" w:color="auto"/>
      </w:divBdr>
    </w:div>
    <w:div w:id="1427582446">
      <w:bodyDiv w:val="1"/>
      <w:marLeft w:val="0"/>
      <w:marRight w:val="0"/>
      <w:marTop w:val="0"/>
      <w:marBottom w:val="0"/>
      <w:divBdr>
        <w:top w:val="none" w:sz="0" w:space="0" w:color="auto"/>
        <w:left w:val="none" w:sz="0" w:space="0" w:color="auto"/>
        <w:bottom w:val="none" w:sz="0" w:space="0" w:color="auto"/>
        <w:right w:val="none" w:sz="0" w:space="0" w:color="auto"/>
      </w:divBdr>
    </w:div>
    <w:div w:id="1516966400">
      <w:bodyDiv w:val="1"/>
      <w:marLeft w:val="0"/>
      <w:marRight w:val="0"/>
      <w:marTop w:val="0"/>
      <w:marBottom w:val="0"/>
      <w:divBdr>
        <w:top w:val="none" w:sz="0" w:space="0" w:color="auto"/>
        <w:left w:val="none" w:sz="0" w:space="0" w:color="auto"/>
        <w:bottom w:val="none" w:sz="0" w:space="0" w:color="auto"/>
        <w:right w:val="none" w:sz="0" w:space="0" w:color="auto"/>
      </w:divBdr>
    </w:div>
    <w:div w:id="1526285886">
      <w:bodyDiv w:val="1"/>
      <w:marLeft w:val="0"/>
      <w:marRight w:val="0"/>
      <w:marTop w:val="0"/>
      <w:marBottom w:val="0"/>
      <w:divBdr>
        <w:top w:val="none" w:sz="0" w:space="0" w:color="auto"/>
        <w:left w:val="none" w:sz="0" w:space="0" w:color="auto"/>
        <w:bottom w:val="none" w:sz="0" w:space="0" w:color="auto"/>
        <w:right w:val="none" w:sz="0" w:space="0" w:color="auto"/>
      </w:divBdr>
    </w:div>
    <w:div w:id="1532718967">
      <w:bodyDiv w:val="1"/>
      <w:marLeft w:val="0"/>
      <w:marRight w:val="0"/>
      <w:marTop w:val="0"/>
      <w:marBottom w:val="0"/>
      <w:divBdr>
        <w:top w:val="none" w:sz="0" w:space="0" w:color="auto"/>
        <w:left w:val="none" w:sz="0" w:space="0" w:color="auto"/>
        <w:bottom w:val="none" w:sz="0" w:space="0" w:color="auto"/>
        <w:right w:val="none" w:sz="0" w:space="0" w:color="auto"/>
      </w:divBdr>
      <w:divsChild>
        <w:div w:id="472605785">
          <w:marLeft w:val="0"/>
          <w:marRight w:val="0"/>
          <w:marTop w:val="0"/>
          <w:marBottom w:val="0"/>
          <w:divBdr>
            <w:top w:val="none" w:sz="0" w:space="0" w:color="auto"/>
            <w:left w:val="none" w:sz="0" w:space="0" w:color="auto"/>
            <w:bottom w:val="none" w:sz="0" w:space="0" w:color="auto"/>
            <w:right w:val="none" w:sz="0" w:space="0" w:color="auto"/>
          </w:divBdr>
        </w:div>
      </w:divsChild>
    </w:div>
    <w:div w:id="1544294382">
      <w:bodyDiv w:val="1"/>
      <w:marLeft w:val="0"/>
      <w:marRight w:val="0"/>
      <w:marTop w:val="0"/>
      <w:marBottom w:val="0"/>
      <w:divBdr>
        <w:top w:val="none" w:sz="0" w:space="0" w:color="auto"/>
        <w:left w:val="none" w:sz="0" w:space="0" w:color="auto"/>
        <w:bottom w:val="none" w:sz="0" w:space="0" w:color="auto"/>
        <w:right w:val="none" w:sz="0" w:space="0" w:color="auto"/>
      </w:divBdr>
    </w:div>
    <w:div w:id="1547181029">
      <w:bodyDiv w:val="1"/>
      <w:marLeft w:val="0"/>
      <w:marRight w:val="0"/>
      <w:marTop w:val="0"/>
      <w:marBottom w:val="0"/>
      <w:divBdr>
        <w:top w:val="none" w:sz="0" w:space="0" w:color="auto"/>
        <w:left w:val="none" w:sz="0" w:space="0" w:color="auto"/>
        <w:bottom w:val="none" w:sz="0" w:space="0" w:color="auto"/>
        <w:right w:val="none" w:sz="0" w:space="0" w:color="auto"/>
      </w:divBdr>
    </w:div>
    <w:div w:id="1551303453">
      <w:bodyDiv w:val="1"/>
      <w:marLeft w:val="0"/>
      <w:marRight w:val="0"/>
      <w:marTop w:val="0"/>
      <w:marBottom w:val="0"/>
      <w:divBdr>
        <w:top w:val="none" w:sz="0" w:space="0" w:color="auto"/>
        <w:left w:val="none" w:sz="0" w:space="0" w:color="auto"/>
        <w:bottom w:val="none" w:sz="0" w:space="0" w:color="auto"/>
        <w:right w:val="none" w:sz="0" w:space="0" w:color="auto"/>
      </w:divBdr>
    </w:div>
    <w:div w:id="1578130212">
      <w:bodyDiv w:val="1"/>
      <w:marLeft w:val="0"/>
      <w:marRight w:val="0"/>
      <w:marTop w:val="0"/>
      <w:marBottom w:val="0"/>
      <w:divBdr>
        <w:top w:val="none" w:sz="0" w:space="0" w:color="auto"/>
        <w:left w:val="none" w:sz="0" w:space="0" w:color="auto"/>
        <w:bottom w:val="none" w:sz="0" w:space="0" w:color="auto"/>
        <w:right w:val="none" w:sz="0" w:space="0" w:color="auto"/>
      </w:divBdr>
    </w:div>
    <w:div w:id="1585455021">
      <w:bodyDiv w:val="1"/>
      <w:marLeft w:val="0"/>
      <w:marRight w:val="0"/>
      <w:marTop w:val="0"/>
      <w:marBottom w:val="0"/>
      <w:divBdr>
        <w:top w:val="none" w:sz="0" w:space="0" w:color="auto"/>
        <w:left w:val="none" w:sz="0" w:space="0" w:color="auto"/>
        <w:bottom w:val="none" w:sz="0" w:space="0" w:color="auto"/>
        <w:right w:val="none" w:sz="0" w:space="0" w:color="auto"/>
      </w:divBdr>
    </w:div>
    <w:div w:id="1596282656">
      <w:bodyDiv w:val="1"/>
      <w:marLeft w:val="0"/>
      <w:marRight w:val="0"/>
      <w:marTop w:val="0"/>
      <w:marBottom w:val="0"/>
      <w:divBdr>
        <w:top w:val="none" w:sz="0" w:space="0" w:color="auto"/>
        <w:left w:val="none" w:sz="0" w:space="0" w:color="auto"/>
        <w:bottom w:val="none" w:sz="0" w:space="0" w:color="auto"/>
        <w:right w:val="none" w:sz="0" w:space="0" w:color="auto"/>
      </w:divBdr>
    </w:div>
    <w:div w:id="1598171931">
      <w:bodyDiv w:val="1"/>
      <w:marLeft w:val="0"/>
      <w:marRight w:val="0"/>
      <w:marTop w:val="0"/>
      <w:marBottom w:val="0"/>
      <w:divBdr>
        <w:top w:val="none" w:sz="0" w:space="0" w:color="auto"/>
        <w:left w:val="none" w:sz="0" w:space="0" w:color="auto"/>
        <w:bottom w:val="none" w:sz="0" w:space="0" w:color="auto"/>
        <w:right w:val="none" w:sz="0" w:space="0" w:color="auto"/>
      </w:divBdr>
    </w:div>
    <w:div w:id="1652710822">
      <w:bodyDiv w:val="1"/>
      <w:marLeft w:val="0"/>
      <w:marRight w:val="0"/>
      <w:marTop w:val="0"/>
      <w:marBottom w:val="0"/>
      <w:divBdr>
        <w:top w:val="none" w:sz="0" w:space="0" w:color="auto"/>
        <w:left w:val="none" w:sz="0" w:space="0" w:color="auto"/>
        <w:bottom w:val="none" w:sz="0" w:space="0" w:color="auto"/>
        <w:right w:val="none" w:sz="0" w:space="0" w:color="auto"/>
      </w:divBdr>
    </w:div>
    <w:div w:id="1660498756">
      <w:bodyDiv w:val="1"/>
      <w:marLeft w:val="0"/>
      <w:marRight w:val="0"/>
      <w:marTop w:val="0"/>
      <w:marBottom w:val="0"/>
      <w:divBdr>
        <w:top w:val="none" w:sz="0" w:space="0" w:color="auto"/>
        <w:left w:val="none" w:sz="0" w:space="0" w:color="auto"/>
        <w:bottom w:val="none" w:sz="0" w:space="0" w:color="auto"/>
        <w:right w:val="none" w:sz="0" w:space="0" w:color="auto"/>
      </w:divBdr>
    </w:div>
    <w:div w:id="1673606185">
      <w:bodyDiv w:val="1"/>
      <w:marLeft w:val="0"/>
      <w:marRight w:val="0"/>
      <w:marTop w:val="0"/>
      <w:marBottom w:val="0"/>
      <w:divBdr>
        <w:top w:val="none" w:sz="0" w:space="0" w:color="auto"/>
        <w:left w:val="none" w:sz="0" w:space="0" w:color="auto"/>
        <w:bottom w:val="none" w:sz="0" w:space="0" w:color="auto"/>
        <w:right w:val="none" w:sz="0" w:space="0" w:color="auto"/>
      </w:divBdr>
    </w:div>
    <w:div w:id="1707217726">
      <w:bodyDiv w:val="1"/>
      <w:marLeft w:val="0"/>
      <w:marRight w:val="0"/>
      <w:marTop w:val="0"/>
      <w:marBottom w:val="0"/>
      <w:divBdr>
        <w:top w:val="none" w:sz="0" w:space="0" w:color="auto"/>
        <w:left w:val="none" w:sz="0" w:space="0" w:color="auto"/>
        <w:bottom w:val="none" w:sz="0" w:space="0" w:color="auto"/>
        <w:right w:val="none" w:sz="0" w:space="0" w:color="auto"/>
      </w:divBdr>
      <w:divsChild>
        <w:div w:id="1178347292">
          <w:marLeft w:val="0"/>
          <w:marRight w:val="0"/>
          <w:marTop w:val="0"/>
          <w:marBottom w:val="0"/>
          <w:divBdr>
            <w:top w:val="none" w:sz="0" w:space="0" w:color="auto"/>
            <w:left w:val="none" w:sz="0" w:space="0" w:color="auto"/>
            <w:bottom w:val="none" w:sz="0" w:space="0" w:color="auto"/>
            <w:right w:val="none" w:sz="0" w:space="0" w:color="auto"/>
          </w:divBdr>
        </w:div>
        <w:div w:id="1605991541">
          <w:marLeft w:val="0"/>
          <w:marRight w:val="0"/>
          <w:marTop w:val="0"/>
          <w:marBottom w:val="0"/>
          <w:divBdr>
            <w:top w:val="none" w:sz="0" w:space="0" w:color="auto"/>
            <w:left w:val="none" w:sz="0" w:space="0" w:color="auto"/>
            <w:bottom w:val="none" w:sz="0" w:space="0" w:color="auto"/>
            <w:right w:val="none" w:sz="0" w:space="0" w:color="auto"/>
          </w:divBdr>
        </w:div>
        <w:div w:id="963148194">
          <w:marLeft w:val="0"/>
          <w:marRight w:val="0"/>
          <w:marTop w:val="0"/>
          <w:marBottom w:val="0"/>
          <w:divBdr>
            <w:top w:val="none" w:sz="0" w:space="0" w:color="auto"/>
            <w:left w:val="none" w:sz="0" w:space="0" w:color="auto"/>
            <w:bottom w:val="none" w:sz="0" w:space="0" w:color="auto"/>
            <w:right w:val="none" w:sz="0" w:space="0" w:color="auto"/>
          </w:divBdr>
        </w:div>
      </w:divsChild>
    </w:div>
    <w:div w:id="1748842053">
      <w:bodyDiv w:val="1"/>
      <w:marLeft w:val="0"/>
      <w:marRight w:val="0"/>
      <w:marTop w:val="0"/>
      <w:marBottom w:val="0"/>
      <w:divBdr>
        <w:top w:val="none" w:sz="0" w:space="0" w:color="auto"/>
        <w:left w:val="none" w:sz="0" w:space="0" w:color="auto"/>
        <w:bottom w:val="none" w:sz="0" w:space="0" w:color="auto"/>
        <w:right w:val="none" w:sz="0" w:space="0" w:color="auto"/>
      </w:divBdr>
    </w:div>
    <w:div w:id="1751853343">
      <w:bodyDiv w:val="1"/>
      <w:marLeft w:val="0"/>
      <w:marRight w:val="0"/>
      <w:marTop w:val="0"/>
      <w:marBottom w:val="0"/>
      <w:divBdr>
        <w:top w:val="none" w:sz="0" w:space="0" w:color="auto"/>
        <w:left w:val="none" w:sz="0" w:space="0" w:color="auto"/>
        <w:bottom w:val="none" w:sz="0" w:space="0" w:color="auto"/>
        <w:right w:val="none" w:sz="0" w:space="0" w:color="auto"/>
      </w:divBdr>
    </w:div>
    <w:div w:id="1768193451">
      <w:bodyDiv w:val="1"/>
      <w:marLeft w:val="0"/>
      <w:marRight w:val="0"/>
      <w:marTop w:val="0"/>
      <w:marBottom w:val="0"/>
      <w:divBdr>
        <w:top w:val="none" w:sz="0" w:space="0" w:color="auto"/>
        <w:left w:val="none" w:sz="0" w:space="0" w:color="auto"/>
        <w:bottom w:val="none" w:sz="0" w:space="0" w:color="auto"/>
        <w:right w:val="none" w:sz="0" w:space="0" w:color="auto"/>
      </w:divBdr>
      <w:divsChild>
        <w:div w:id="2111854741">
          <w:marLeft w:val="0"/>
          <w:marRight w:val="0"/>
          <w:marTop w:val="0"/>
          <w:marBottom w:val="0"/>
          <w:divBdr>
            <w:top w:val="none" w:sz="0" w:space="0" w:color="auto"/>
            <w:left w:val="none" w:sz="0" w:space="0" w:color="auto"/>
            <w:bottom w:val="none" w:sz="0" w:space="0" w:color="auto"/>
            <w:right w:val="none" w:sz="0" w:space="0" w:color="auto"/>
          </w:divBdr>
          <w:divsChild>
            <w:div w:id="555702485">
              <w:marLeft w:val="0"/>
              <w:marRight w:val="0"/>
              <w:marTop w:val="0"/>
              <w:marBottom w:val="0"/>
              <w:divBdr>
                <w:top w:val="none" w:sz="0" w:space="0" w:color="auto"/>
                <w:left w:val="none" w:sz="0" w:space="0" w:color="auto"/>
                <w:bottom w:val="none" w:sz="0" w:space="0" w:color="auto"/>
                <w:right w:val="none" w:sz="0" w:space="0" w:color="auto"/>
              </w:divBdr>
              <w:divsChild>
                <w:div w:id="831718438">
                  <w:marLeft w:val="0"/>
                  <w:marRight w:val="0"/>
                  <w:marTop w:val="0"/>
                  <w:marBottom w:val="0"/>
                  <w:divBdr>
                    <w:top w:val="none" w:sz="0" w:space="0" w:color="auto"/>
                    <w:left w:val="none" w:sz="0" w:space="0" w:color="auto"/>
                    <w:bottom w:val="none" w:sz="0" w:space="0" w:color="auto"/>
                    <w:right w:val="none" w:sz="0" w:space="0" w:color="auto"/>
                  </w:divBdr>
                  <w:divsChild>
                    <w:div w:id="1990357715">
                      <w:marLeft w:val="0"/>
                      <w:marRight w:val="0"/>
                      <w:marTop w:val="0"/>
                      <w:marBottom w:val="0"/>
                      <w:divBdr>
                        <w:top w:val="none" w:sz="0" w:space="0" w:color="auto"/>
                        <w:left w:val="none" w:sz="0" w:space="0" w:color="auto"/>
                        <w:bottom w:val="none" w:sz="0" w:space="0" w:color="auto"/>
                        <w:right w:val="none" w:sz="0" w:space="0" w:color="auto"/>
                      </w:divBdr>
                      <w:divsChild>
                        <w:div w:id="1809008731">
                          <w:marLeft w:val="0"/>
                          <w:marRight w:val="0"/>
                          <w:marTop w:val="0"/>
                          <w:marBottom w:val="0"/>
                          <w:divBdr>
                            <w:top w:val="none" w:sz="0" w:space="0" w:color="auto"/>
                            <w:left w:val="none" w:sz="0" w:space="0" w:color="auto"/>
                            <w:bottom w:val="none" w:sz="0" w:space="0" w:color="auto"/>
                            <w:right w:val="none" w:sz="0" w:space="0" w:color="auto"/>
                          </w:divBdr>
                          <w:divsChild>
                            <w:div w:id="56572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8841648">
      <w:bodyDiv w:val="1"/>
      <w:marLeft w:val="0"/>
      <w:marRight w:val="0"/>
      <w:marTop w:val="0"/>
      <w:marBottom w:val="0"/>
      <w:divBdr>
        <w:top w:val="none" w:sz="0" w:space="0" w:color="auto"/>
        <w:left w:val="none" w:sz="0" w:space="0" w:color="auto"/>
        <w:bottom w:val="none" w:sz="0" w:space="0" w:color="auto"/>
        <w:right w:val="none" w:sz="0" w:space="0" w:color="auto"/>
      </w:divBdr>
    </w:div>
    <w:div w:id="1769155587">
      <w:bodyDiv w:val="1"/>
      <w:marLeft w:val="0"/>
      <w:marRight w:val="0"/>
      <w:marTop w:val="0"/>
      <w:marBottom w:val="0"/>
      <w:divBdr>
        <w:top w:val="none" w:sz="0" w:space="0" w:color="auto"/>
        <w:left w:val="none" w:sz="0" w:space="0" w:color="auto"/>
        <w:bottom w:val="none" w:sz="0" w:space="0" w:color="auto"/>
        <w:right w:val="none" w:sz="0" w:space="0" w:color="auto"/>
      </w:divBdr>
    </w:div>
    <w:div w:id="1770923963">
      <w:bodyDiv w:val="1"/>
      <w:marLeft w:val="0"/>
      <w:marRight w:val="0"/>
      <w:marTop w:val="0"/>
      <w:marBottom w:val="0"/>
      <w:divBdr>
        <w:top w:val="none" w:sz="0" w:space="0" w:color="auto"/>
        <w:left w:val="none" w:sz="0" w:space="0" w:color="auto"/>
        <w:bottom w:val="none" w:sz="0" w:space="0" w:color="auto"/>
        <w:right w:val="none" w:sz="0" w:space="0" w:color="auto"/>
      </w:divBdr>
    </w:div>
    <w:div w:id="1782215945">
      <w:bodyDiv w:val="1"/>
      <w:marLeft w:val="0"/>
      <w:marRight w:val="0"/>
      <w:marTop w:val="0"/>
      <w:marBottom w:val="0"/>
      <w:divBdr>
        <w:top w:val="none" w:sz="0" w:space="0" w:color="auto"/>
        <w:left w:val="none" w:sz="0" w:space="0" w:color="auto"/>
        <w:bottom w:val="none" w:sz="0" w:space="0" w:color="auto"/>
        <w:right w:val="none" w:sz="0" w:space="0" w:color="auto"/>
      </w:divBdr>
    </w:div>
    <w:div w:id="1791632474">
      <w:bodyDiv w:val="1"/>
      <w:marLeft w:val="0"/>
      <w:marRight w:val="0"/>
      <w:marTop w:val="0"/>
      <w:marBottom w:val="0"/>
      <w:divBdr>
        <w:top w:val="none" w:sz="0" w:space="0" w:color="auto"/>
        <w:left w:val="none" w:sz="0" w:space="0" w:color="auto"/>
        <w:bottom w:val="none" w:sz="0" w:space="0" w:color="auto"/>
        <w:right w:val="none" w:sz="0" w:space="0" w:color="auto"/>
      </w:divBdr>
    </w:div>
    <w:div w:id="1793933938">
      <w:bodyDiv w:val="1"/>
      <w:marLeft w:val="0"/>
      <w:marRight w:val="0"/>
      <w:marTop w:val="0"/>
      <w:marBottom w:val="0"/>
      <w:divBdr>
        <w:top w:val="none" w:sz="0" w:space="0" w:color="auto"/>
        <w:left w:val="none" w:sz="0" w:space="0" w:color="auto"/>
        <w:bottom w:val="none" w:sz="0" w:space="0" w:color="auto"/>
        <w:right w:val="none" w:sz="0" w:space="0" w:color="auto"/>
      </w:divBdr>
    </w:div>
    <w:div w:id="1796749500">
      <w:bodyDiv w:val="1"/>
      <w:marLeft w:val="0"/>
      <w:marRight w:val="0"/>
      <w:marTop w:val="0"/>
      <w:marBottom w:val="0"/>
      <w:divBdr>
        <w:top w:val="none" w:sz="0" w:space="0" w:color="auto"/>
        <w:left w:val="none" w:sz="0" w:space="0" w:color="auto"/>
        <w:bottom w:val="none" w:sz="0" w:space="0" w:color="auto"/>
        <w:right w:val="none" w:sz="0" w:space="0" w:color="auto"/>
      </w:divBdr>
    </w:div>
    <w:div w:id="1812747467">
      <w:bodyDiv w:val="1"/>
      <w:marLeft w:val="0"/>
      <w:marRight w:val="0"/>
      <w:marTop w:val="0"/>
      <w:marBottom w:val="0"/>
      <w:divBdr>
        <w:top w:val="none" w:sz="0" w:space="0" w:color="auto"/>
        <w:left w:val="none" w:sz="0" w:space="0" w:color="auto"/>
        <w:bottom w:val="none" w:sz="0" w:space="0" w:color="auto"/>
        <w:right w:val="none" w:sz="0" w:space="0" w:color="auto"/>
      </w:divBdr>
    </w:div>
    <w:div w:id="1827091632">
      <w:bodyDiv w:val="1"/>
      <w:marLeft w:val="0"/>
      <w:marRight w:val="0"/>
      <w:marTop w:val="0"/>
      <w:marBottom w:val="0"/>
      <w:divBdr>
        <w:top w:val="none" w:sz="0" w:space="0" w:color="auto"/>
        <w:left w:val="none" w:sz="0" w:space="0" w:color="auto"/>
        <w:bottom w:val="none" w:sz="0" w:space="0" w:color="auto"/>
        <w:right w:val="none" w:sz="0" w:space="0" w:color="auto"/>
      </w:divBdr>
    </w:div>
    <w:div w:id="1837723569">
      <w:bodyDiv w:val="1"/>
      <w:marLeft w:val="0"/>
      <w:marRight w:val="0"/>
      <w:marTop w:val="0"/>
      <w:marBottom w:val="0"/>
      <w:divBdr>
        <w:top w:val="none" w:sz="0" w:space="0" w:color="auto"/>
        <w:left w:val="none" w:sz="0" w:space="0" w:color="auto"/>
        <w:bottom w:val="none" w:sz="0" w:space="0" w:color="auto"/>
        <w:right w:val="none" w:sz="0" w:space="0" w:color="auto"/>
      </w:divBdr>
    </w:div>
    <w:div w:id="1842626554">
      <w:bodyDiv w:val="1"/>
      <w:marLeft w:val="0"/>
      <w:marRight w:val="0"/>
      <w:marTop w:val="0"/>
      <w:marBottom w:val="0"/>
      <w:divBdr>
        <w:top w:val="none" w:sz="0" w:space="0" w:color="auto"/>
        <w:left w:val="none" w:sz="0" w:space="0" w:color="auto"/>
        <w:bottom w:val="none" w:sz="0" w:space="0" w:color="auto"/>
        <w:right w:val="none" w:sz="0" w:space="0" w:color="auto"/>
      </w:divBdr>
    </w:div>
    <w:div w:id="1851214964">
      <w:bodyDiv w:val="1"/>
      <w:marLeft w:val="0"/>
      <w:marRight w:val="0"/>
      <w:marTop w:val="0"/>
      <w:marBottom w:val="0"/>
      <w:divBdr>
        <w:top w:val="none" w:sz="0" w:space="0" w:color="auto"/>
        <w:left w:val="none" w:sz="0" w:space="0" w:color="auto"/>
        <w:bottom w:val="none" w:sz="0" w:space="0" w:color="auto"/>
        <w:right w:val="none" w:sz="0" w:space="0" w:color="auto"/>
      </w:divBdr>
    </w:div>
    <w:div w:id="1859392494">
      <w:bodyDiv w:val="1"/>
      <w:marLeft w:val="0"/>
      <w:marRight w:val="0"/>
      <w:marTop w:val="0"/>
      <w:marBottom w:val="0"/>
      <w:divBdr>
        <w:top w:val="none" w:sz="0" w:space="0" w:color="auto"/>
        <w:left w:val="none" w:sz="0" w:space="0" w:color="auto"/>
        <w:bottom w:val="none" w:sz="0" w:space="0" w:color="auto"/>
        <w:right w:val="none" w:sz="0" w:space="0" w:color="auto"/>
      </w:divBdr>
    </w:div>
    <w:div w:id="1891728919">
      <w:bodyDiv w:val="1"/>
      <w:marLeft w:val="0"/>
      <w:marRight w:val="0"/>
      <w:marTop w:val="0"/>
      <w:marBottom w:val="0"/>
      <w:divBdr>
        <w:top w:val="none" w:sz="0" w:space="0" w:color="auto"/>
        <w:left w:val="none" w:sz="0" w:space="0" w:color="auto"/>
        <w:bottom w:val="none" w:sz="0" w:space="0" w:color="auto"/>
        <w:right w:val="none" w:sz="0" w:space="0" w:color="auto"/>
      </w:divBdr>
    </w:div>
    <w:div w:id="1912227291">
      <w:bodyDiv w:val="1"/>
      <w:marLeft w:val="0"/>
      <w:marRight w:val="0"/>
      <w:marTop w:val="0"/>
      <w:marBottom w:val="0"/>
      <w:divBdr>
        <w:top w:val="none" w:sz="0" w:space="0" w:color="auto"/>
        <w:left w:val="none" w:sz="0" w:space="0" w:color="auto"/>
        <w:bottom w:val="none" w:sz="0" w:space="0" w:color="auto"/>
        <w:right w:val="none" w:sz="0" w:space="0" w:color="auto"/>
      </w:divBdr>
    </w:div>
    <w:div w:id="1952516368">
      <w:bodyDiv w:val="1"/>
      <w:marLeft w:val="0"/>
      <w:marRight w:val="0"/>
      <w:marTop w:val="0"/>
      <w:marBottom w:val="0"/>
      <w:divBdr>
        <w:top w:val="none" w:sz="0" w:space="0" w:color="auto"/>
        <w:left w:val="none" w:sz="0" w:space="0" w:color="auto"/>
        <w:bottom w:val="none" w:sz="0" w:space="0" w:color="auto"/>
        <w:right w:val="none" w:sz="0" w:space="0" w:color="auto"/>
      </w:divBdr>
    </w:div>
    <w:div w:id="1974554267">
      <w:bodyDiv w:val="1"/>
      <w:marLeft w:val="0"/>
      <w:marRight w:val="0"/>
      <w:marTop w:val="0"/>
      <w:marBottom w:val="0"/>
      <w:divBdr>
        <w:top w:val="none" w:sz="0" w:space="0" w:color="auto"/>
        <w:left w:val="none" w:sz="0" w:space="0" w:color="auto"/>
        <w:bottom w:val="none" w:sz="0" w:space="0" w:color="auto"/>
        <w:right w:val="none" w:sz="0" w:space="0" w:color="auto"/>
      </w:divBdr>
    </w:div>
    <w:div w:id="2024431407">
      <w:bodyDiv w:val="1"/>
      <w:marLeft w:val="0"/>
      <w:marRight w:val="0"/>
      <w:marTop w:val="0"/>
      <w:marBottom w:val="0"/>
      <w:divBdr>
        <w:top w:val="none" w:sz="0" w:space="0" w:color="auto"/>
        <w:left w:val="none" w:sz="0" w:space="0" w:color="auto"/>
        <w:bottom w:val="none" w:sz="0" w:space="0" w:color="auto"/>
        <w:right w:val="none" w:sz="0" w:space="0" w:color="auto"/>
      </w:divBdr>
    </w:div>
    <w:div w:id="2057969469">
      <w:bodyDiv w:val="1"/>
      <w:marLeft w:val="0"/>
      <w:marRight w:val="0"/>
      <w:marTop w:val="0"/>
      <w:marBottom w:val="0"/>
      <w:divBdr>
        <w:top w:val="none" w:sz="0" w:space="0" w:color="auto"/>
        <w:left w:val="none" w:sz="0" w:space="0" w:color="auto"/>
        <w:bottom w:val="none" w:sz="0" w:space="0" w:color="auto"/>
        <w:right w:val="none" w:sz="0" w:space="0" w:color="auto"/>
      </w:divBdr>
    </w:div>
    <w:div w:id="2093625199">
      <w:bodyDiv w:val="1"/>
      <w:marLeft w:val="0"/>
      <w:marRight w:val="0"/>
      <w:marTop w:val="0"/>
      <w:marBottom w:val="0"/>
      <w:divBdr>
        <w:top w:val="none" w:sz="0" w:space="0" w:color="auto"/>
        <w:left w:val="none" w:sz="0" w:space="0" w:color="auto"/>
        <w:bottom w:val="none" w:sz="0" w:space="0" w:color="auto"/>
        <w:right w:val="none" w:sz="0" w:space="0" w:color="auto"/>
      </w:divBdr>
    </w:div>
    <w:div w:id="2094467323">
      <w:bodyDiv w:val="1"/>
      <w:marLeft w:val="0"/>
      <w:marRight w:val="0"/>
      <w:marTop w:val="0"/>
      <w:marBottom w:val="0"/>
      <w:divBdr>
        <w:top w:val="none" w:sz="0" w:space="0" w:color="auto"/>
        <w:left w:val="none" w:sz="0" w:space="0" w:color="auto"/>
        <w:bottom w:val="none" w:sz="0" w:space="0" w:color="auto"/>
        <w:right w:val="none" w:sz="0" w:space="0" w:color="auto"/>
      </w:divBdr>
    </w:div>
    <w:div w:id="2127190811">
      <w:bodyDiv w:val="1"/>
      <w:marLeft w:val="0"/>
      <w:marRight w:val="0"/>
      <w:marTop w:val="0"/>
      <w:marBottom w:val="0"/>
      <w:divBdr>
        <w:top w:val="none" w:sz="0" w:space="0" w:color="auto"/>
        <w:left w:val="none" w:sz="0" w:space="0" w:color="auto"/>
        <w:bottom w:val="none" w:sz="0" w:space="0" w:color="auto"/>
        <w:right w:val="none" w:sz="0" w:space="0" w:color="auto"/>
      </w:divBdr>
      <w:divsChild>
        <w:div w:id="66349522">
          <w:blockQuote w:val="1"/>
          <w:marLeft w:val="720"/>
          <w:marRight w:val="720"/>
          <w:marTop w:val="100"/>
          <w:marBottom w:val="100"/>
          <w:divBdr>
            <w:top w:val="none" w:sz="0" w:space="0" w:color="auto"/>
            <w:left w:val="none" w:sz="0" w:space="0" w:color="auto"/>
            <w:bottom w:val="none" w:sz="0" w:space="0" w:color="auto"/>
            <w:right w:val="none" w:sz="0" w:space="0" w:color="auto"/>
          </w:divBdr>
        </w:div>
        <w:div w:id="1008017710">
          <w:marLeft w:val="0"/>
          <w:marRight w:val="0"/>
          <w:marTop w:val="0"/>
          <w:marBottom w:val="0"/>
          <w:divBdr>
            <w:top w:val="none" w:sz="0" w:space="0" w:color="auto"/>
            <w:left w:val="none" w:sz="0" w:space="0" w:color="auto"/>
            <w:bottom w:val="none" w:sz="0" w:space="0" w:color="auto"/>
            <w:right w:val="none" w:sz="0" w:space="0" w:color="auto"/>
          </w:divBdr>
          <w:divsChild>
            <w:div w:id="131271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419233">
      <w:bodyDiv w:val="1"/>
      <w:marLeft w:val="0"/>
      <w:marRight w:val="0"/>
      <w:marTop w:val="0"/>
      <w:marBottom w:val="0"/>
      <w:divBdr>
        <w:top w:val="none" w:sz="0" w:space="0" w:color="auto"/>
        <w:left w:val="none" w:sz="0" w:space="0" w:color="auto"/>
        <w:bottom w:val="none" w:sz="0" w:space="0" w:color="auto"/>
        <w:right w:val="none" w:sz="0" w:space="0" w:color="auto"/>
      </w:divBdr>
    </w:div>
    <w:div w:id="2146392315">
      <w:bodyDiv w:val="1"/>
      <w:marLeft w:val="0"/>
      <w:marRight w:val="0"/>
      <w:marTop w:val="0"/>
      <w:marBottom w:val="0"/>
      <w:divBdr>
        <w:top w:val="none" w:sz="0" w:space="0" w:color="auto"/>
        <w:left w:val="none" w:sz="0" w:space="0" w:color="auto"/>
        <w:bottom w:val="none" w:sz="0" w:space="0" w:color="auto"/>
        <w:right w:val="none" w:sz="0" w:space="0" w:color="auto"/>
      </w:divBdr>
      <w:divsChild>
        <w:div w:id="19885156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eve\Downloads\Marketing%20Management%20Yash%20(1).docx" TargetMode="External"/><Relationship Id="rId13" Type="http://schemas.openxmlformats.org/officeDocument/2006/relationships/hyperlink" Target="file:///C:\Users\steve\Downloads\Marketing%20Management%20Yash%20(1).doc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steve\Downloads\Marketing%20Management%20Yash%20(1).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steve\Downloads\Marketing%20Management%20Yash%20(1).docx"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file:///C:\Users\steve\Downloads\Marketing%20Management%20Yash%20(1).docx" TargetMode="External"/><Relationship Id="rId4" Type="http://schemas.openxmlformats.org/officeDocument/2006/relationships/webSettings" Target="webSettings.xml"/><Relationship Id="rId9" Type="http://schemas.openxmlformats.org/officeDocument/2006/relationships/hyperlink" Target="file:///C:\Users\steve\Downloads\Marketing%20Management%20Yash%20(1).docx" TargetMode="External"/><Relationship Id="rId14" Type="http://schemas.openxmlformats.org/officeDocument/2006/relationships/hyperlink" Target="file:///C:\Users\steve\Downloads\Marketing%20Management%20Yash%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3423</Words>
  <Characters>19516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Pearson</dc:creator>
  <cp:keywords/>
  <dc:description/>
  <cp:lastModifiedBy>ROHIT MALI</cp:lastModifiedBy>
  <cp:revision>2</cp:revision>
  <dcterms:created xsi:type="dcterms:W3CDTF">2025-04-28T11:28:00Z</dcterms:created>
  <dcterms:modified xsi:type="dcterms:W3CDTF">2025-04-28T11:28:00Z</dcterms:modified>
</cp:coreProperties>
</file>