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1AA9D" w14:textId="13B841A1" w:rsidR="006C7CDB" w:rsidRPr="00844E6F" w:rsidRDefault="00BB32F4">
      <w:pPr>
        <w:rPr>
          <w:b/>
          <w:bCs/>
          <w:u w:val="single"/>
        </w:rPr>
      </w:pPr>
      <w:r w:rsidRPr="00844E6F">
        <w:rPr>
          <w:b/>
          <w:bCs/>
          <w:u w:val="single"/>
        </w:rPr>
        <w:t xml:space="preserve">Amy Ellis 2124940 </w:t>
      </w:r>
    </w:p>
    <w:p w14:paraId="1EBA71CA" w14:textId="6BEEDAA7" w:rsidR="00BB32F4" w:rsidRPr="00844E6F" w:rsidRDefault="00BB32F4">
      <w:pPr>
        <w:rPr>
          <w:b/>
          <w:bCs/>
          <w:u w:val="single"/>
        </w:rPr>
      </w:pPr>
    </w:p>
    <w:p w14:paraId="70888748" w14:textId="286D419A" w:rsidR="000F36E6" w:rsidRPr="00CF793A" w:rsidRDefault="00BB32F4">
      <w:pPr>
        <w:rPr>
          <w:b/>
          <w:bCs/>
          <w:u w:val="single"/>
        </w:rPr>
      </w:pPr>
      <w:r w:rsidRPr="00844E6F">
        <w:rPr>
          <w:b/>
          <w:bCs/>
          <w:u w:val="single"/>
        </w:rPr>
        <w:t xml:space="preserve">How have past instances of police malpractice and misconduct influenced </w:t>
      </w:r>
      <w:r w:rsidR="000F36E6" w:rsidRPr="00844E6F">
        <w:rPr>
          <w:b/>
          <w:bCs/>
          <w:u w:val="single"/>
        </w:rPr>
        <w:t xml:space="preserve">modern professional policing? </w:t>
      </w:r>
      <w:r w:rsidR="0089685C">
        <w:rPr>
          <w:b/>
          <w:bCs/>
          <w:u w:val="single"/>
        </w:rPr>
        <w:t>(1000 words)</w:t>
      </w:r>
    </w:p>
    <w:p w14:paraId="609AF0D8" w14:textId="77777777" w:rsidR="00824501" w:rsidRDefault="00824501" w:rsidP="00824501">
      <w:r>
        <w:t>There have been many well-reported instances of police malpractice and misconduct in the media over the last sixty years that have shaped police policies and practices used by officers today. These instances have given forces opportunities to learn and adapt their processes to suit better the communities they serve. This essay will explore how police malpractice and misconduct have influenced changes in modern police forces and the importance of independent bodies that oversee police misconduct.</w:t>
      </w:r>
    </w:p>
    <w:p w14:paraId="33167B57" w14:textId="31B54954" w:rsidR="00824501" w:rsidRDefault="00824501" w:rsidP="00824501">
      <w:r>
        <w:t xml:space="preserve">In April 1981, the Metropolitan Police used Operation Swamp to reduce crime in Brixton and, with the use of ‘sus laws’, stopped one thousand people in six days, which caused a great deal of tension amongst the residents of Brixton, who mainly were from ethnic minority groups (John, 2006). The ‘sus law’ was created in 1824 as a part of the Vagrancy Act that gave officers the power to search and arrest any person they suspected of loitering in an area with an intent to commit an arrestable offence (Gloucestershire County Council, 2020). Over three days from 10th April 1981, rioters, who were primarily young </w:t>
      </w:r>
      <w:r w:rsidR="00B61FBC">
        <w:t>Black</w:t>
      </w:r>
      <w:r>
        <w:t xml:space="preserve"> men, fought with police as they believed that they were being treated poorly and unfairly and the ‘sus law’ stop and search power was one of the ways the police were doing this (BBC,2021).</w:t>
      </w:r>
    </w:p>
    <w:p w14:paraId="00868F87" w14:textId="77777777" w:rsidR="00824501" w:rsidRDefault="00824501" w:rsidP="00824501">
      <w:r>
        <w:t>In response to the riots, the UK government commissioned The Scarman Report. The Scarman report concluded that police needed to build better trust within their communities, and one way this could be achieved was by recording all stop searches conducted by officers (Leslie, 2020). As a result of the recommendations from The Scarman Report, the Police and Criminal Evidence Act 1984 (PACE) was created as an act of parliament. PACE allowed for a better balance of the powers given to the police and the rights of the public (Home Office, 2023). There are accompanying PACE codes of practice, and Code A dictates the requirements to record stop searches on members of the public by officers and staff and the detail that must be included. The minimum details required for the record of search specified in Code A are; a note of the self-defined ethnicity of the person being searched, the date, time and place the search took place, the article the officer was searching for, the clear explanation of the legal basis of the search and the identity of the officers conducting the search (Home Office, 2023). It is important to record the search to be transparent to the public. College of Policing (2020) explains that transparency is crucial in building public trust and confidence and allows the public to see how and why stop search powers are used.</w:t>
      </w:r>
    </w:p>
    <w:p w14:paraId="453CD621" w14:textId="77777777" w:rsidR="00824501" w:rsidRDefault="00824501" w:rsidP="00824501">
      <w:r>
        <w:t>In order to further legitimise the use of stop and search powers, the National Police Chief’s Council (NPCC) states that a stop search is most likely to be fair and effective when; the search is justified, lawful and stands up to public scrutiny, the officer has a genuinely reasonable suspicion that they will find a prohibited article or item for use in crime, the person understands why they have been searched, and they feel they have been treated with respect and the search was necessary and was the most proportionate method to establish whether the person had such item (College Of Policing, 2023)</w:t>
      </w:r>
    </w:p>
    <w:p w14:paraId="49EF90A6" w14:textId="77777777" w:rsidR="00824501" w:rsidRDefault="00824501" w:rsidP="00824501">
      <w:r>
        <w:t xml:space="preserve">In the UK, the most notable independent institution for police accountability is The Independent Office for Police Conduct (IOPC), which can investigate all serious complaints against the police services of England and Wales (Mugari, 2023). The IOPC, formally the Independent Police Complaints Commission (IPCC), was introduced following a reform to the police complaints and discipline system </w:t>
      </w:r>
      <w:r>
        <w:lastRenderedPageBreak/>
        <w:t>in an attempt to reframe it in terms of integrity and lesson learning (Torrible, 2021). It was introduced by the Policing and Crime Act 2017 and came into force in February 2020 (Torrible, 2021). Unlike the IPCC, the IOPC can initiate its own investigations without relying on a police force to record and refer a case and reopen cases where new evidence has emerged and investigate disciplinary claims against chief officers, thus creating more confidence for the public (Dearden, 2018)</w:t>
      </w:r>
    </w:p>
    <w:p w14:paraId="068CFB63" w14:textId="0AD5480B" w:rsidR="00824501" w:rsidRDefault="00824501" w:rsidP="00824501">
      <w:r>
        <w:t xml:space="preserve">There is still a debate about the stop search power and how it is still used to target ethnic minorities unfairly. Joseph-Salisbury, Connelly and Wangari-Jones (2021) state that racism defines UK policing at every level and that it is not only the use of stop search powers that are used disproportionately towards ethnic communities but also in statistics regarding the use of force and deaths in police custody. In statistics collated by the government, the figures show that in Gwent Police, between July 2022 and November 2022, twice as many people who identified as black or </w:t>
      </w:r>
      <w:r w:rsidR="00B61FBC">
        <w:t>Black</w:t>
      </w:r>
      <w:r>
        <w:t xml:space="preserve"> British were stopped and searched over any other ethnicity (Police. UK, n.d). Waddington et al. (2004) conclude that the police are not racist in their profiling of individuals. However, the profile of people who are available in public areas to be stopped differs significantly from the profile of the general population. It is explained that there is a possibility that the disproportionality of ethnic minorities stopped arises indirectly from the ways that stop search powers are focused in particular areas at specific times.</w:t>
      </w:r>
    </w:p>
    <w:p w14:paraId="097A5878" w14:textId="4232EC2C" w:rsidR="00824501" w:rsidRDefault="00824501" w:rsidP="00824501">
      <w:r>
        <w:t>The IOPC published that they were focusing on race discrimination as a thematic area of focus to establish the trends and patterns which might drive a change in policing practice. The IOPC stated that more complaints where racial discrimination may be a factor would be independently investigated. Any evidence found would allow systemic issues to be addressed (IOPC, 2022). In statistics collated by the IOPC, Police powers, policies and procedures accounted for 21% of complaints received that year and out of 62,606 people that complained, 47% were white; however, it should be noted that 41% stated their ethnicity was unknown or not stated (IOPC, 2022)</w:t>
      </w:r>
    </w:p>
    <w:p w14:paraId="0AA050AF" w14:textId="35A09E61" w:rsidR="007953FD" w:rsidRDefault="00824501" w:rsidP="00824501">
      <w:r>
        <w:t>In conclusion, the changes made to police stop and search powers following the Scarman report in 1981 have been beneficial as they now hold officers accountable for their actions and allow for their actions to be transparent to the public. The statistics collated through stop searches locally, however, may show that ethnic minorities are being stopped unfairly.</w:t>
      </w:r>
    </w:p>
    <w:p w14:paraId="099DCE66" w14:textId="4574B0E7" w:rsidR="004F2C83" w:rsidRDefault="004F2C83">
      <w:r>
        <w:t>Wordcount:</w:t>
      </w:r>
      <w:r w:rsidR="00B56719">
        <w:t xml:space="preserve"> </w:t>
      </w:r>
      <w:r w:rsidR="00824501">
        <w:t>1,025</w:t>
      </w:r>
    </w:p>
    <w:p w14:paraId="31AE7FC1" w14:textId="77777777" w:rsidR="0097338E" w:rsidRPr="00844E6F" w:rsidRDefault="0097338E"/>
    <w:p w14:paraId="0F1DEFDE" w14:textId="2701F36D" w:rsidR="000F36E6" w:rsidRPr="00844E6F" w:rsidRDefault="000F36E6">
      <w:pPr>
        <w:rPr>
          <w:b/>
          <w:bCs/>
          <w:u w:val="single"/>
        </w:rPr>
      </w:pPr>
      <w:r w:rsidRPr="00844E6F">
        <w:rPr>
          <w:b/>
          <w:bCs/>
          <w:u w:val="single"/>
        </w:rPr>
        <w:t xml:space="preserve">How does media coverage affect policing strategies in relation to public protection incidents? </w:t>
      </w:r>
    </w:p>
    <w:p w14:paraId="38580D6C" w14:textId="77777777" w:rsidR="00225708" w:rsidRDefault="00225708" w:rsidP="00225708">
      <w:r>
        <w:t>Public protection incidents refer to incidents that include offenders who have been convicted of serious sexual or violent offences or potentially dangerous people who may not have been convicted of serious offences but whose behaviour causes significant concern about their risk of offending in the future (College of Policing, 2013). All forces across England and Wales have dedicated public protection units (PPU) that deal with serious and complex crimes and are actively involved in safeguarding within the community (Guernsey Police, 2023). Media coverage in all forms can greatly impact incidents involving such offenders and can shape public opinion. This essay will explore how media coverage of public protection incidents affects policing strategies.</w:t>
      </w:r>
    </w:p>
    <w:p w14:paraId="2507C752" w14:textId="77777777" w:rsidR="00225708" w:rsidRDefault="00225708" w:rsidP="00225708">
      <w:r>
        <w:t xml:space="preserve">Public protection from sexual and violent offenders remains a high-profile issue. In recent years, there has been a growing public concern over the management of high-risk offenders in the community (Wood, Kemshall, Maguire, 2007). One of the policing strategies in managing high-risk </w:t>
      </w:r>
      <w:r>
        <w:lastRenderedPageBreak/>
        <w:t>offenders is Multi-Agency Public Protection Arrangements (MAPPA), established as part of The Criminal Justice Act 2003 and is designed to protect the public from serious harm by sexual and violent offenders (HM Prison and Probation Service, 2022). Police and probation staff are the longest-serving members of MAPPA and work closely together and co-supervise the greatest number of cases (Nash, Walker, 2009). Other agencies involved with MAPPA include local authority housing, social care departments, youth offending services, mental health services and victim liaison officers. These meetings are designed for agencies to work together to manage the risk to victims and promote offender rehabilitation (MAPPA, 2014). In order for MAPPA to be effective, the personal information of offenders is collected, stored and exchanged with other involved agencies (Kemshall, Wood, 2008)</w:t>
      </w:r>
    </w:p>
    <w:p w14:paraId="36765B86" w14:textId="77777777" w:rsidR="00225708" w:rsidRDefault="00225708" w:rsidP="00225708">
      <w:r>
        <w:t>Media coverage tends to focus on high-profile cases that involve sexual and dangerous offenders and can give the impression that these crimes happen more frequently than they actually do (Serisier 2017). Media reports can shape public opinion on the effectiveness of police strategies and demands for more aggressive policing tactics, such as using more surveillance technology or increased police presence in certain areas. As explained by Wood and Kemshall (2007), the recent concern in public anxiety fuelled by the portrayal of sex offenders in the community has resulted in the overemphasis on the restrictive conditions set out in MAPPA areas. These conditions restrict where an offender can live, what they can and cannot do and with whom they can and cannot have contact with. These measures are placed on an individual to prevent the risk of them reoffending.</w:t>
      </w:r>
    </w:p>
    <w:p w14:paraId="75A1E923" w14:textId="3EDE3F80" w:rsidR="00225708" w:rsidRDefault="00225708" w:rsidP="00225708">
      <w:r>
        <w:t>Media reports can have an effect by creating fear amongst the public. The media often sensationalise cases involving sexual and dangerous offenders, which can create a sense of panic and fear in the general public, which can potentially escalate to public disorder (College of Policing, 2017). Identifying high-risk offenders' residences in an area by the media can provoke anxiety in the community and require a response by agencies to complete a community impact assessment (College of Policing, 2017). The media has previously printed features relating to released sexual offenders, which can be connected to protests or vigilante actions in specific communities, with many released offenders facing difficulties in finding permanent or long-term accommodation (Serisier, 2017). Recently a large group of around three hundred people rioted outside of a home of an individual the community suspected of being a paedophile; however, the group had no accurate information regarding this individual and had acted upon incorrect information in circulation online (Brownlie, 2023). This information argues that the media has a negative effect on policing in terms of public protection as it requires police intervention, which would not be required if factual information was acquired</w:t>
      </w:r>
      <w:r w:rsidR="00B61FBC">
        <w:t xml:space="preserve">. </w:t>
      </w:r>
    </w:p>
    <w:p w14:paraId="5F79CC2A" w14:textId="77777777" w:rsidR="00225708" w:rsidRDefault="00225708" w:rsidP="00225708"/>
    <w:p w14:paraId="5E9A4930" w14:textId="77777777" w:rsidR="00225708" w:rsidRDefault="00225708" w:rsidP="00225708">
      <w:r>
        <w:t>In the last few years, there has been a rise of cyber-vigilante groups who are citizens working outside of the police, commonly referred to as paedophile hunters, getting increased media attention. These groups pose online as young children in order to catch predatory adults and often live stream the meetings and details of the offender on social media, which can be easily liked and shared with wider members of the public (Tippett, 2022). The tactics commonly used by these groups can potentially hinder any official investigation later conducted by the police as their methods of evidence gathering may not comply with the rules of criminal evidence and procedure (Purshouse, 2020). The Chief Constable of the National Police Chiefs' Council stated that the activities conducted by these groups could have a detrimental effect on ongoing police investigations (Perraudin, 2017). Arguments have also been made that these vigilante groups are infringing upon the articles in The Human Rights Act 1998, such as the right to a private life and a right to a fair trial (Tippett, 2022).</w:t>
      </w:r>
    </w:p>
    <w:p w14:paraId="27546265" w14:textId="25102DBE" w:rsidR="0044218D" w:rsidRDefault="00225708" w:rsidP="00225708">
      <w:r>
        <w:lastRenderedPageBreak/>
        <w:t>In conclusion, media coverage plays an important role in public perception when covering incidents of a public protection nature. The evidence suggests that the public has an interest in these incidents as the more they are covered. This can raise awareness of the issue; however, it also creates public fear and public outrage, which has the potential to cause further issues that the police have to also</w:t>
      </w:r>
      <w:r w:rsidR="008377DE">
        <w:t xml:space="preserve"> then</w:t>
      </w:r>
      <w:r>
        <w:t xml:space="preserve"> deal with</w:t>
      </w:r>
      <w:r w:rsidR="008377DE">
        <w:t xml:space="preserve"> as a consequence</w:t>
      </w:r>
      <w:r>
        <w:t>. In addition, the rise of vigilante groups using their own tactics across social media to catch sexual offenders raises a concern that the</w:t>
      </w:r>
      <w:r w:rsidR="00346D7A">
        <w:t xml:space="preserve"> official</w:t>
      </w:r>
      <w:r>
        <w:t xml:space="preserve"> processes followed by the police are not being followed by these groups and with the names and residences of the people they target being posted online, which could become an issue if the case was ever brought to trial.</w:t>
      </w:r>
    </w:p>
    <w:p w14:paraId="6620DEA8" w14:textId="2B4246FD" w:rsidR="0044218D" w:rsidRDefault="00615B73" w:rsidP="004111E4">
      <w:r>
        <w:t>Wordcount: 9</w:t>
      </w:r>
      <w:r w:rsidR="00346D7A">
        <w:t>23</w:t>
      </w:r>
    </w:p>
    <w:p w14:paraId="1C7D8833" w14:textId="77777777" w:rsidR="004F2C83" w:rsidRDefault="004F2C83">
      <w:pPr>
        <w:rPr>
          <w:b/>
          <w:bCs/>
          <w:u w:val="single"/>
        </w:rPr>
      </w:pPr>
    </w:p>
    <w:p w14:paraId="7E302D3A" w14:textId="77777777" w:rsidR="004F2C83" w:rsidRDefault="004F2C83">
      <w:pPr>
        <w:rPr>
          <w:b/>
          <w:bCs/>
          <w:u w:val="single"/>
        </w:rPr>
      </w:pPr>
    </w:p>
    <w:p w14:paraId="6E1317C1" w14:textId="3649B05A" w:rsidR="000F36E6" w:rsidRPr="007D364D" w:rsidRDefault="000F36E6">
      <w:pPr>
        <w:rPr>
          <w:b/>
          <w:bCs/>
          <w:u w:val="single"/>
        </w:rPr>
      </w:pPr>
      <w:r w:rsidRPr="00844E6F">
        <w:rPr>
          <w:b/>
          <w:bCs/>
          <w:u w:val="single"/>
        </w:rPr>
        <w:t xml:space="preserve">How effective is early intervention in preventing young people from offending, or re-offending? </w:t>
      </w:r>
    </w:p>
    <w:p w14:paraId="3CE12509" w14:textId="2AE643A6" w:rsidR="00DF59F0" w:rsidRDefault="00DF59F0" w:rsidP="00DF59F0">
      <w:r>
        <w:t>In the year ending In March 2021, 8.800 young people aged between ten and seventeen entered the youth justice system (Youth Justice Board, 2022). Therefore, it is important for early intervention to be considered for all young offenders as it can help prevent the onset of adult criminal careers, thus reducing the burden of crime on victims (Greenwood, 2008). The age of onset offending is the age at which a person commits their first crime. An early age of onset offending predicts a long criminal career (Theobald and Farrington 2014)</w:t>
      </w:r>
      <w:r w:rsidR="00B61FBC">
        <w:t xml:space="preserve">. </w:t>
      </w:r>
      <w:r>
        <w:t>This essay will explore how effective programmes focusing on early intervention are for young people.</w:t>
      </w:r>
    </w:p>
    <w:p w14:paraId="24569D5E" w14:textId="77777777" w:rsidR="00DF59F0" w:rsidRDefault="00DF59F0" w:rsidP="00DF59F0">
      <w:r>
        <w:t>An important consideration for young offenders is their exposure to Adverse Childhood Experiences (ACEs), which describe traumatic experiences that can have lasting effects into adulthood. The more ACEs a person experiences, the more challenges they may face in overcoming them (Wisner, 2022). The ten widely recognised ACEs from a 1990's study are; experiencing physical, sexual or verbal abuse, emotional and physical neglect and growing up in a household where; there are adults who abuse drugs and alcohol, adults who have mental health problems, there is domestic violence, a parent has been or is incarcerated, or parents have divorced. (Liverpool CAMHS, 2023)</w:t>
      </w:r>
    </w:p>
    <w:p w14:paraId="29DFE37C" w14:textId="0EAA9B02" w:rsidR="00DF59F0" w:rsidRDefault="00DF59F0" w:rsidP="00DF59F0">
      <w:r>
        <w:t xml:space="preserve">Malvaso et al. (2022) conclude in their study into ACEs in young offenders that a majority of young people currently in the youth justice system have been exposed to multiple ACEs from a young age. Although the number of young offenders subject to ACEs is high, it is unclear whether exposure to aces predicts the start or continuation of their offending behaviour or if these vulnerabilities are coincidences in a high-risk population (Craig, Malvaso, Farrington, 2021). Early intervention would include the prevention of ACEs in a young offender's life, and the implementation of preventative strategies would not be easily achieved and would include a multisystem approach involving the families, community, </w:t>
      </w:r>
      <w:r w:rsidR="005107C5">
        <w:t>childcare</w:t>
      </w:r>
      <w:r>
        <w:t xml:space="preserve"> and healthcare institutions (Gordon, Asmundson and Afifi, 2017) </w:t>
      </w:r>
    </w:p>
    <w:p w14:paraId="0D26D8B4" w14:textId="41C34C84" w:rsidR="00DF59F0" w:rsidRDefault="00DF59F0" w:rsidP="00DF59F0">
      <w:r>
        <w:t xml:space="preserve">One way to support juveniles entering the youth justice system and help prevent them from reoffending is Youth Offending Teams, established under the Crime and Disorder Act 1998. Youth Justice is focused on holding young people accountable for their offending behaviour. The interventions decided are directed at the individual, and they must engage with this service through an order of the court working with youth justice teams forms a punishment and contributes towards the rehabilitation of the young person (Solomon and Blyth, 2009). Youth Offending Teams use these programmes to keep young people away from crime and where they can learn new skills and get advice about school and jobs (GOV.UK, 2021). The two types of programmes used are youth inclusion programmes, which are for children aged between eight and seventeen years old and are </w:t>
      </w:r>
      <w:r>
        <w:lastRenderedPageBreak/>
        <w:t>usually in place for a set amount of time such as six months where they complete activities in order to build life skills (GOV.UK, 2021). The other type of programme is the youth inclusion and support panel who work with children aged between eight and thirteen and allows the young person access to local services that will help them stay away from trouble involving crime. Both programmes focus on an intervention plan that must be agreed on by everyone involved including the young person and their families (GOV.UK,2021). Stati</w:t>
      </w:r>
      <w:r w:rsidR="00D21AED">
        <w:t>sti</w:t>
      </w:r>
      <w:r>
        <w:t xml:space="preserve">cs published by the government showed juvenile offenders from January to March 2021 had a proven reoffending rate of 31.1% (Ministry of Justice, 2023). Youth cautions are formal out-of-court disposals that can be used as a prosecution for young offenders in certain circumstances (Ministry of Justice, 2023). Juvenile offenders who have previously had a youth caution have a proven reoffending rate of 22% between January and March 2021 (Ministry of Justice, 2023). These statistics show that involvement with Youth Offending Teams can stop over half of recorded individuals from reoffending. </w:t>
      </w:r>
    </w:p>
    <w:p w14:paraId="26541DE6" w14:textId="785D1D77" w:rsidR="00DF59F0" w:rsidRDefault="00DF59F0" w:rsidP="00DF59F0">
      <w:r>
        <w:t>It is important for a range of organisations to work together to prevent offending and re-offending by youths (Public Health England, 2019). A collaborative approach, CAPRICORN, is a framework</w:t>
      </w:r>
      <w:r w:rsidR="00E44BD2">
        <w:t xml:space="preserve"> designed</w:t>
      </w:r>
      <w:r>
        <w:t xml:space="preserve"> to help local authorities prevent offending behaviour by focusing on what causes the offending and what can be put in place to support young people (Public Health England, 2019). CAPRICORN works with the offender and family to build supportive relationships and strengthen core life skills and also supports the offender with addressing substance misuse and mental health needs. (Public Health England, 2019). There is a known link between youths who misuse substances and criminal behaviour in young people (Carter, 2012)</w:t>
      </w:r>
      <w:r w:rsidR="00E21AAE">
        <w:t>,</w:t>
      </w:r>
      <w:r w:rsidR="001C1DF5">
        <w:t xml:space="preserve"> </w:t>
      </w:r>
      <w:r>
        <w:t xml:space="preserve">addressing substance misuse at a young age could therefore help prevent young people offending or reoffending. </w:t>
      </w:r>
    </w:p>
    <w:p w14:paraId="040BD65A" w14:textId="77777777" w:rsidR="00DF59F0" w:rsidRDefault="00DF59F0" w:rsidP="00DF59F0">
      <w:r>
        <w:t xml:space="preserve">McAra and McVie (2022) state that young people who come to the attention of the police repeatedly get caught in a pattern of convictions later in life and for those who did not come to the attention of police, despite their offending behaviour, stopped offending before they reached adulthood. This provides an argument that the youth criminal justice system is not always fit for purpose and involvement does not always stop a person from reoffending. </w:t>
      </w:r>
    </w:p>
    <w:p w14:paraId="552AED59" w14:textId="14D4771C" w:rsidR="00DF59F0" w:rsidRDefault="00DF59F0" w:rsidP="00DF59F0">
      <w:pPr>
        <w:rPr>
          <w:b/>
          <w:bCs/>
          <w:u w:val="single"/>
        </w:rPr>
      </w:pPr>
      <w:r>
        <w:t>In conclusion the involvement of agencies in a young person’s life is effective in preventing re-offending and there are proven benefits of a young person being involved with Youth Offending Teams. There is however a large link between ACEs in childhood and offending behaviour however due to the resources required to prevent ACEs in every child’s life this would not be possible</w:t>
      </w:r>
      <w:r w:rsidR="002E7966">
        <w:t xml:space="preserve"> to achieve</w:t>
      </w:r>
      <w:r>
        <w:t xml:space="preserve">. </w:t>
      </w:r>
    </w:p>
    <w:p w14:paraId="62613250" w14:textId="77777777" w:rsidR="00C36FE1" w:rsidRDefault="00C36FE1"/>
    <w:p w14:paraId="73ABD323" w14:textId="4FF65A29" w:rsidR="00C36FE1" w:rsidRDefault="00C36FE1">
      <w:r>
        <w:t xml:space="preserve">Wordcount: </w:t>
      </w:r>
      <w:r w:rsidR="00865DDB">
        <w:t>90</w:t>
      </w:r>
      <w:r w:rsidR="00BB32CD">
        <w:t>4</w:t>
      </w:r>
    </w:p>
    <w:p w14:paraId="3BFFA4CC" w14:textId="77777777" w:rsidR="00C36FE1" w:rsidRDefault="00C36FE1"/>
    <w:p w14:paraId="1D74582C" w14:textId="77777777" w:rsidR="00C36FE1" w:rsidRDefault="00C36FE1"/>
    <w:p w14:paraId="7B34FBCE" w14:textId="77777777" w:rsidR="00C36FE1" w:rsidRDefault="00C36FE1"/>
    <w:p w14:paraId="5E5CB6BA" w14:textId="136740FE" w:rsidR="000F36E6" w:rsidRPr="00844E6F" w:rsidRDefault="000F36E6">
      <w:pPr>
        <w:rPr>
          <w:b/>
          <w:bCs/>
          <w:u w:val="single"/>
        </w:rPr>
      </w:pPr>
      <w:r w:rsidRPr="00844E6F">
        <w:rPr>
          <w:b/>
          <w:bCs/>
          <w:u w:val="single"/>
        </w:rPr>
        <w:t xml:space="preserve">Are partnership approaches the most effective means of rehabilitating offenders? </w:t>
      </w:r>
    </w:p>
    <w:p w14:paraId="34179BF9" w14:textId="77777777" w:rsidR="006C0798" w:rsidRDefault="006C0798" w:rsidP="006C0798">
      <w:pPr>
        <w:spacing w:before="240"/>
      </w:pPr>
      <w:r>
        <w:t xml:space="preserve">The rehabilitation of offenders includes interventions that aim to change the thinking, attitudes and behaviours offenders have that could lead to them reoffending (Ministry of Justice, 2022). Rehabilitating offenders is important as it gives an individual committing an offence an opportunity to change their behaviour to become active members of society. The main types of rehabilitation offered to offenders currently are Cognitive Behaviour Therapy (CBT), Educational programmes, </w:t>
      </w:r>
      <w:r>
        <w:lastRenderedPageBreak/>
        <w:t>community sentences and drug and alcohol treatment programmes; however, for partnership approaches to be effective, they must be tailored to the offender’s specific needs. This essay will explore if partnership approaches to rehabilitation are the most effective means.</w:t>
      </w:r>
    </w:p>
    <w:p w14:paraId="08C76B4A" w14:textId="77777777" w:rsidR="006C0798" w:rsidRDefault="006C0798" w:rsidP="006C0798">
      <w:pPr>
        <w:spacing w:before="240"/>
      </w:pPr>
      <w:r>
        <w:t>One partnership created to improve offenders’ chances of successfully integrating into their community upon release is between the Ministry of Justice and the Department of Work and Pensions. This joint approach is designed to help offenders turn their lives around by improving the support available after leaving prison (Ministry of Justice, 2019). This partnership aims to ensure prisoners have proper access to the right training and support during their time in prison, helping provide access to bank accounts and ID so prisoners can apply for jobs easily upon release and reviewing the support given after offenders leave prison (Ministry of Justice, 2019). A partnership like this could be beneficial as it can help integrate a person back into society, whereby as an active member of their community, they are less likely to reoffend. This is a relatively new initiative, and results have not been published relating to the success of this partnership; however, the Ministry of Justice (2013) suggests that steady employment after leaving prisons can stop offenders from reoffending.</w:t>
      </w:r>
    </w:p>
    <w:p w14:paraId="656BA277" w14:textId="0D89877B" w:rsidR="006C0798" w:rsidRDefault="006C0798" w:rsidP="006C0798">
      <w:pPr>
        <w:spacing w:before="240"/>
      </w:pPr>
      <w:r>
        <w:t xml:space="preserve">A partnership approach to rehabilitating offenders is centred around addressing the root causes of a person’s offending behaviour. Durham Constabulary have created a scheme named Operation Checkpoint, which involves offenders taking part in a rehabilitation programme with relevant services for issues surrounding their offending, such as mental health, substance abuse or employment or financial difficulties and completing a minimum of eighteen hours of voluntary work in their community, if the offenders complete the four-month programme with the police, they are not prosecuted for their crime (Halliday, 2020). Two years later, the scheme’s first results discovered a fifteen percent drop in reoffending among those that took part in the scheme over those that did not (Halliday, 2020). Wier, Routledge and Kilili (2019, p508-527) concluded in their study that the results from the implementation of Operation Checkpoint achieved a lower re-arrest rate and reoffending rate compared to other out-of-court options available and did so also while achieving a reduced cost of reoffending and with a reduction in harm to victims. This argues that a collaborative approach between the police, community and relevant services can reduce reoffending, thus implying </w:t>
      </w:r>
      <w:r w:rsidR="009D050F">
        <w:t xml:space="preserve">offenders </w:t>
      </w:r>
      <w:r>
        <w:t xml:space="preserve">are rehabilitated. The evidence suggests that addressing issues and receiving support does reduce the likelihood of someone reoffending. Bales and Piquero (2012) further support that a joint approach is more effective. Their study concludes that offenders given community sentences have a higher chance of being rehabilitated than offenders serving short-term prison sentences. </w:t>
      </w:r>
      <w:r w:rsidR="006942E3">
        <w:t xml:space="preserve">The Ministry of Justice (2018) </w:t>
      </w:r>
      <w:r w:rsidR="003E6CE3">
        <w:t xml:space="preserve">released a statement regarding their joint partnership with the National Health Service to </w:t>
      </w:r>
      <w:r w:rsidR="00386A87">
        <w:t xml:space="preserve">help divert offenders from frequent short-term prison sentences that are not effective for the individual </w:t>
      </w:r>
      <w:r w:rsidR="005F3408">
        <w:t xml:space="preserve">towards treatments </w:t>
      </w:r>
      <w:r w:rsidR="00ED7535">
        <w:t>and programmes to develop an</w:t>
      </w:r>
      <w:r w:rsidR="00605D28">
        <w:t xml:space="preserve"> </w:t>
      </w:r>
      <w:r w:rsidR="008A7B30">
        <w:t>understand</w:t>
      </w:r>
      <w:r w:rsidR="00ED7535">
        <w:t xml:space="preserve">ing behind </w:t>
      </w:r>
      <w:r w:rsidR="008A7B30">
        <w:t>the reason for their criminality</w:t>
      </w:r>
      <w:r w:rsidR="00ED7535">
        <w:t xml:space="preserve"> with an outlook of providing help and support</w:t>
      </w:r>
      <w:r w:rsidR="005755E8">
        <w:t xml:space="preserve">. </w:t>
      </w:r>
    </w:p>
    <w:p w14:paraId="24FE97D2" w14:textId="4EE47F03" w:rsidR="006C0798" w:rsidRDefault="006C0798" w:rsidP="006C0798">
      <w:pPr>
        <w:spacing w:before="240"/>
      </w:pPr>
      <w:r>
        <w:t>Restorative justice is another partnership approach to rehabilitating offenders. Restorative justice involves bringing together the offenders, victims and community members to address the harm caused by the offender’s actions. These programmes often involve mediation and communication between all parties through direct or indirect contact (CPS, 2023). This is beneficial as it allows the offender to take responsibility for their actions and understand their crime’s impact on others (College of Policing, 2022). Statistically, offenders who participated in restorative justice committed fewer offences over the subsequent two years than those who did not participate (College of Policing, 2022)</w:t>
      </w:r>
      <w:r w:rsidR="007A2A60">
        <w:t>.</w:t>
      </w:r>
      <w:r w:rsidR="00A34C4E">
        <w:t xml:space="preserve"> </w:t>
      </w:r>
    </w:p>
    <w:p w14:paraId="561310CE" w14:textId="29B28212" w:rsidR="006C0798" w:rsidRDefault="006C0798" w:rsidP="006C0798">
      <w:pPr>
        <w:spacing w:before="240"/>
      </w:pPr>
      <w:r>
        <w:lastRenderedPageBreak/>
        <w:t>Another partnership approach created with the aim of rehabilitating offenders is using funding from the Prisoners’ Education Trust to allow prisoners to study a wide range of courses ranging from Open University Degrees to vocational courses (Howse, 2014). A study conducted to look at the effectiveness of programmes designed to reduce reoffending showed that participation in distance learning was the best method to reduce reoffending, and from three thousand prisoners who had access to educational learning showed that nineteen percent had offended within a year of release compared to the twenty-six percent of prisoners of a similar nature who were not offered educational learning. (Howse, 2014). Cullen, Jonson and Nagin (2011) argue that there is little evidence to support that time in prison rehabilitates an offender, and more evidence suggests that time in prison can lead people to commit further crimes.</w:t>
      </w:r>
      <w:r w:rsidR="00F6050B">
        <w:t xml:space="preserve"> </w:t>
      </w:r>
      <w:r w:rsidR="00100D8E">
        <w:t>Adults who serve prison sentences shorter than twelve months have a proven reoffending rate of 64.9</w:t>
      </w:r>
      <w:r w:rsidR="00AA56E7">
        <w:t xml:space="preserve">% (Ministry of Defence, 2018). This further argues that longer prison sentences where offenders can partake in learning is more beneficial towards reducing reoffending. </w:t>
      </w:r>
    </w:p>
    <w:p w14:paraId="3B6C41DC" w14:textId="4726D3F0" w:rsidR="006C0798" w:rsidRDefault="006C0798">
      <w:pPr>
        <w:spacing w:before="240"/>
      </w:pPr>
      <w:r>
        <w:t xml:space="preserve">In conclusion, the evidence suggests that a partnership approach is the most effective way of rehabilitating offenders. </w:t>
      </w:r>
      <w:r w:rsidR="003A4F57">
        <w:t>It is evidential</w:t>
      </w:r>
      <w:r w:rsidR="00E731FC">
        <w:t xml:space="preserve"> that by p</w:t>
      </w:r>
      <w:r>
        <w:t>roviding offenders with the ability to address the root cause of their offending behaviour involving a collaboration between multiple agencies has proven reduction rates of reoffending and is the most well researched.</w:t>
      </w:r>
      <w:r w:rsidR="00E731FC">
        <w:t xml:space="preserve"> </w:t>
      </w:r>
      <w:r w:rsidR="00A72AB2">
        <w:t>The</w:t>
      </w:r>
      <w:r w:rsidR="000A5F5E">
        <w:t xml:space="preserve">re is more evidence to suggest that </w:t>
      </w:r>
      <w:r w:rsidR="00B96B29">
        <w:t xml:space="preserve">offenders who are given opportunities to </w:t>
      </w:r>
      <w:r w:rsidR="00BE20DF">
        <w:t xml:space="preserve">better themselves by partaking in studying or </w:t>
      </w:r>
      <w:r w:rsidR="004D7CA8">
        <w:t xml:space="preserve">partaking in programmes as a part of the rehabilitation process are </w:t>
      </w:r>
      <w:r w:rsidR="00B521C9">
        <w:t xml:space="preserve">more likely to not reoffend. </w:t>
      </w:r>
    </w:p>
    <w:p w14:paraId="5C550F0D" w14:textId="77777777" w:rsidR="006C0798" w:rsidRDefault="006C0798">
      <w:pPr>
        <w:spacing w:before="240"/>
      </w:pPr>
    </w:p>
    <w:p w14:paraId="2197106D" w14:textId="0176F559" w:rsidR="006B5989" w:rsidRDefault="00BD0445" w:rsidP="00AA56E7">
      <w:pPr>
        <w:tabs>
          <w:tab w:val="left" w:pos="1872"/>
        </w:tabs>
        <w:spacing w:before="240"/>
      </w:pPr>
      <w:r>
        <w:t xml:space="preserve">Wordcount: </w:t>
      </w:r>
      <w:r w:rsidR="00AA56E7">
        <w:t>9</w:t>
      </w:r>
      <w:r w:rsidR="0059307C">
        <w:t>35</w:t>
      </w:r>
      <w:r w:rsidR="00AA56E7">
        <w:tab/>
      </w:r>
    </w:p>
    <w:p w14:paraId="4BDC73F6" w14:textId="63598ACB" w:rsidR="00AA56E7" w:rsidRDefault="00AA56E7" w:rsidP="00AA56E7">
      <w:pPr>
        <w:tabs>
          <w:tab w:val="left" w:pos="1872"/>
        </w:tabs>
        <w:spacing w:before="240"/>
      </w:pPr>
    </w:p>
    <w:p w14:paraId="7D2E7332" w14:textId="7A06431E" w:rsidR="00AA56E7" w:rsidRDefault="00AA56E7" w:rsidP="00AA56E7">
      <w:pPr>
        <w:tabs>
          <w:tab w:val="left" w:pos="1872"/>
        </w:tabs>
        <w:spacing w:before="240"/>
      </w:pPr>
    </w:p>
    <w:p w14:paraId="5D49BCC6" w14:textId="70DBE0E7" w:rsidR="00AA56E7" w:rsidRDefault="00AA56E7" w:rsidP="00AA56E7">
      <w:pPr>
        <w:tabs>
          <w:tab w:val="left" w:pos="1872"/>
        </w:tabs>
        <w:spacing w:before="240"/>
      </w:pPr>
    </w:p>
    <w:p w14:paraId="3E4FEA1D" w14:textId="1AD53F77" w:rsidR="00AA56E7" w:rsidRDefault="00AA56E7" w:rsidP="00AA56E7">
      <w:pPr>
        <w:tabs>
          <w:tab w:val="left" w:pos="1872"/>
        </w:tabs>
        <w:spacing w:before="240"/>
      </w:pPr>
    </w:p>
    <w:p w14:paraId="01F08569" w14:textId="033AC412" w:rsidR="00AA56E7" w:rsidRDefault="00AA56E7" w:rsidP="00AA56E7">
      <w:pPr>
        <w:tabs>
          <w:tab w:val="left" w:pos="1872"/>
        </w:tabs>
        <w:spacing w:before="240"/>
      </w:pPr>
    </w:p>
    <w:p w14:paraId="00809F7E" w14:textId="61734AAE" w:rsidR="00AA56E7" w:rsidRDefault="00AA56E7" w:rsidP="00AA56E7">
      <w:pPr>
        <w:tabs>
          <w:tab w:val="left" w:pos="1872"/>
        </w:tabs>
        <w:spacing w:before="240"/>
      </w:pPr>
    </w:p>
    <w:p w14:paraId="1F04EA57" w14:textId="1A9EDDCE" w:rsidR="00AA56E7" w:rsidRDefault="00AA56E7" w:rsidP="00AA56E7">
      <w:pPr>
        <w:tabs>
          <w:tab w:val="left" w:pos="1872"/>
        </w:tabs>
        <w:spacing w:before="240"/>
      </w:pPr>
    </w:p>
    <w:p w14:paraId="5BAFE547" w14:textId="05FBAC8A" w:rsidR="00AA56E7" w:rsidRDefault="00AA56E7" w:rsidP="00AA56E7">
      <w:pPr>
        <w:tabs>
          <w:tab w:val="left" w:pos="1872"/>
        </w:tabs>
        <w:spacing w:before="240"/>
      </w:pPr>
    </w:p>
    <w:p w14:paraId="2316D226" w14:textId="3D88AF22" w:rsidR="00AA56E7" w:rsidRDefault="00AA56E7" w:rsidP="00AA56E7">
      <w:pPr>
        <w:tabs>
          <w:tab w:val="left" w:pos="1872"/>
        </w:tabs>
        <w:spacing w:before="240"/>
      </w:pPr>
    </w:p>
    <w:p w14:paraId="3FB36F16" w14:textId="61B9809F" w:rsidR="00AA56E7" w:rsidRDefault="00AA56E7" w:rsidP="00AA56E7">
      <w:pPr>
        <w:tabs>
          <w:tab w:val="left" w:pos="1872"/>
        </w:tabs>
        <w:spacing w:before="240"/>
      </w:pPr>
    </w:p>
    <w:p w14:paraId="2488479A" w14:textId="1B2FB1BE" w:rsidR="00AA56E7" w:rsidRDefault="00AA56E7" w:rsidP="00AA56E7">
      <w:pPr>
        <w:tabs>
          <w:tab w:val="left" w:pos="1872"/>
        </w:tabs>
        <w:spacing w:before="240"/>
      </w:pPr>
    </w:p>
    <w:p w14:paraId="0FC294DA" w14:textId="36D525F8" w:rsidR="00AA56E7" w:rsidRDefault="00AA56E7" w:rsidP="00AA56E7">
      <w:pPr>
        <w:tabs>
          <w:tab w:val="left" w:pos="1872"/>
        </w:tabs>
        <w:spacing w:before="240"/>
      </w:pPr>
    </w:p>
    <w:p w14:paraId="2A1E6C78" w14:textId="6C33F51C" w:rsidR="00AA56E7" w:rsidRDefault="00AA56E7" w:rsidP="00AA56E7">
      <w:pPr>
        <w:tabs>
          <w:tab w:val="left" w:pos="1872"/>
        </w:tabs>
        <w:spacing w:before="240"/>
      </w:pPr>
    </w:p>
    <w:p w14:paraId="204F11E2" w14:textId="146DD55C" w:rsidR="00AA56E7" w:rsidRDefault="00AA56E7" w:rsidP="00AA56E7">
      <w:pPr>
        <w:tabs>
          <w:tab w:val="left" w:pos="1872"/>
        </w:tabs>
        <w:spacing w:before="240"/>
      </w:pPr>
    </w:p>
    <w:p w14:paraId="67D0D221" w14:textId="7B111E71" w:rsidR="00AA56E7" w:rsidRPr="005D3243" w:rsidRDefault="00AA56E7" w:rsidP="00AA56E7">
      <w:pPr>
        <w:tabs>
          <w:tab w:val="left" w:pos="1872"/>
        </w:tabs>
        <w:spacing w:before="240"/>
        <w:rPr>
          <w:b/>
          <w:bCs/>
          <w:u w:val="single"/>
        </w:rPr>
      </w:pPr>
      <w:r w:rsidRPr="005D3243">
        <w:rPr>
          <w:b/>
          <w:bCs/>
          <w:u w:val="single"/>
        </w:rPr>
        <w:t xml:space="preserve">Bibliography </w:t>
      </w:r>
    </w:p>
    <w:p w14:paraId="61D1FA45" w14:textId="77777777" w:rsidR="005D3243" w:rsidRDefault="005D3243" w:rsidP="00AA56E7">
      <w:pPr>
        <w:tabs>
          <w:tab w:val="left" w:pos="1872"/>
        </w:tabs>
        <w:spacing w:before="240"/>
      </w:pPr>
    </w:p>
    <w:p w14:paraId="4F7B1C88" w14:textId="77777777" w:rsidR="005D3243" w:rsidRPr="00F735B8" w:rsidRDefault="005D3243"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Asmundson, G.J. and Afifi, T.O., (2019). </w:t>
      </w:r>
      <w:r w:rsidRPr="00F735B8">
        <w:rPr>
          <w:rFonts w:cstheme="minorHAnsi"/>
          <w:i/>
          <w:iCs/>
          <w:color w:val="222222"/>
          <w:sz w:val="20"/>
          <w:szCs w:val="20"/>
          <w:shd w:val="clear" w:color="auto" w:fill="FFFFFF"/>
        </w:rPr>
        <w:t>Adverse childhood experiences: Using evidence to advance research, practice, policy, and prevention</w:t>
      </w:r>
      <w:r w:rsidRPr="00F735B8">
        <w:rPr>
          <w:rFonts w:cstheme="minorHAnsi"/>
          <w:color w:val="222222"/>
          <w:sz w:val="20"/>
          <w:szCs w:val="20"/>
          <w:shd w:val="clear" w:color="auto" w:fill="FFFFFF"/>
        </w:rPr>
        <w:t>. Academic Press.</w:t>
      </w:r>
    </w:p>
    <w:p w14:paraId="410263B9" w14:textId="77777777" w:rsidR="005D3243" w:rsidRPr="00F735B8" w:rsidRDefault="005D3243"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Bales, W.D. and Piquero, A.R., (2012) Assessing the impact of imprisonment on recidivism. </w:t>
      </w:r>
      <w:r w:rsidRPr="00F735B8">
        <w:rPr>
          <w:rFonts w:cstheme="minorHAnsi"/>
          <w:i/>
          <w:iCs/>
          <w:color w:val="222222"/>
          <w:sz w:val="20"/>
          <w:szCs w:val="20"/>
          <w:shd w:val="clear" w:color="auto" w:fill="FFFFFF"/>
        </w:rPr>
        <w:t>Journal of Experimental Criminology</w:t>
      </w:r>
      <w:r w:rsidRPr="00F735B8">
        <w:rPr>
          <w:rFonts w:cstheme="minorHAnsi"/>
          <w:color w:val="222222"/>
          <w:sz w:val="20"/>
          <w:szCs w:val="20"/>
          <w:shd w:val="clear" w:color="auto" w:fill="FFFFFF"/>
        </w:rPr>
        <w:t>, </w:t>
      </w:r>
      <w:r w:rsidRPr="00F735B8">
        <w:rPr>
          <w:rFonts w:cstheme="minorHAnsi"/>
          <w:i/>
          <w:iCs/>
          <w:color w:val="222222"/>
          <w:sz w:val="20"/>
          <w:szCs w:val="20"/>
          <w:shd w:val="clear" w:color="auto" w:fill="FFFFFF"/>
        </w:rPr>
        <w:t>8</w:t>
      </w:r>
      <w:r w:rsidRPr="00F735B8">
        <w:rPr>
          <w:rFonts w:cstheme="minorHAnsi"/>
          <w:color w:val="222222"/>
          <w:sz w:val="20"/>
          <w:szCs w:val="20"/>
          <w:shd w:val="clear" w:color="auto" w:fill="FFFFFF"/>
        </w:rPr>
        <w:t>, pp.71-101.</w:t>
      </w:r>
    </w:p>
    <w:p w14:paraId="13B893A4" w14:textId="77777777" w:rsidR="005D3243" w:rsidRPr="00F735B8" w:rsidRDefault="005D3243" w:rsidP="0028330D">
      <w:pPr>
        <w:rPr>
          <w:rFonts w:cstheme="minorHAnsi"/>
          <w:sz w:val="20"/>
          <w:szCs w:val="20"/>
        </w:rPr>
      </w:pPr>
      <w:r w:rsidRPr="00F735B8">
        <w:rPr>
          <w:rFonts w:cstheme="minorHAnsi"/>
          <w:sz w:val="20"/>
          <w:szCs w:val="20"/>
        </w:rPr>
        <w:t xml:space="preserve">BBC (2021) </w:t>
      </w:r>
      <w:r w:rsidRPr="00F735B8">
        <w:rPr>
          <w:rFonts w:cstheme="minorHAnsi"/>
          <w:i/>
          <w:iCs/>
          <w:sz w:val="20"/>
          <w:szCs w:val="20"/>
        </w:rPr>
        <w:t>Brixton Riots 1981: What happened 40 years ago in London?.</w:t>
      </w:r>
      <w:r w:rsidRPr="00F735B8">
        <w:rPr>
          <w:rFonts w:cstheme="minorHAnsi"/>
          <w:sz w:val="20"/>
          <w:szCs w:val="20"/>
        </w:rPr>
        <w:t xml:space="preserve"> Available at: </w:t>
      </w:r>
      <w:hyperlink r:id="rId8" w:history="1">
        <w:r w:rsidRPr="00F735B8">
          <w:rPr>
            <w:rStyle w:val="Hyperlink"/>
            <w:rFonts w:cstheme="minorHAnsi"/>
            <w:sz w:val="20"/>
            <w:szCs w:val="20"/>
          </w:rPr>
          <w:t>https://www.bbc.co.uk/newsround/50035769</w:t>
        </w:r>
      </w:hyperlink>
      <w:r w:rsidRPr="00F735B8">
        <w:rPr>
          <w:rStyle w:val="Hyperlink"/>
          <w:rFonts w:cstheme="minorHAnsi"/>
          <w:sz w:val="20"/>
          <w:szCs w:val="20"/>
        </w:rPr>
        <w:t xml:space="preserve"> (Accessed: 02/02/2023)</w:t>
      </w:r>
    </w:p>
    <w:p w14:paraId="2B04AF7B" w14:textId="77777777" w:rsidR="005D3243" w:rsidRPr="00F735B8" w:rsidRDefault="005D3243" w:rsidP="0028330D">
      <w:pPr>
        <w:rPr>
          <w:rFonts w:cstheme="minorHAnsi"/>
          <w:sz w:val="20"/>
          <w:szCs w:val="20"/>
        </w:rPr>
      </w:pPr>
      <w:r w:rsidRPr="00F735B8">
        <w:rPr>
          <w:rFonts w:cstheme="minorHAnsi"/>
          <w:sz w:val="20"/>
          <w:szCs w:val="20"/>
        </w:rPr>
        <w:t>Carter S (2012) ‘</w:t>
      </w:r>
      <w:r w:rsidRPr="00F735B8">
        <w:rPr>
          <w:rFonts w:cstheme="minorHAnsi"/>
          <w:i/>
          <w:iCs/>
          <w:sz w:val="20"/>
          <w:szCs w:val="20"/>
        </w:rPr>
        <w:t xml:space="preserve">The Relationship Between Substance Abuse and Teen Crime’ </w:t>
      </w:r>
      <w:r w:rsidRPr="00F735B8">
        <w:rPr>
          <w:rFonts w:cstheme="minorHAnsi"/>
          <w:sz w:val="20"/>
          <w:szCs w:val="20"/>
        </w:rPr>
        <w:t xml:space="preserve">Available at: </w:t>
      </w:r>
      <w:hyperlink r:id="rId9" w:history="1">
        <w:r w:rsidRPr="00F735B8">
          <w:rPr>
            <w:rStyle w:val="Hyperlink"/>
            <w:rFonts w:cstheme="minorHAnsi"/>
            <w:sz w:val="20"/>
            <w:szCs w:val="20"/>
          </w:rPr>
          <w:t>https://www.reclaimingfutures.org/news/relationship-between-substance-abuse-and-teen-crime</w:t>
        </w:r>
      </w:hyperlink>
      <w:r w:rsidRPr="00F735B8">
        <w:rPr>
          <w:rFonts w:cstheme="minorHAnsi"/>
          <w:sz w:val="20"/>
          <w:szCs w:val="20"/>
        </w:rPr>
        <w:t xml:space="preserve"> (Accessed: 09/04/2023)</w:t>
      </w:r>
    </w:p>
    <w:p w14:paraId="6DCCBE4C" w14:textId="77777777" w:rsidR="005D3243" w:rsidRPr="00F735B8" w:rsidRDefault="005D3243" w:rsidP="0028330D">
      <w:pPr>
        <w:rPr>
          <w:rFonts w:cstheme="minorHAnsi"/>
          <w:sz w:val="20"/>
          <w:szCs w:val="20"/>
        </w:rPr>
      </w:pPr>
      <w:r w:rsidRPr="00F735B8">
        <w:rPr>
          <w:rFonts w:cstheme="minorHAnsi"/>
          <w:sz w:val="20"/>
          <w:szCs w:val="20"/>
        </w:rPr>
        <w:t xml:space="preserve">College of Policing (2013) </w:t>
      </w:r>
      <w:r w:rsidRPr="00F735B8">
        <w:rPr>
          <w:rFonts w:cstheme="minorHAnsi"/>
          <w:i/>
          <w:iCs/>
          <w:sz w:val="20"/>
          <w:szCs w:val="20"/>
        </w:rPr>
        <w:t xml:space="preserve">Common process for managing police information </w:t>
      </w:r>
      <w:r w:rsidRPr="00F735B8">
        <w:rPr>
          <w:rFonts w:cstheme="minorHAnsi"/>
          <w:sz w:val="20"/>
          <w:szCs w:val="20"/>
        </w:rPr>
        <w:t xml:space="preserve">Available at: </w:t>
      </w:r>
      <w:hyperlink r:id="rId10" w:anchor="public-protection" w:history="1">
        <w:r w:rsidRPr="00F735B8">
          <w:rPr>
            <w:rStyle w:val="Hyperlink"/>
            <w:rFonts w:cstheme="minorHAnsi"/>
            <w:sz w:val="20"/>
            <w:szCs w:val="20"/>
          </w:rPr>
          <w:t>https://www.college.police.uk/app/information-management/management-police-information/common-process-managing-police-information#public-protection</w:t>
        </w:r>
      </w:hyperlink>
      <w:r w:rsidRPr="00F735B8">
        <w:rPr>
          <w:rFonts w:cstheme="minorHAnsi"/>
          <w:sz w:val="20"/>
          <w:szCs w:val="20"/>
        </w:rPr>
        <w:t xml:space="preserve"> (Accessed: 03/03/23)</w:t>
      </w:r>
    </w:p>
    <w:p w14:paraId="62AD67C9" w14:textId="77777777" w:rsidR="005D3243" w:rsidRPr="00F735B8" w:rsidRDefault="005D3243" w:rsidP="0028330D">
      <w:pPr>
        <w:rPr>
          <w:rFonts w:cstheme="minorHAnsi"/>
          <w:sz w:val="20"/>
          <w:szCs w:val="20"/>
        </w:rPr>
      </w:pPr>
      <w:r w:rsidRPr="00F735B8">
        <w:rPr>
          <w:rFonts w:cstheme="minorHAnsi"/>
          <w:sz w:val="20"/>
          <w:szCs w:val="20"/>
        </w:rPr>
        <w:t xml:space="preserve">College of Policing (2016) </w:t>
      </w:r>
      <w:r w:rsidRPr="00F735B8">
        <w:rPr>
          <w:rFonts w:cstheme="minorHAnsi"/>
          <w:i/>
          <w:iCs/>
          <w:sz w:val="20"/>
          <w:szCs w:val="20"/>
        </w:rPr>
        <w:t xml:space="preserve">Stop and search. </w:t>
      </w:r>
      <w:r w:rsidRPr="00F735B8">
        <w:rPr>
          <w:rFonts w:cstheme="minorHAnsi"/>
          <w:sz w:val="20"/>
          <w:szCs w:val="20"/>
        </w:rPr>
        <w:t xml:space="preserve">Available at: </w:t>
      </w:r>
      <w:hyperlink r:id="rId11" w:history="1">
        <w:r w:rsidRPr="00F735B8">
          <w:rPr>
            <w:rStyle w:val="Hyperlink"/>
            <w:rFonts w:cstheme="minorHAnsi"/>
            <w:sz w:val="20"/>
            <w:szCs w:val="20"/>
          </w:rPr>
          <w:t>https://www.college.police.uk/app/stop-and-search/stop-and-search</w:t>
        </w:r>
      </w:hyperlink>
      <w:r w:rsidRPr="00F735B8">
        <w:rPr>
          <w:rStyle w:val="Hyperlink"/>
          <w:rFonts w:cstheme="minorHAnsi"/>
          <w:sz w:val="20"/>
          <w:szCs w:val="20"/>
        </w:rPr>
        <w:t xml:space="preserve"> (Accessed: 07/02/2023)</w:t>
      </w:r>
    </w:p>
    <w:p w14:paraId="317385BA" w14:textId="77777777" w:rsidR="005D3243" w:rsidRPr="00F735B8" w:rsidRDefault="005D3243" w:rsidP="0028330D">
      <w:pPr>
        <w:rPr>
          <w:rFonts w:cstheme="minorHAnsi"/>
          <w:sz w:val="20"/>
          <w:szCs w:val="20"/>
        </w:rPr>
      </w:pPr>
      <w:r w:rsidRPr="00F735B8">
        <w:rPr>
          <w:rFonts w:cstheme="minorHAnsi"/>
          <w:sz w:val="20"/>
          <w:szCs w:val="20"/>
        </w:rPr>
        <w:t xml:space="preserve">College of Policing (2016) </w:t>
      </w:r>
      <w:r w:rsidRPr="00F735B8">
        <w:rPr>
          <w:rFonts w:cstheme="minorHAnsi"/>
          <w:i/>
          <w:iCs/>
          <w:sz w:val="20"/>
          <w:szCs w:val="20"/>
        </w:rPr>
        <w:t>Transparent.</w:t>
      </w:r>
      <w:r w:rsidRPr="00F735B8">
        <w:rPr>
          <w:rFonts w:cstheme="minorHAnsi"/>
          <w:sz w:val="20"/>
          <w:szCs w:val="20"/>
        </w:rPr>
        <w:t xml:space="preserve"> Available at: </w:t>
      </w:r>
      <w:hyperlink r:id="rId12" w:history="1">
        <w:r w:rsidRPr="00F735B8">
          <w:rPr>
            <w:rStyle w:val="Hyperlink"/>
            <w:rFonts w:cstheme="minorHAnsi"/>
            <w:sz w:val="20"/>
            <w:szCs w:val="20"/>
          </w:rPr>
          <w:t>https://www.college.police.uk/app/stop-and-search/transparent</w:t>
        </w:r>
      </w:hyperlink>
      <w:r w:rsidRPr="00F735B8">
        <w:rPr>
          <w:rStyle w:val="Hyperlink"/>
          <w:rFonts w:cstheme="minorHAnsi"/>
          <w:sz w:val="20"/>
          <w:szCs w:val="20"/>
        </w:rPr>
        <w:t xml:space="preserve"> (Accessed: 24/02/23)</w:t>
      </w:r>
    </w:p>
    <w:p w14:paraId="37DE0624" w14:textId="77777777" w:rsidR="005D3243" w:rsidRPr="00F735B8" w:rsidRDefault="005D3243" w:rsidP="0028330D">
      <w:pPr>
        <w:rPr>
          <w:rFonts w:cstheme="minorHAnsi"/>
          <w:color w:val="3A3A3A"/>
          <w:sz w:val="20"/>
          <w:szCs w:val="20"/>
          <w:shd w:val="clear" w:color="auto" w:fill="FFFFFF"/>
        </w:rPr>
      </w:pPr>
      <w:r w:rsidRPr="00F735B8">
        <w:rPr>
          <w:rFonts w:cstheme="minorHAnsi"/>
          <w:color w:val="3A3A3A"/>
          <w:sz w:val="20"/>
          <w:szCs w:val="20"/>
          <w:shd w:val="clear" w:color="auto" w:fill="FFFFFF"/>
        </w:rPr>
        <w:t xml:space="preserve">College of Policing (2017) </w:t>
      </w:r>
      <w:r w:rsidRPr="00F735B8">
        <w:rPr>
          <w:rFonts w:cstheme="minorHAnsi"/>
          <w:i/>
          <w:iCs/>
          <w:color w:val="3A3A3A"/>
          <w:sz w:val="20"/>
          <w:szCs w:val="20"/>
          <w:shd w:val="clear" w:color="auto" w:fill="FFFFFF"/>
        </w:rPr>
        <w:t xml:space="preserve">Communication and media consideration </w:t>
      </w:r>
      <w:r w:rsidRPr="00F735B8">
        <w:rPr>
          <w:rFonts w:cstheme="minorHAnsi"/>
          <w:color w:val="3A3A3A"/>
          <w:sz w:val="20"/>
          <w:szCs w:val="20"/>
          <w:shd w:val="clear" w:color="auto" w:fill="FFFFFF"/>
        </w:rPr>
        <w:t xml:space="preserve">Available at: </w:t>
      </w:r>
      <w:hyperlink r:id="rId13" w:history="1">
        <w:r w:rsidRPr="00F735B8">
          <w:rPr>
            <w:rStyle w:val="Hyperlink"/>
            <w:rFonts w:cstheme="minorHAnsi"/>
            <w:sz w:val="20"/>
            <w:szCs w:val="20"/>
            <w:shd w:val="clear" w:color="auto" w:fill="FFFFFF"/>
          </w:rPr>
          <w:t>https://www.college.police.uk/app/major-investigation-and-public-protection/managing-sexual-offenders-and-violent-offenders/communication-and-media-considerations</w:t>
        </w:r>
      </w:hyperlink>
      <w:r w:rsidRPr="00F735B8">
        <w:rPr>
          <w:rFonts w:cstheme="minorHAnsi"/>
          <w:color w:val="3A3A3A"/>
          <w:sz w:val="20"/>
          <w:szCs w:val="20"/>
          <w:shd w:val="clear" w:color="auto" w:fill="FFFFFF"/>
        </w:rPr>
        <w:t xml:space="preserve"> (Accessed: 05/03/2023)</w:t>
      </w:r>
    </w:p>
    <w:p w14:paraId="5B9E5730" w14:textId="77777777" w:rsidR="005D3243" w:rsidRPr="00F735B8" w:rsidRDefault="005D3243"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 xml:space="preserve">College of Policing (2022) Restorative Justice Evidence Briefing Available at: </w:t>
      </w:r>
      <w:hyperlink r:id="rId14" w:history="1">
        <w:r w:rsidRPr="00F735B8">
          <w:rPr>
            <w:rStyle w:val="Hyperlink"/>
            <w:rFonts w:cstheme="minorHAnsi"/>
            <w:sz w:val="20"/>
            <w:szCs w:val="20"/>
            <w:shd w:val="clear" w:color="auto" w:fill="FFFFFF"/>
          </w:rPr>
          <w:t>https://assets.college.police.uk/s3fs-public/2022-01/Restorative-justice-evidence-briefing.pdf</w:t>
        </w:r>
      </w:hyperlink>
      <w:r w:rsidRPr="00F735B8">
        <w:rPr>
          <w:rFonts w:cstheme="minorHAnsi"/>
          <w:color w:val="222222"/>
          <w:sz w:val="20"/>
          <w:szCs w:val="20"/>
          <w:shd w:val="clear" w:color="auto" w:fill="FFFFFF"/>
        </w:rPr>
        <w:t xml:space="preserve"> (Accessed: 13/04/2023) </w:t>
      </w:r>
    </w:p>
    <w:p w14:paraId="6483AA8C" w14:textId="77777777" w:rsidR="005D3243" w:rsidRPr="00F735B8" w:rsidRDefault="005D3243" w:rsidP="0028330D">
      <w:pPr>
        <w:rPr>
          <w:rFonts w:cstheme="minorHAnsi"/>
          <w:sz w:val="20"/>
          <w:szCs w:val="20"/>
        </w:rPr>
      </w:pPr>
      <w:r w:rsidRPr="00F735B8">
        <w:rPr>
          <w:rFonts w:cstheme="minorHAnsi"/>
          <w:sz w:val="20"/>
          <w:szCs w:val="20"/>
        </w:rPr>
        <w:t xml:space="preserve">College of Policing (2022) </w:t>
      </w:r>
      <w:r w:rsidRPr="00F735B8">
        <w:rPr>
          <w:rFonts w:cstheme="minorHAnsi"/>
          <w:i/>
          <w:iCs/>
          <w:sz w:val="20"/>
          <w:szCs w:val="20"/>
        </w:rPr>
        <w:t xml:space="preserve">Stop and Search Professional </w:t>
      </w:r>
      <w:r w:rsidRPr="00F735B8">
        <w:rPr>
          <w:rFonts w:cstheme="minorHAnsi"/>
          <w:sz w:val="20"/>
          <w:szCs w:val="20"/>
        </w:rPr>
        <w:t>Available at:</w:t>
      </w:r>
      <w:r w:rsidRPr="00F735B8">
        <w:rPr>
          <w:rFonts w:cstheme="minorHAnsi"/>
          <w:i/>
          <w:iCs/>
          <w:sz w:val="20"/>
          <w:szCs w:val="20"/>
        </w:rPr>
        <w:t xml:space="preserve"> </w:t>
      </w:r>
      <w:hyperlink r:id="rId15" w:history="1">
        <w:r w:rsidRPr="00F735B8">
          <w:rPr>
            <w:rStyle w:val="Hyperlink"/>
            <w:rFonts w:cstheme="minorHAnsi"/>
            <w:sz w:val="20"/>
            <w:szCs w:val="20"/>
          </w:rPr>
          <w:t>https://www.college.police.uk/app/stop-and-search/professional</w:t>
        </w:r>
      </w:hyperlink>
      <w:r w:rsidRPr="00F735B8">
        <w:rPr>
          <w:rFonts w:cstheme="minorHAnsi"/>
          <w:sz w:val="20"/>
          <w:szCs w:val="20"/>
        </w:rPr>
        <w:t xml:space="preserve"> (Accessed: 24/02/23)</w:t>
      </w:r>
    </w:p>
    <w:p w14:paraId="2A329C18" w14:textId="674BEBED" w:rsidR="005D3243" w:rsidRPr="00F735B8" w:rsidRDefault="005D3243" w:rsidP="0028330D">
      <w:pPr>
        <w:rPr>
          <w:rFonts w:cstheme="minorHAnsi"/>
          <w:color w:val="3A3A3A"/>
          <w:sz w:val="20"/>
          <w:szCs w:val="20"/>
          <w:shd w:val="clear" w:color="auto" w:fill="FFFFFF"/>
        </w:rPr>
      </w:pPr>
      <w:r w:rsidRPr="00F735B8">
        <w:rPr>
          <w:rFonts w:cstheme="minorHAnsi"/>
          <w:color w:val="3A3A3A"/>
          <w:sz w:val="20"/>
          <w:szCs w:val="20"/>
          <w:shd w:val="clear" w:color="auto" w:fill="FFFFFF"/>
        </w:rPr>
        <w:t xml:space="preserve">Craig, J.M., Malvaso, C. and Farrington, D.P. (2021) ‘All in the Family? Exploring the Intergenerational Transmission of Exposure to Adverse Childhood Experiences and Their Effect on Offending </w:t>
      </w:r>
      <w:r w:rsidR="002F1360" w:rsidRPr="00F735B8">
        <w:rPr>
          <w:rFonts w:cstheme="minorHAnsi"/>
          <w:color w:val="3A3A3A"/>
          <w:sz w:val="20"/>
          <w:szCs w:val="20"/>
          <w:shd w:val="clear" w:color="auto" w:fill="FFFFFF"/>
        </w:rPr>
        <w:t>Behaviour</w:t>
      </w:r>
      <w:r w:rsidRPr="00F735B8">
        <w:rPr>
          <w:rFonts w:cstheme="minorHAnsi"/>
          <w:color w:val="3A3A3A"/>
          <w:sz w:val="20"/>
          <w:szCs w:val="20"/>
          <w:shd w:val="clear" w:color="auto" w:fill="FFFFFF"/>
        </w:rPr>
        <w:t>’, </w:t>
      </w:r>
      <w:r w:rsidRPr="00F735B8">
        <w:rPr>
          <w:rFonts w:cstheme="minorHAnsi"/>
          <w:i/>
          <w:iCs/>
          <w:color w:val="3A3A3A"/>
          <w:sz w:val="20"/>
          <w:szCs w:val="20"/>
          <w:shd w:val="clear" w:color="auto" w:fill="FFFFFF"/>
        </w:rPr>
        <w:t>Youth violence and juvenile justice</w:t>
      </w:r>
      <w:r w:rsidRPr="00F735B8">
        <w:rPr>
          <w:rFonts w:cstheme="minorHAnsi"/>
          <w:color w:val="3A3A3A"/>
          <w:sz w:val="20"/>
          <w:szCs w:val="20"/>
          <w:shd w:val="clear" w:color="auto" w:fill="FFFFFF"/>
        </w:rPr>
        <w:t xml:space="preserve">, 19(3), pp. 292–307. Available at: </w:t>
      </w:r>
      <w:hyperlink r:id="rId16" w:history="1">
        <w:r w:rsidRPr="00F735B8">
          <w:rPr>
            <w:rStyle w:val="Hyperlink"/>
            <w:rFonts w:cstheme="minorHAnsi"/>
            <w:sz w:val="20"/>
            <w:szCs w:val="20"/>
            <w:shd w:val="clear" w:color="auto" w:fill="FFFFFF"/>
          </w:rPr>
          <w:t>https://doi.org/10.1177/15412040211003648</w:t>
        </w:r>
      </w:hyperlink>
      <w:r w:rsidRPr="00F735B8">
        <w:rPr>
          <w:rFonts w:cstheme="minorHAnsi"/>
          <w:color w:val="3A3A3A"/>
          <w:sz w:val="20"/>
          <w:szCs w:val="20"/>
          <w:shd w:val="clear" w:color="auto" w:fill="FFFFFF"/>
        </w:rPr>
        <w:t>.</w:t>
      </w:r>
    </w:p>
    <w:p w14:paraId="729B1963" w14:textId="77777777" w:rsidR="005D3243" w:rsidRPr="00F735B8" w:rsidRDefault="005D3243"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 xml:space="preserve">Crown Prosecution Service (2023) </w:t>
      </w:r>
      <w:r w:rsidRPr="00F735B8">
        <w:rPr>
          <w:rFonts w:cstheme="minorHAnsi"/>
          <w:i/>
          <w:iCs/>
          <w:color w:val="222222"/>
          <w:sz w:val="20"/>
          <w:szCs w:val="20"/>
          <w:shd w:val="clear" w:color="auto" w:fill="FFFFFF"/>
        </w:rPr>
        <w:t>Restorative Justice</w:t>
      </w:r>
      <w:r w:rsidRPr="00F735B8">
        <w:rPr>
          <w:rFonts w:cstheme="minorHAnsi"/>
          <w:color w:val="222222"/>
          <w:sz w:val="20"/>
          <w:szCs w:val="20"/>
          <w:shd w:val="clear" w:color="auto" w:fill="FFFFFF"/>
        </w:rPr>
        <w:t xml:space="preserve"> Available at: </w:t>
      </w:r>
      <w:hyperlink r:id="rId17" w:history="1">
        <w:r w:rsidRPr="00F735B8">
          <w:rPr>
            <w:rStyle w:val="Hyperlink"/>
            <w:rFonts w:cstheme="minorHAnsi"/>
            <w:sz w:val="20"/>
            <w:szCs w:val="20"/>
            <w:shd w:val="clear" w:color="auto" w:fill="FFFFFF"/>
          </w:rPr>
          <w:t>https://www.cps.gov.uk/legal-guidance/restorative-justice</w:t>
        </w:r>
      </w:hyperlink>
      <w:r w:rsidRPr="00F735B8">
        <w:rPr>
          <w:rFonts w:cstheme="minorHAnsi"/>
          <w:color w:val="222222"/>
          <w:sz w:val="20"/>
          <w:szCs w:val="20"/>
          <w:shd w:val="clear" w:color="auto" w:fill="FFFFFF"/>
        </w:rPr>
        <w:t xml:space="preserve"> (Accessed: 13/04/2023)</w:t>
      </w:r>
    </w:p>
    <w:p w14:paraId="4329CE8B" w14:textId="77777777" w:rsidR="005D3243" w:rsidRPr="00F735B8" w:rsidRDefault="005D3243"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Cullen, F.T., Jonson, C.L. and Nagin, D.S., (2011) Prisons do not reduce recidivism: The high cost of ignoring science. </w:t>
      </w:r>
      <w:r w:rsidRPr="00F735B8">
        <w:rPr>
          <w:rFonts w:cstheme="minorHAnsi"/>
          <w:i/>
          <w:iCs/>
          <w:color w:val="222222"/>
          <w:sz w:val="20"/>
          <w:szCs w:val="20"/>
          <w:shd w:val="clear" w:color="auto" w:fill="FFFFFF"/>
        </w:rPr>
        <w:t>The Prison Journal</w:t>
      </w:r>
      <w:r w:rsidRPr="00F735B8">
        <w:rPr>
          <w:rFonts w:cstheme="minorHAnsi"/>
          <w:color w:val="222222"/>
          <w:sz w:val="20"/>
          <w:szCs w:val="20"/>
          <w:shd w:val="clear" w:color="auto" w:fill="FFFFFF"/>
        </w:rPr>
        <w:t>, </w:t>
      </w:r>
      <w:r w:rsidRPr="00F735B8">
        <w:rPr>
          <w:rFonts w:cstheme="minorHAnsi"/>
          <w:i/>
          <w:iCs/>
          <w:color w:val="222222"/>
          <w:sz w:val="20"/>
          <w:szCs w:val="20"/>
          <w:shd w:val="clear" w:color="auto" w:fill="FFFFFF"/>
        </w:rPr>
        <w:t>91</w:t>
      </w:r>
      <w:r w:rsidRPr="00F735B8">
        <w:rPr>
          <w:rFonts w:cstheme="minorHAnsi"/>
          <w:color w:val="222222"/>
          <w:sz w:val="20"/>
          <w:szCs w:val="20"/>
          <w:shd w:val="clear" w:color="auto" w:fill="FFFFFF"/>
        </w:rPr>
        <w:t>(3_suppl), pp.48S-65S.</w:t>
      </w:r>
    </w:p>
    <w:p w14:paraId="35E593C5" w14:textId="77777777" w:rsidR="005D3243" w:rsidRPr="00F735B8" w:rsidRDefault="005D3243" w:rsidP="0028330D">
      <w:pPr>
        <w:rPr>
          <w:rFonts w:cstheme="minorHAnsi"/>
          <w:sz w:val="20"/>
          <w:szCs w:val="20"/>
        </w:rPr>
      </w:pPr>
      <w:r w:rsidRPr="00F735B8">
        <w:rPr>
          <w:rStyle w:val="hlfld-contribauthor"/>
          <w:rFonts w:cstheme="minorHAnsi"/>
          <w:color w:val="333333"/>
          <w:sz w:val="20"/>
          <w:szCs w:val="20"/>
          <w:shd w:val="clear" w:color="auto" w:fill="FFFFFF"/>
        </w:rPr>
        <w:t>Dearden, </w:t>
      </w:r>
      <w:r w:rsidRPr="00F735B8">
        <w:rPr>
          <w:rStyle w:val="nlmgiven-names"/>
          <w:rFonts w:cstheme="minorHAnsi"/>
          <w:color w:val="333333"/>
          <w:sz w:val="20"/>
          <w:szCs w:val="20"/>
          <w:shd w:val="clear" w:color="auto" w:fill="FFFFFF"/>
        </w:rPr>
        <w:t>L.</w:t>
      </w:r>
      <w:r w:rsidRPr="00F735B8">
        <w:rPr>
          <w:rFonts w:cstheme="minorHAnsi"/>
          <w:color w:val="333333"/>
          <w:sz w:val="20"/>
          <w:szCs w:val="20"/>
          <w:shd w:val="clear" w:color="auto" w:fill="FFFFFF"/>
        </w:rPr>
        <w:t> (</w:t>
      </w:r>
      <w:r w:rsidRPr="00F735B8">
        <w:rPr>
          <w:rStyle w:val="nlmyear"/>
          <w:rFonts w:cstheme="minorHAnsi"/>
          <w:color w:val="333333"/>
          <w:sz w:val="20"/>
          <w:szCs w:val="20"/>
          <w:shd w:val="clear" w:color="auto" w:fill="FFFFFF"/>
        </w:rPr>
        <w:t>2018</w:t>
      </w:r>
      <w:r w:rsidRPr="00F735B8">
        <w:rPr>
          <w:rFonts w:cstheme="minorHAnsi"/>
          <w:color w:val="333333"/>
          <w:sz w:val="20"/>
          <w:szCs w:val="20"/>
          <w:shd w:val="clear" w:color="auto" w:fill="FFFFFF"/>
        </w:rPr>
        <w:t>). New police watchdog launched to replace IPCC and ensure greater accountability to public. </w:t>
      </w:r>
      <w:r w:rsidRPr="00F735B8">
        <w:rPr>
          <w:rFonts w:cstheme="minorHAnsi"/>
          <w:i/>
          <w:iCs/>
          <w:color w:val="333333"/>
          <w:sz w:val="20"/>
          <w:szCs w:val="20"/>
          <w:shd w:val="clear" w:color="auto" w:fill="FFFFFF"/>
        </w:rPr>
        <w:t>Independent</w:t>
      </w:r>
      <w:r w:rsidRPr="00F735B8">
        <w:rPr>
          <w:rFonts w:cstheme="minorHAnsi"/>
          <w:color w:val="333333"/>
          <w:sz w:val="20"/>
          <w:szCs w:val="20"/>
          <w:shd w:val="clear" w:color="auto" w:fill="FFFFFF"/>
        </w:rPr>
        <w:t>. Available at:  </w:t>
      </w:r>
      <w:hyperlink r:id="rId18" w:tgtFrame="_blank" w:history="1">
        <w:r w:rsidRPr="00F735B8">
          <w:rPr>
            <w:rStyle w:val="Hyperlink"/>
            <w:rFonts w:cstheme="minorHAnsi"/>
            <w:color w:val="10147E"/>
            <w:sz w:val="20"/>
            <w:szCs w:val="20"/>
            <w:shd w:val="clear" w:color="auto" w:fill="FFFFFF"/>
          </w:rPr>
          <w:t>https://www.independent.co.uk/news/uk/crime/police-warchdog-launch-iopc-replace-office-for-police-conduct-uk-public-a8147696.html</w:t>
        </w:r>
      </w:hyperlink>
      <w:r w:rsidRPr="00F735B8">
        <w:rPr>
          <w:rFonts w:cstheme="minorHAnsi"/>
          <w:sz w:val="20"/>
          <w:szCs w:val="20"/>
        </w:rPr>
        <w:t xml:space="preserve"> (Accessed: 03/03/2023)</w:t>
      </w:r>
    </w:p>
    <w:p w14:paraId="4362CE46" w14:textId="77777777" w:rsidR="005D3243" w:rsidRPr="00F735B8" w:rsidRDefault="005D3243" w:rsidP="0028330D">
      <w:pPr>
        <w:rPr>
          <w:rFonts w:cstheme="minorHAnsi"/>
          <w:sz w:val="20"/>
          <w:szCs w:val="20"/>
        </w:rPr>
      </w:pPr>
      <w:r w:rsidRPr="00F735B8">
        <w:rPr>
          <w:rFonts w:cstheme="minorHAnsi"/>
          <w:sz w:val="20"/>
          <w:szCs w:val="20"/>
        </w:rPr>
        <w:t xml:space="preserve">Gloucestershire County Council (2020) </w:t>
      </w:r>
      <w:r w:rsidRPr="00F735B8">
        <w:rPr>
          <w:rFonts w:cstheme="minorHAnsi"/>
          <w:i/>
          <w:iCs/>
          <w:sz w:val="20"/>
          <w:szCs w:val="20"/>
        </w:rPr>
        <w:t xml:space="preserve">Race Relations Act. </w:t>
      </w:r>
      <w:r w:rsidRPr="00F735B8">
        <w:rPr>
          <w:rFonts w:cstheme="minorHAnsi"/>
          <w:sz w:val="20"/>
          <w:szCs w:val="20"/>
        </w:rPr>
        <w:t xml:space="preserve">Available at: </w:t>
      </w:r>
      <w:hyperlink r:id="rId19" w:history="1">
        <w:r w:rsidRPr="00F735B8">
          <w:rPr>
            <w:rStyle w:val="Hyperlink"/>
            <w:rFonts w:cstheme="minorHAnsi"/>
            <w:sz w:val="20"/>
            <w:szCs w:val="20"/>
          </w:rPr>
          <w:t>https://www.gloucestershire.gov.uk/your-community/black-history-month/black-history-month-2020/race-relations-acts-1965-2000/sus-laws/</w:t>
        </w:r>
      </w:hyperlink>
      <w:r w:rsidRPr="00F735B8">
        <w:rPr>
          <w:rStyle w:val="Hyperlink"/>
          <w:rFonts w:cstheme="minorHAnsi"/>
          <w:sz w:val="20"/>
          <w:szCs w:val="20"/>
        </w:rPr>
        <w:t xml:space="preserve"> (Accessed: 03/02/23)</w:t>
      </w:r>
    </w:p>
    <w:p w14:paraId="409027E0" w14:textId="77777777" w:rsidR="005D3243" w:rsidRPr="00F735B8" w:rsidRDefault="005D3243" w:rsidP="0028330D">
      <w:pPr>
        <w:rPr>
          <w:rFonts w:cstheme="minorHAnsi"/>
          <w:sz w:val="20"/>
          <w:szCs w:val="20"/>
        </w:rPr>
      </w:pPr>
      <w:r w:rsidRPr="00F735B8">
        <w:rPr>
          <w:rFonts w:cstheme="minorHAnsi"/>
          <w:sz w:val="20"/>
          <w:szCs w:val="20"/>
        </w:rPr>
        <w:lastRenderedPageBreak/>
        <w:t>Gov.UK (2021) Youth Crime Prevention Programmes. ‘</w:t>
      </w:r>
      <w:r w:rsidRPr="00F735B8">
        <w:rPr>
          <w:rFonts w:cstheme="minorHAnsi"/>
          <w:i/>
          <w:iCs/>
          <w:sz w:val="20"/>
          <w:szCs w:val="20"/>
        </w:rPr>
        <w:t xml:space="preserve">What are these programmes and how do they work? </w:t>
      </w:r>
      <w:r w:rsidRPr="00F735B8">
        <w:rPr>
          <w:rFonts w:cstheme="minorHAnsi"/>
          <w:sz w:val="20"/>
          <w:szCs w:val="20"/>
        </w:rPr>
        <w:t xml:space="preserve">Available at: </w:t>
      </w:r>
      <w:hyperlink r:id="rId20" w:history="1">
        <w:r w:rsidRPr="00F735B8">
          <w:rPr>
            <w:rStyle w:val="Hyperlink"/>
            <w:rFonts w:cstheme="minorHAnsi"/>
            <w:sz w:val="20"/>
            <w:szCs w:val="20"/>
          </w:rPr>
          <w:t>https://www.gov.uk/youth-crime-prevention-programmes/what-these-programmes-are-and-how-they-work</w:t>
        </w:r>
      </w:hyperlink>
      <w:r w:rsidRPr="00F735B8">
        <w:rPr>
          <w:rFonts w:cstheme="minorHAnsi"/>
          <w:sz w:val="20"/>
          <w:szCs w:val="20"/>
        </w:rPr>
        <w:t xml:space="preserve"> (Accessed: 22/03/23)</w:t>
      </w:r>
    </w:p>
    <w:p w14:paraId="75568B0C" w14:textId="77777777" w:rsidR="005D3243" w:rsidRPr="00F735B8" w:rsidRDefault="005D3243" w:rsidP="0028330D">
      <w:pPr>
        <w:rPr>
          <w:rFonts w:cstheme="minorHAnsi"/>
          <w:sz w:val="20"/>
          <w:szCs w:val="20"/>
        </w:rPr>
      </w:pPr>
      <w:r w:rsidRPr="00F735B8">
        <w:rPr>
          <w:rFonts w:cstheme="minorHAnsi"/>
          <w:sz w:val="20"/>
          <w:szCs w:val="20"/>
        </w:rPr>
        <w:t xml:space="preserve">Greenwood, P. (2008) ‘Prevention and Intervention Programs for Juvenile Offenders’, The Future of children, 18(2), pp. 185–210. Available at: </w:t>
      </w:r>
      <w:hyperlink r:id="rId21" w:history="1">
        <w:r w:rsidRPr="00F735B8">
          <w:rPr>
            <w:rStyle w:val="Hyperlink"/>
            <w:rFonts w:cstheme="minorHAnsi"/>
            <w:sz w:val="20"/>
            <w:szCs w:val="20"/>
          </w:rPr>
          <w:t>https://doi.org/10.1353/foc.0.0018</w:t>
        </w:r>
      </w:hyperlink>
      <w:r w:rsidRPr="00F735B8">
        <w:rPr>
          <w:rFonts w:cstheme="minorHAnsi"/>
          <w:sz w:val="20"/>
          <w:szCs w:val="20"/>
        </w:rPr>
        <w:t>.</w:t>
      </w:r>
    </w:p>
    <w:p w14:paraId="142140ED" w14:textId="77777777" w:rsidR="005D3243" w:rsidRPr="00F735B8" w:rsidRDefault="005D3243" w:rsidP="0028330D">
      <w:pPr>
        <w:rPr>
          <w:rFonts w:cstheme="minorHAnsi"/>
          <w:sz w:val="20"/>
          <w:szCs w:val="20"/>
        </w:rPr>
      </w:pPr>
      <w:r w:rsidRPr="00F735B8">
        <w:rPr>
          <w:rFonts w:cstheme="minorHAnsi"/>
          <w:sz w:val="20"/>
          <w:szCs w:val="20"/>
        </w:rPr>
        <w:t xml:space="preserve">Guernsey Police (2023) </w:t>
      </w:r>
      <w:r w:rsidRPr="00F735B8">
        <w:rPr>
          <w:rFonts w:cstheme="minorHAnsi"/>
          <w:i/>
          <w:iCs/>
          <w:sz w:val="20"/>
          <w:szCs w:val="20"/>
        </w:rPr>
        <w:t>Public Protection Unit</w:t>
      </w:r>
      <w:r w:rsidRPr="00F735B8">
        <w:rPr>
          <w:rFonts w:cstheme="minorHAnsi"/>
          <w:sz w:val="20"/>
          <w:szCs w:val="20"/>
        </w:rPr>
        <w:t xml:space="preserve"> Available at: </w:t>
      </w:r>
      <w:hyperlink r:id="rId22" w:history="1">
        <w:r w:rsidRPr="00F735B8">
          <w:rPr>
            <w:rStyle w:val="Hyperlink"/>
            <w:rFonts w:cstheme="minorHAnsi"/>
            <w:sz w:val="20"/>
            <w:szCs w:val="20"/>
          </w:rPr>
          <w:t>https://guernsey.police.uk/PPU</w:t>
        </w:r>
      </w:hyperlink>
      <w:r w:rsidRPr="00F735B8">
        <w:rPr>
          <w:rFonts w:cstheme="minorHAnsi"/>
          <w:sz w:val="20"/>
          <w:szCs w:val="20"/>
        </w:rPr>
        <w:t xml:space="preserve"> (Accessed: 03/03/2023) </w:t>
      </w:r>
    </w:p>
    <w:p w14:paraId="5AC4776C" w14:textId="77777777" w:rsidR="005D3243" w:rsidRPr="00F735B8" w:rsidRDefault="005D3243" w:rsidP="0028330D">
      <w:pPr>
        <w:rPr>
          <w:rFonts w:cstheme="minorHAnsi"/>
          <w:sz w:val="20"/>
          <w:szCs w:val="20"/>
        </w:rPr>
      </w:pPr>
      <w:r w:rsidRPr="00F735B8">
        <w:rPr>
          <w:rFonts w:cstheme="minorHAnsi"/>
          <w:sz w:val="20"/>
          <w:szCs w:val="20"/>
        </w:rPr>
        <w:t>Halliday. J (2020) ‘Durham’s pioneering police scheme slashes reoffending rates’</w:t>
      </w:r>
      <w:r w:rsidRPr="00F735B8">
        <w:rPr>
          <w:rFonts w:cstheme="minorHAnsi"/>
          <w:i/>
          <w:iCs/>
          <w:sz w:val="20"/>
          <w:szCs w:val="20"/>
        </w:rPr>
        <w:t xml:space="preserve"> The Guardian </w:t>
      </w:r>
      <w:r w:rsidRPr="00F735B8">
        <w:rPr>
          <w:rFonts w:cstheme="minorHAnsi"/>
          <w:sz w:val="20"/>
          <w:szCs w:val="20"/>
        </w:rPr>
        <w:t xml:space="preserve">Available at: </w:t>
      </w:r>
      <w:hyperlink r:id="rId23" w:history="1">
        <w:r w:rsidRPr="00F735B8">
          <w:rPr>
            <w:rStyle w:val="Hyperlink"/>
            <w:rFonts w:cstheme="minorHAnsi"/>
            <w:sz w:val="20"/>
            <w:szCs w:val="20"/>
          </w:rPr>
          <w:t>https://www.theguardian.com/uk-news/2020/feb/14/durham-pioneering-police-scheme-slashes-reoffending-rates-rehabilitation-programme</w:t>
        </w:r>
      </w:hyperlink>
      <w:r w:rsidRPr="00F735B8">
        <w:rPr>
          <w:rFonts w:cstheme="minorHAnsi"/>
          <w:sz w:val="20"/>
          <w:szCs w:val="20"/>
        </w:rPr>
        <w:t xml:space="preserve"> (Accessed: 09/04/2023) </w:t>
      </w:r>
    </w:p>
    <w:p w14:paraId="3E265455" w14:textId="77777777" w:rsidR="005D3243" w:rsidRPr="00F735B8" w:rsidRDefault="005D3243" w:rsidP="0028330D">
      <w:pPr>
        <w:rPr>
          <w:rFonts w:cstheme="minorHAnsi"/>
          <w:sz w:val="20"/>
          <w:szCs w:val="20"/>
        </w:rPr>
      </w:pPr>
      <w:r w:rsidRPr="00F735B8">
        <w:rPr>
          <w:rFonts w:cstheme="minorHAnsi"/>
          <w:sz w:val="20"/>
          <w:szCs w:val="20"/>
        </w:rPr>
        <w:t xml:space="preserve">HM Prison and Probation Service (2022) </w:t>
      </w:r>
      <w:r w:rsidRPr="00F735B8">
        <w:rPr>
          <w:rFonts w:cstheme="minorHAnsi"/>
          <w:i/>
          <w:iCs/>
          <w:sz w:val="20"/>
          <w:szCs w:val="20"/>
        </w:rPr>
        <w:t xml:space="preserve">MAPPA guidance </w:t>
      </w:r>
      <w:r w:rsidRPr="00F735B8">
        <w:rPr>
          <w:rFonts w:cstheme="minorHAnsi"/>
          <w:sz w:val="20"/>
          <w:szCs w:val="20"/>
        </w:rPr>
        <w:t xml:space="preserve">Available at: </w:t>
      </w:r>
      <w:hyperlink r:id="rId24" w:history="1">
        <w:r w:rsidRPr="00F735B8">
          <w:rPr>
            <w:rStyle w:val="Hyperlink"/>
            <w:rFonts w:cstheme="minorHAnsi"/>
            <w:sz w:val="20"/>
            <w:szCs w:val="20"/>
          </w:rPr>
          <w:t>https://www.gov.uk/government/publications/multi-agency-public-protection-arrangements-mappa-guidance</w:t>
        </w:r>
      </w:hyperlink>
      <w:r w:rsidRPr="00F735B8">
        <w:rPr>
          <w:rFonts w:cstheme="minorHAnsi"/>
          <w:sz w:val="20"/>
          <w:szCs w:val="20"/>
        </w:rPr>
        <w:t xml:space="preserve"> (Accessed: 03/03/2023) </w:t>
      </w:r>
    </w:p>
    <w:p w14:paraId="5F7E2282" w14:textId="77777777" w:rsidR="005D3243" w:rsidRPr="00F735B8" w:rsidRDefault="005D3243" w:rsidP="0028330D">
      <w:pPr>
        <w:rPr>
          <w:rFonts w:cstheme="minorHAnsi"/>
          <w:sz w:val="20"/>
          <w:szCs w:val="20"/>
        </w:rPr>
      </w:pPr>
      <w:r w:rsidRPr="00F735B8">
        <w:rPr>
          <w:rFonts w:cstheme="minorHAnsi"/>
          <w:sz w:val="20"/>
          <w:szCs w:val="20"/>
        </w:rPr>
        <w:t xml:space="preserve">Home Office (2013) </w:t>
      </w:r>
      <w:r w:rsidRPr="00F735B8">
        <w:rPr>
          <w:rFonts w:cstheme="minorHAnsi"/>
          <w:i/>
          <w:iCs/>
          <w:sz w:val="20"/>
          <w:szCs w:val="20"/>
        </w:rPr>
        <w:t>Police and Criminal Evidence Act 1984 (PACE) codes of practice.</w:t>
      </w:r>
      <w:r w:rsidRPr="00F735B8">
        <w:rPr>
          <w:rFonts w:cstheme="minorHAnsi"/>
          <w:sz w:val="20"/>
          <w:szCs w:val="20"/>
        </w:rPr>
        <w:t xml:space="preserve"> Available at: </w:t>
      </w:r>
      <w:hyperlink r:id="rId25" w:history="1">
        <w:r w:rsidRPr="00F735B8">
          <w:rPr>
            <w:rStyle w:val="Hyperlink"/>
            <w:rFonts w:cstheme="minorHAnsi"/>
            <w:sz w:val="20"/>
            <w:szCs w:val="20"/>
          </w:rPr>
          <w:t>https://www.gov.uk/guidance/police-and-criminal-evidence-act-1984-pace-codes-of-practice</w:t>
        </w:r>
      </w:hyperlink>
      <w:r w:rsidRPr="00F735B8">
        <w:rPr>
          <w:rStyle w:val="Hyperlink"/>
          <w:rFonts w:cstheme="minorHAnsi"/>
          <w:sz w:val="20"/>
          <w:szCs w:val="20"/>
        </w:rPr>
        <w:t xml:space="preserve"> (Accessed: 07/02/2023)</w:t>
      </w:r>
    </w:p>
    <w:p w14:paraId="04FEC912" w14:textId="77777777" w:rsidR="005D3243" w:rsidRPr="00F735B8" w:rsidRDefault="005D3243" w:rsidP="0028330D">
      <w:pPr>
        <w:rPr>
          <w:rFonts w:cstheme="minorHAnsi"/>
          <w:sz w:val="20"/>
          <w:szCs w:val="20"/>
        </w:rPr>
      </w:pPr>
      <w:r w:rsidRPr="00F735B8">
        <w:rPr>
          <w:rFonts w:cstheme="minorHAnsi"/>
          <w:sz w:val="20"/>
          <w:szCs w:val="20"/>
        </w:rPr>
        <w:t xml:space="preserve">Howse P (2014) ‘Education makes prisoners less likely to offend’ </w:t>
      </w:r>
      <w:r w:rsidRPr="00F735B8">
        <w:rPr>
          <w:rFonts w:cstheme="minorHAnsi"/>
          <w:i/>
          <w:iCs/>
          <w:sz w:val="20"/>
          <w:szCs w:val="20"/>
        </w:rPr>
        <w:t xml:space="preserve">BBC </w:t>
      </w:r>
      <w:r w:rsidRPr="00F735B8">
        <w:rPr>
          <w:rFonts w:cstheme="minorHAnsi"/>
          <w:sz w:val="20"/>
          <w:szCs w:val="20"/>
        </w:rPr>
        <w:t xml:space="preserve">Available at: </w:t>
      </w:r>
      <w:hyperlink r:id="rId26" w:history="1">
        <w:r w:rsidRPr="00F735B8">
          <w:rPr>
            <w:rStyle w:val="Hyperlink"/>
            <w:rFonts w:cstheme="minorHAnsi"/>
            <w:sz w:val="20"/>
            <w:szCs w:val="20"/>
          </w:rPr>
          <w:t>https://www.bbc.co.uk/news/education-25668081</w:t>
        </w:r>
      </w:hyperlink>
      <w:r w:rsidRPr="00F735B8">
        <w:rPr>
          <w:rFonts w:cstheme="minorHAnsi"/>
          <w:sz w:val="20"/>
          <w:szCs w:val="20"/>
        </w:rPr>
        <w:t xml:space="preserve"> (Accessed: 09/04/2023) </w:t>
      </w:r>
    </w:p>
    <w:p w14:paraId="3D7463F9" w14:textId="77777777" w:rsidR="005D3243" w:rsidRPr="00F735B8" w:rsidRDefault="005D3243" w:rsidP="0028330D">
      <w:pPr>
        <w:rPr>
          <w:rFonts w:cstheme="minorHAnsi"/>
          <w:sz w:val="20"/>
          <w:szCs w:val="20"/>
        </w:rPr>
      </w:pPr>
      <w:r w:rsidRPr="00F735B8">
        <w:rPr>
          <w:rFonts w:cstheme="minorHAnsi"/>
          <w:sz w:val="20"/>
          <w:szCs w:val="20"/>
        </w:rPr>
        <w:t>IOPC (2022) ‘</w:t>
      </w:r>
      <w:r w:rsidRPr="00F735B8">
        <w:rPr>
          <w:rFonts w:cstheme="minorHAnsi"/>
          <w:i/>
          <w:iCs/>
          <w:sz w:val="20"/>
          <w:szCs w:val="20"/>
        </w:rPr>
        <w:t xml:space="preserve">IOPC thematic focus on race discrimination investigations’ </w:t>
      </w:r>
      <w:r w:rsidRPr="00F735B8">
        <w:rPr>
          <w:rFonts w:cstheme="minorHAnsi"/>
          <w:sz w:val="20"/>
          <w:szCs w:val="20"/>
        </w:rPr>
        <w:t xml:space="preserve">Available at: </w:t>
      </w:r>
      <w:hyperlink r:id="rId27" w:history="1">
        <w:r w:rsidRPr="00F735B8">
          <w:rPr>
            <w:rStyle w:val="Hyperlink"/>
            <w:rFonts w:cstheme="minorHAnsi"/>
            <w:sz w:val="20"/>
            <w:szCs w:val="20"/>
          </w:rPr>
          <w:t>https://www.policeconduct.gov.uk/investigations/iopc-thematic-focus-race-discrimination-investigations</w:t>
        </w:r>
      </w:hyperlink>
      <w:r w:rsidRPr="00F735B8">
        <w:rPr>
          <w:rFonts w:cstheme="minorHAnsi"/>
          <w:sz w:val="20"/>
          <w:szCs w:val="20"/>
        </w:rPr>
        <w:t xml:space="preserve"> (Accessed: 03/03/2023)</w:t>
      </w:r>
    </w:p>
    <w:p w14:paraId="352C1648" w14:textId="77777777" w:rsidR="005D3243" w:rsidRPr="00F735B8" w:rsidRDefault="005D3243" w:rsidP="0028330D">
      <w:pPr>
        <w:rPr>
          <w:rFonts w:cstheme="minorHAnsi"/>
          <w:sz w:val="20"/>
          <w:szCs w:val="20"/>
        </w:rPr>
      </w:pPr>
      <w:r w:rsidRPr="00F735B8">
        <w:rPr>
          <w:rFonts w:cstheme="minorHAnsi"/>
          <w:sz w:val="20"/>
          <w:szCs w:val="20"/>
        </w:rPr>
        <w:t>IOPC (2022)</w:t>
      </w:r>
      <w:r w:rsidRPr="00F735B8">
        <w:rPr>
          <w:rFonts w:cstheme="minorHAnsi"/>
          <w:i/>
          <w:iCs/>
          <w:sz w:val="20"/>
          <w:szCs w:val="20"/>
        </w:rPr>
        <w:t xml:space="preserve"> ‘Police Complaints, Statistics for England and Wales 2020/21’ </w:t>
      </w:r>
      <w:r w:rsidRPr="00F735B8">
        <w:rPr>
          <w:rFonts w:cstheme="minorHAnsi"/>
          <w:sz w:val="20"/>
          <w:szCs w:val="20"/>
        </w:rPr>
        <w:t xml:space="preserve">Available at: </w:t>
      </w:r>
      <w:hyperlink r:id="rId28" w:history="1">
        <w:r w:rsidRPr="00F735B8">
          <w:rPr>
            <w:rStyle w:val="Hyperlink"/>
            <w:rFonts w:cstheme="minorHAnsi"/>
            <w:sz w:val="20"/>
            <w:szCs w:val="20"/>
          </w:rPr>
          <w:t>https://www.policeconduct.gov.uk/sites/default/files/Documents/statistics/Complaints_Stats_2021.pdf</w:t>
        </w:r>
      </w:hyperlink>
      <w:r w:rsidRPr="00F735B8">
        <w:rPr>
          <w:rFonts w:cstheme="minorHAnsi"/>
          <w:sz w:val="20"/>
          <w:szCs w:val="20"/>
        </w:rPr>
        <w:t xml:space="preserve"> (Accessed: 03/03/2023)</w:t>
      </w:r>
    </w:p>
    <w:p w14:paraId="775FA54A" w14:textId="77777777" w:rsidR="005D3243" w:rsidRPr="00F735B8" w:rsidRDefault="005D3243" w:rsidP="0028330D">
      <w:pPr>
        <w:rPr>
          <w:rFonts w:cstheme="minorHAnsi"/>
          <w:sz w:val="20"/>
          <w:szCs w:val="20"/>
        </w:rPr>
      </w:pPr>
      <w:r w:rsidRPr="00F735B8">
        <w:rPr>
          <w:rFonts w:cstheme="minorHAnsi"/>
          <w:sz w:val="20"/>
          <w:szCs w:val="20"/>
        </w:rPr>
        <w:t xml:space="preserve">John, Cindi (2006) BBC News, </w:t>
      </w:r>
      <w:r w:rsidRPr="00F735B8">
        <w:rPr>
          <w:rFonts w:cstheme="minorHAnsi"/>
          <w:i/>
          <w:iCs/>
          <w:sz w:val="20"/>
          <w:szCs w:val="20"/>
        </w:rPr>
        <w:t>The Legacy of The Brixton Riots.</w:t>
      </w:r>
      <w:r w:rsidRPr="00F735B8">
        <w:rPr>
          <w:rFonts w:cstheme="minorHAnsi"/>
          <w:sz w:val="20"/>
          <w:szCs w:val="20"/>
        </w:rPr>
        <w:t xml:space="preserve"> Available at:  </w:t>
      </w:r>
      <w:hyperlink r:id="rId29" w:history="1">
        <w:r w:rsidRPr="00F735B8">
          <w:rPr>
            <w:rStyle w:val="Hyperlink"/>
            <w:rFonts w:cstheme="minorHAnsi"/>
            <w:sz w:val="20"/>
            <w:szCs w:val="20"/>
          </w:rPr>
          <w:t>http://news.bbc.co.uk/1/hi/uk/4854556.stm</w:t>
        </w:r>
      </w:hyperlink>
      <w:r w:rsidRPr="00F735B8">
        <w:rPr>
          <w:rFonts w:cstheme="minorHAnsi"/>
          <w:sz w:val="20"/>
          <w:szCs w:val="20"/>
        </w:rPr>
        <w:t xml:space="preserve"> (Accessed: 03/02/23)</w:t>
      </w:r>
    </w:p>
    <w:p w14:paraId="2B54FF9F" w14:textId="77777777" w:rsidR="005D3243" w:rsidRPr="00F735B8" w:rsidRDefault="005D3243" w:rsidP="0028330D">
      <w:pPr>
        <w:rPr>
          <w:rFonts w:cstheme="minorHAnsi"/>
          <w:sz w:val="20"/>
          <w:szCs w:val="20"/>
        </w:rPr>
      </w:pPr>
      <w:r w:rsidRPr="00F735B8">
        <w:rPr>
          <w:rFonts w:cstheme="minorHAnsi"/>
          <w:sz w:val="20"/>
          <w:szCs w:val="20"/>
        </w:rPr>
        <w:t xml:space="preserve">Joseph–Salisbury, R., Connelly, L. and Wangari-Jones, P. (2021) ‘“The UK is not innocent”: Black Lives Matter, policing and abolition in the UK’, Equality, Diversity and Inclusion: An International Journal, 40(1), pp. 21–28. Available at: </w:t>
      </w:r>
      <w:hyperlink r:id="rId30" w:history="1">
        <w:r w:rsidRPr="00F735B8">
          <w:rPr>
            <w:rStyle w:val="Hyperlink"/>
            <w:rFonts w:cstheme="minorHAnsi"/>
            <w:sz w:val="20"/>
            <w:szCs w:val="20"/>
          </w:rPr>
          <w:t>https://doi.org/10.1108/EDI-06-2020-0170</w:t>
        </w:r>
      </w:hyperlink>
      <w:r w:rsidRPr="00F735B8">
        <w:rPr>
          <w:rFonts w:cstheme="minorHAnsi"/>
          <w:sz w:val="20"/>
          <w:szCs w:val="20"/>
        </w:rPr>
        <w:t>.</w:t>
      </w:r>
    </w:p>
    <w:p w14:paraId="76DF346D" w14:textId="77777777" w:rsidR="005D3243" w:rsidRPr="00F735B8" w:rsidRDefault="005D3243" w:rsidP="0028330D">
      <w:pPr>
        <w:rPr>
          <w:rFonts w:cstheme="minorHAnsi"/>
          <w:color w:val="3A3A3A"/>
          <w:sz w:val="20"/>
          <w:szCs w:val="20"/>
          <w:shd w:val="clear" w:color="auto" w:fill="FFFFFF"/>
        </w:rPr>
      </w:pPr>
      <w:r w:rsidRPr="00F735B8">
        <w:rPr>
          <w:rFonts w:cstheme="minorHAnsi"/>
          <w:color w:val="3A3A3A"/>
          <w:sz w:val="20"/>
          <w:szCs w:val="20"/>
          <w:shd w:val="clear" w:color="auto" w:fill="FFFFFF"/>
        </w:rPr>
        <w:t>Kemshall, H. and Wood, J. (2008) ‘Public protection in practice: Multi-Agency Public Protection Arrangements (MAPPA)’, in </w:t>
      </w:r>
      <w:r w:rsidRPr="00F735B8">
        <w:rPr>
          <w:rFonts w:cstheme="minorHAnsi"/>
          <w:i/>
          <w:iCs/>
          <w:color w:val="3A3A3A"/>
          <w:sz w:val="20"/>
          <w:szCs w:val="20"/>
          <w:shd w:val="clear" w:color="auto" w:fill="FFFFFF"/>
        </w:rPr>
        <w:t>Private and confidential?</w:t>
      </w:r>
      <w:r w:rsidRPr="00F735B8">
        <w:rPr>
          <w:rFonts w:cstheme="minorHAnsi"/>
          <w:color w:val="3A3A3A"/>
          <w:sz w:val="20"/>
          <w:szCs w:val="20"/>
          <w:shd w:val="clear" w:color="auto" w:fill="FFFFFF"/>
        </w:rPr>
        <w:t xml:space="preserve"> Bristol, UK: Policy Press, pp. 111–128. Available at: </w:t>
      </w:r>
      <w:hyperlink r:id="rId31" w:history="1">
        <w:r w:rsidRPr="00F735B8">
          <w:rPr>
            <w:rStyle w:val="Hyperlink"/>
            <w:rFonts w:cstheme="minorHAnsi"/>
            <w:sz w:val="20"/>
            <w:szCs w:val="20"/>
            <w:shd w:val="clear" w:color="auto" w:fill="FFFFFF"/>
          </w:rPr>
          <w:t>https://doi.org/10.56687/9781847423566-008</w:t>
        </w:r>
      </w:hyperlink>
      <w:r w:rsidRPr="00F735B8">
        <w:rPr>
          <w:rFonts w:cstheme="minorHAnsi"/>
          <w:color w:val="3A3A3A"/>
          <w:sz w:val="20"/>
          <w:szCs w:val="20"/>
          <w:shd w:val="clear" w:color="auto" w:fill="FFFFFF"/>
        </w:rPr>
        <w:t>.</w:t>
      </w:r>
    </w:p>
    <w:p w14:paraId="6BEB263E" w14:textId="77777777" w:rsidR="005D3243" w:rsidRPr="00F735B8" w:rsidRDefault="005D3243" w:rsidP="0028330D">
      <w:pPr>
        <w:rPr>
          <w:rFonts w:cstheme="minorHAnsi"/>
          <w:sz w:val="20"/>
          <w:szCs w:val="20"/>
        </w:rPr>
      </w:pPr>
      <w:r w:rsidRPr="00F735B8">
        <w:rPr>
          <w:rFonts w:cstheme="minorHAnsi"/>
          <w:sz w:val="20"/>
          <w:szCs w:val="20"/>
        </w:rPr>
        <w:t xml:space="preserve">Leslie, Calum (2020) </w:t>
      </w:r>
      <w:r w:rsidRPr="00F735B8">
        <w:rPr>
          <w:rFonts w:cstheme="minorHAnsi"/>
          <w:i/>
          <w:iCs/>
          <w:sz w:val="20"/>
          <w:szCs w:val="20"/>
        </w:rPr>
        <w:t xml:space="preserve">Police racism inquiries in the UK: Do they change how things work?  </w:t>
      </w:r>
      <w:r w:rsidRPr="00F735B8">
        <w:rPr>
          <w:rFonts w:cstheme="minorHAnsi"/>
          <w:sz w:val="20"/>
          <w:szCs w:val="20"/>
        </w:rPr>
        <w:t xml:space="preserve">Available at:  </w:t>
      </w:r>
      <w:hyperlink r:id="rId32" w:history="1">
        <w:r w:rsidRPr="00F735B8">
          <w:rPr>
            <w:rStyle w:val="Hyperlink"/>
            <w:rFonts w:cstheme="minorHAnsi"/>
            <w:sz w:val="20"/>
            <w:szCs w:val="20"/>
          </w:rPr>
          <w:t>https://www.bbc.co.uk/news/newsbeat-53365011</w:t>
        </w:r>
      </w:hyperlink>
      <w:r w:rsidRPr="00F735B8">
        <w:rPr>
          <w:rFonts w:cstheme="minorHAnsi"/>
          <w:sz w:val="20"/>
          <w:szCs w:val="20"/>
        </w:rPr>
        <w:t xml:space="preserve"> (Accessed: 05/02/2023)</w:t>
      </w:r>
    </w:p>
    <w:p w14:paraId="3727010D" w14:textId="77777777" w:rsidR="005D3243" w:rsidRPr="00F735B8" w:rsidRDefault="005D3243" w:rsidP="0028330D">
      <w:pPr>
        <w:rPr>
          <w:rFonts w:cstheme="minorHAnsi"/>
          <w:i/>
          <w:iCs/>
          <w:sz w:val="20"/>
          <w:szCs w:val="20"/>
        </w:rPr>
      </w:pPr>
      <w:r w:rsidRPr="00F735B8">
        <w:rPr>
          <w:rFonts w:cstheme="minorHAnsi"/>
          <w:sz w:val="20"/>
          <w:szCs w:val="20"/>
        </w:rPr>
        <w:t xml:space="preserve">Liverpool CAMHS (2023) What are Adverse Childhood Experiences (ACEs)? </w:t>
      </w:r>
      <w:r w:rsidRPr="00F735B8">
        <w:rPr>
          <w:rFonts w:cstheme="minorHAnsi"/>
          <w:i/>
          <w:iCs/>
          <w:sz w:val="20"/>
          <w:szCs w:val="20"/>
        </w:rPr>
        <w:t xml:space="preserve">Available at: </w:t>
      </w:r>
      <w:hyperlink r:id="rId33" w:history="1">
        <w:r w:rsidRPr="00F735B8">
          <w:rPr>
            <w:rStyle w:val="Hyperlink"/>
            <w:rFonts w:cstheme="minorHAnsi"/>
            <w:i/>
            <w:iCs/>
            <w:sz w:val="20"/>
            <w:szCs w:val="20"/>
          </w:rPr>
          <w:t>https://www.liverpoolcamhs.com/aces/what-are-adverse-childhood-experiences/</w:t>
        </w:r>
      </w:hyperlink>
      <w:r w:rsidRPr="00F735B8">
        <w:rPr>
          <w:rFonts w:cstheme="minorHAnsi"/>
          <w:i/>
          <w:iCs/>
          <w:sz w:val="20"/>
          <w:szCs w:val="20"/>
        </w:rPr>
        <w:t xml:space="preserve"> </w:t>
      </w:r>
      <w:r w:rsidRPr="00F735B8">
        <w:rPr>
          <w:rFonts w:cstheme="minorHAnsi"/>
          <w:sz w:val="20"/>
          <w:szCs w:val="20"/>
        </w:rPr>
        <w:t>(Accessed: 5/03/2023)</w:t>
      </w:r>
      <w:r w:rsidRPr="00F735B8">
        <w:rPr>
          <w:rFonts w:cstheme="minorHAnsi"/>
          <w:i/>
          <w:iCs/>
          <w:sz w:val="20"/>
          <w:szCs w:val="20"/>
        </w:rPr>
        <w:t xml:space="preserve"> </w:t>
      </w:r>
    </w:p>
    <w:p w14:paraId="6E60122E" w14:textId="77777777" w:rsidR="005D3243" w:rsidRPr="00F735B8" w:rsidRDefault="005D3243" w:rsidP="0028330D">
      <w:pPr>
        <w:rPr>
          <w:rFonts w:cstheme="minorHAnsi"/>
          <w:sz w:val="20"/>
          <w:szCs w:val="20"/>
        </w:rPr>
      </w:pPr>
      <w:r w:rsidRPr="00F735B8">
        <w:rPr>
          <w:rFonts w:cstheme="minorHAnsi"/>
          <w:sz w:val="20"/>
          <w:szCs w:val="20"/>
        </w:rPr>
        <w:t>Malvaso, C et al. (2022) ‘Adverse childhood experiences and trauma among young people in the youth justice system’, Trends and issues in crime and criminal justice, (651), pp. 1–19.</w:t>
      </w:r>
    </w:p>
    <w:p w14:paraId="76A67355" w14:textId="102AC835" w:rsidR="005D3243" w:rsidRPr="00F735B8" w:rsidRDefault="005D3243" w:rsidP="0028330D">
      <w:pPr>
        <w:rPr>
          <w:rFonts w:cstheme="minorHAnsi"/>
          <w:color w:val="3A3A3A"/>
          <w:sz w:val="20"/>
          <w:szCs w:val="20"/>
          <w:shd w:val="clear" w:color="auto" w:fill="FFFFFF"/>
        </w:rPr>
      </w:pPr>
      <w:r w:rsidRPr="00F735B8">
        <w:rPr>
          <w:rFonts w:cstheme="minorHAnsi"/>
          <w:color w:val="3A3A3A"/>
          <w:sz w:val="20"/>
          <w:szCs w:val="20"/>
          <w:shd w:val="clear" w:color="auto" w:fill="FFFFFF"/>
        </w:rPr>
        <w:t>MAPPA (2014) ‘</w:t>
      </w:r>
      <w:r w:rsidRPr="00F735B8">
        <w:rPr>
          <w:rFonts w:cstheme="minorHAnsi"/>
          <w:i/>
          <w:iCs/>
          <w:color w:val="3A3A3A"/>
          <w:sz w:val="20"/>
          <w:szCs w:val="20"/>
          <w:shd w:val="clear" w:color="auto" w:fill="FFFFFF"/>
        </w:rPr>
        <w:t>MAPPA Annual Report 2013/</w:t>
      </w:r>
      <w:r w:rsidR="00780028" w:rsidRPr="00F735B8">
        <w:rPr>
          <w:rFonts w:cstheme="minorHAnsi"/>
          <w:i/>
          <w:iCs/>
          <w:color w:val="3A3A3A"/>
          <w:sz w:val="20"/>
          <w:szCs w:val="20"/>
          <w:shd w:val="clear" w:color="auto" w:fill="FFFFFF"/>
        </w:rPr>
        <w:t>14</w:t>
      </w:r>
      <w:r w:rsidR="00780028" w:rsidRPr="00F735B8">
        <w:rPr>
          <w:rFonts w:cstheme="minorHAnsi"/>
          <w:color w:val="3A3A3A"/>
          <w:sz w:val="20"/>
          <w:szCs w:val="20"/>
          <w:shd w:val="clear" w:color="auto" w:fill="FFFFFF"/>
        </w:rPr>
        <w:t>’</w:t>
      </w:r>
      <w:r w:rsidRPr="00F735B8">
        <w:rPr>
          <w:rFonts w:cstheme="minorHAnsi"/>
          <w:color w:val="3A3A3A"/>
          <w:sz w:val="20"/>
          <w:szCs w:val="20"/>
          <w:shd w:val="clear" w:color="auto" w:fill="FFFFFF"/>
        </w:rPr>
        <w:t xml:space="preserve"> London. Available at: </w:t>
      </w:r>
      <w:hyperlink r:id="rId34" w:history="1">
        <w:r w:rsidRPr="00F735B8">
          <w:rPr>
            <w:rStyle w:val="Hyperlink"/>
            <w:rFonts w:cstheme="minorHAnsi"/>
            <w:sz w:val="20"/>
            <w:szCs w:val="20"/>
            <w:shd w:val="clear" w:color="auto" w:fill="FFFFFF"/>
          </w:rPr>
          <w:t>https://www.gov.uk/government/publications/multi-agency-public-protection-arrangements-mappa-annual-reports-2014-to-2015</w:t>
        </w:r>
      </w:hyperlink>
      <w:r w:rsidRPr="00F735B8">
        <w:rPr>
          <w:rFonts w:cstheme="minorHAnsi"/>
          <w:color w:val="3A3A3A"/>
          <w:sz w:val="20"/>
          <w:szCs w:val="20"/>
          <w:shd w:val="clear" w:color="auto" w:fill="FFFFFF"/>
        </w:rPr>
        <w:t xml:space="preserve"> (Accessed: 04/03/2023)</w:t>
      </w:r>
    </w:p>
    <w:p w14:paraId="6AA37132" w14:textId="77777777" w:rsidR="005D3243" w:rsidRPr="00F735B8" w:rsidRDefault="005D3243" w:rsidP="0028330D">
      <w:pPr>
        <w:rPr>
          <w:rFonts w:cstheme="minorHAnsi"/>
          <w:sz w:val="20"/>
          <w:szCs w:val="20"/>
        </w:rPr>
      </w:pPr>
      <w:r w:rsidRPr="00F735B8">
        <w:rPr>
          <w:rFonts w:cstheme="minorHAnsi"/>
          <w:color w:val="222222"/>
          <w:sz w:val="20"/>
          <w:szCs w:val="20"/>
          <w:shd w:val="clear" w:color="auto" w:fill="FFFFFF"/>
        </w:rPr>
        <w:t xml:space="preserve">McAra, L. and McVie, S., (2022) </w:t>
      </w:r>
      <w:r w:rsidRPr="00F735B8">
        <w:rPr>
          <w:rFonts w:cstheme="minorHAnsi"/>
          <w:i/>
          <w:iCs/>
          <w:color w:val="222222"/>
          <w:sz w:val="20"/>
          <w:szCs w:val="20"/>
          <w:shd w:val="clear" w:color="auto" w:fill="FFFFFF"/>
        </w:rPr>
        <w:t>Causes and Impact of Offending and Criminal Justice Pathways: Follow-up of the Edinburgh Study Cohort at Age 35</w:t>
      </w:r>
      <w:r w:rsidRPr="00F735B8">
        <w:rPr>
          <w:rFonts w:cstheme="minorHAnsi"/>
          <w:color w:val="222222"/>
          <w:sz w:val="20"/>
          <w:szCs w:val="20"/>
          <w:shd w:val="clear" w:color="auto" w:fill="FFFFFF"/>
        </w:rPr>
        <w:t xml:space="preserve">. The University of Edinburgh: Edinburgh Law School. Available at: </w:t>
      </w:r>
      <w:hyperlink r:id="rId35" w:history="1">
        <w:r w:rsidRPr="00F735B8">
          <w:rPr>
            <w:rStyle w:val="Hyperlink"/>
            <w:rFonts w:cstheme="minorHAnsi"/>
            <w:sz w:val="20"/>
            <w:szCs w:val="20"/>
            <w:shd w:val="clear" w:color="auto" w:fill="FFFFFF"/>
          </w:rPr>
          <w:t>https://www.nuffieldfoundation.org/wp-content/uploads/2022/03/Causes-and-Impact-of-Offending-and-Criminal-Justice-Pathways.pdf</w:t>
        </w:r>
      </w:hyperlink>
      <w:r w:rsidRPr="00F735B8">
        <w:rPr>
          <w:rFonts w:cstheme="minorHAnsi"/>
          <w:color w:val="222222"/>
          <w:sz w:val="20"/>
          <w:szCs w:val="20"/>
          <w:shd w:val="clear" w:color="auto" w:fill="FFFFFF"/>
        </w:rPr>
        <w:t xml:space="preserve"> (Accessed: 07/03/23)</w:t>
      </w:r>
    </w:p>
    <w:p w14:paraId="1B3A8BF8" w14:textId="77777777" w:rsidR="005D3243" w:rsidRPr="00F735B8" w:rsidRDefault="005D3243"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Ministry of Justice (2013) Transforming Rehabilitation: a summary of evidence on reducing reoffending. </w:t>
      </w:r>
      <w:r w:rsidRPr="00F735B8">
        <w:rPr>
          <w:rFonts w:cstheme="minorHAnsi"/>
          <w:i/>
          <w:iCs/>
          <w:color w:val="222222"/>
          <w:sz w:val="20"/>
          <w:szCs w:val="20"/>
          <w:shd w:val="clear" w:color="auto" w:fill="FFFFFF"/>
        </w:rPr>
        <w:t>UK. Ministry of justice.</w:t>
      </w:r>
      <w:r w:rsidRPr="00F735B8">
        <w:rPr>
          <w:rFonts w:cstheme="minorHAnsi"/>
          <w:color w:val="222222"/>
          <w:sz w:val="20"/>
          <w:szCs w:val="20"/>
          <w:shd w:val="clear" w:color="auto" w:fill="FFFFFF"/>
        </w:rPr>
        <w:t xml:space="preserve"> (Accessed: 13/04/2023)</w:t>
      </w:r>
    </w:p>
    <w:p w14:paraId="301865C9" w14:textId="77777777" w:rsidR="005D3243" w:rsidRPr="00F735B8" w:rsidRDefault="005D3243" w:rsidP="0028330D">
      <w:pPr>
        <w:rPr>
          <w:rFonts w:cstheme="minorHAnsi"/>
          <w:color w:val="333333"/>
          <w:sz w:val="20"/>
          <w:szCs w:val="20"/>
          <w:shd w:val="clear" w:color="auto" w:fill="FCFCFC"/>
        </w:rPr>
      </w:pPr>
      <w:r w:rsidRPr="00F735B8">
        <w:rPr>
          <w:rFonts w:cstheme="minorHAnsi"/>
          <w:color w:val="222222"/>
          <w:sz w:val="20"/>
          <w:szCs w:val="20"/>
          <w:shd w:val="clear" w:color="auto" w:fill="FFFFFF"/>
        </w:rPr>
        <w:t xml:space="preserve">Ministry of Justice (2018) Vulnerable offenders steered towards treatment Available at: </w:t>
      </w:r>
      <w:hyperlink r:id="rId36" w:history="1">
        <w:r w:rsidRPr="00F735B8">
          <w:rPr>
            <w:rStyle w:val="Hyperlink"/>
            <w:rFonts w:cstheme="minorHAnsi"/>
            <w:sz w:val="20"/>
            <w:szCs w:val="20"/>
            <w:shd w:val="clear" w:color="auto" w:fill="FFFFFF"/>
          </w:rPr>
          <w:t>https://www.gov.uk/government/news/vulnerable-offenders-steered-towards-treatment</w:t>
        </w:r>
      </w:hyperlink>
      <w:r w:rsidRPr="00F735B8">
        <w:rPr>
          <w:rFonts w:cstheme="minorHAnsi"/>
          <w:color w:val="222222"/>
          <w:sz w:val="20"/>
          <w:szCs w:val="20"/>
          <w:shd w:val="clear" w:color="auto" w:fill="FFFFFF"/>
        </w:rPr>
        <w:t xml:space="preserve"> (Accessed: 17/04/2023)</w:t>
      </w:r>
    </w:p>
    <w:p w14:paraId="3305AECE" w14:textId="77777777" w:rsidR="005D3243" w:rsidRPr="00F735B8" w:rsidRDefault="005D3243" w:rsidP="0028330D">
      <w:pPr>
        <w:rPr>
          <w:rFonts w:cstheme="minorHAnsi"/>
          <w:sz w:val="20"/>
          <w:szCs w:val="20"/>
        </w:rPr>
      </w:pPr>
      <w:r w:rsidRPr="00F735B8">
        <w:rPr>
          <w:rFonts w:cstheme="minorHAnsi"/>
          <w:sz w:val="20"/>
          <w:szCs w:val="20"/>
        </w:rPr>
        <w:t>Ministry of Justice (2019) ‘</w:t>
      </w:r>
      <w:r w:rsidRPr="00F735B8">
        <w:rPr>
          <w:rFonts w:cstheme="minorHAnsi"/>
          <w:i/>
          <w:iCs/>
          <w:sz w:val="20"/>
          <w:szCs w:val="20"/>
        </w:rPr>
        <w:t xml:space="preserve">New partnership to boost offender rehabilitation’ </w:t>
      </w:r>
      <w:r w:rsidRPr="00F735B8">
        <w:rPr>
          <w:rFonts w:cstheme="minorHAnsi"/>
          <w:sz w:val="20"/>
          <w:szCs w:val="20"/>
        </w:rPr>
        <w:t xml:space="preserve">Available at: </w:t>
      </w:r>
      <w:hyperlink r:id="rId37" w:history="1">
        <w:r w:rsidRPr="00F735B8">
          <w:rPr>
            <w:rStyle w:val="Hyperlink"/>
            <w:rFonts w:cstheme="minorHAnsi"/>
            <w:sz w:val="20"/>
            <w:szCs w:val="20"/>
          </w:rPr>
          <w:t>https://www.gov.uk/government/news/new-partnership-to-boost-offender-rehabilitation</w:t>
        </w:r>
      </w:hyperlink>
      <w:r w:rsidRPr="00F735B8">
        <w:rPr>
          <w:rFonts w:cstheme="minorHAnsi"/>
          <w:sz w:val="20"/>
          <w:szCs w:val="20"/>
        </w:rPr>
        <w:t xml:space="preserve"> (Accessed: 09/04/2023) </w:t>
      </w:r>
    </w:p>
    <w:p w14:paraId="7C0FE60E" w14:textId="77777777" w:rsidR="005D3243" w:rsidRPr="00F735B8" w:rsidRDefault="005D3243" w:rsidP="0028330D">
      <w:pPr>
        <w:rPr>
          <w:rFonts w:cstheme="minorHAnsi"/>
          <w:sz w:val="20"/>
          <w:szCs w:val="20"/>
        </w:rPr>
      </w:pPr>
      <w:r w:rsidRPr="00F735B8">
        <w:rPr>
          <w:rFonts w:cstheme="minorHAnsi"/>
          <w:sz w:val="20"/>
          <w:szCs w:val="20"/>
        </w:rPr>
        <w:t>Ministry of Justice (2022) ‘</w:t>
      </w:r>
      <w:r w:rsidRPr="00F735B8">
        <w:rPr>
          <w:rFonts w:cstheme="minorHAnsi"/>
          <w:i/>
          <w:iCs/>
          <w:sz w:val="20"/>
          <w:szCs w:val="20"/>
        </w:rPr>
        <w:t xml:space="preserve">Offending behaviour programmes and interventions’ </w:t>
      </w:r>
      <w:r w:rsidRPr="00F735B8">
        <w:rPr>
          <w:rFonts w:cstheme="minorHAnsi"/>
          <w:sz w:val="20"/>
          <w:szCs w:val="20"/>
        </w:rPr>
        <w:t xml:space="preserve">Available at: </w:t>
      </w:r>
      <w:hyperlink r:id="rId38" w:history="1">
        <w:r w:rsidRPr="00F735B8">
          <w:rPr>
            <w:rStyle w:val="Hyperlink"/>
            <w:rFonts w:cstheme="minorHAnsi"/>
            <w:sz w:val="20"/>
            <w:szCs w:val="20"/>
          </w:rPr>
          <w:t>https://www.gov.uk/guidance/offending-behaviour-programmes-and-interventions</w:t>
        </w:r>
      </w:hyperlink>
      <w:r w:rsidRPr="00F735B8">
        <w:rPr>
          <w:rFonts w:cstheme="minorHAnsi"/>
          <w:sz w:val="20"/>
          <w:szCs w:val="20"/>
        </w:rPr>
        <w:t xml:space="preserve"> (Accessed: 09/04/2023) </w:t>
      </w:r>
    </w:p>
    <w:p w14:paraId="08F9A365" w14:textId="77777777" w:rsidR="005D3243" w:rsidRPr="00F735B8" w:rsidRDefault="005D3243" w:rsidP="0028330D">
      <w:pPr>
        <w:rPr>
          <w:rFonts w:cstheme="minorHAnsi"/>
          <w:color w:val="333333"/>
          <w:sz w:val="20"/>
          <w:szCs w:val="20"/>
          <w:shd w:val="clear" w:color="auto" w:fill="FCFCFC"/>
        </w:rPr>
      </w:pPr>
      <w:r w:rsidRPr="00F735B8">
        <w:rPr>
          <w:rFonts w:cstheme="minorHAnsi"/>
          <w:color w:val="333333"/>
          <w:sz w:val="20"/>
          <w:szCs w:val="20"/>
          <w:shd w:val="clear" w:color="auto" w:fill="FCFCFC"/>
        </w:rPr>
        <w:t xml:space="preserve">Ministry of Justice (2023) </w:t>
      </w:r>
      <w:r w:rsidRPr="00F735B8">
        <w:rPr>
          <w:rFonts w:cstheme="minorHAnsi"/>
          <w:i/>
          <w:iCs/>
          <w:color w:val="333333"/>
          <w:sz w:val="20"/>
          <w:szCs w:val="20"/>
          <w:shd w:val="clear" w:color="auto" w:fill="FCFCFC"/>
        </w:rPr>
        <w:t xml:space="preserve">Proven reoffending statistics: January-March 2021 </w:t>
      </w:r>
      <w:r w:rsidRPr="00F735B8">
        <w:rPr>
          <w:rFonts w:cstheme="minorHAnsi"/>
          <w:color w:val="333333"/>
          <w:sz w:val="20"/>
          <w:szCs w:val="20"/>
          <w:shd w:val="clear" w:color="auto" w:fill="FCFCFC"/>
        </w:rPr>
        <w:t xml:space="preserve">Available at: </w:t>
      </w:r>
      <w:hyperlink r:id="rId39" w:anchor="juvenile-reoffending-by-disposal9" w:history="1">
        <w:r w:rsidRPr="00F735B8">
          <w:rPr>
            <w:rStyle w:val="Hyperlink"/>
            <w:rFonts w:cstheme="minorHAnsi"/>
            <w:sz w:val="20"/>
            <w:szCs w:val="20"/>
            <w:shd w:val="clear" w:color="auto" w:fill="FCFCFC"/>
          </w:rPr>
          <w:t>https://www.gov.uk/government/statistics/proven-reoffending-statistics-january-to-march-2021/proven-reoffending-statistics-january-to-march-2021#juvenile-reoffending-by-disposal9</w:t>
        </w:r>
      </w:hyperlink>
      <w:r w:rsidRPr="00F735B8">
        <w:rPr>
          <w:rFonts w:cstheme="minorHAnsi"/>
          <w:color w:val="333333"/>
          <w:sz w:val="20"/>
          <w:szCs w:val="20"/>
          <w:shd w:val="clear" w:color="auto" w:fill="FCFCFC"/>
        </w:rPr>
        <w:t xml:space="preserve"> (Accessed: 05/03/2023)</w:t>
      </w:r>
    </w:p>
    <w:p w14:paraId="6BFE1A5A" w14:textId="77777777" w:rsidR="005D3243" w:rsidRPr="00F735B8" w:rsidRDefault="005D3243" w:rsidP="0028330D">
      <w:pPr>
        <w:rPr>
          <w:rFonts w:cstheme="minorHAnsi"/>
          <w:color w:val="3A3A3A"/>
          <w:sz w:val="20"/>
          <w:szCs w:val="20"/>
          <w:shd w:val="clear" w:color="auto" w:fill="FFFFFF"/>
        </w:rPr>
      </w:pPr>
      <w:r w:rsidRPr="00F735B8">
        <w:rPr>
          <w:rFonts w:cstheme="minorHAnsi"/>
          <w:color w:val="3A3A3A"/>
          <w:sz w:val="20"/>
          <w:szCs w:val="20"/>
          <w:shd w:val="clear" w:color="auto" w:fill="FFFFFF"/>
        </w:rPr>
        <w:t>Mugari, I. (2023) ‘Civilian Police Oversight: A Contemporary Review of Police Oversight Mechanisms in Europe, Australia and Africa’, </w:t>
      </w:r>
      <w:r w:rsidRPr="00F735B8">
        <w:rPr>
          <w:rFonts w:cstheme="minorHAnsi"/>
          <w:i/>
          <w:iCs/>
          <w:color w:val="3A3A3A"/>
          <w:sz w:val="20"/>
          <w:szCs w:val="20"/>
          <w:shd w:val="clear" w:color="auto" w:fill="FFFFFF"/>
        </w:rPr>
        <w:t>Journal of applied security research</w:t>
      </w:r>
      <w:r w:rsidRPr="00F735B8">
        <w:rPr>
          <w:rFonts w:cstheme="minorHAnsi"/>
          <w:color w:val="3A3A3A"/>
          <w:sz w:val="20"/>
          <w:szCs w:val="20"/>
          <w:shd w:val="clear" w:color="auto" w:fill="FFFFFF"/>
        </w:rPr>
        <w:t xml:space="preserve">, 18(1), pp. 106–127. Available at: </w:t>
      </w:r>
      <w:hyperlink r:id="rId40" w:history="1">
        <w:r w:rsidRPr="00F735B8">
          <w:rPr>
            <w:rStyle w:val="Hyperlink"/>
            <w:rFonts w:cstheme="minorHAnsi"/>
            <w:sz w:val="20"/>
            <w:szCs w:val="20"/>
            <w:shd w:val="clear" w:color="auto" w:fill="FFFFFF"/>
          </w:rPr>
          <w:t>https://doi.org/10.1080/19361610.2021.1918524</w:t>
        </w:r>
      </w:hyperlink>
      <w:r w:rsidRPr="00F735B8">
        <w:rPr>
          <w:rFonts w:cstheme="minorHAnsi"/>
          <w:color w:val="3A3A3A"/>
          <w:sz w:val="20"/>
          <w:szCs w:val="20"/>
          <w:shd w:val="clear" w:color="auto" w:fill="FFFFFF"/>
        </w:rPr>
        <w:t>.</w:t>
      </w:r>
    </w:p>
    <w:p w14:paraId="0E45E589" w14:textId="77777777" w:rsidR="005D3243" w:rsidRPr="00F735B8" w:rsidRDefault="005D3243" w:rsidP="0028330D">
      <w:pPr>
        <w:rPr>
          <w:rFonts w:cstheme="minorHAnsi"/>
          <w:sz w:val="20"/>
          <w:szCs w:val="20"/>
        </w:rPr>
      </w:pPr>
      <w:r w:rsidRPr="00F735B8">
        <w:rPr>
          <w:rFonts w:cstheme="minorHAnsi"/>
          <w:sz w:val="20"/>
          <w:szCs w:val="20"/>
        </w:rPr>
        <w:t xml:space="preserve">Nash. M, Walker. L (2009) ‘Mappa – Is closer collaboration really the key to effectiveness?’ </w:t>
      </w:r>
      <w:r w:rsidRPr="00F735B8">
        <w:rPr>
          <w:rFonts w:cstheme="minorHAnsi"/>
          <w:i/>
          <w:iCs/>
          <w:sz w:val="20"/>
          <w:szCs w:val="20"/>
        </w:rPr>
        <w:t xml:space="preserve">Policing: A Journal of Policy and Practice </w:t>
      </w:r>
      <w:r w:rsidRPr="00F735B8">
        <w:rPr>
          <w:rFonts w:cstheme="minorHAnsi"/>
          <w:sz w:val="20"/>
          <w:szCs w:val="20"/>
        </w:rPr>
        <w:t xml:space="preserve">Volume 3, Issue 2, </w:t>
      </w:r>
      <w:r w:rsidRPr="00F735B8">
        <w:rPr>
          <w:rFonts w:cstheme="minorHAnsi"/>
          <w:color w:val="2A2A2A"/>
          <w:sz w:val="20"/>
          <w:szCs w:val="20"/>
          <w:shd w:val="clear" w:color="auto" w:fill="FFFFFF"/>
        </w:rPr>
        <w:t xml:space="preserve">Pages 172–180 </w:t>
      </w:r>
      <w:hyperlink r:id="rId41" w:history="1">
        <w:r w:rsidRPr="00F735B8">
          <w:rPr>
            <w:rStyle w:val="Hyperlink"/>
            <w:rFonts w:cstheme="minorHAnsi"/>
            <w:color w:val="006FB7"/>
            <w:sz w:val="20"/>
            <w:szCs w:val="20"/>
            <w:bdr w:val="none" w:sz="0" w:space="0" w:color="auto" w:frame="1"/>
            <w:shd w:val="clear" w:color="auto" w:fill="FFFFFF"/>
          </w:rPr>
          <w:t>https://doi.org/10.1093/police/pap007</w:t>
        </w:r>
      </w:hyperlink>
    </w:p>
    <w:p w14:paraId="2A836F8B" w14:textId="77777777" w:rsidR="005D3243" w:rsidRPr="00F735B8" w:rsidRDefault="005D3243" w:rsidP="0028330D">
      <w:pPr>
        <w:rPr>
          <w:rFonts w:cstheme="minorHAnsi"/>
          <w:color w:val="333333"/>
          <w:sz w:val="20"/>
          <w:szCs w:val="20"/>
          <w:shd w:val="clear" w:color="auto" w:fill="FCFCFC"/>
        </w:rPr>
      </w:pPr>
      <w:r w:rsidRPr="00F735B8">
        <w:rPr>
          <w:rFonts w:cstheme="minorHAnsi"/>
          <w:color w:val="333333"/>
          <w:sz w:val="20"/>
          <w:szCs w:val="20"/>
          <w:shd w:val="clear" w:color="auto" w:fill="FCFCFC"/>
        </w:rPr>
        <w:t xml:space="preserve">Perraudin. F (2017) ‘Paedophile hunters jeopardising police work, says senior officer’ </w:t>
      </w:r>
      <w:r w:rsidRPr="00F735B8">
        <w:rPr>
          <w:rFonts w:cstheme="minorHAnsi"/>
          <w:i/>
          <w:iCs/>
          <w:color w:val="333333"/>
          <w:sz w:val="20"/>
          <w:szCs w:val="20"/>
          <w:shd w:val="clear" w:color="auto" w:fill="FCFCFC"/>
        </w:rPr>
        <w:t>The Guardian</w:t>
      </w:r>
      <w:r w:rsidRPr="00F735B8">
        <w:rPr>
          <w:rFonts w:cstheme="minorHAnsi"/>
          <w:color w:val="333333"/>
          <w:sz w:val="20"/>
          <w:szCs w:val="20"/>
          <w:shd w:val="clear" w:color="auto" w:fill="FCFCFC"/>
        </w:rPr>
        <w:t xml:space="preserve"> 24</w:t>
      </w:r>
      <w:r w:rsidRPr="00F735B8">
        <w:rPr>
          <w:rFonts w:cstheme="minorHAnsi"/>
          <w:color w:val="333333"/>
          <w:sz w:val="20"/>
          <w:szCs w:val="20"/>
          <w:shd w:val="clear" w:color="auto" w:fill="FCFCFC"/>
          <w:vertAlign w:val="superscript"/>
        </w:rPr>
        <w:t>th</w:t>
      </w:r>
      <w:r w:rsidRPr="00F735B8">
        <w:rPr>
          <w:rFonts w:cstheme="minorHAnsi"/>
          <w:color w:val="333333"/>
          <w:sz w:val="20"/>
          <w:szCs w:val="20"/>
          <w:shd w:val="clear" w:color="auto" w:fill="FCFCFC"/>
        </w:rPr>
        <w:t xml:space="preserve"> January 2017 Available at: </w:t>
      </w:r>
      <w:hyperlink r:id="rId42" w:history="1">
        <w:r w:rsidRPr="00F735B8">
          <w:rPr>
            <w:rStyle w:val="Hyperlink"/>
            <w:rFonts w:cstheme="minorHAnsi"/>
            <w:sz w:val="20"/>
            <w:szCs w:val="20"/>
            <w:shd w:val="clear" w:color="auto" w:fill="FCFCFC"/>
          </w:rPr>
          <w:t>https://www.theguardian.com/society/2017/apr/24/paedophile-hunters-jeopardising-police-work-child-protection</w:t>
        </w:r>
      </w:hyperlink>
      <w:r w:rsidRPr="00F735B8">
        <w:rPr>
          <w:rFonts w:cstheme="minorHAnsi"/>
          <w:color w:val="333333"/>
          <w:sz w:val="20"/>
          <w:szCs w:val="20"/>
          <w:shd w:val="clear" w:color="auto" w:fill="FCFCFC"/>
        </w:rPr>
        <w:t xml:space="preserve"> (Accessed: 13/04/2023)</w:t>
      </w:r>
    </w:p>
    <w:p w14:paraId="0F5AF8DF" w14:textId="77777777" w:rsidR="005D3243" w:rsidRPr="00F735B8" w:rsidRDefault="005D3243" w:rsidP="0028330D">
      <w:pPr>
        <w:rPr>
          <w:rFonts w:cstheme="minorHAnsi"/>
          <w:sz w:val="20"/>
          <w:szCs w:val="20"/>
        </w:rPr>
      </w:pPr>
      <w:r w:rsidRPr="00F735B8">
        <w:rPr>
          <w:rFonts w:cstheme="minorHAnsi"/>
          <w:sz w:val="20"/>
          <w:szCs w:val="20"/>
        </w:rPr>
        <w:t xml:space="preserve">Police.UK (n.d) </w:t>
      </w:r>
      <w:r w:rsidRPr="00F735B8">
        <w:rPr>
          <w:rFonts w:cstheme="minorHAnsi"/>
          <w:i/>
          <w:iCs/>
          <w:sz w:val="20"/>
          <w:szCs w:val="20"/>
        </w:rPr>
        <w:t xml:space="preserve">Stop and Search </w:t>
      </w:r>
      <w:r w:rsidRPr="00F735B8">
        <w:rPr>
          <w:rFonts w:cstheme="minorHAnsi"/>
          <w:sz w:val="20"/>
          <w:szCs w:val="20"/>
        </w:rPr>
        <w:t xml:space="preserve">Available at: </w:t>
      </w:r>
      <w:hyperlink r:id="rId43" w:history="1">
        <w:r w:rsidRPr="00F735B8">
          <w:rPr>
            <w:rStyle w:val="Hyperlink"/>
            <w:rFonts w:cstheme="minorHAnsi"/>
            <w:sz w:val="20"/>
            <w:szCs w:val="20"/>
          </w:rPr>
          <w:t>https://www.police.uk/pu/your-area/gwent-police/performance/stop-and-search/?tc=</w:t>
        </w:r>
      </w:hyperlink>
      <w:r w:rsidRPr="00F735B8">
        <w:rPr>
          <w:rStyle w:val="Hyperlink"/>
          <w:rFonts w:cstheme="minorHAnsi"/>
          <w:sz w:val="20"/>
          <w:szCs w:val="20"/>
        </w:rPr>
        <w:t xml:space="preserve">  (Accessed: 02/03/2023)</w:t>
      </w:r>
    </w:p>
    <w:p w14:paraId="300A4087" w14:textId="77777777" w:rsidR="005D3243" w:rsidRPr="00F735B8" w:rsidRDefault="005D3243" w:rsidP="0028330D">
      <w:pPr>
        <w:rPr>
          <w:rFonts w:cstheme="minorHAnsi"/>
          <w:sz w:val="20"/>
          <w:szCs w:val="20"/>
        </w:rPr>
      </w:pPr>
      <w:r w:rsidRPr="00F735B8">
        <w:rPr>
          <w:rFonts w:cstheme="minorHAnsi"/>
          <w:sz w:val="20"/>
          <w:szCs w:val="20"/>
        </w:rPr>
        <w:t>Public Health England (2019) ‘</w:t>
      </w:r>
      <w:r w:rsidRPr="00F735B8">
        <w:rPr>
          <w:rFonts w:cstheme="minorHAnsi"/>
          <w:i/>
          <w:iCs/>
          <w:sz w:val="20"/>
          <w:szCs w:val="20"/>
        </w:rPr>
        <w:t xml:space="preserve">Collaborative approaches to preventing offending and re-offending by children (CAPRICORN): Summary’ </w:t>
      </w:r>
      <w:r w:rsidRPr="00F735B8">
        <w:rPr>
          <w:rFonts w:cstheme="minorHAnsi"/>
          <w:sz w:val="20"/>
          <w:szCs w:val="20"/>
        </w:rPr>
        <w:t xml:space="preserve">Available at: </w:t>
      </w:r>
      <w:r w:rsidRPr="00F735B8">
        <w:rPr>
          <w:rFonts w:cstheme="minorHAnsi"/>
          <w:i/>
          <w:iCs/>
          <w:sz w:val="20"/>
          <w:szCs w:val="20"/>
        </w:rPr>
        <w:t xml:space="preserve"> </w:t>
      </w:r>
      <w:hyperlink r:id="rId44" w:history="1">
        <w:r w:rsidRPr="00F735B8">
          <w:rPr>
            <w:rStyle w:val="Hyperlink"/>
            <w:rFonts w:cstheme="minorHAnsi"/>
            <w:sz w:val="20"/>
            <w:szCs w:val="20"/>
          </w:rPr>
          <w:t>https://www.gov.uk/government/publications/preventing-offending-and-re-offending-by-children/collaborative-approaches-to-preventing-offending-and-re-offending-by-children-capricorn-summary</w:t>
        </w:r>
      </w:hyperlink>
      <w:r w:rsidRPr="00F735B8">
        <w:rPr>
          <w:rFonts w:cstheme="minorHAnsi"/>
          <w:sz w:val="20"/>
          <w:szCs w:val="20"/>
        </w:rPr>
        <w:t xml:space="preserve"> (Accessed: 07/03/2023) </w:t>
      </w:r>
    </w:p>
    <w:p w14:paraId="145A59C1" w14:textId="77777777" w:rsidR="005D3243" w:rsidRPr="00F735B8" w:rsidRDefault="005D3243" w:rsidP="0028330D">
      <w:pPr>
        <w:rPr>
          <w:rFonts w:cstheme="minorHAnsi"/>
          <w:color w:val="333333"/>
          <w:sz w:val="20"/>
          <w:szCs w:val="20"/>
          <w:shd w:val="clear" w:color="auto" w:fill="FCFCFC"/>
        </w:rPr>
      </w:pPr>
      <w:r w:rsidRPr="00F735B8">
        <w:rPr>
          <w:rFonts w:cstheme="minorHAnsi"/>
          <w:color w:val="222222"/>
          <w:sz w:val="20"/>
          <w:szCs w:val="20"/>
          <w:shd w:val="clear" w:color="auto" w:fill="FFFFFF"/>
        </w:rPr>
        <w:t>Purshouse, J. (2020) ‘Paedophile hunters’, criminal procedure, and fundamental human rights. </w:t>
      </w:r>
      <w:r w:rsidRPr="00F735B8">
        <w:rPr>
          <w:rFonts w:cstheme="minorHAnsi"/>
          <w:i/>
          <w:iCs/>
          <w:color w:val="222222"/>
          <w:sz w:val="20"/>
          <w:szCs w:val="20"/>
          <w:shd w:val="clear" w:color="auto" w:fill="FFFFFF"/>
        </w:rPr>
        <w:t>Journal of Law and Society</w:t>
      </w:r>
      <w:r w:rsidRPr="00F735B8">
        <w:rPr>
          <w:rFonts w:cstheme="minorHAnsi"/>
          <w:color w:val="222222"/>
          <w:sz w:val="20"/>
          <w:szCs w:val="20"/>
          <w:shd w:val="clear" w:color="auto" w:fill="FFFFFF"/>
        </w:rPr>
        <w:t>, </w:t>
      </w:r>
      <w:r w:rsidRPr="00F735B8">
        <w:rPr>
          <w:rFonts w:cstheme="minorHAnsi"/>
          <w:i/>
          <w:iCs/>
          <w:color w:val="222222"/>
          <w:sz w:val="20"/>
          <w:szCs w:val="20"/>
          <w:shd w:val="clear" w:color="auto" w:fill="FFFFFF"/>
        </w:rPr>
        <w:t>47</w:t>
      </w:r>
      <w:r w:rsidRPr="00F735B8">
        <w:rPr>
          <w:rFonts w:cstheme="minorHAnsi"/>
          <w:color w:val="222222"/>
          <w:sz w:val="20"/>
          <w:szCs w:val="20"/>
          <w:shd w:val="clear" w:color="auto" w:fill="FFFFFF"/>
        </w:rPr>
        <w:t>(3), pp.384-411.</w:t>
      </w:r>
    </w:p>
    <w:p w14:paraId="69320B5D" w14:textId="77777777" w:rsidR="005D3243" w:rsidRPr="00F735B8" w:rsidRDefault="005D3243" w:rsidP="0028330D">
      <w:pPr>
        <w:rPr>
          <w:rFonts w:cstheme="minorHAnsi"/>
          <w:sz w:val="20"/>
          <w:szCs w:val="20"/>
        </w:rPr>
      </w:pPr>
      <w:r w:rsidRPr="00F735B8">
        <w:rPr>
          <w:rFonts w:cstheme="minorHAnsi"/>
          <w:color w:val="222222"/>
          <w:sz w:val="20"/>
          <w:szCs w:val="20"/>
          <w:shd w:val="clear" w:color="auto" w:fill="FFFFFF"/>
        </w:rPr>
        <w:t>Serisier, T. (2017) Sex crimes and the media. In </w:t>
      </w:r>
      <w:r w:rsidRPr="00F735B8">
        <w:rPr>
          <w:rFonts w:cstheme="minorHAnsi"/>
          <w:i/>
          <w:iCs/>
          <w:color w:val="222222"/>
          <w:sz w:val="20"/>
          <w:szCs w:val="20"/>
          <w:shd w:val="clear" w:color="auto" w:fill="FFFFFF"/>
        </w:rPr>
        <w:t>Oxford Research Encyclopaedia of Criminology and Criminal Justice</w:t>
      </w:r>
      <w:r w:rsidRPr="00F735B8">
        <w:rPr>
          <w:rFonts w:cstheme="minorHAnsi"/>
          <w:color w:val="222222"/>
          <w:sz w:val="20"/>
          <w:szCs w:val="20"/>
          <w:shd w:val="clear" w:color="auto" w:fill="FFFFFF"/>
        </w:rPr>
        <w:t>.</w:t>
      </w:r>
    </w:p>
    <w:p w14:paraId="3FEAEF36" w14:textId="77777777" w:rsidR="005D3243" w:rsidRPr="00F735B8" w:rsidRDefault="005D3243" w:rsidP="0028330D">
      <w:pPr>
        <w:rPr>
          <w:rFonts w:cstheme="minorHAnsi"/>
          <w:sz w:val="20"/>
          <w:szCs w:val="20"/>
        </w:rPr>
      </w:pPr>
      <w:r w:rsidRPr="00F735B8">
        <w:rPr>
          <w:rFonts w:cstheme="minorHAnsi"/>
          <w:sz w:val="20"/>
          <w:szCs w:val="20"/>
        </w:rPr>
        <w:t xml:space="preserve">Solomon, E. and Blyth, M. (2009) </w:t>
      </w:r>
      <w:r w:rsidRPr="00F735B8">
        <w:rPr>
          <w:rFonts w:cstheme="minorHAnsi"/>
          <w:i/>
          <w:iCs/>
          <w:sz w:val="20"/>
          <w:szCs w:val="20"/>
        </w:rPr>
        <w:t>Prevention and youth crime Is early intervention workin</w:t>
      </w:r>
      <w:r w:rsidRPr="00F735B8">
        <w:rPr>
          <w:rFonts w:cstheme="minorHAnsi"/>
          <w:sz w:val="20"/>
          <w:szCs w:val="20"/>
        </w:rPr>
        <w:t>g? Policy Press.</w:t>
      </w:r>
    </w:p>
    <w:p w14:paraId="32E7D132" w14:textId="10F203C1" w:rsidR="005D3243" w:rsidRPr="00F735B8" w:rsidRDefault="005D3243" w:rsidP="0028330D">
      <w:pPr>
        <w:rPr>
          <w:rFonts w:cstheme="minorHAnsi"/>
          <w:color w:val="333333"/>
          <w:sz w:val="20"/>
          <w:szCs w:val="20"/>
          <w:shd w:val="clear" w:color="auto" w:fill="FCFCFC"/>
        </w:rPr>
      </w:pPr>
      <w:r w:rsidRPr="00F735B8">
        <w:rPr>
          <w:rFonts w:cstheme="minorHAnsi"/>
          <w:sz w:val="20"/>
          <w:szCs w:val="20"/>
        </w:rPr>
        <w:t xml:space="preserve">Theobald, D. Farrington, D.P (2014) </w:t>
      </w:r>
      <w:r w:rsidRPr="00F735B8">
        <w:rPr>
          <w:rFonts w:cstheme="minorHAnsi"/>
          <w:i/>
          <w:iCs/>
          <w:color w:val="333333"/>
          <w:sz w:val="20"/>
          <w:szCs w:val="20"/>
          <w:shd w:val="clear" w:color="auto" w:fill="FCFCFC"/>
        </w:rPr>
        <w:t>Onset of Offending</w:t>
      </w:r>
      <w:r w:rsidRPr="00F735B8">
        <w:rPr>
          <w:rFonts w:cstheme="minorHAnsi"/>
          <w:color w:val="333333"/>
          <w:sz w:val="20"/>
          <w:szCs w:val="20"/>
          <w:shd w:val="clear" w:color="auto" w:fill="FCFCFC"/>
        </w:rPr>
        <w:t xml:space="preserve">. In: Bruinsma, G., Weisburd, D. (eds) </w:t>
      </w:r>
      <w:r w:rsidR="002F1360" w:rsidRPr="00F735B8">
        <w:rPr>
          <w:rFonts w:cstheme="minorHAnsi"/>
          <w:color w:val="333333"/>
          <w:sz w:val="20"/>
          <w:szCs w:val="20"/>
          <w:shd w:val="clear" w:color="auto" w:fill="FCFCFC"/>
        </w:rPr>
        <w:t>Encyclopaedia</w:t>
      </w:r>
      <w:r w:rsidRPr="00F735B8">
        <w:rPr>
          <w:rFonts w:cstheme="minorHAnsi"/>
          <w:color w:val="333333"/>
          <w:sz w:val="20"/>
          <w:szCs w:val="20"/>
          <w:shd w:val="clear" w:color="auto" w:fill="FCFCFC"/>
        </w:rPr>
        <w:t xml:space="preserve"> of Criminology and Criminal Justice. Springer, New York, NY. </w:t>
      </w:r>
      <w:hyperlink r:id="rId45" w:history="1">
        <w:r w:rsidRPr="00F735B8">
          <w:rPr>
            <w:rStyle w:val="Hyperlink"/>
            <w:rFonts w:cstheme="minorHAnsi"/>
            <w:sz w:val="20"/>
            <w:szCs w:val="20"/>
            <w:shd w:val="clear" w:color="auto" w:fill="FCFCFC"/>
          </w:rPr>
          <w:t>https://doi.org/10.1007/978-1-4614-5690-2_86</w:t>
        </w:r>
      </w:hyperlink>
    </w:p>
    <w:p w14:paraId="02513832" w14:textId="77777777" w:rsidR="005D3243" w:rsidRPr="00F735B8" w:rsidRDefault="005D3243" w:rsidP="0028330D">
      <w:pPr>
        <w:rPr>
          <w:rFonts w:cstheme="minorHAnsi"/>
          <w:sz w:val="20"/>
          <w:szCs w:val="20"/>
        </w:rPr>
      </w:pPr>
      <w:r w:rsidRPr="00F735B8">
        <w:rPr>
          <w:rFonts w:cstheme="minorHAnsi"/>
          <w:color w:val="222222"/>
          <w:sz w:val="20"/>
          <w:szCs w:val="20"/>
          <w:shd w:val="clear" w:color="auto" w:fill="FFFFFF"/>
        </w:rPr>
        <w:t>Tippett, A., (2022) The rise of paedophile hunters: To what extent are cyber-vigilante groups a productive form of policing, retribution and justice?. </w:t>
      </w:r>
      <w:r w:rsidRPr="00F735B8">
        <w:rPr>
          <w:rFonts w:cstheme="minorHAnsi"/>
          <w:i/>
          <w:iCs/>
          <w:color w:val="222222"/>
          <w:sz w:val="20"/>
          <w:szCs w:val="20"/>
          <w:shd w:val="clear" w:color="auto" w:fill="FFFFFF"/>
        </w:rPr>
        <w:t>Criminology &amp; Criminal Justice</w:t>
      </w:r>
      <w:r w:rsidRPr="00F735B8">
        <w:rPr>
          <w:rFonts w:cstheme="minorHAnsi"/>
          <w:color w:val="222222"/>
          <w:sz w:val="20"/>
          <w:szCs w:val="20"/>
          <w:shd w:val="clear" w:color="auto" w:fill="FFFFFF"/>
        </w:rPr>
        <w:t xml:space="preserve">. </w:t>
      </w:r>
      <w:hyperlink r:id="rId46" w:history="1">
        <w:r w:rsidRPr="00F735B8">
          <w:rPr>
            <w:rStyle w:val="Hyperlink"/>
            <w:rFonts w:cstheme="minorHAnsi"/>
            <w:sz w:val="20"/>
            <w:szCs w:val="20"/>
            <w:u w:val="none"/>
            <w:shd w:val="clear" w:color="auto" w:fill="FFFFFF"/>
          </w:rPr>
          <w:t>https://doi.org/10.1177/17488958221136845</w:t>
        </w:r>
      </w:hyperlink>
    </w:p>
    <w:p w14:paraId="00E57F27" w14:textId="77777777" w:rsidR="005D3243" w:rsidRPr="00F735B8" w:rsidRDefault="005D3243" w:rsidP="0028330D">
      <w:pPr>
        <w:rPr>
          <w:rFonts w:cstheme="minorHAnsi"/>
          <w:sz w:val="20"/>
          <w:szCs w:val="20"/>
        </w:rPr>
      </w:pPr>
      <w:r w:rsidRPr="00F735B8">
        <w:rPr>
          <w:rFonts w:cstheme="minorHAnsi"/>
          <w:sz w:val="20"/>
          <w:szCs w:val="20"/>
        </w:rPr>
        <w:t xml:space="preserve">Torrible, C. (2021) ‘Police complaints and discipline: integrity, lesson learning, independence and accountability: some implications of the reforms under the Policing and Crime Act 2017’, Policing &amp; society, 31(9), pp. 1117–1132. Available at: </w:t>
      </w:r>
      <w:hyperlink r:id="rId47" w:history="1">
        <w:r w:rsidRPr="00F735B8">
          <w:rPr>
            <w:rStyle w:val="Hyperlink"/>
            <w:rFonts w:cstheme="minorHAnsi"/>
            <w:sz w:val="20"/>
            <w:szCs w:val="20"/>
          </w:rPr>
          <w:t>https://doi.org/10.1080/10439463.2020.1838516</w:t>
        </w:r>
      </w:hyperlink>
      <w:r w:rsidRPr="00F735B8">
        <w:rPr>
          <w:rFonts w:cstheme="minorHAnsi"/>
          <w:sz w:val="20"/>
          <w:szCs w:val="20"/>
        </w:rPr>
        <w:t>.</w:t>
      </w:r>
    </w:p>
    <w:p w14:paraId="7F4BBC5B" w14:textId="77777777" w:rsidR="005D3243" w:rsidRPr="00F735B8" w:rsidRDefault="005D3243" w:rsidP="0028330D">
      <w:pPr>
        <w:rPr>
          <w:rFonts w:cstheme="minorHAnsi"/>
          <w:sz w:val="20"/>
          <w:szCs w:val="20"/>
        </w:rPr>
      </w:pPr>
      <w:r w:rsidRPr="00F735B8">
        <w:rPr>
          <w:rFonts w:cstheme="minorHAnsi"/>
          <w:sz w:val="20"/>
          <w:szCs w:val="20"/>
        </w:rPr>
        <w:lastRenderedPageBreak/>
        <w:t>Waddington, P.A.J., Stenson, K. and Don, D. (2004) ‘IN PROPORTION: Race, and Police Stop and Search’, British journal of criminology, 44(6), pp. 889–914. Available at: https://doi.org/10.1093/bjc/azh042.</w:t>
      </w:r>
    </w:p>
    <w:p w14:paraId="1785E0F2" w14:textId="77777777" w:rsidR="005D3243" w:rsidRPr="00F735B8" w:rsidRDefault="005D3243" w:rsidP="0028330D">
      <w:pPr>
        <w:rPr>
          <w:rFonts w:cstheme="minorHAnsi"/>
          <w:sz w:val="20"/>
          <w:szCs w:val="20"/>
        </w:rPr>
      </w:pPr>
      <w:r w:rsidRPr="00F735B8">
        <w:rPr>
          <w:rFonts w:cstheme="minorHAnsi"/>
          <w:sz w:val="20"/>
          <w:szCs w:val="20"/>
        </w:rPr>
        <w:t xml:space="preserve">Weir, K. Routledge, G. Kilili, S (2019) ‘Checkpoint: An Innovative Programme to Navigate People Away from the Cycle of Reoffending: Implementation Phase Evaluation’ </w:t>
      </w:r>
      <w:r w:rsidRPr="00F735B8">
        <w:rPr>
          <w:rFonts w:cstheme="minorHAnsi"/>
          <w:i/>
          <w:iCs/>
          <w:sz w:val="20"/>
          <w:szCs w:val="20"/>
        </w:rPr>
        <w:t xml:space="preserve">Policing: A Journal of Policy and Practice, </w:t>
      </w:r>
      <w:r w:rsidRPr="00F735B8">
        <w:rPr>
          <w:rFonts w:cstheme="minorHAnsi"/>
          <w:sz w:val="20"/>
          <w:szCs w:val="20"/>
        </w:rPr>
        <w:t xml:space="preserve">Volume 15, Issue 1, March 2021, Pages 508-527 </w:t>
      </w:r>
      <w:hyperlink r:id="rId48" w:history="1">
        <w:r w:rsidRPr="00F735B8">
          <w:rPr>
            <w:rStyle w:val="Hyperlink"/>
            <w:rFonts w:cstheme="minorHAnsi"/>
            <w:color w:val="006FB7"/>
            <w:sz w:val="20"/>
            <w:szCs w:val="20"/>
            <w:bdr w:val="none" w:sz="0" w:space="0" w:color="auto" w:frame="1"/>
            <w:shd w:val="clear" w:color="auto" w:fill="FFFFFF"/>
          </w:rPr>
          <w:t>https://doi.org/10.1093/police/paz015</w:t>
        </w:r>
      </w:hyperlink>
    </w:p>
    <w:p w14:paraId="06136E52" w14:textId="77777777" w:rsidR="005D3243" w:rsidRPr="00F735B8" w:rsidRDefault="005D3243" w:rsidP="0028330D">
      <w:pPr>
        <w:rPr>
          <w:rFonts w:cstheme="minorHAnsi"/>
          <w:sz w:val="20"/>
          <w:szCs w:val="20"/>
        </w:rPr>
      </w:pPr>
      <w:r w:rsidRPr="00F735B8">
        <w:rPr>
          <w:rFonts w:cstheme="minorHAnsi"/>
          <w:sz w:val="20"/>
          <w:szCs w:val="20"/>
        </w:rPr>
        <w:t xml:space="preserve">Wisney, W (2022) </w:t>
      </w:r>
      <w:r w:rsidRPr="00F735B8">
        <w:rPr>
          <w:rFonts w:cstheme="minorHAnsi"/>
          <w:i/>
          <w:iCs/>
          <w:sz w:val="20"/>
          <w:szCs w:val="20"/>
        </w:rPr>
        <w:t xml:space="preserve">What are Adverse Childhood Experiences (ACEs)? </w:t>
      </w:r>
      <w:r w:rsidRPr="00F735B8">
        <w:rPr>
          <w:rFonts w:cstheme="minorHAnsi"/>
          <w:sz w:val="20"/>
          <w:szCs w:val="20"/>
        </w:rPr>
        <w:t xml:space="preserve">Available at: </w:t>
      </w:r>
      <w:hyperlink r:id="rId49" w:history="1">
        <w:r w:rsidRPr="00F735B8">
          <w:rPr>
            <w:rStyle w:val="Hyperlink"/>
            <w:rFonts w:cstheme="minorHAnsi"/>
            <w:sz w:val="20"/>
            <w:szCs w:val="20"/>
          </w:rPr>
          <w:t>https://www.verywellmind.com/what-are-aces-adverse-childhood-experiences-5219030</w:t>
        </w:r>
      </w:hyperlink>
      <w:r w:rsidRPr="00F735B8">
        <w:rPr>
          <w:rFonts w:cstheme="minorHAnsi"/>
          <w:sz w:val="20"/>
          <w:szCs w:val="20"/>
        </w:rPr>
        <w:t xml:space="preserve"> (Accessed: 05/03/2023) </w:t>
      </w:r>
    </w:p>
    <w:p w14:paraId="327C016D" w14:textId="77777777" w:rsidR="005D3243" w:rsidRPr="00F735B8" w:rsidRDefault="005D3243" w:rsidP="0028330D">
      <w:pPr>
        <w:rPr>
          <w:rFonts w:cstheme="minorHAnsi"/>
          <w:color w:val="222222"/>
          <w:sz w:val="20"/>
          <w:szCs w:val="20"/>
          <w:shd w:val="clear" w:color="auto" w:fill="FFFFFF"/>
        </w:rPr>
      </w:pPr>
      <w:r w:rsidRPr="00F735B8">
        <w:rPr>
          <w:rFonts w:cstheme="minorHAnsi"/>
          <w:color w:val="222222"/>
          <w:sz w:val="20"/>
          <w:szCs w:val="20"/>
          <w:shd w:val="clear" w:color="auto" w:fill="FFFFFF"/>
        </w:rPr>
        <w:t>Wood, J., Kemshall, H. and Maguire, M., (2007). </w:t>
      </w:r>
      <w:r w:rsidRPr="00F735B8">
        <w:rPr>
          <w:rFonts w:cstheme="minorHAnsi"/>
          <w:i/>
          <w:iCs/>
          <w:color w:val="222222"/>
          <w:sz w:val="20"/>
          <w:szCs w:val="20"/>
          <w:shd w:val="clear" w:color="auto" w:fill="FFFFFF"/>
        </w:rPr>
        <w:t>The operation and experience of multi-agency public protection arrangements (MAPPA)</w:t>
      </w:r>
      <w:r w:rsidRPr="00F735B8">
        <w:rPr>
          <w:rFonts w:cstheme="minorHAnsi"/>
          <w:color w:val="222222"/>
          <w:sz w:val="20"/>
          <w:szCs w:val="20"/>
          <w:shd w:val="clear" w:color="auto" w:fill="FFFFFF"/>
        </w:rPr>
        <w:t>. London: Home Office.</w:t>
      </w:r>
    </w:p>
    <w:p w14:paraId="5A4F90EE" w14:textId="77777777" w:rsidR="005D3243" w:rsidRPr="00F735B8" w:rsidRDefault="005D3243" w:rsidP="0028330D">
      <w:pPr>
        <w:rPr>
          <w:rFonts w:cstheme="minorHAnsi"/>
          <w:color w:val="333333"/>
          <w:sz w:val="20"/>
          <w:szCs w:val="20"/>
          <w:shd w:val="clear" w:color="auto" w:fill="FCFCFC"/>
        </w:rPr>
      </w:pPr>
      <w:r w:rsidRPr="00F735B8">
        <w:rPr>
          <w:rFonts w:cstheme="minorHAnsi"/>
          <w:color w:val="333333"/>
          <w:sz w:val="20"/>
          <w:szCs w:val="20"/>
          <w:shd w:val="clear" w:color="auto" w:fill="FCFCFC"/>
        </w:rPr>
        <w:t xml:space="preserve">Youth Justice Board (2022) </w:t>
      </w:r>
      <w:r w:rsidRPr="00F735B8">
        <w:rPr>
          <w:rFonts w:cstheme="minorHAnsi"/>
          <w:i/>
          <w:iCs/>
          <w:color w:val="333333"/>
          <w:sz w:val="20"/>
          <w:szCs w:val="20"/>
          <w:shd w:val="clear" w:color="auto" w:fill="FCFCFC"/>
        </w:rPr>
        <w:t xml:space="preserve">Youth Justice Statistics: 2020 to 2021 </w:t>
      </w:r>
      <w:r w:rsidRPr="00F735B8">
        <w:rPr>
          <w:rFonts w:cstheme="minorHAnsi"/>
          <w:color w:val="333333"/>
          <w:sz w:val="20"/>
          <w:szCs w:val="20"/>
          <w:shd w:val="clear" w:color="auto" w:fill="FCFCFC"/>
        </w:rPr>
        <w:t xml:space="preserve">Available at: </w:t>
      </w:r>
      <w:hyperlink r:id="rId50" w:anchor="likely-impacts-of-the-covid-19-pandemic-on-the-youth-justice-system" w:history="1">
        <w:r w:rsidRPr="00F735B8">
          <w:rPr>
            <w:rStyle w:val="Hyperlink"/>
            <w:rFonts w:cstheme="minorHAnsi"/>
            <w:sz w:val="20"/>
            <w:szCs w:val="20"/>
            <w:shd w:val="clear" w:color="auto" w:fill="FCFCFC"/>
          </w:rPr>
          <w:t>https://www.gov.uk/government/statistics/youth-justice-statistics-2020-to-2021/youth-justice-statistics-2020-to-2021-accessible-version#likely-impacts-of-the-covid-19-pandemic-on-the-youth-justice-system</w:t>
        </w:r>
      </w:hyperlink>
      <w:r w:rsidRPr="00F735B8">
        <w:rPr>
          <w:rFonts w:cstheme="minorHAnsi"/>
          <w:color w:val="333333"/>
          <w:sz w:val="20"/>
          <w:szCs w:val="20"/>
          <w:shd w:val="clear" w:color="auto" w:fill="FCFCFC"/>
        </w:rPr>
        <w:t xml:space="preserve"> (Accessed: 05/03/2023)</w:t>
      </w:r>
    </w:p>
    <w:sectPr w:rsidR="005D3243" w:rsidRPr="00F735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0F852" w14:textId="77777777" w:rsidR="002730C8" w:rsidRDefault="002730C8" w:rsidP="00DF6CBA">
      <w:pPr>
        <w:spacing w:after="0" w:line="240" w:lineRule="auto"/>
      </w:pPr>
      <w:r>
        <w:separator/>
      </w:r>
    </w:p>
  </w:endnote>
  <w:endnote w:type="continuationSeparator" w:id="0">
    <w:p w14:paraId="09A41DDC" w14:textId="77777777" w:rsidR="002730C8" w:rsidRDefault="002730C8" w:rsidP="00DF6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F404D" w14:textId="77777777" w:rsidR="002730C8" w:rsidRDefault="002730C8" w:rsidP="00DF6CBA">
      <w:pPr>
        <w:spacing w:after="0" w:line="240" w:lineRule="auto"/>
      </w:pPr>
      <w:r>
        <w:separator/>
      </w:r>
    </w:p>
  </w:footnote>
  <w:footnote w:type="continuationSeparator" w:id="0">
    <w:p w14:paraId="00D0D6E6" w14:textId="77777777" w:rsidR="002730C8" w:rsidRDefault="002730C8" w:rsidP="00DF6C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37A44"/>
    <w:multiLevelType w:val="hybridMultilevel"/>
    <w:tmpl w:val="9D44D228"/>
    <w:lvl w:ilvl="0" w:tplc="AC466F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2194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BA"/>
    <w:rsid w:val="0000203E"/>
    <w:rsid w:val="0000733E"/>
    <w:rsid w:val="00012D0B"/>
    <w:rsid w:val="00021B0F"/>
    <w:rsid w:val="00022C9E"/>
    <w:rsid w:val="00022E0B"/>
    <w:rsid w:val="00035FE9"/>
    <w:rsid w:val="00046E9D"/>
    <w:rsid w:val="000474DA"/>
    <w:rsid w:val="0005454D"/>
    <w:rsid w:val="00057D5B"/>
    <w:rsid w:val="0006077F"/>
    <w:rsid w:val="00060A90"/>
    <w:rsid w:val="00061FF6"/>
    <w:rsid w:val="00062B12"/>
    <w:rsid w:val="0006591B"/>
    <w:rsid w:val="00067722"/>
    <w:rsid w:val="00067E46"/>
    <w:rsid w:val="0007563B"/>
    <w:rsid w:val="00077B83"/>
    <w:rsid w:val="00080A8D"/>
    <w:rsid w:val="0008458E"/>
    <w:rsid w:val="00087DB9"/>
    <w:rsid w:val="000A23DC"/>
    <w:rsid w:val="000A2C8C"/>
    <w:rsid w:val="000A3E9A"/>
    <w:rsid w:val="000A5D30"/>
    <w:rsid w:val="000A5F5E"/>
    <w:rsid w:val="000B30A6"/>
    <w:rsid w:val="000B5586"/>
    <w:rsid w:val="000C298D"/>
    <w:rsid w:val="000C4B92"/>
    <w:rsid w:val="000C4BCC"/>
    <w:rsid w:val="000D7085"/>
    <w:rsid w:val="000F0E92"/>
    <w:rsid w:val="000F25B0"/>
    <w:rsid w:val="000F2E78"/>
    <w:rsid w:val="000F36E6"/>
    <w:rsid w:val="00100B72"/>
    <w:rsid w:val="00100D8E"/>
    <w:rsid w:val="00101B3B"/>
    <w:rsid w:val="001023ED"/>
    <w:rsid w:val="00103061"/>
    <w:rsid w:val="0010629D"/>
    <w:rsid w:val="00107B91"/>
    <w:rsid w:val="001121D6"/>
    <w:rsid w:val="00114AB2"/>
    <w:rsid w:val="0011635F"/>
    <w:rsid w:val="00116E71"/>
    <w:rsid w:val="0012160C"/>
    <w:rsid w:val="00121E1C"/>
    <w:rsid w:val="00123713"/>
    <w:rsid w:val="0012460E"/>
    <w:rsid w:val="00124DA5"/>
    <w:rsid w:val="00137F7D"/>
    <w:rsid w:val="00142AD5"/>
    <w:rsid w:val="00146A07"/>
    <w:rsid w:val="0015166E"/>
    <w:rsid w:val="00151BA6"/>
    <w:rsid w:val="00152C2F"/>
    <w:rsid w:val="001724EA"/>
    <w:rsid w:val="0017314E"/>
    <w:rsid w:val="00175164"/>
    <w:rsid w:val="00193A3F"/>
    <w:rsid w:val="00194A76"/>
    <w:rsid w:val="001A2123"/>
    <w:rsid w:val="001B20BC"/>
    <w:rsid w:val="001B7363"/>
    <w:rsid w:val="001C1CF4"/>
    <w:rsid w:val="001C1DF5"/>
    <w:rsid w:val="001C2AC5"/>
    <w:rsid w:val="001C2BC6"/>
    <w:rsid w:val="001C2EA8"/>
    <w:rsid w:val="001D6D7F"/>
    <w:rsid w:val="001E291C"/>
    <w:rsid w:val="001E44F7"/>
    <w:rsid w:val="001F2936"/>
    <w:rsid w:val="001F5612"/>
    <w:rsid w:val="001F7A35"/>
    <w:rsid w:val="00201A85"/>
    <w:rsid w:val="00205799"/>
    <w:rsid w:val="00210A47"/>
    <w:rsid w:val="0021682B"/>
    <w:rsid w:val="002237C9"/>
    <w:rsid w:val="0022495F"/>
    <w:rsid w:val="002252DC"/>
    <w:rsid w:val="00225708"/>
    <w:rsid w:val="00234B98"/>
    <w:rsid w:val="002358E9"/>
    <w:rsid w:val="002565A8"/>
    <w:rsid w:val="0026081B"/>
    <w:rsid w:val="00263A1A"/>
    <w:rsid w:val="002645F2"/>
    <w:rsid w:val="002671C4"/>
    <w:rsid w:val="002728E3"/>
    <w:rsid w:val="00272AC1"/>
    <w:rsid w:val="002730C8"/>
    <w:rsid w:val="002762CE"/>
    <w:rsid w:val="00277314"/>
    <w:rsid w:val="00277BB9"/>
    <w:rsid w:val="00277C35"/>
    <w:rsid w:val="0028330D"/>
    <w:rsid w:val="0028382D"/>
    <w:rsid w:val="0029408B"/>
    <w:rsid w:val="002944E2"/>
    <w:rsid w:val="002A1301"/>
    <w:rsid w:val="002A3B79"/>
    <w:rsid w:val="002A7BD3"/>
    <w:rsid w:val="002B04A8"/>
    <w:rsid w:val="002B1872"/>
    <w:rsid w:val="002B6DA4"/>
    <w:rsid w:val="002C2312"/>
    <w:rsid w:val="002C3ABD"/>
    <w:rsid w:val="002C3B8C"/>
    <w:rsid w:val="002C662B"/>
    <w:rsid w:val="002C663A"/>
    <w:rsid w:val="002D7BBE"/>
    <w:rsid w:val="002E6B27"/>
    <w:rsid w:val="002E7966"/>
    <w:rsid w:val="002F1360"/>
    <w:rsid w:val="002F527D"/>
    <w:rsid w:val="002F562D"/>
    <w:rsid w:val="003009E6"/>
    <w:rsid w:val="00300F2C"/>
    <w:rsid w:val="003015FF"/>
    <w:rsid w:val="00301DF6"/>
    <w:rsid w:val="003059FE"/>
    <w:rsid w:val="00306C5F"/>
    <w:rsid w:val="00311E4A"/>
    <w:rsid w:val="00317D78"/>
    <w:rsid w:val="0033238D"/>
    <w:rsid w:val="00333441"/>
    <w:rsid w:val="003337DB"/>
    <w:rsid w:val="00333C2F"/>
    <w:rsid w:val="0033723A"/>
    <w:rsid w:val="00341835"/>
    <w:rsid w:val="003447F5"/>
    <w:rsid w:val="00346D7A"/>
    <w:rsid w:val="00354D5C"/>
    <w:rsid w:val="00355851"/>
    <w:rsid w:val="003571FF"/>
    <w:rsid w:val="00357BA2"/>
    <w:rsid w:val="00371E52"/>
    <w:rsid w:val="00373CF9"/>
    <w:rsid w:val="003749AE"/>
    <w:rsid w:val="003766DC"/>
    <w:rsid w:val="00384D18"/>
    <w:rsid w:val="00385A8E"/>
    <w:rsid w:val="00386120"/>
    <w:rsid w:val="00386A5F"/>
    <w:rsid w:val="00386A87"/>
    <w:rsid w:val="003876F5"/>
    <w:rsid w:val="00397423"/>
    <w:rsid w:val="003A3DBD"/>
    <w:rsid w:val="003A4F57"/>
    <w:rsid w:val="003A52EB"/>
    <w:rsid w:val="003A6452"/>
    <w:rsid w:val="003B1B66"/>
    <w:rsid w:val="003B5823"/>
    <w:rsid w:val="003C5F37"/>
    <w:rsid w:val="003C695D"/>
    <w:rsid w:val="003C7ACF"/>
    <w:rsid w:val="003D3818"/>
    <w:rsid w:val="003D7B08"/>
    <w:rsid w:val="003E24C9"/>
    <w:rsid w:val="003E6CE3"/>
    <w:rsid w:val="003F4349"/>
    <w:rsid w:val="003F4868"/>
    <w:rsid w:val="00400E52"/>
    <w:rsid w:val="00402179"/>
    <w:rsid w:val="00402653"/>
    <w:rsid w:val="0040269D"/>
    <w:rsid w:val="00405C88"/>
    <w:rsid w:val="004111E4"/>
    <w:rsid w:val="0041249A"/>
    <w:rsid w:val="0041312F"/>
    <w:rsid w:val="00416BE5"/>
    <w:rsid w:val="004209E9"/>
    <w:rsid w:val="004256D7"/>
    <w:rsid w:val="00427850"/>
    <w:rsid w:val="0043231B"/>
    <w:rsid w:val="00432781"/>
    <w:rsid w:val="00434728"/>
    <w:rsid w:val="0043556F"/>
    <w:rsid w:val="00436026"/>
    <w:rsid w:val="0043663D"/>
    <w:rsid w:val="004373A7"/>
    <w:rsid w:val="0044218D"/>
    <w:rsid w:val="00442A63"/>
    <w:rsid w:val="0044331D"/>
    <w:rsid w:val="00444CC6"/>
    <w:rsid w:val="00445C90"/>
    <w:rsid w:val="00452B3B"/>
    <w:rsid w:val="0046362A"/>
    <w:rsid w:val="00464E02"/>
    <w:rsid w:val="004673CC"/>
    <w:rsid w:val="004717C5"/>
    <w:rsid w:val="00474C84"/>
    <w:rsid w:val="004824E1"/>
    <w:rsid w:val="00497F6E"/>
    <w:rsid w:val="004A1E68"/>
    <w:rsid w:val="004A264C"/>
    <w:rsid w:val="004A2B2D"/>
    <w:rsid w:val="004A606B"/>
    <w:rsid w:val="004B118F"/>
    <w:rsid w:val="004B64B0"/>
    <w:rsid w:val="004B7ADF"/>
    <w:rsid w:val="004C0376"/>
    <w:rsid w:val="004C0E3A"/>
    <w:rsid w:val="004C5937"/>
    <w:rsid w:val="004C64A6"/>
    <w:rsid w:val="004C6C9A"/>
    <w:rsid w:val="004D7CA8"/>
    <w:rsid w:val="004E5C41"/>
    <w:rsid w:val="004E7E7C"/>
    <w:rsid w:val="004F2C83"/>
    <w:rsid w:val="004F40E4"/>
    <w:rsid w:val="004F5F70"/>
    <w:rsid w:val="004F6454"/>
    <w:rsid w:val="00504590"/>
    <w:rsid w:val="005055D7"/>
    <w:rsid w:val="00505878"/>
    <w:rsid w:val="005107C5"/>
    <w:rsid w:val="00510B78"/>
    <w:rsid w:val="00511CF8"/>
    <w:rsid w:val="005123F5"/>
    <w:rsid w:val="005151BE"/>
    <w:rsid w:val="0052236E"/>
    <w:rsid w:val="005258E2"/>
    <w:rsid w:val="005329ED"/>
    <w:rsid w:val="00534DE2"/>
    <w:rsid w:val="005373F9"/>
    <w:rsid w:val="00541173"/>
    <w:rsid w:val="00543E25"/>
    <w:rsid w:val="00546C34"/>
    <w:rsid w:val="00553123"/>
    <w:rsid w:val="00553124"/>
    <w:rsid w:val="005533C2"/>
    <w:rsid w:val="0056135D"/>
    <w:rsid w:val="00561427"/>
    <w:rsid w:val="00564F0E"/>
    <w:rsid w:val="00567637"/>
    <w:rsid w:val="005677FC"/>
    <w:rsid w:val="005755E8"/>
    <w:rsid w:val="005824EB"/>
    <w:rsid w:val="00591AC5"/>
    <w:rsid w:val="0059307C"/>
    <w:rsid w:val="005946CA"/>
    <w:rsid w:val="00595A3E"/>
    <w:rsid w:val="005A7180"/>
    <w:rsid w:val="005A7C86"/>
    <w:rsid w:val="005B1620"/>
    <w:rsid w:val="005B6606"/>
    <w:rsid w:val="005D0F93"/>
    <w:rsid w:val="005D3243"/>
    <w:rsid w:val="005E33FF"/>
    <w:rsid w:val="005E534F"/>
    <w:rsid w:val="005F3408"/>
    <w:rsid w:val="005F5B13"/>
    <w:rsid w:val="005F67FA"/>
    <w:rsid w:val="00602D02"/>
    <w:rsid w:val="00605337"/>
    <w:rsid w:val="00605D28"/>
    <w:rsid w:val="0061029B"/>
    <w:rsid w:val="006104A1"/>
    <w:rsid w:val="006104F1"/>
    <w:rsid w:val="00611D97"/>
    <w:rsid w:val="0061332A"/>
    <w:rsid w:val="00615B73"/>
    <w:rsid w:val="00616C08"/>
    <w:rsid w:val="0061756D"/>
    <w:rsid w:val="00623034"/>
    <w:rsid w:val="0062305B"/>
    <w:rsid w:val="006246B8"/>
    <w:rsid w:val="00631736"/>
    <w:rsid w:val="00632C46"/>
    <w:rsid w:val="00640D13"/>
    <w:rsid w:val="00640DBF"/>
    <w:rsid w:val="00641E55"/>
    <w:rsid w:val="00642E0E"/>
    <w:rsid w:val="006435F7"/>
    <w:rsid w:val="00643CB3"/>
    <w:rsid w:val="00652A83"/>
    <w:rsid w:val="00664273"/>
    <w:rsid w:val="00664599"/>
    <w:rsid w:val="0067139F"/>
    <w:rsid w:val="00675785"/>
    <w:rsid w:val="006908B6"/>
    <w:rsid w:val="00690AEF"/>
    <w:rsid w:val="006942E3"/>
    <w:rsid w:val="00696D5E"/>
    <w:rsid w:val="00696E7D"/>
    <w:rsid w:val="0069753C"/>
    <w:rsid w:val="006A251E"/>
    <w:rsid w:val="006B45F0"/>
    <w:rsid w:val="006B5989"/>
    <w:rsid w:val="006B6C96"/>
    <w:rsid w:val="006C0798"/>
    <w:rsid w:val="006C56E3"/>
    <w:rsid w:val="006C5BC5"/>
    <w:rsid w:val="006D2CBE"/>
    <w:rsid w:val="006D4BAB"/>
    <w:rsid w:val="006D4D0F"/>
    <w:rsid w:val="006E11D5"/>
    <w:rsid w:val="006E7EEE"/>
    <w:rsid w:val="006F6F09"/>
    <w:rsid w:val="007016C5"/>
    <w:rsid w:val="00712B76"/>
    <w:rsid w:val="00715309"/>
    <w:rsid w:val="00720334"/>
    <w:rsid w:val="00733462"/>
    <w:rsid w:val="00735F3A"/>
    <w:rsid w:val="0074348D"/>
    <w:rsid w:val="00745045"/>
    <w:rsid w:val="00746317"/>
    <w:rsid w:val="00752F7B"/>
    <w:rsid w:val="00757D35"/>
    <w:rsid w:val="00762A5F"/>
    <w:rsid w:val="0076738D"/>
    <w:rsid w:val="007745EA"/>
    <w:rsid w:val="00780028"/>
    <w:rsid w:val="007810FB"/>
    <w:rsid w:val="00781B9A"/>
    <w:rsid w:val="0078653E"/>
    <w:rsid w:val="0079004B"/>
    <w:rsid w:val="00790B02"/>
    <w:rsid w:val="007953FD"/>
    <w:rsid w:val="007A0ACE"/>
    <w:rsid w:val="007A1670"/>
    <w:rsid w:val="007A2501"/>
    <w:rsid w:val="007A2A60"/>
    <w:rsid w:val="007A30E1"/>
    <w:rsid w:val="007A4E48"/>
    <w:rsid w:val="007B0F0D"/>
    <w:rsid w:val="007B17AB"/>
    <w:rsid w:val="007B7C1C"/>
    <w:rsid w:val="007C2105"/>
    <w:rsid w:val="007D364D"/>
    <w:rsid w:val="007E2F73"/>
    <w:rsid w:val="007E6ACA"/>
    <w:rsid w:val="007F16F9"/>
    <w:rsid w:val="007F45B3"/>
    <w:rsid w:val="007F797C"/>
    <w:rsid w:val="0080048D"/>
    <w:rsid w:val="008015C4"/>
    <w:rsid w:val="00801CF9"/>
    <w:rsid w:val="00802DA4"/>
    <w:rsid w:val="0080556D"/>
    <w:rsid w:val="00815BAA"/>
    <w:rsid w:val="00821514"/>
    <w:rsid w:val="0082217F"/>
    <w:rsid w:val="00822A6F"/>
    <w:rsid w:val="00823FDB"/>
    <w:rsid w:val="00824501"/>
    <w:rsid w:val="00831DAC"/>
    <w:rsid w:val="00832933"/>
    <w:rsid w:val="00836322"/>
    <w:rsid w:val="008377DE"/>
    <w:rsid w:val="00844E6F"/>
    <w:rsid w:val="0085204A"/>
    <w:rsid w:val="008612D8"/>
    <w:rsid w:val="008636CD"/>
    <w:rsid w:val="0086440C"/>
    <w:rsid w:val="00865DDB"/>
    <w:rsid w:val="0086665C"/>
    <w:rsid w:val="0087646D"/>
    <w:rsid w:val="008846EA"/>
    <w:rsid w:val="008869FA"/>
    <w:rsid w:val="00891EE0"/>
    <w:rsid w:val="0089685C"/>
    <w:rsid w:val="0089780F"/>
    <w:rsid w:val="008A782A"/>
    <w:rsid w:val="008A7B30"/>
    <w:rsid w:val="008B20F8"/>
    <w:rsid w:val="008B2DAB"/>
    <w:rsid w:val="008B6F35"/>
    <w:rsid w:val="008C166B"/>
    <w:rsid w:val="008C192A"/>
    <w:rsid w:val="008C46C9"/>
    <w:rsid w:val="008D2717"/>
    <w:rsid w:val="008D3895"/>
    <w:rsid w:val="008D4DD7"/>
    <w:rsid w:val="008D64B1"/>
    <w:rsid w:val="008D7A60"/>
    <w:rsid w:val="008E159E"/>
    <w:rsid w:val="008E19F7"/>
    <w:rsid w:val="008E4BCE"/>
    <w:rsid w:val="009048DB"/>
    <w:rsid w:val="009065A4"/>
    <w:rsid w:val="00911FA2"/>
    <w:rsid w:val="0092171B"/>
    <w:rsid w:val="00922A5F"/>
    <w:rsid w:val="00924CA8"/>
    <w:rsid w:val="009254EB"/>
    <w:rsid w:val="00927570"/>
    <w:rsid w:val="00931172"/>
    <w:rsid w:val="00931E7A"/>
    <w:rsid w:val="009338DA"/>
    <w:rsid w:val="00937567"/>
    <w:rsid w:val="00944450"/>
    <w:rsid w:val="00951275"/>
    <w:rsid w:val="00951A7F"/>
    <w:rsid w:val="0095732C"/>
    <w:rsid w:val="00961ECF"/>
    <w:rsid w:val="009643AA"/>
    <w:rsid w:val="00970672"/>
    <w:rsid w:val="00972371"/>
    <w:rsid w:val="0097338E"/>
    <w:rsid w:val="009760A8"/>
    <w:rsid w:val="009768A3"/>
    <w:rsid w:val="009774DE"/>
    <w:rsid w:val="00987AC7"/>
    <w:rsid w:val="00991539"/>
    <w:rsid w:val="00991809"/>
    <w:rsid w:val="00992819"/>
    <w:rsid w:val="0099614C"/>
    <w:rsid w:val="00996636"/>
    <w:rsid w:val="009A1C12"/>
    <w:rsid w:val="009A2F7C"/>
    <w:rsid w:val="009A3BDC"/>
    <w:rsid w:val="009A438C"/>
    <w:rsid w:val="009A5FBF"/>
    <w:rsid w:val="009B05A9"/>
    <w:rsid w:val="009D050F"/>
    <w:rsid w:val="009D05F2"/>
    <w:rsid w:val="009D12E7"/>
    <w:rsid w:val="009D4259"/>
    <w:rsid w:val="009D5301"/>
    <w:rsid w:val="009D5371"/>
    <w:rsid w:val="009E086E"/>
    <w:rsid w:val="009E2776"/>
    <w:rsid w:val="009E48FC"/>
    <w:rsid w:val="009E530F"/>
    <w:rsid w:val="009E5714"/>
    <w:rsid w:val="009E72B7"/>
    <w:rsid w:val="009E773A"/>
    <w:rsid w:val="009F0527"/>
    <w:rsid w:val="009F1212"/>
    <w:rsid w:val="009F259E"/>
    <w:rsid w:val="009F3BAA"/>
    <w:rsid w:val="00A05D8C"/>
    <w:rsid w:val="00A13ADA"/>
    <w:rsid w:val="00A16910"/>
    <w:rsid w:val="00A172B2"/>
    <w:rsid w:val="00A210DB"/>
    <w:rsid w:val="00A21148"/>
    <w:rsid w:val="00A2438B"/>
    <w:rsid w:val="00A261CB"/>
    <w:rsid w:val="00A26DF4"/>
    <w:rsid w:val="00A27308"/>
    <w:rsid w:val="00A27783"/>
    <w:rsid w:val="00A30B8A"/>
    <w:rsid w:val="00A34C4E"/>
    <w:rsid w:val="00A37142"/>
    <w:rsid w:val="00A4417E"/>
    <w:rsid w:val="00A47119"/>
    <w:rsid w:val="00A50492"/>
    <w:rsid w:val="00A668D9"/>
    <w:rsid w:val="00A67A90"/>
    <w:rsid w:val="00A72AB2"/>
    <w:rsid w:val="00A74520"/>
    <w:rsid w:val="00A74985"/>
    <w:rsid w:val="00A773E0"/>
    <w:rsid w:val="00A80195"/>
    <w:rsid w:val="00A80BA8"/>
    <w:rsid w:val="00A827BA"/>
    <w:rsid w:val="00A852B2"/>
    <w:rsid w:val="00A9011D"/>
    <w:rsid w:val="00AA13AF"/>
    <w:rsid w:val="00AA56E7"/>
    <w:rsid w:val="00AB282A"/>
    <w:rsid w:val="00AB4438"/>
    <w:rsid w:val="00AB7E9E"/>
    <w:rsid w:val="00AC1BE8"/>
    <w:rsid w:val="00AC2F42"/>
    <w:rsid w:val="00AC569E"/>
    <w:rsid w:val="00AC6B3F"/>
    <w:rsid w:val="00AE35A7"/>
    <w:rsid w:val="00AE4E84"/>
    <w:rsid w:val="00AE4ED0"/>
    <w:rsid w:val="00AE5741"/>
    <w:rsid w:val="00AE6C9E"/>
    <w:rsid w:val="00AF474B"/>
    <w:rsid w:val="00AF5301"/>
    <w:rsid w:val="00AF5408"/>
    <w:rsid w:val="00B077FC"/>
    <w:rsid w:val="00B11E4E"/>
    <w:rsid w:val="00B15776"/>
    <w:rsid w:val="00B15E20"/>
    <w:rsid w:val="00B17FD8"/>
    <w:rsid w:val="00B2001B"/>
    <w:rsid w:val="00B25340"/>
    <w:rsid w:val="00B26FFC"/>
    <w:rsid w:val="00B27D7A"/>
    <w:rsid w:val="00B362EF"/>
    <w:rsid w:val="00B417AB"/>
    <w:rsid w:val="00B521C9"/>
    <w:rsid w:val="00B52F53"/>
    <w:rsid w:val="00B537F2"/>
    <w:rsid w:val="00B56719"/>
    <w:rsid w:val="00B61FBC"/>
    <w:rsid w:val="00B638E6"/>
    <w:rsid w:val="00B651F7"/>
    <w:rsid w:val="00B74153"/>
    <w:rsid w:val="00B74B52"/>
    <w:rsid w:val="00B74F25"/>
    <w:rsid w:val="00B8182F"/>
    <w:rsid w:val="00B84461"/>
    <w:rsid w:val="00B86F51"/>
    <w:rsid w:val="00B92CA4"/>
    <w:rsid w:val="00B95E29"/>
    <w:rsid w:val="00B96B29"/>
    <w:rsid w:val="00B97C76"/>
    <w:rsid w:val="00BA17E3"/>
    <w:rsid w:val="00BA2C1E"/>
    <w:rsid w:val="00BA421E"/>
    <w:rsid w:val="00BB159D"/>
    <w:rsid w:val="00BB32CD"/>
    <w:rsid w:val="00BB32F4"/>
    <w:rsid w:val="00BC4C96"/>
    <w:rsid w:val="00BD0445"/>
    <w:rsid w:val="00BD4E2A"/>
    <w:rsid w:val="00BD6909"/>
    <w:rsid w:val="00BE0007"/>
    <w:rsid w:val="00BE20DF"/>
    <w:rsid w:val="00BE673D"/>
    <w:rsid w:val="00BF4397"/>
    <w:rsid w:val="00BF5787"/>
    <w:rsid w:val="00BF7F1A"/>
    <w:rsid w:val="00C023C2"/>
    <w:rsid w:val="00C02D63"/>
    <w:rsid w:val="00C04DC5"/>
    <w:rsid w:val="00C063DB"/>
    <w:rsid w:val="00C10F2F"/>
    <w:rsid w:val="00C11AB3"/>
    <w:rsid w:val="00C12699"/>
    <w:rsid w:val="00C13331"/>
    <w:rsid w:val="00C13AA3"/>
    <w:rsid w:val="00C179E3"/>
    <w:rsid w:val="00C203DC"/>
    <w:rsid w:val="00C24A1A"/>
    <w:rsid w:val="00C33A24"/>
    <w:rsid w:val="00C36FE1"/>
    <w:rsid w:val="00C37E78"/>
    <w:rsid w:val="00C401B4"/>
    <w:rsid w:val="00C452A2"/>
    <w:rsid w:val="00C52639"/>
    <w:rsid w:val="00C56946"/>
    <w:rsid w:val="00C6122E"/>
    <w:rsid w:val="00C6662B"/>
    <w:rsid w:val="00C67300"/>
    <w:rsid w:val="00C80E71"/>
    <w:rsid w:val="00C82832"/>
    <w:rsid w:val="00C84A42"/>
    <w:rsid w:val="00C85EB1"/>
    <w:rsid w:val="00C95B81"/>
    <w:rsid w:val="00C97FA6"/>
    <w:rsid w:val="00CA7342"/>
    <w:rsid w:val="00CB3F3C"/>
    <w:rsid w:val="00CB6B2B"/>
    <w:rsid w:val="00CC0245"/>
    <w:rsid w:val="00CC3103"/>
    <w:rsid w:val="00CC40F7"/>
    <w:rsid w:val="00CC615D"/>
    <w:rsid w:val="00CD3851"/>
    <w:rsid w:val="00CD3AAC"/>
    <w:rsid w:val="00CD48E9"/>
    <w:rsid w:val="00CE02BF"/>
    <w:rsid w:val="00CE5BCB"/>
    <w:rsid w:val="00CF010B"/>
    <w:rsid w:val="00CF21BE"/>
    <w:rsid w:val="00CF329A"/>
    <w:rsid w:val="00CF4612"/>
    <w:rsid w:val="00CF7202"/>
    <w:rsid w:val="00CF75EB"/>
    <w:rsid w:val="00CF793A"/>
    <w:rsid w:val="00D01FA7"/>
    <w:rsid w:val="00D05407"/>
    <w:rsid w:val="00D108B2"/>
    <w:rsid w:val="00D10B25"/>
    <w:rsid w:val="00D21AED"/>
    <w:rsid w:val="00D262DA"/>
    <w:rsid w:val="00D310E0"/>
    <w:rsid w:val="00D37A72"/>
    <w:rsid w:val="00D4014D"/>
    <w:rsid w:val="00D4169D"/>
    <w:rsid w:val="00D47BD1"/>
    <w:rsid w:val="00D47FB5"/>
    <w:rsid w:val="00D51799"/>
    <w:rsid w:val="00D53EEE"/>
    <w:rsid w:val="00D61523"/>
    <w:rsid w:val="00D72652"/>
    <w:rsid w:val="00D72F09"/>
    <w:rsid w:val="00D77450"/>
    <w:rsid w:val="00D849E0"/>
    <w:rsid w:val="00D86F70"/>
    <w:rsid w:val="00D95FA2"/>
    <w:rsid w:val="00D96A9E"/>
    <w:rsid w:val="00D97972"/>
    <w:rsid w:val="00DA1296"/>
    <w:rsid w:val="00DA2232"/>
    <w:rsid w:val="00DA5A66"/>
    <w:rsid w:val="00DA6B28"/>
    <w:rsid w:val="00DB087E"/>
    <w:rsid w:val="00DB09BE"/>
    <w:rsid w:val="00DB15F3"/>
    <w:rsid w:val="00DB5BF0"/>
    <w:rsid w:val="00DC1B55"/>
    <w:rsid w:val="00DC2DA3"/>
    <w:rsid w:val="00DF11A6"/>
    <w:rsid w:val="00DF2945"/>
    <w:rsid w:val="00DF59F0"/>
    <w:rsid w:val="00DF66C7"/>
    <w:rsid w:val="00DF6CBA"/>
    <w:rsid w:val="00E10188"/>
    <w:rsid w:val="00E13EDD"/>
    <w:rsid w:val="00E16232"/>
    <w:rsid w:val="00E179D1"/>
    <w:rsid w:val="00E21AAE"/>
    <w:rsid w:val="00E243A8"/>
    <w:rsid w:val="00E273AE"/>
    <w:rsid w:val="00E307BD"/>
    <w:rsid w:val="00E3724B"/>
    <w:rsid w:val="00E40562"/>
    <w:rsid w:val="00E410AC"/>
    <w:rsid w:val="00E41766"/>
    <w:rsid w:val="00E44BD2"/>
    <w:rsid w:val="00E44D3A"/>
    <w:rsid w:val="00E4609E"/>
    <w:rsid w:val="00E473B4"/>
    <w:rsid w:val="00E5018F"/>
    <w:rsid w:val="00E60A51"/>
    <w:rsid w:val="00E60E7F"/>
    <w:rsid w:val="00E655DE"/>
    <w:rsid w:val="00E71B38"/>
    <w:rsid w:val="00E71C48"/>
    <w:rsid w:val="00E731FC"/>
    <w:rsid w:val="00E83E42"/>
    <w:rsid w:val="00E8482D"/>
    <w:rsid w:val="00E93B62"/>
    <w:rsid w:val="00E96F31"/>
    <w:rsid w:val="00EA1EF8"/>
    <w:rsid w:val="00EA239A"/>
    <w:rsid w:val="00EB4F7C"/>
    <w:rsid w:val="00EB7DCD"/>
    <w:rsid w:val="00EC302D"/>
    <w:rsid w:val="00EC4832"/>
    <w:rsid w:val="00ED0ADB"/>
    <w:rsid w:val="00ED0DEC"/>
    <w:rsid w:val="00ED243A"/>
    <w:rsid w:val="00ED26CD"/>
    <w:rsid w:val="00ED2E3A"/>
    <w:rsid w:val="00ED67E8"/>
    <w:rsid w:val="00ED7535"/>
    <w:rsid w:val="00ED7A9D"/>
    <w:rsid w:val="00ED7FA6"/>
    <w:rsid w:val="00EE5CD5"/>
    <w:rsid w:val="00EF0728"/>
    <w:rsid w:val="00F021FA"/>
    <w:rsid w:val="00F0249D"/>
    <w:rsid w:val="00F04661"/>
    <w:rsid w:val="00F04E6D"/>
    <w:rsid w:val="00F057C6"/>
    <w:rsid w:val="00F103A5"/>
    <w:rsid w:val="00F11D84"/>
    <w:rsid w:val="00F210EF"/>
    <w:rsid w:val="00F22124"/>
    <w:rsid w:val="00F23E7F"/>
    <w:rsid w:val="00F33A59"/>
    <w:rsid w:val="00F33B21"/>
    <w:rsid w:val="00F37364"/>
    <w:rsid w:val="00F4701F"/>
    <w:rsid w:val="00F5638D"/>
    <w:rsid w:val="00F56874"/>
    <w:rsid w:val="00F57298"/>
    <w:rsid w:val="00F6050B"/>
    <w:rsid w:val="00F62D63"/>
    <w:rsid w:val="00F7287D"/>
    <w:rsid w:val="00F77966"/>
    <w:rsid w:val="00F83CF9"/>
    <w:rsid w:val="00F95661"/>
    <w:rsid w:val="00FB15C4"/>
    <w:rsid w:val="00FC1726"/>
    <w:rsid w:val="00FC5A07"/>
    <w:rsid w:val="00FC5AEB"/>
    <w:rsid w:val="00FD3348"/>
    <w:rsid w:val="00FD3BD2"/>
    <w:rsid w:val="00FE0C85"/>
    <w:rsid w:val="00FE1FAC"/>
    <w:rsid w:val="00FE3C95"/>
    <w:rsid w:val="00FE56E0"/>
    <w:rsid w:val="00FE74A8"/>
    <w:rsid w:val="00FF5BC5"/>
    <w:rsid w:val="00FF7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9B67FB"/>
  <w15:chartTrackingRefBased/>
  <w15:docId w15:val="{3FC4E4C1-0027-4FE9-A11F-61157643B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7BA2"/>
    <w:pPr>
      <w:ind w:left="720"/>
      <w:contextualSpacing/>
    </w:pPr>
  </w:style>
  <w:style w:type="character" w:styleId="Hyperlink">
    <w:name w:val="Hyperlink"/>
    <w:basedOn w:val="DefaultParagraphFont"/>
    <w:uiPriority w:val="99"/>
    <w:unhideWhenUsed/>
    <w:rsid w:val="008D3895"/>
    <w:rPr>
      <w:color w:val="0000FF"/>
      <w:u w:val="single"/>
    </w:rPr>
  </w:style>
  <w:style w:type="character" w:customStyle="1" w:styleId="hlfld-contribauthor">
    <w:name w:val="hlfld-contribauthor"/>
    <w:basedOn w:val="DefaultParagraphFont"/>
    <w:rsid w:val="0028330D"/>
  </w:style>
  <w:style w:type="character" w:customStyle="1" w:styleId="nlmgiven-names">
    <w:name w:val="nlm_given-names"/>
    <w:basedOn w:val="DefaultParagraphFont"/>
    <w:rsid w:val="0028330D"/>
  </w:style>
  <w:style w:type="character" w:customStyle="1" w:styleId="nlmyear">
    <w:name w:val="nlm_year"/>
    <w:basedOn w:val="DefaultParagraphFont"/>
    <w:rsid w:val="00283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major-investigation-and-public-protection/managing-sexual-offenders-and-violent-offenders/communication-and-media-considerations" TargetMode="External"/><Relationship Id="rId18" Type="http://schemas.openxmlformats.org/officeDocument/2006/relationships/hyperlink" Target="https://www.independent.co.uk/news/uk/crime/police-warchdog-launch-iopc-replace-office-for-police-conduct-uk-public-a8147696.html" TargetMode="External"/><Relationship Id="rId26" Type="http://schemas.openxmlformats.org/officeDocument/2006/relationships/hyperlink" Target="https://www.bbc.co.uk/news/education-25668081" TargetMode="External"/><Relationship Id="rId39" Type="http://schemas.openxmlformats.org/officeDocument/2006/relationships/hyperlink" Target="https://www.gov.uk/government/statistics/proven-reoffending-statistics-january-to-march-2021/proven-reoffending-statistics-january-to-march-2021" TargetMode="External"/><Relationship Id="rId3" Type="http://schemas.openxmlformats.org/officeDocument/2006/relationships/styles" Target="styles.xml"/><Relationship Id="rId21" Type="http://schemas.openxmlformats.org/officeDocument/2006/relationships/hyperlink" Target="https://doi.org/10.1353/foc.0.0018" TargetMode="External"/><Relationship Id="rId34" Type="http://schemas.openxmlformats.org/officeDocument/2006/relationships/hyperlink" Target="https://www.gov.uk/government/publications/multi-agency-public-protection-arrangements-mappa-annual-reports-2014-to-2015" TargetMode="External"/><Relationship Id="rId42" Type="http://schemas.openxmlformats.org/officeDocument/2006/relationships/hyperlink" Target="https://www.theguardian.com/society/2017/apr/24/paedophile-hunters-jeopardising-police-work-child-protection" TargetMode="External"/><Relationship Id="rId47" Type="http://schemas.openxmlformats.org/officeDocument/2006/relationships/hyperlink" Target="https://doi.org/10.1080/10439463.2020.1838516" TargetMode="External"/><Relationship Id="rId50" Type="http://schemas.openxmlformats.org/officeDocument/2006/relationships/hyperlink" Target="https://www.gov.uk/government/statistics/youth-justice-statistics-2020-to-2021/youth-justice-statistics-2020-to-2021-accessible-version" TargetMode="External"/><Relationship Id="rId7" Type="http://schemas.openxmlformats.org/officeDocument/2006/relationships/endnotes" Target="endnotes.xml"/><Relationship Id="rId12" Type="http://schemas.openxmlformats.org/officeDocument/2006/relationships/hyperlink" Target="https://www.college.police.uk/app/stop-and-search/transparent" TargetMode="External"/><Relationship Id="rId17" Type="http://schemas.openxmlformats.org/officeDocument/2006/relationships/hyperlink" Target="https://www.cps.gov.uk/legal-guidance/restorative-justice" TargetMode="External"/><Relationship Id="rId25" Type="http://schemas.openxmlformats.org/officeDocument/2006/relationships/hyperlink" Target="https://www.gov.uk/guidance/police-and-criminal-evidence-act-1984-pace-codes-of-practice" TargetMode="External"/><Relationship Id="rId33" Type="http://schemas.openxmlformats.org/officeDocument/2006/relationships/hyperlink" Target="https://www.liverpoolcamhs.com/aces/what-are-adverse-childhood-experiences/" TargetMode="External"/><Relationship Id="rId38" Type="http://schemas.openxmlformats.org/officeDocument/2006/relationships/hyperlink" Target="https://www.gov.uk/guidance/offending-behaviour-programmes-and-interventions" TargetMode="External"/><Relationship Id="rId46" Type="http://schemas.openxmlformats.org/officeDocument/2006/relationships/hyperlink" Target="https://doi.org/10.1177/17488958221136845" TargetMode="External"/><Relationship Id="rId2" Type="http://schemas.openxmlformats.org/officeDocument/2006/relationships/numbering" Target="numbering.xml"/><Relationship Id="rId16" Type="http://schemas.openxmlformats.org/officeDocument/2006/relationships/hyperlink" Target="https://doi.org/10.1177/15412040211003648" TargetMode="External"/><Relationship Id="rId20" Type="http://schemas.openxmlformats.org/officeDocument/2006/relationships/hyperlink" Target="https://www.gov.uk/youth-crime-prevention-programmes/what-these-programmes-are-and-how-they-work" TargetMode="External"/><Relationship Id="rId29" Type="http://schemas.openxmlformats.org/officeDocument/2006/relationships/hyperlink" Target="http://news.bbc.co.uk/1/hi/uk/4854556.stm" TargetMode="External"/><Relationship Id="rId41" Type="http://schemas.openxmlformats.org/officeDocument/2006/relationships/hyperlink" Target="https://doi.org/10.1093/police/pap0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pp/stop-and-search/stop-and-search" TargetMode="External"/><Relationship Id="rId24" Type="http://schemas.openxmlformats.org/officeDocument/2006/relationships/hyperlink" Target="https://www.gov.uk/government/publications/multi-agency-public-protection-arrangements-mappa-guidance" TargetMode="External"/><Relationship Id="rId32" Type="http://schemas.openxmlformats.org/officeDocument/2006/relationships/hyperlink" Target="https://www.bbc.co.uk/news/newsbeat-53365011" TargetMode="External"/><Relationship Id="rId37" Type="http://schemas.openxmlformats.org/officeDocument/2006/relationships/hyperlink" Target="https://www.gov.uk/government/news/new-partnership-to-boost-offender-rehabilitation" TargetMode="External"/><Relationship Id="rId40" Type="http://schemas.openxmlformats.org/officeDocument/2006/relationships/hyperlink" Target="https://doi.org/10.1080/19361610.2021.1918524" TargetMode="External"/><Relationship Id="rId45" Type="http://schemas.openxmlformats.org/officeDocument/2006/relationships/hyperlink" Target="https://doi.org/10.1007/978-1-4614-5690-2_86" TargetMode="External"/><Relationship Id="rId5" Type="http://schemas.openxmlformats.org/officeDocument/2006/relationships/webSettings" Target="webSettings.xml"/><Relationship Id="rId15" Type="http://schemas.openxmlformats.org/officeDocument/2006/relationships/hyperlink" Target="https://www.college.police.uk/app/stop-and-search/professional" TargetMode="External"/><Relationship Id="rId23" Type="http://schemas.openxmlformats.org/officeDocument/2006/relationships/hyperlink" Target="https://www.theguardian.com/uk-news/2020/feb/14/durham-pioneering-police-scheme-slashes-reoffending-rates-rehabilitation-programme" TargetMode="External"/><Relationship Id="rId28" Type="http://schemas.openxmlformats.org/officeDocument/2006/relationships/hyperlink" Target="https://www.policeconduct.gov.uk/sites/default/files/Documents/statistics/Complaints_Stats_2021.pdf" TargetMode="External"/><Relationship Id="rId36" Type="http://schemas.openxmlformats.org/officeDocument/2006/relationships/hyperlink" Target="https://www.gov.uk/government/news/vulnerable-offenders-steered-towards-treatment" TargetMode="External"/><Relationship Id="rId49" Type="http://schemas.openxmlformats.org/officeDocument/2006/relationships/hyperlink" Target="https://www.verywellmind.com/what-are-aces-adverse-childhood-experiences-5219030" TargetMode="External"/><Relationship Id="rId10" Type="http://schemas.openxmlformats.org/officeDocument/2006/relationships/hyperlink" Target="https://www.college.police.uk/app/information-management/management-police-information/common-process-managing-police-information" TargetMode="External"/><Relationship Id="rId19" Type="http://schemas.openxmlformats.org/officeDocument/2006/relationships/hyperlink" Target="https://www.gloucestershire.gov.uk/your-community/black-history-month/black-history-month-2020/race-relations-acts-1965-2000/sus-laws/" TargetMode="External"/><Relationship Id="rId31" Type="http://schemas.openxmlformats.org/officeDocument/2006/relationships/hyperlink" Target="https://doi.org/10.56687/9781847423566-008" TargetMode="External"/><Relationship Id="rId44" Type="http://schemas.openxmlformats.org/officeDocument/2006/relationships/hyperlink" Target="https://www.gov.uk/government/publications/preventing-offending-and-re-offending-by-children/collaborative-approaches-to-preventing-offending-and-re-offending-by-children-capricorn-summary"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claimingfutures.org/news/relationship-between-substance-abuse-and-teen-crime" TargetMode="External"/><Relationship Id="rId14" Type="http://schemas.openxmlformats.org/officeDocument/2006/relationships/hyperlink" Target="https://assets.college.police.uk/s3fs-public/2022-01/Restorative-justice-evidence-briefing.pdf" TargetMode="External"/><Relationship Id="rId22" Type="http://schemas.openxmlformats.org/officeDocument/2006/relationships/hyperlink" Target="https://guernsey.police.uk/PPU" TargetMode="External"/><Relationship Id="rId27" Type="http://schemas.openxmlformats.org/officeDocument/2006/relationships/hyperlink" Target="https://www.policeconduct.gov.uk/investigations/iopc-thematic-focus-race-discrimination-investigations" TargetMode="External"/><Relationship Id="rId30" Type="http://schemas.openxmlformats.org/officeDocument/2006/relationships/hyperlink" Target="https://doi.org/10.1108/EDI-06-2020-0170" TargetMode="External"/><Relationship Id="rId35" Type="http://schemas.openxmlformats.org/officeDocument/2006/relationships/hyperlink" Target="https://www.nuffieldfoundation.org/wp-content/uploads/2022/03/Causes-and-Impact-of-Offending-and-Criminal-Justice-Pathways.pdf" TargetMode="External"/><Relationship Id="rId43" Type="http://schemas.openxmlformats.org/officeDocument/2006/relationships/hyperlink" Target="https://www.police.uk/pu/your-area/gwent-police/performance/stop-and-search/?tc=" TargetMode="External"/><Relationship Id="rId48" Type="http://schemas.openxmlformats.org/officeDocument/2006/relationships/hyperlink" Target="https://doi.org/10.1093/police/paz015" TargetMode="External"/><Relationship Id="rId8" Type="http://schemas.openxmlformats.org/officeDocument/2006/relationships/hyperlink" Target="https://www.bbc.co.uk/newsround/50035769"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6F834-0825-4E49-B4B8-AB1EBB8D1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11</Pages>
  <Words>6007</Words>
  <Characters>34241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Amy</dc:creator>
  <cp:keywords/>
  <dc:description/>
  <cp:lastModifiedBy>Ellis, Amy</cp:lastModifiedBy>
  <cp:revision>257</cp:revision>
  <dcterms:created xsi:type="dcterms:W3CDTF">2023-04-09T14:05:00Z</dcterms:created>
  <dcterms:modified xsi:type="dcterms:W3CDTF">2023-05-02T11:58:00Z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2023-01-08T18:24:25Z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da622948-8684-46ab-9ee3-6d19504f6d72</vt:lpwstr>
  </property>
  <property fmtid="{D5CDD505-2E9C-101B-9397-08002B2CF9AE}" pid="8" name="MSIP_Label_f2acd28b-79a3-4a0f-b0ff-4b75658b1549_ContentBits">
    <vt:lpwstr>0</vt:lpwstr>
  </property>
</Properties>
</file>