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236197145"/>
        <w:docPartObj>
          <w:docPartGallery w:val="Cover Pages"/>
          <w:docPartUnique/>
        </w:docPartObj>
      </w:sdtPr>
      <w:sdtEndPr/>
      <w:sdtContent>
        <w:p w14:paraId="2B5CD0D3" w14:textId="12F03969" w:rsidR="00CC7F97" w:rsidRDefault="00CC7F97">
          <w:r>
            <w:rPr>
              <w:noProof/>
            </w:rPr>
            <mc:AlternateContent>
              <mc:Choice Requires="wpg">
                <w:drawing>
                  <wp:anchor distT="0" distB="0" distL="114300" distR="114300" simplePos="0" relativeHeight="251659264" behindDoc="1" locked="0" layoutInCell="1" allowOverlap="1" wp14:anchorId="22C3EEF1" wp14:editId="2F312007">
                    <wp:simplePos x="0" y="0"/>
                    <wp:positionH relativeFrom="page">
                      <wp:align>center</wp:align>
                    </wp:positionH>
                    <wp:positionV relativeFrom="page">
                      <wp:align>center</wp:align>
                    </wp:positionV>
                    <wp:extent cx="6852920" cy="9142730"/>
                    <wp:effectExtent l="0" t="0" r="2540" b="134620"/>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341311C1" w14:textId="50D174A5" w:rsidR="00CC7F97" w:rsidRDefault="00CC7F97">
                                      <w:pPr>
                                        <w:pStyle w:val="NoSpacing"/>
                                        <w:rPr>
                                          <w:color w:val="FFFFFF" w:themeColor="background1"/>
                                          <w:sz w:val="32"/>
                                          <w:szCs w:val="32"/>
                                        </w:rPr>
                                      </w:pPr>
                                      <w:r>
                                        <w:rPr>
                                          <w:color w:val="FFFFFF" w:themeColor="background1"/>
                                          <w:sz w:val="32"/>
                                          <w:szCs w:val="32"/>
                                        </w:rPr>
                                        <w:t>Bethan Francis (1802113)</w:t>
                                      </w:r>
                                    </w:p>
                                  </w:sdtContent>
                                </w:sdt>
                                <w:p w14:paraId="5A9CED68" w14:textId="0E3E4C29" w:rsidR="00CC7F97" w:rsidRDefault="00CC7F97">
                                  <w:pPr>
                                    <w:pStyle w:val="NoSpacing"/>
                                    <w:rPr>
                                      <w:caps/>
                                      <w:color w:val="FFFFFF" w:themeColor="background1"/>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021ED68C" w14:textId="4E1596D8" w:rsidR="00CC7F97" w:rsidRDefault="00482934">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482934">
                                        <w:rPr>
                                          <w:rFonts w:asciiTheme="majorHAnsi" w:eastAsiaTheme="majorEastAsia" w:hAnsiTheme="majorHAnsi" w:cstheme="majorBidi"/>
                                          <w:color w:val="595959" w:themeColor="text1" w:themeTint="A6"/>
                                          <w:sz w:val="108"/>
                                          <w:szCs w:val="108"/>
                                        </w:rPr>
                                        <w:t>Are Vulnerable Victims of Female Genital Mutilation Being Failed by the Criminal Justice System?</w:t>
                                      </w:r>
                                    </w:p>
                                  </w:sdtContent>
                                </w:sdt>
                                <w:p w14:paraId="74196B5C" w14:textId="7BC6411B" w:rsidR="00CC7F97" w:rsidRDefault="00CC7F97">
                                  <w:pPr>
                                    <w:pStyle w:val="NoSpacing"/>
                                    <w:spacing w:before="240"/>
                                    <w:rPr>
                                      <w:caps/>
                                      <w:color w:val="44546A" w:themeColor="text2"/>
                                      <w:sz w:val="36"/>
                                      <w:szCs w:val="36"/>
                                    </w:rPr>
                                  </w:pP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2C3EEF1"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fgcArQMAALoOAAAOAAAAZHJzL2Uyb0RvYy54bWzsV21P3DgQ/l7p/oPl70c22V12iQgVRwuq&#13;&#10;hCgqnPrZ6zib6BLbtb0k9Nd3xk7CFrYUcYJWuvuy65d58TwePzM5fNs1NbkRxlZKZjTem1AiJFd5&#13;&#10;JdcZ/fv69M8lJdYxmbNaSZHRW2Hp26M/3hy2OhWJKlWdC0PAiLRpqzNaOqfTKLK8FA2ze0oLCZuF&#13;&#10;Mg1zMDXrKDesBetNHSWTyX7UKpNro7iwFlbfhU165O0XheDuY1FY4UidUTib87/G/67wNzo6ZOna&#13;&#10;MF1WvD8Ge8YpGlZJcDqaesccIxtTPTDVVNwoqwq3x1UTqaKouPAxQDTx5F40Z0ZttI9lnbZrPcIE&#13;&#10;0N7D6dlm+cXNpSFVDncXH1AiWQOX5P0SXAB4Wr1OQerM6Ct9afqFdZhhxF1hGvyHWEjngb0dgRWd&#13;&#10;IxwW95fz5WQC+HPYO0gW8WLeQ89LuJ8Herx8/xPNaHAc4fnG47Qa0sjeIWX/HVJXJdPCX4BFDAak&#13;&#10;EogkIPUJEozJdS1IDIseHC85QmVTC6j9EKfFNJ5DGoc03IlWPJvGywQFxpBZqo11Z0I1BAcZNXAK&#13;&#10;n33s5ty6IDqIoGur6io/reraT/BpiZPakBsGj4JxLqSLewffSdYS5aVCzWAUVwDwISg/cre1QLla&#13;&#10;fhIFZBJcd+IP49/wQ0f+DCXLRfA/h7zw8UN4o4YP1htE6QL8j7bjx2yHU/byqCo8BYzKk58rjxre&#13;&#10;s5JuVG4qqcwuA/UIXxHkB5ACNIjSSuW3kD1GBQKymp9WcHXnzLpLZoBxIKOARd1H+Clq1WZU9SNK&#13;&#10;SmW+7lpHeUhv2KWkBQbLqP2yYUZQUn+QkPgH8WyGlOcns/kCs9Zs76y2d+SmOVGQDzHwteZ+iPKu&#13;&#10;HoaFUc1nINtj9ApbTHLwnVHuzDA5cYFZga65OD72YkBzmrlzeaU5GkdUMTWvu8/M6D5/HWT+hRoe&#13;&#10;G0vvpXGQRU2pjjdOFZXP8Ttce7zh4SNdvQoDAEwPGcC/IjwAcMWTGWA2PZgk88cYYDlNFkHiJSlg&#13;&#10;4Jj/KeBlKMB1qw746S5rX5cNPAGMdAAlZbkc+WDY2yIE2Hs2I6z+g3yQDHxwjVX8L9VBQ+Bf1BYd&#13;&#10;ENfBBrJgnwePtgaPNQVbbcPzKWEs7Fi7CZSc/Sl0ZYFmvy/5Qx3tmwsMKRzdj3Y0AE+os7ur+xMU&#13;&#10;X7u65/8MzdEPqzs+7dBDDzf7K+r98Iq3Cv5LvfDfrOb7bwD4QPJtY/8xh19g23PfI9x9ch59AwAA&#13;&#10;//8DAFBLAwQUAAYACAAAACEAyAtmm98AAAAMAQAADwAAAGRycy9kb3ducmV2LnhtbEyPMW/CMBCF&#13;&#10;90r8B+sqdStO04pCiIMQFZ3aAcLCZuwjiYjPUWwg/fc9utDl6U5P9+59+WJwrbhgHxpPCl7GCQgk&#13;&#10;421DlYJduX6egghRk9WtJ1TwgwEWxegh15n1V9rgZRsrwSEUMq2gjrHLpAymRqfD2HdI7B1973Tk&#13;&#10;ta+k7fWVw10r0ySZSKcb4g+17nBVozltz07BafMdcLUuq51xppkMX5/pvnRKPT0OH3OW5RxExCHe&#13;&#10;L+DGwP2h4GIHfyYbRKuAaeKf3rzkfZaCOPD09jqbgixy+R+i+AUAAP//AwBQSwECLQAUAAYACAAA&#13;&#10;ACEAtoM4kv4AAADhAQAAEwAAAAAAAAAAAAAAAAAAAAAAW0NvbnRlbnRfVHlwZXNdLnhtbFBLAQIt&#13;&#10;ABQABgAIAAAAIQA4/SH/1gAAAJQBAAALAAAAAAAAAAAAAAAAAC8BAABfcmVscy8ucmVsc1BLAQIt&#13;&#10;ABQABgAIAAAAIQAIfgcArQMAALoOAAAOAAAAAAAAAAAAAAAAAC4CAABkcnMvZTJvRG9jLnhtbFBL&#13;&#10;AQItABQABgAIAAAAIQDIC2ab3wAAAAwBAAAPAAAAAAAAAAAAAAAAAAcGAABkcnMvZG93bnJldi54&#13;&#10;bWxQSwUGAAAAAAQABADzAAAAEwcAAAAA&#13;&#10;">
                    <v:rect id="Rectangle 120" o:spid="_x0000_s1027" style="position:absolute;top:73152;width:68580;height:14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SJyQAAAOEAAAAPAAAAZHJzL2Rvd25yZXYueG1sRI/BasJA&#13;&#10;EIbvhb7DMgVvdVOFtkRXEYsgUoSm9dDbkJ1m02ZnQ3Ybo0/vHAQvwz8M8/188+XgG9VTF+vABp7G&#13;&#10;GSjiMtiaKwNfn5vHV1AxIVtsApOBE0VYLu7v5pjbcOQP6otUKYFwzNGAS6nNtY6lI49xHFpiuf2E&#13;&#10;zmOStau07fAocN/oSZY9a481S4PDltaOyr/i3xvY/b5MC9ev+vN0TwcXDu/fm3U0ZvQwvM1krGag&#13;&#10;Eg3p9nFFbK04TMRBjCSBXlwAAAD//wMAUEsBAi0AFAAGAAgAAAAhANvh9svuAAAAhQEAABMAAAAA&#13;&#10;AAAAAAAAAAAAAAAAAFtDb250ZW50X1R5cGVzXS54bWxQSwECLQAUAAYACAAAACEAWvQsW78AAAAV&#13;&#10;AQAACwAAAAAAAAAAAAAAAAAfAQAAX3JlbHMvLnJlbHNQSwECLQAUAAYACAAAACEA3v/0ickAAADh&#13;&#10;AAAADwAAAAAAAAAAAAAAAAAHAgAAZHJzL2Rvd25yZXYueG1sUEsFBgAAAAADAAMAtwAAAP0CAAAA&#13;&#10;AA==&#13;&#10;" fillcolor="#4472c4 [3204]" stroked="f" strokeweight="1pt"/>
                    <v:rect id="Rectangle 121" o:spid="_x0000_s1028" style="position:absolute;top:74390;width:68580;height:1832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T8pyQAAAOEAAAAPAAAAZHJzL2Rvd25yZXYueG1sRI/BasJA&#13;&#10;EIbvBd9hGcFLqRs9WElcpVoaDKVQU70P2WkSkp0N2TXGt+8WCr0MM/z83/BtdqNpxUC9qy0rWMwj&#13;&#10;EMSF1TWXCs5fb09rEM4ja2wtk4I7OdhtJw8bjLW98YmG3JciQNjFqKDyvouldEVFBt3cdsQh+7a9&#13;&#10;QR/OvpS6x1uAm1Yuo2glDdYcPlTY0aGiosmvRsHxfV/Uz+2JP5u0SS9Zts4+Hp1Ss+n4moTxkoDw&#13;&#10;NPr/xh/iqIPDcgG/RmEDuf0BAAD//wMAUEsBAi0AFAAGAAgAAAAhANvh9svuAAAAhQEAABMAAAAA&#13;&#10;AAAAAAAAAAAAAAAAAFtDb250ZW50X1R5cGVzXS54bWxQSwECLQAUAAYACAAAACEAWvQsW78AAAAV&#13;&#10;AQAACwAAAAAAAAAAAAAAAAAfAQAAX3JlbHMvLnJlbHNQSwECLQAUAAYACAAAACEAPl0/KckAAADh&#13;&#10;AAAADwAAAAAAAAAAAAAAAAAHAgAAZHJzL2Rvd25yZXYueG1sUEsFBgAAAAADAAMAtwAAAP0CAAAA&#13;&#10;AA==&#13;&#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341311C1" w14:textId="50D174A5" w:rsidR="00CC7F97" w:rsidRDefault="00CC7F97">
                                <w:pPr>
                                  <w:pStyle w:val="NoSpacing"/>
                                  <w:rPr>
                                    <w:color w:val="FFFFFF" w:themeColor="background1"/>
                                    <w:sz w:val="32"/>
                                    <w:szCs w:val="32"/>
                                  </w:rPr>
                                </w:pPr>
                                <w:r>
                                  <w:rPr>
                                    <w:color w:val="FFFFFF" w:themeColor="background1"/>
                                    <w:sz w:val="32"/>
                                    <w:szCs w:val="32"/>
                                  </w:rPr>
                                  <w:t>Bethan Francis (1802113)</w:t>
                                </w:r>
                              </w:p>
                            </w:sdtContent>
                          </w:sdt>
                          <w:p w14:paraId="5A9CED68" w14:textId="0E3E4C29" w:rsidR="00CC7F97" w:rsidRDefault="00CC7F97">
                            <w:pPr>
                              <w:pStyle w:val="NoSpacing"/>
                              <w:rPr>
                                <w:caps/>
                                <w:color w:val="FFFFFF" w:themeColor="background1"/>
                              </w:rPr>
                            </w:pP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r+KByQAAAOEAAAAPAAAAZHJzL2Rvd25yZXYueG1sRI9Na8JA&#13;&#10;EIbvBf/DMoK3ujGUUqKrFD+goJcasT2O2Wk2mJ0N2dXE/vpuQfAyzPDyPsMzW/S2FldqfeVYwWSc&#13;&#10;gCAunK64VHDIN89vIHxA1lg7JgU38rCYD55mmGnX8Sdd96EUEcI+QwUmhCaT0heGLPqxa4hj9uNa&#13;&#10;iyGebSl1i12E21qmSfIqLVYcPxhsaGmoOO8vVsHmqz9x/rs9mO/1+qW7nAo+5julRsN+NY3jfQoi&#13;&#10;UB8ejTviQ0eHNIV/o7iBnP8BAAD//wMAUEsBAi0AFAAGAAgAAAAhANvh9svuAAAAhQEAABMAAAAA&#13;&#10;AAAAAAAAAAAAAAAAAFtDb250ZW50X1R5cGVzXS54bWxQSwECLQAUAAYACAAAACEAWvQsW78AAAAV&#13;&#10;AQAACwAAAAAAAAAAAAAAAAAfAQAAX3JlbHMvLnJlbHNQSwECLQAUAAYACAAAACEA+6/igckAAADh&#13;&#10;AAAADwAAAAAAAAAAAAAAAAAHAgAAZHJzL2Rvd25yZXYueG1sUEsFBgAAAAADAAMAtwAAAP0CAAAA&#13;&#10;AA==&#13;&#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021ED68C" w14:textId="4E1596D8" w:rsidR="00CC7F97" w:rsidRDefault="00482934">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482934">
                                  <w:rPr>
                                    <w:rFonts w:asciiTheme="majorHAnsi" w:eastAsiaTheme="majorEastAsia" w:hAnsiTheme="majorHAnsi" w:cstheme="majorBidi"/>
                                    <w:color w:val="595959" w:themeColor="text1" w:themeTint="A6"/>
                                    <w:sz w:val="108"/>
                                    <w:szCs w:val="108"/>
                                  </w:rPr>
                                  <w:t>Are Vulnerable Victims of Female Genital Mutilation Being Failed by the Criminal Justice System?</w:t>
                                </w:r>
                              </w:p>
                            </w:sdtContent>
                          </w:sdt>
                          <w:p w14:paraId="74196B5C" w14:textId="7BC6411B" w:rsidR="00CC7F97" w:rsidRDefault="00CC7F97">
                            <w:pPr>
                              <w:pStyle w:val="NoSpacing"/>
                              <w:spacing w:before="240"/>
                              <w:rPr>
                                <w:caps/>
                                <w:color w:val="44546A" w:themeColor="text2"/>
                                <w:sz w:val="36"/>
                                <w:szCs w:val="36"/>
                              </w:rPr>
                            </w:pPr>
                          </w:p>
                        </w:txbxContent>
                      </v:textbox>
                    </v:shape>
                    <w10:wrap anchorx="page" anchory="page"/>
                  </v:group>
                </w:pict>
              </mc:Fallback>
            </mc:AlternateContent>
          </w:r>
        </w:p>
        <w:p w14:paraId="33026F4C" w14:textId="2DD700EB" w:rsidR="00CC7F97" w:rsidRDefault="00CC7F97">
          <w:r>
            <w:br w:type="page"/>
          </w:r>
        </w:p>
      </w:sdtContent>
    </w:sdt>
    <w:p w14:paraId="27086F18" w14:textId="2305DD2B" w:rsidR="008C2BC4" w:rsidRPr="00CC7F97" w:rsidRDefault="00250695" w:rsidP="00250695">
      <w:pPr>
        <w:spacing w:line="360" w:lineRule="auto"/>
      </w:pPr>
      <w:r w:rsidRPr="00CC7F97">
        <w:lastRenderedPageBreak/>
        <w:t xml:space="preserve">Vulnerable victims are those who are most at risk </w:t>
      </w:r>
      <w:r w:rsidR="00CC7F97" w:rsidRPr="00CC7F97">
        <w:t>from</w:t>
      </w:r>
      <w:r w:rsidRPr="00CC7F97">
        <w:t xml:space="preserve"> crime in </w:t>
      </w:r>
      <w:r w:rsidR="00C47869" w:rsidRPr="00CC7F97">
        <w:t>society</w:t>
      </w:r>
      <w:r w:rsidR="00CC7F97" w:rsidRPr="00CC7F97">
        <w:t>.</w:t>
      </w:r>
      <w:r w:rsidR="00C47869" w:rsidRPr="00CC7F97">
        <w:t xml:space="preserve"> </w:t>
      </w:r>
      <w:r w:rsidR="00CC7F97" w:rsidRPr="00CC7F97">
        <w:t>V</w:t>
      </w:r>
      <w:r w:rsidR="00C47869" w:rsidRPr="00CC7F97">
        <w:t>ulnerability</w:t>
      </w:r>
      <w:r w:rsidRPr="00CC7F97">
        <w:t xml:space="preserve"> can take many different forms</w:t>
      </w:r>
      <w:r w:rsidR="00CC7F97" w:rsidRPr="00CC7F97">
        <w:t xml:space="preserve"> such as age</w:t>
      </w:r>
      <w:r w:rsidRPr="00CC7F97">
        <w:t xml:space="preserve">, </w:t>
      </w:r>
      <w:r w:rsidR="00CC7F97" w:rsidRPr="00CC7F97">
        <w:t>gender, sexuality, religion, and</w:t>
      </w:r>
      <w:r w:rsidRPr="00CC7F97">
        <w:t xml:space="preserve"> </w:t>
      </w:r>
      <w:r w:rsidR="00C47869" w:rsidRPr="00CC7F97">
        <w:t>individuals who</w:t>
      </w:r>
      <w:r w:rsidRPr="00CC7F97">
        <w:t xml:space="preserve"> suffer from mental illness and</w:t>
      </w:r>
      <w:r w:rsidR="00C47869" w:rsidRPr="00CC7F97">
        <w:t xml:space="preserve"> those who</w:t>
      </w:r>
      <w:r w:rsidRPr="00CC7F97">
        <w:t xml:space="preserve"> have disabilities.  These vulnerabilities mean if individuals </w:t>
      </w:r>
      <w:r w:rsidR="00CC7F97" w:rsidRPr="00CC7F97">
        <w:t>become</w:t>
      </w:r>
      <w:r w:rsidRPr="00CC7F97">
        <w:t xml:space="preserve"> victim of crime the criminal justice system needs to offer them more support in response</w:t>
      </w:r>
      <w:r w:rsidR="00CC7F97" w:rsidRPr="00CC7F97">
        <w:t xml:space="preserve"> (</w:t>
      </w:r>
      <w:proofErr w:type="spellStart"/>
      <w:r w:rsidR="00CC7F97" w:rsidRPr="00CC7F97">
        <w:t>Mawby</w:t>
      </w:r>
      <w:proofErr w:type="spellEnd"/>
      <w:r w:rsidR="00CC7F97" w:rsidRPr="00CC7F97">
        <w:t xml:space="preserve"> 2016). This support can be found within the Victims Code where it lays out what victims are entitled to, </w:t>
      </w:r>
      <w:r w:rsidRPr="00CC7F97">
        <w:t>so that the</w:t>
      </w:r>
      <w:r w:rsidR="00CC7F97" w:rsidRPr="00CC7F97">
        <w:t xml:space="preserve">y are </w:t>
      </w:r>
      <w:r w:rsidRPr="00CC7F97">
        <w:t>supported</w:t>
      </w:r>
      <w:r w:rsidR="00CC7F97" w:rsidRPr="00CC7F97">
        <w:t xml:space="preserve"> by the</w:t>
      </w:r>
      <w:r w:rsidRPr="00CC7F97">
        <w:t xml:space="preserve"> criminal justice system. Being a young woman can make an individual a vulnerable victim, this coupled with community practices that have been around for centuries that are cultural can make them particularly vulnerable</w:t>
      </w:r>
      <w:r w:rsidR="00CC7F97" w:rsidRPr="00CC7F97">
        <w:t xml:space="preserve"> (Hall, 2016)</w:t>
      </w:r>
      <w:r w:rsidRPr="00CC7F97">
        <w:t xml:space="preserve">. This essay will cover female genital mutilation (FGM) and look at if the UK criminal justice system is supporting vulnerable victims to the level they should be. It is important to remember going into this that FGM is not a religious requirement, it has no link with Islam, </w:t>
      </w:r>
      <w:r w:rsidR="00CC7F97" w:rsidRPr="00CC7F97">
        <w:t>Christianity,</w:t>
      </w:r>
      <w:r w:rsidRPr="00CC7F97">
        <w:t xml:space="preserve"> or Jewish teachings</w:t>
      </w:r>
      <w:r w:rsidR="00CC7F97" w:rsidRPr="00CC7F97">
        <w:t xml:space="preserve"> (McCauley and Broek, 2019)</w:t>
      </w:r>
      <w:r w:rsidRPr="00CC7F97">
        <w:t xml:space="preserve">. </w:t>
      </w:r>
    </w:p>
    <w:p w14:paraId="5F772CDF" w14:textId="7A0147F7" w:rsidR="00250695" w:rsidRPr="00CC7F97" w:rsidRDefault="00250695" w:rsidP="00250695">
      <w:pPr>
        <w:spacing w:line="360" w:lineRule="auto"/>
      </w:pPr>
    </w:p>
    <w:p w14:paraId="1E32D095" w14:textId="20641B0B" w:rsidR="00250695" w:rsidRPr="00CC7F97" w:rsidRDefault="00250695" w:rsidP="00250695">
      <w:pPr>
        <w:spacing w:line="360" w:lineRule="auto"/>
      </w:pPr>
      <w:r w:rsidRPr="00CC7F97">
        <w:t>FGM was first covered under UK law in the 2003 Genital Mutilation Act and is now covered under the 2015 Serious Crime Act, it just moved to be covered as FGM is a serious offence. FGM involves the mutilation of any part of the labia majora, labia minora or the clitoris. Under the Serious Crime Act 2015 it is a criminal offence for any individual to perform FGM in England and Wales, assist a girl to carry out FGM on herself and to assist a non-UK person to carry out FGM outside the UK on an individual who is a UK resident or UK national</w:t>
      </w:r>
      <w:r w:rsidR="00CC7F97" w:rsidRPr="00CC7F97">
        <w:t xml:space="preserve"> (Bryant and Bryant, 2018)</w:t>
      </w:r>
      <w:r w:rsidRPr="00CC7F97">
        <w:t>.</w:t>
      </w:r>
      <w:r w:rsidR="00CC7F97" w:rsidRPr="00CC7F97">
        <w:t xml:space="preserve">The act </w:t>
      </w:r>
      <w:r w:rsidRPr="00CC7F97">
        <w:t>covers</w:t>
      </w:r>
      <w:r w:rsidR="00CC7F97" w:rsidRPr="00CC7F97">
        <w:t xml:space="preserve"> </w:t>
      </w:r>
      <w:r w:rsidRPr="00CC7F97">
        <w:t>if the individual is under sixteen at the time the offence was committed each person responsible for the girl at the time could also be found guilty of FGM as they have failed to protect. An individual can also not travel to carry out FGM or travel to perform FGM abroad as this is an issue for FGM. The Act also covers support that the victim may be able to receive such as, lifelong anonymity for the victims meaning no information will be published even if there is no court case, there are also FGM protection orders (FGMPO) that are Civil Orders to protect victims and those who may potentially become victims</w:t>
      </w:r>
      <w:r w:rsidR="00CC7F97" w:rsidRPr="00CC7F97">
        <w:t xml:space="preserve"> (Home Office, 2011)</w:t>
      </w:r>
      <w:r w:rsidRPr="00CC7F97">
        <w:t>. Mandatory reporting is also used in cases of FGM this is for regulated health boards, social care professionals and teachers</w:t>
      </w:r>
      <w:r w:rsidR="00CC7F97" w:rsidRPr="00CC7F97">
        <w:t>. Th</w:t>
      </w:r>
      <w:r w:rsidRPr="00CC7F97">
        <w:t>ey are to report known cases of FGM</w:t>
      </w:r>
      <w:r w:rsidR="00CC7F97" w:rsidRPr="00CC7F97">
        <w:t xml:space="preserve"> to the police if the girl is </w:t>
      </w:r>
      <w:r w:rsidRPr="00CC7F97">
        <w:t>under eighteen</w:t>
      </w:r>
      <w:r w:rsidR="00CC7F97" w:rsidRPr="00CC7F97">
        <w:t>.</w:t>
      </w:r>
      <w:r w:rsidRPr="00CC7F97">
        <w:t xml:space="preserve"> </w:t>
      </w:r>
      <w:proofErr w:type="gramStart"/>
      <w:r w:rsidRPr="00CC7F97">
        <w:t>All of</w:t>
      </w:r>
      <w:proofErr w:type="gramEnd"/>
      <w:r w:rsidRPr="00CC7F97">
        <w:t xml:space="preserve"> these measures are put in place to support the vulnerable victims, the culture and nature of this </w:t>
      </w:r>
      <w:r w:rsidRPr="00CC7F97">
        <w:lastRenderedPageBreak/>
        <w:t>crime is what makes it hard for the criminal justice system to convict and condemn those who carry out these acts</w:t>
      </w:r>
      <w:r w:rsidR="00C47869" w:rsidRPr="00CC7F97">
        <w:t xml:space="preserve"> and also hard to support vulnerable victims</w:t>
      </w:r>
      <w:r w:rsidR="00CC7F97" w:rsidRPr="00CC7F97">
        <w:t xml:space="preserve"> (Jefferson, 2015)</w:t>
      </w:r>
      <w:r w:rsidR="00C47869" w:rsidRPr="00CC7F97">
        <w:t xml:space="preserve">. </w:t>
      </w:r>
      <w:r w:rsidRPr="00CC7F97">
        <w:t xml:space="preserve"> </w:t>
      </w:r>
    </w:p>
    <w:p w14:paraId="6CBE604E" w14:textId="5E816F45" w:rsidR="00250695" w:rsidRPr="00CC7F97" w:rsidRDefault="00250695" w:rsidP="00250695">
      <w:pPr>
        <w:spacing w:line="360" w:lineRule="auto"/>
      </w:pPr>
    </w:p>
    <w:p w14:paraId="2696894D" w14:textId="31A4BCA2" w:rsidR="00250695" w:rsidRPr="00CC7F97" w:rsidRDefault="00250695" w:rsidP="00250695">
      <w:pPr>
        <w:spacing w:line="360" w:lineRule="auto"/>
      </w:pPr>
      <w:r w:rsidRPr="00CC7F97">
        <w:t>When looking at statistics for FGM the only statistics available are that from the N</w:t>
      </w:r>
      <w:r w:rsidR="000F6DEC" w:rsidRPr="00CC7F97">
        <w:t xml:space="preserve">ational </w:t>
      </w:r>
      <w:r w:rsidR="00C47869" w:rsidRPr="00CC7F97">
        <w:t>Health</w:t>
      </w:r>
      <w:r w:rsidR="000F6DEC" w:rsidRPr="00CC7F97">
        <w:t xml:space="preserve"> Service</w:t>
      </w:r>
      <w:r w:rsidRPr="00CC7F97">
        <w:t xml:space="preserve"> digital (2020). They indicate that from April 2019 to March 2020 6,590 individual women and girls were identified as having some form of FGM, and furthermore from April 2015 when the data started to March 2020 52,050 women and girls were identified as having some form of FGM. This indicates that there is a high percentage of the population who do suffer from some form of FGM, however when looking at the number of criminal convictions for FGM it shows a troubling gap from recording to conviction</w:t>
      </w:r>
      <w:r w:rsidR="00C47869" w:rsidRPr="00CC7F97">
        <w:t xml:space="preserve"> s</w:t>
      </w:r>
      <w:r w:rsidR="00CC7F97" w:rsidRPr="00CC7F97">
        <w:t>h</w:t>
      </w:r>
      <w:r w:rsidR="00C47869" w:rsidRPr="00CC7F97">
        <w:t>owing potential failings in the criminal justice system</w:t>
      </w:r>
      <w:r w:rsidRPr="00CC7F97">
        <w:t xml:space="preserve">. The only conclusive data that could be found on conviction rates was through a journal article where they comprised all convictions from three different years, </w:t>
      </w:r>
      <w:r w:rsidR="00C47869" w:rsidRPr="00CC7F97">
        <w:t xml:space="preserve">it also stated </w:t>
      </w:r>
      <w:r w:rsidRPr="00CC7F97">
        <w:t xml:space="preserve">that if a victim did want to come fourth about FGM then there may be little or no evidence on if the criminal justice system could </w:t>
      </w:r>
      <w:proofErr w:type="gramStart"/>
      <w:r w:rsidRPr="00CC7F97">
        <w:t>actually help</w:t>
      </w:r>
      <w:proofErr w:type="gramEnd"/>
      <w:r w:rsidRPr="00CC7F97">
        <w:t xml:space="preserve"> them. The data found shows that under the Female Genital Mutilation Act 2003 (1) which is the genital mutilation of a female or girl between 2017-2018 there were zero convictions and between 2018-2019 there were only two</w:t>
      </w:r>
      <w:r w:rsidR="00E5252A" w:rsidRPr="00CC7F97">
        <w:t xml:space="preserve"> (Home </w:t>
      </w:r>
      <w:r w:rsidR="00E5252A" w:rsidRPr="00CC7F97">
        <w:rPr>
          <w:i/>
          <w:iCs/>
        </w:rPr>
        <w:t xml:space="preserve">et al. </w:t>
      </w:r>
      <w:r w:rsidR="00E5252A" w:rsidRPr="00CC7F97">
        <w:t>2020)</w:t>
      </w:r>
      <w:r w:rsidRPr="00CC7F97">
        <w:t>. This shows that there are only two prosecutions for such a high number of cases and taking into consideration that there is also mandatory reporting for healthcare professionals</w:t>
      </w:r>
      <w:r w:rsidR="00C47869" w:rsidRPr="00CC7F97">
        <w:t>.</w:t>
      </w:r>
      <w:r w:rsidRPr="00CC7F97">
        <w:t xml:space="preserve"> </w:t>
      </w:r>
      <w:r w:rsidR="00C47869" w:rsidRPr="00CC7F97">
        <w:t>T</w:t>
      </w:r>
      <w:r w:rsidRPr="00CC7F97">
        <w:t xml:space="preserve">here is a disconnect between protecting those who are vulnerable from the criminal justice </w:t>
      </w:r>
      <w:r w:rsidR="00C47869" w:rsidRPr="00CC7F97">
        <w:t>side, as</w:t>
      </w:r>
      <w:r w:rsidRPr="00CC7F97">
        <w:t xml:space="preserve"> the mandatory reporting is taking place at a stage too late as the crime has already taken place and the damage is done to that vulnerable individual.</w:t>
      </w:r>
      <w:r w:rsidR="00CC7F97" w:rsidRPr="00CC7F97">
        <w:t xml:space="preserve"> This can be shown by the fact that the Crown Prosecution Service is reviewing how it handles cases of FGM, to identify the obstacles that they face indicating they know they should be doing more to support victims (Crown Prosecution Service, 2019</w:t>
      </w:r>
      <w:proofErr w:type="gramStart"/>
      <w:r w:rsidR="00CC7F97" w:rsidRPr="00CC7F97">
        <w:t>)  .</w:t>
      </w:r>
      <w:proofErr w:type="gramEnd"/>
      <w:r w:rsidR="00C47869" w:rsidRPr="00CC7F97">
        <w:t xml:space="preserve"> </w:t>
      </w:r>
    </w:p>
    <w:p w14:paraId="19FB445E" w14:textId="403FA24F" w:rsidR="00250695" w:rsidRPr="00CC7F97" w:rsidRDefault="00250695" w:rsidP="00250695">
      <w:pPr>
        <w:spacing w:line="360" w:lineRule="auto"/>
      </w:pPr>
    </w:p>
    <w:p w14:paraId="13853A08" w14:textId="36FACD5E" w:rsidR="00250695" w:rsidRPr="00CC7F97" w:rsidRDefault="00250695" w:rsidP="00250695">
      <w:pPr>
        <w:spacing w:line="360" w:lineRule="auto"/>
      </w:pPr>
      <w:r w:rsidRPr="00CC7F97">
        <w:t xml:space="preserve">Any policy that is made to support vulnerable victims needs to be made with the statistics </w:t>
      </w:r>
      <w:proofErr w:type="gramStart"/>
      <w:r w:rsidRPr="00CC7F97">
        <w:t>taken into account</w:t>
      </w:r>
      <w:proofErr w:type="gramEnd"/>
      <w:r w:rsidRPr="00CC7F97">
        <w:t xml:space="preserve"> as that is the evidence of what is happening, there are claims that the number of women and girls that experience FGM are overinflated by the government. The government feel that there are ‘tens of </w:t>
      </w:r>
      <w:r w:rsidR="00CC7F97" w:rsidRPr="00CC7F97">
        <w:t>thousands</w:t>
      </w:r>
      <w:r w:rsidRPr="00CC7F97">
        <w:t xml:space="preserve"> of girls at risk, when in fact there are no statistics that show directly how many have reported to the police just how many FGM cases have been recorded by the NHS so not those who are at risk</w:t>
      </w:r>
      <w:r w:rsidR="00CC7F97" w:rsidRPr="00CC7F97">
        <w:t xml:space="preserve"> (Karlsen </w:t>
      </w:r>
      <w:r w:rsidR="00CC7F97" w:rsidRPr="00CC7F97">
        <w:rPr>
          <w:i/>
          <w:iCs/>
        </w:rPr>
        <w:t>et al. 2022)</w:t>
      </w:r>
      <w:r w:rsidRPr="00CC7F97">
        <w:t xml:space="preserve">. The </w:t>
      </w:r>
      <w:r w:rsidRPr="00CC7F97">
        <w:lastRenderedPageBreak/>
        <w:t>current approaches to safeguarding could be potentially harmful to communities, as it is felt that they contribute to institutional discrimination by focusing on specific migrant communities and as a result produce religiously motivated victimisation and</w:t>
      </w:r>
      <w:r w:rsidRPr="00CC7F97">
        <w:rPr>
          <w:rFonts w:ascii="Times New Roman" w:eastAsia="Times New Roman" w:hAnsi="Times New Roman" w:cs="Times New Roman"/>
          <w:lang w:eastAsia="en-GB"/>
        </w:rPr>
        <w:t xml:space="preserve"> </w:t>
      </w:r>
      <w:r w:rsidR="00CC7F97" w:rsidRPr="00CC7F97">
        <w:t>criminalisation.</w:t>
      </w:r>
      <w:r w:rsidRPr="00CC7F97">
        <w:t xml:space="preserve"> This is </w:t>
      </w:r>
      <w:proofErr w:type="gramStart"/>
      <w:r w:rsidRPr="00CC7F97">
        <w:t>due to the fact that</w:t>
      </w:r>
      <w:proofErr w:type="gramEnd"/>
      <w:r w:rsidRPr="00CC7F97">
        <w:t xml:space="preserve"> most of the individuals that migrate to the UK from other countries that carry out FGM are further educated in the UK, so the daughters who are born in the UK are less likely to be victims of FGM as the parents understand the dangers and that it is a crime</w:t>
      </w:r>
      <w:r w:rsidR="00CC7F97" w:rsidRPr="00CC7F97">
        <w:t xml:space="preserve"> (Earp, 2020)</w:t>
      </w:r>
      <w:r w:rsidRPr="00CC7F97">
        <w:t xml:space="preserve">. </w:t>
      </w:r>
      <w:r w:rsidR="00CC7F97" w:rsidRPr="00CC7F97">
        <w:t>T</w:t>
      </w:r>
      <w:r w:rsidRPr="00CC7F97">
        <w:t>he numbers reported do not reflect the amount of w</w:t>
      </w:r>
      <w:r w:rsidR="00C47869" w:rsidRPr="00CC7F97">
        <w:t>eight</w:t>
      </w:r>
      <w:r w:rsidRPr="00CC7F97">
        <w:t xml:space="preserve"> that is put on the media and government coverage, and the lack of prosecutions is of concern especially when the government are taking such a pro-prosecution approach. The lack of prosecution could show a lack of understanding on what the vulnerable victim </w:t>
      </w:r>
      <w:r w:rsidR="00E5252A" w:rsidRPr="00CC7F97">
        <w:t>needs,</w:t>
      </w:r>
      <w:r w:rsidRPr="00CC7F97">
        <w:t xml:space="preserve"> and this could also cause more harm as how </w:t>
      </w:r>
      <w:r w:rsidR="000F6DEC" w:rsidRPr="00CC7F97">
        <w:t>any victim is</w:t>
      </w:r>
      <w:r w:rsidRPr="00CC7F97">
        <w:t xml:space="preserve"> supposed to come forward with a case when there are only a small number of prosecutions showing a lack of trust and understanding within the criminal justice setting</w:t>
      </w:r>
      <w:r w:rsidR="00CC7F97" w:rsidRPr="00CC7F97">
        <w:t xml:space="preserve"> (Karlsen </w:t>
      </w:r>
      <w:r w:rsidR="00CC7F97" w:rsidRPr="00CC7F97">
        <w:rPr>
          <w:i/>
          <w:iCs/>
        </w:rPr>
        <w:t xml:space="preserve">et al. </w:t>
      </w:r>
      <w:r w:rsidR="00CC7F97" w:rsidRPr="00CC7F97">
        <w:t>2020)</w:t>
      </w:r>
      <w:r w:rsidRPr="00CC7F97">
        <w:t xml:space="preserve">. </w:t>
      </w:r>
    </w:p>
    <w:p w14:paraId="4EA555CE" w14:textId="77777777" w:rsidR="00CC7F97" w:rsidRPr="00CC7F97" w:rsidRDefault="00CC7F97" w:rsidP="00250695">
      <w:pPr>
        <w:spacing w:line="360" w:lineRule="auto"/>
      </w:pPr>
    </w:p>
    <w:p w14:paraId="134F63F9" w14:textId="77777777" w:rsidR="00CC7F97" w:rsidRPr="00CC7F97" w:rsidRDefault="00CC7F97" w:rsidP="00CC7F97">
      <w:pPr>
        <w:spacing w:line="360" w:lineRule="auto"/>
      </w:pPr>
      <w:r w:rsidRPr="00CC7F97">
        <w:t xml:space="preserve">Regarding cases of FGM it is important to understand, two cases that took place between 2015 and 2018 that did not gather a conviction. These cases show the difficulty the CPS, police and court have in identifying victims and understanding the crime of </w:t>
      </w:r>
      <w:proofErr w:type="gramStart"/>
      <w:r w:rsidRPr="00CC7F97">
        <w:t>FGM as a whole</w:t>
      </w:r>
      <w:proofErr w:type="gramEnd"/>
      <w:r w:rsidRPr="00CC7F97">
        <w:t>. The first case in 2015 was against a Doctor of a South Asian background, he was called out on an emergency to the labour of a woman who had been infibulated as a child and then prior to becoming pregnant she was de-infibulated at her request so that she could give birth (</w:t>
      </w:r>
      <w:proofErr w:type="spellStart"/>
      <w:r w:rsidRPr="00CC7F97">
        <w:t>Berer</w:t>
      </w:r>
      <w:proofErr w:type="spellEnd"/>
      <w:r w:rsidRPr="00CC7F97">
        <w:t xml:space="preserve">, 2019). The Doctor made a small cut in her vulva so that the woman could give birth, after the wound did not stop bleeding so he stitched it back up and as a result was accused of FGM. He was acquitted but it shows that this must have had to be manually reported but was the individual a victim of any crime, as the Doctor was simply doing his job, and this shows that the law and criminal justice may be failing victims and focusing on getting a prosecution.  A case that took place in 2018 failed for different reasons, a girl aged sixteen said she had been subjected to FGM twice by an individual she couldn’t identify and her father. There was a medical expert who testified to the fact that the girls’ genitalia had been cut and the scars were described as unusual. The father was acquitted, this indicates that the criminal justice system is letting vulnerable victims down as this case is seemingly flawless but still, they could not gain a conviction. This indicates a lack of knowledge and understanding of what evidence is needed and the level of weight that evidence has in the </w:t>
      </w:r>
      <w:r w:rsidRPr="00CC7F97">
        <w:lastRenderedPageBreak/>
        <w:t xml:space="preserve">case of FGM, the criminal justice system cannot expect vulnerable victims to come forward and give evidence when there is no understanding of what evidence is credible or not (Topping, 2018). </w:t>
      </w:r>
    </w:p>
    <w:p w14:paraId="67BB0DD0" w14:textId="77777777" w:rsidR="00CC7F97" w:rsidRPr="00CC7F97" w:rsidRDefault="00CC7F97" w:rsidP="00CC7F97">
      <w:pPr>
        <w:spacing w:line="360" w:lineRule="auto"/>
      </w:pPr>
    </w:p>
    <w:p w14:paraId="72BE8DB6" w14:textId="438741F9" w:rsidR="00CC7F97" w:rsidRPr="00CC7F97" w:rsidRDefault="00CC7F97" w:rsidP="00250695">
      <w:pPr>
        <w:spacing w:line="360" w:lineRule="auto"/>
      </w:pPr>
      <w:r w:rsidRPr="00CC7F97">
        <w:t xml:space="preserve">The first guilty verdict came in 2019 with the case of R v N (FGM), this was a case of a mother and a father committing FGM against their daughter who was aged three at the time. The mother called emergency services because her daughter had fallen onto an open cupboard door, that had a metal strip running across the top of it. The wounds that the daughter had were horrendous, and Doctors suspected that this could not have occurred from a type of fall in this way as there was no bruising.  Beyond the medical evidence there was little to no evidence, expect for the testimony of the children. The mum was found guilty and sentenced to fourteen years imprisonment (Judiciary of England and Wales, 2019). The reason that this case is brought up is because it relied heavy on the testimony of the son and the daughter of the two individuals. The daughter was interviewed three times and the son four times, he eventually did not testify in court. The children changed their stories on the last time they were interviewed all times before that they both agreed that the daughter had fallen. The children would have been protected under the Victims Code that has been updated in 2021 under this they would have had special measures, meaning that they could have had their testimony pre-recorded meaning they did not have to go to court and as a result this would have protected the son and daughter from further harm (Burton, Evans and Sanders, 2007) Showing that the criminal justice system failed to support vulnerable victims as well as inform them or the appropriate adult of what they were entitled to.  The pressure from the Crown Prosecution Service could have put pressure on this case and as a result they failed to put the victims at the centre and focus on how to support them in what they needed (Ministry of Justice, 2020). </w:t>
      </w:r>
    </w:p>
    <w:p w14:paraId="1898F280" w14:textId="3E9BC9BA" w:rsidR="000F6DEC" w:rsidRPr="00CC7F97" w:rsidRDefault="000F6DEC" w:rsidP="00250695">
      <w:pPr>
        <w:spacing w:line="360" w:lineRule="auto"/>
      </w:pPr>
    </w:p>
    <w:p w14:paraId="7996CB5E" w14:textId="331DB387" w:rsidR="000F6DEC" w:rsidRPr="00CC7F97" w:rsidRDefault="000F6DEC" w:rsidP="00250695">
      <w:pPr>
        <w:spacing w:line="360" w:lineRule="auto"/>
      </w:pPr>
      <w:r w:rsidRPr="00CC7F97">
        <w:t xml:space="preserve">The police need to remember the sensitivity of FGM and how this can affect the vulnerable victim, as well as being a highly personal offence it </w:t>
      </w:r>
      <w:r w:rsidR="00C47869" w:rsidRPr="00CC7F97">
        <w:t xml:space="preserve">is </w:t>
      </w:r>
      <w:r w:rsidRPr="00CC7F97">
        <w:t>also personal in the fact that the offenders are often parents, close family members or prominent members in the community. Vulnerable victims of FGM can often not trust the police as they are immigrants, and they do not understand in some cases that the police may be there to help them not hinder them</w:t>
      </w:r>
      <w:r w:rsidR="00CC7F97" w:rsidRPr="00CC7F97">
        <w:t xml:space="preserve"> (</w:t>
      </w:r>
      <w:proofErr w:type="spellStart"/>
      <w:r w:rsidR="00CC7F97" w:rsidRPr="00CC7F97">
        <w:t>Gangoli</w:t>
      </w:r>
      <w:proofErr w:type="spellEnd"/>
      <w:r w:rsidR="00CC7F97" w:rsidRPr="00CC7F97">
        <w:t xml:space="preserve">, </w:t>
      </w:r>
      <w:r w:rsidR="00CC7F97" w:rsidRPr="00CC7F97">
        <w:rPr>
          <w:i/>
          <w:iCs/>
        </w:rPr>
        <w:t xml:space="preserve">at al. </w:t>
      </w:r>
      <w:r w:rsidR="00CC7F97" w:rsidRPr="00CC7F97">
        <w:t>2018)</w:t>
      </w:r>
      <w:r w:rsidRPr="00CC7F97">
        <w:t xml:space="preserve">. The police and criminal justice system </w:t>
      </w:r>
      <w:proofErr w:type="gramStart"/>
      <w:r w:rsidRPr="00CC7F97">
        <w:t xml:space="preserve">as a </w:t>
      </w:r>
      <w:r w:rsidRPr="00CC7F97">
        <w:lastRenderedPageBreak/>
        <w:t>whole often</w:t>
      </w:r>
      <w:proofErr w:type="gramEnd"/>
      <w:r w:rsidRPr="00CC7F97">
        <w:t xml:space="preserve"> fail to understand the culture of immigrants, this is often what causes confusion and a lack of understanding as yes FGM is a crime in the UK but for some it is seen as legal</w:t>
      </w:r>
      <w:r w:rsidR="00C47869" w:rsidRPr="00CC7F97">
        <w:t xml:space="preserve"> and a </w:t>
      </w:r>
      <w:r w:rsidRPr="00CC7F97">
        <w:t xml:space="preserve">necessary practice so education may be needed to help immigrants understand where the police are coming from and also help the police understand </w:t>
      </w:r>
      <w:r w:rsidR="00C47869" w:rsidRPr="00CC7F97">
        <w:t>where they can better support these victims and communities</w:t>
      </w:r>
      <w:r w:rsidRPr="00CC7F97">
        <w:t xml:space="preserve"> (Christou and Fowles, 2015). If vulnerable victims come to the police looking for a criminal conviction this may prove difficult as the police are often met with a wall of silence by migrant communities in cases of FGM, as this prevents the victim from speaking out but also anyone else in the case police may need to speak to. It is of help to the police to have things like the anonymity provided or FGMPO, but none of this is of use if the police are unable to support the vulnerable victim and make them feel safe from their own community and this is where the police are failing victims most (Schlueter, Meuleman and Davidov, 2013). </w:t>
      </w:r>
    </w:p>
    <w:p w14:paraId="68674EDC" w14:textId="5E493732" w:rsidR="000F6DEC" w:rsidRPr="00CC7F97" w:rsidRDefault="000F6DEC" w:rsidP="00250695">
      <w:pPr>
        <w:spacing w:line="360" w:lineRule="auto"/>
      </w:pPr>
    </w:p>
    <w:p w14:paraId="39D75ADF" w14:textId="4BD22CEA" w:rsidR="000F6DEC" w:rsidRPr="00CC7F97" w:rsidRDefault="000F6DEC" w:rsidP="00250695">
      <w:pPr>
        <w:spacing w:line="360" w:lineRule="auto"/>
      </w:pPr>
      <w:r w:rsidRPr="00CC7F97">
        <w:t xml:space="preserve">When girls and women are scared for their </w:t>
      </w:r>
      <w:r w:rsidR="00CC7F97" w:rsidRPr="00CC7F97">
        <w:t>lives, being</w:t>
      </w:r>
      <w:r w:rsidRPr="00CC7F97">
        <w:t xml:space="preserve"> shouted at on the street </w:t>
      </w:r>
      <w:r w:rsidR="00CC7F97" w:rsidRPr="00CC7F97">
        <w:t>and receiving death</w:t>
      </w:r>
      <w:r w:rsidRPr="00CC7F97">
        <w:t xml:space="preserve"> </w:t>
      </w:r>
      <w:r w:rsidR="00CC7F97" w:rsidRPr="00CC7F97">
        <w:t xml:space="preserve">threats </w:t>
      </w:r>
      <w:r w:rsidRPr="00CC7F97">
        <w:t xml:space="preserve">all because of reporting </w:t>
      </w:r>
      <w:r w:rsidR="00CC7F97" w:rsidRPr="00CC7F97">
        <w:t xml:space="preserve">a case </w:t>
      </w:r>
      <w:r w:rsidRPr="00CC7F97">
        <w:t>FGM</w:t>
      </w:r>
      <w:r w:rsidR="00C47869" w:rsidRPr="00CC7F97">
        <w:t xml:space="preserve">. </w:t>
      </w:r>
      <w:r w:rsidRPr="00CC7F97">
        <w:t xml:space="preserve"> </w:t>
      </w:r>
      <w:proofErr w:type="gramStart"/>
      <w:r w:rsidR="00CC7F97" w:rsidRPr="00CC7F97">
        <w:t>It is clear that the</w:t>
      </w:r>
      <w:proofErr w:type="gramEnd"/>
      <w:r w:rsidR="00CC7F97" w:rsidRPr="00CC7F97">
        <w:t xml:space="preserve"> </w:t>
      </w:r>
      <w:r w:rsidRPr="00CC7F97">
        <w:t xml:space="preserve">measures </w:t>
      </w:r>
      <w:r w:rsidR="00C47869" w:rsidRPr="00CC7F97">
        <w:t>being</w:t>
      </w:r>
      <w:r w:rsidRPr="00CC7F97">
        <w:t xml:space="preserve"> taken by the criminal justice system</w:t>
      </w:r>
      <w:r w:rsidR="00CC7F97" w:rsidRPr="00CC7F97">
        <w:t xml:space="preserve"> to protect</w:t>
      </w:r>
      <w:r w:rsidRPr="00CC7F97">
        <w:t xml:space="preserve"> those who are most </w:t>
      </w:r>
      <w:r w:rsidR="00CC7F97" w:rsidRPr="00CC7F97">
        <w:t xml:space="preserve">vulnerable are not working (Cook, 2016). </w:t>
      </w:r>
      <w:r w:rsidRPr="00CC7F97">
        <w:t xml:space="preserve"> Clearly anonymity in the case of FGM works up to a point but the offender will most likely know the vulnerable victim and so will the community, the police need to do more work, within the community to protect those after they report the crime, so they are not scared or fear reporting FGM.  It is also of importance that other victims of FGM do not feel scared to come forward. The police need to better understand the community aspect of FGM </w:t>
      </w:r>
      <w:proofErr w:type="gramStart"/>
      <w:r w:rsidRPr="00CC7F97">
        <w:t>in order to</w:t>
      </w:r>
      <w:proofErr w:type="gramEnd"/>
      <w:r w:rsidRPr="00CC7F97">
        <w:t xml:space="preserve"> better understand how they can protect the vulnerable </w:t>
      </w:r>
      <w:r w:rsidR="00CC7F97" w:rsidRPr="00CC7F97">
        <w:t>victim (</w:t>
      </w:r>
      <w:proofErr w:type="spellStart"/>
      <w:r w:rsidR="00CC7F97" w:rsidRPr="00CC7F97">
        <w:t>Berer</w:t>
      </w:r>
      <w:proofErr w:type="spellEnd"/>
      <w:r w:rsidR="00CC7F97" w:rsidRPr="00CC7F97">
        <w:t>, 2015)</w:t>
      </w:r>
      <w:r w:rsidRPr="00CC7F97">
        <w:t xml:space="preserve">. </w:t>
      </w:r>
    </w:p>
    <w:p w14:paraId="3DA8CE5C" w14:textId="10018541" w:rsidR="000F6DEC" w:rsidRPr="00CC7F97" w:rsidRDefault="000F6DEC" w:rsidP="00250695">
      <w:pPr>
        <w:spacing w:line="360" w:lineRule="auto"/>
      </w:pPr>
    </w:p>
    <w:p w14:paraId="0C36F5C8" w14:textId="6D2110ED" w:rsidR="000F6DEC" w:rsidRPr="00CC7F97" w:rsidRDefault="000F6DEC" w:rsidP="00250695">
      <w:pPr>
        <w:spacing w:line="360" w:lineRule="auto"/>
      </w:pPr>
      <w:r w:rsidRPr="00CC7F97">
        <w:t xml:space="preserve">FGM is a criminal offence, FGMPO are a civil law and focus on protecting the vulnerable victims. FGMPO is a family court order, and they are often made </w:t>
      </w:r>
      <w:proofErr w:type="gramStart"/>
      <w:r w:rsidRPr="00CC7F97">
        <w:t>in order to</w:t>
      </w:r>
      <w:proofErr w:type="gramEnd"/>
      <w:r w:rsidRPr="00CC7F97">
        <w:t xml:space="preserve"> protect a woman or girl against the commission of FGM, they can also be used to protect those who the offence has already happened to.  The order can cover surrendering of passports or other documents of the individual to be protected, stop the individual from arranging FGM to be performed in the UK or overseas, it also covers individuals </w:t>
      </w:r>
      <w:r w:rsidR="00CC7F97" w:rsidRPr="00CC7F97">
        <w:t>who</w:t>
      </w:r>
      <w:r w:rsidRPr="00CC7F97">
        <w:t xml:space="preserve"> may become involved in FGM or commit FGM in some way against the individual (Crown Prosecution Service, 2021). The wording of the FGMPO is hard to </w:t>
      </w:r>
      <w:r w:rsidR="00CC7F97" w:rsidRPr="00CC7F97">
        <w:t>understan</w:t>
      </w:r>
      <w:r w:rsidRPr="00CC7F97">
        <w:t>d</w:t>
      </w:r>
      <w:r w:rsidR="00CC7F97" w:rsidRPr="00CC7F97">
        <w:t xml:space="preserve">, it is unclear if it is for a victim or </w:t>
      </w:r>
      <w:r w:rsidR="00CC7F97" w:rsidRPr="00CC7F97">
        <w:lastRenderedPageBreak/>
        <w:t>offender as in some cases it sounds like the offender is being protected more than the vulnerable victim.</w:t>
      </w:r>
      <w:r w:rsidRPr="00CC7F97">
        <w:t xml:space="preserve"> </w:t>
      </w:r>
    </w:p>
    <w:p w14:paraId="45697448" w14:textId="77777777" w:rsidR="000F6DEC" w:rsidRPr="00CC7F97" w:rsidRDefault="000F6DEC" w:rsidP="00250695">
      <w:pPr>
        <w:spacing w:line="360" w:lineRule="auto"/>
      </w:pPr>
    </w:p>
    <w:p w14:paraId="2561BC52" w14:textId="3DDD9F1B" w:rsidR="000F6DEC" w:rsidRPr="00CC7F97" w:rsidRDefault="000F6DEC" w:rsidP="00250695">
      <w:pPr>
        <w:spacing w:line="360" w:lineRule="auto"/>
      </w:pPr>
      <w:r w:rsidRPr="00CC7F97">
        <w:t>There is a toolkit of resources available to the police that include legislative powers as well as protection powers and safeguarding protocols. These include FGMPO there are criticisms of FGMPO as there is a lack of monitoring and protective measures that are in place after the case of FGM has taken place in court meaning that after the case is closed the vulnerable victim is often left unprotected by the FGMPO (Newburn, 2011). There are also other issues</w:t>
      </w:r>
      <w:r w:rsidR="00CC7F97" w:rsidRPr="00CC7F97">
        <w:t>,</w:t>
      </w:r>
      <w:r w:rsidRPr="00CC7F97">
        <w:t xml:space="preserve"> the main one being the fact that most girls who become victims FGM are under the age of eighteen, meaning that once the order is issued the victims often are put back into the dangerous situation of having to live with the family member identified within the FGMPO. This could cause harm for the victim as it puts an already vulnerable individual back into a situation that makes them even more at risk of FGM and it runs the risk of something happening to the individual behind closed doors when they should be protected as they are at risk and should be protected by the FGMPO (</w:t>
      </w:r>
      <w:proofErr w:type="spellStart"/>
      <w:r w:rsidRPr="00CC7F97">
        <w:t>Harrar</w:t>
      </w:r>
      <w:proofErr w:type="spellEnd"/>
      <w:r w:rsidRPr="00CC7F97">
        <w:t xml:space="preserve">, 2021). The protection orders are also not directed at the specific police force in the victim’s area this is often due to social mobility, as people can move around socially. There is however a lack of understanding of how to keep track of the individuals who the FGMPO are against, how many of them are being enforced, and in identifying who the protected parties are. This shows that the police are letting vulnerable victims down as they are not following up and correctly enforcing FGMPO that were put in place to help vulnerable victims in the first </w:t>
      </w:r>
      <w:r w:rsidR="00CC7F97" w:rsidRPr="00CC7F97">
        <w:t xml:space="preserve">place (Gill, </w:t>
      </w:r>
      <w:proofErr w:type="gramStart"/>
      <w:r w:rsidR="00CC7F97" w:rsidRPr="00CC7F97">
        <w:t>Cox</w:t>
      </w:r>
      <w:proofErr w:type="gramEnd"/>
      <w:r w:rsidR="00CC7F97" w:rsidRPr="00CC7F97">
        <w:t xml:space="preserve"> and Weir, 2018)</w:t>
      </w:r>
      <w:r w:rsidRPr="00CC7F97">
        <w:t xml:space="preserve">. </w:t>
      </w:r>
    </w:p>
    <w:p w14:paraId="1707BDB6" w14:textId="0141B317" w:rsidR="00E5252A" w:rsidRPr="00CC7F97" w:rsidRDefault="00E5252A" w:rsidP="00250695">
      <w:pPr>
        <w:spacing w:line="360" w:lineRule="auto"/>
      </w:pPr>
    </w:p>
    <w:p w14:paraId="05380A82" w14:textId="46723E49" w:rsidR="000F6DEC" w:rsidRPr="00CC7F97" w:rsidRDefault="000F6DEC" w:rsidP="00250695">
      <w:pPr>
        <w:spacing w:line="360" w:lineRule="auto"/>
      </w:pPr>
      <w:r w:rsidRPr="00CC7F97">
        <w:t xml:space="preserve">When looking at what support is out there for victims of FGM there are National FGM support clinics that are available, these are community-based clinics for those who are victims of FGM that are over the age of eighteen and not pregnant. They consist of an all-female team of Doctors, nurses, emotional support counsellors and FGM health advocates, these are run weekly and there are eight clinics located in England (National Health Service, 2019). It is a multi-agency setting that is set up so that women can just go and get the support that they need, they aim to change the thinking around FGM as well as the culture. These services can be seen as harmful in ways to those who are under eighteen, as it does not cater to them. This is due to the law surrounding mandatory reporting to the police of </w:t>
      </w:r>
      <w:r w:rsidRPr="00CC7F97">
        <w:lastRenderedPageBreak/>
        <w:t xml:space="preserve">FGM in those under eighteen, showing that in this case the law could be harming those who seek </w:t>
      </w:r>
      <w:r w:rsidR="00CC7F97" w:rsidRPr="00CC7F97">
        <w:t xml:space="preserve">medical help. </w:t>
      </w:r>
      <w:r w:rsidRPr="00CC7F97">
        <w:t xml:space="preserve"> </w:t>
      </w:r>
      <w:r w:rsidR="00CC7F97" w:rsidRPr="00CC7F97">
        <w:t>V</w:t>
      </w:r>
      <w:r w:rsidRPr="00CC7F97">
        <w:t>ulnerable victims who may need the support outside the police may not be able to access it because of mandatory reporting (</w:t>
      </w:r>
      <w:proofErr w:type="spellStart"/>
      <w:r w:rsidRPr="00CC7F97">
        <w:t>Mohdin</w:t>
      </w:r>
      <w:proofErr w:type="spellEnd"/>
      <w:r w:rsidRPr="00CC7F97">
        <w:t xml:space="preserve">, 2019).  </w:t>
      </w:r>
    </w:p>
    <w:p w14:paraId="2D72B683" w14:textId="77777777" w:rsidR="000F6DEC" w:rsidRPr="00CC7F97" w:rsidRDefault="000F6DEC" w:rsidP="00250695">
      <w:pPr>
        <w:spacing w:line="360" w:lineRule="auto"/>
      </w:pPr>
    </w:p>
    <w:p w14:paraId="50801980" w14:textId="5EE2CAC2" w:rsidR="000F6DEC" w:rsidRPr="00CC7F97" w:rsidRDefault="000F6DEC" w:rsidP="00250695">
      <w:pPr>
        <w:spacing w:line="360" w:lineRule="auto"/>
      </w:pPr>
      <w:r w:rsidRPr="00CC7F97">
        <w:t xml:space="preserve">There could be a case here for the police or an advisor for legal help </w:t>
      </w:r>
      <w:r w:rsidR="00CC7F97" w:rsidRPr="00CC7F97">
        <w:t>to</w:t>
      </w:r>
      <w:r w:rsidRPr="00CC7F97">
        <w:t xml:space="preserve"> be involved </w:t>
      </w:r>
      <w:r w:rsidR="00CC7F97" w:rsidRPr="00CC7F97">
        <w:t>in</w:t>
      </w:r>
      <w:r w:rsidRPr="00CC7F97">
        <w:t xml:space="preserve"> work</w:t>
      </w:r>
      <w:r w:rsidR="00CC7F97" w:rsidRPr="00CC7F97">
        <w:t>ing</w:t>
      </w:r>
      <w:r w:rsidRPr="00CC7F97">
        <w:t xml:space="preserve"> in this multi-agency setting, this however is not the case. In comparison there are sexual assault referral centres known as SARC that are funded by the health b</w:t>
      </w:r>
      <w:r w:rsidR="00CC7F97" w:rsidRPr="00CC7F97">
        <w:t>oa</w:t>
      </w:r>
      <w:r w:rsidRPr="00CC7F97">
        <w:t xml:space="preserve">rds, that are set up to help victims of sexual assaults. They provide the support of the specialist nurses, </w:t>
      </w:r>
      <w:proofErr w:type="gramStart"/>
      <w:r w:rsidRPr="00CC7F97">
        <w:t>Doctors</w:t>
      </w:r>
      <w:proofErr w:type="gramEnd"/>
      <w:r w:rsidRPr="00CC7F97">
        <w:t xml:space="preserve"> and other specialist care as well as the police. the reason this comparison is being made is because the police and criminal justice seem to have taken a step back from the National FGM support clinics where as in SARC they take a more proactive role (Robinson, </w:t>
      </w:r>
      <w:proofErr w:type="gramStart"/>
      <w:r w:rsidRPr="00CC7F97">
        <w:t>Hudson</w:t>
      </w:r>
      <w:proofErr w:type="gramEnd"/>
      <w:r w:rsidRPr="00CC7F97">
        <w:t xml:space="preserve"> and Brookman, 2008). The SARCS are set up to provide all the different support and care a victim my need from all agencies, the fact is that victims of FGM may feel more commutable in that setting and they may need legal advice and that is the only support that they are unable to access f</w:t>
      </w:r>
      <w:r w:rsidR="00CC7F97" w:rsidRPr="00CC7F97">
        <w:t>ro</w:t>
      </w:r>
      <w:r w:rsidRPr="00CC7F97">
        <w:t xml:space="preserve">m something that is supposed to be a multi-agency partnership.  Every woman’s experience of crime especially crimes of such a personal nature are experienced in different ways, meaning they may feel that justice and the recovery from that crime can also be done in </w:t>
      </w:r>
      <w:proofErr w:type="gramStart"/>
      <w:r w:rsidRPr="00CC7F97">
        <w:t>many different ways</w:t>
      </w:r>
      <w:proofErr w:type="gramEnd"/>
      <w:r w:rsidRPr="00CC7F97">
        <w:t xml:space="preserve"> (Hester and Lilley, 2017). </w:t>
      </w:r>
      <w:proofErr w:type="gramStart"/>
      <w:r w:rsidRPr="00CC7F97">
        <w:t xml:space="preserve">This </w:t>
      </w:r>
      <w:r w:rsidR="00CC7F97" w:rsidRPr="00CC7F97">
        <w:t xml:space="preserve">is </w:t>
      </w:r>
      <w:r w:rsidRPr="00CC7F97">
        <w:t>why</w:t>
      </w:r>
      <w:proofErr w:type="gramEnd"/>
      <w:r w:rsidRPr="00CC7F97">
        <w:t xml:space="preserve"> the criminal justice system needs to be set up to support those who are the most vulnerable victims, but also to understand and aid those who seek support in different ways such as National FGM support clinics and SARC. </w:t>
      </w:r>
      <w:proofErr w:type="gramStart"/>
      <w:r w:rsidRPr="00CC7F97">
        <w:t>In order for</w:t>
      </w:r>
      <w:proofErr w:type="gramEnd"/>
      <w:r w:rsidRPr="00CC7F97">
        <w:t xml:space="preserve"> the criminal justice system to not fail any vulnerable victim they need to understand that support may come in all different forms, and that a multi-agency approach in a community may be what they need to help them better understand the crime and the needs of the vulnerable victim (Lovett, Regan and Kelly, 2004</w:t>
      </w:r>
      <w:r w:rsidR="00C47869" w:rsidRPr="00CC7F97">
        <w:t>).</w:t>
      </w:r>
      <w:r w:rsidRPr="00CC7F97">
        <w:t xml:space="preserve"> </w:t>
      </w:r>
    </w:p>
    <w:p w14:paraId="2EBC7A7B" w14:textId="0FB38878" w:rsidR="00C47869" w:rsidRPr="00CC7F97" w:rsidRDefault="00C47869" w:rsidP="00250695">
      <w:pPr>
        <w:spacing w:line="360" w:lineRule="auto"/>
      </w:pPr>
    </w:p>
    <w:p w14:paraId="75871784" w14:textId="51A0FF5D" w:rsidR="00C47869" w:rsidRDefault="00C47869" w:rsidP="00250695">
      <w:pPr>
        <w:spacing w:line="360" w:lineRule="auto"/>
      </w:pPr>
      <w:r w:rsidRPr="00CC7F97">
        <w:t>The criminal justice system fails to understand what victims of FGM want at a community level and then fails to support them at a criminal level.  Cases of FGM are hard to prosecute that is a fact but the criminal justice system fails to understand that this is not its only role when it comes to supporting vulnerable victims</w:t>
      </w:r>
      <w:r w:rsidR="00CC7F97" w:rsidRPr="00CC7F97">
        <w:t xml:space="preserve"> (</w:t>
      </w:r>
      <w:proofErr w:type="spellStart"/>
      <w:r w:rsidR="00CC7F97" w:rsidRPr="00CC7F97">
        <w:t>Burrage</w:t>
      </w:r>
      <w:proofErr w:type="spellEnd"/>
      <w:r w:rsidR="00CC7F97" w:rsidRPr="00CC7F97">
        <w:t>, 2016)</w:t>
      </w:r>
      <w:r w:rsidRPr="00CC7F97">
        <w:t xml:space="preserve">. Supporting victims through the Victims Code as well as in other community run settings will garner trust and for the police to be able to do their job that is what’s needed eventually to gain the convictions that </w:t>
      </w:r>
      <w:r w:rsidRPr="00CC7F97">
        <w:lastRenderedPageBreak/>
        <w:t>they are desperate for</w:t>
      </w:r>
      <w:r w:rsidR="00CC7F97" w:rsidRPr="00CC7F97">
        <w:t xml:space="preserve"> (Gerry, 2021)</w:t>
      </w:r>
      <w:r w:rsidRPr="00CC7F97">
        <w:t xml:space="preserve">. The </w:t>
      </w:r>
      <w:r w:rsidR="00CC7F97" w:rsidRPr="00CC7F97">
        <w:t>G</w:t>
      </w:r>
      <w:r w:rsidRPr="00CC7F97">
        <w:t xml:space="preserve">overnment, </w:t>
      </w:r>
      <w:r w:rsidR="00CC7F97" w:rsidRPr="00CC7F97">
        <w:t>C</w:t>
      </w:r>
      <w:r w:rsidRPr="00CC7F97">
        <w:t xml:space="preserve">rown </w:t>
      </w:r>
      <w:r w:rsidR="00CC7F97" w:rsidRPr="00CC7F97">
        <w:t>P</w:t>
      </w:r>
      <w:r w:rsidRPr="00CC7F97">
        <w:t xml:space="preserve">rosecution </w:t>
      </w:r>
      <w:r w:rsidR="00CC7F97" w:rsidRPr="00CC7F97">
        <w:t>S</w:t>
      </w:r>
      <w:r w:rsidRPr="00CC7F97">
        <w:t xml:space="preserve">ervice, </w:t>
      </w:r>
      <w:proofErr w:type="gramStart"/>
      <w:r w:rsidRPr="00CC7F97">
        <w:t>courts</w:t>
      </w:r>
      <w:proofErr w:type="gramEnd"/>
      <w:r w:rsidRPr="00CC7F97">
        <w:t xml:space="preserve"> and police need to start listening to the communities of these vulnerable victims and understanding what is happening to them not thinking what happens to them in a criminal sense. With the low number of prosecutions and criminal cases, the police and criminal justice system need to learn from these what went wrong and what they can do better to support vulnerable victims as they are currently not being</w:t>
      </w:r>
      <w:r w:rsidR="00CC7F97" w:rsidRPr="00CC7F97">
        <w:t xml:space="preserve"> (Gaffney-Rhys, 2019)</w:t>
      </w:r>
      <w:r w:rsidRPr="00CC7F97">
        <w:t>.</w:t>
      </w:r>
      <w:r>
        <w:t xml:space="preserve"> </w:t>
      </w:r>
    </w:p>
    <w:p w14:paraId="39C7CA06" w14:textId="1AC6A770" w:rsidR="00E5252A" w:rsidRDefault="00E5252A" w:rsidP="00250695">
      <w:pPr>
        <w:spacing w:line="360" w:lineRule="auto"/>
      </w:pPr>
    </w:p>
    <w:p w14:paraId="52123E9D" w14:textId="20F8FF74" w:rsidR="00CC7F97" w:rsidRDefault="00CC7F97" w:rsidP="00250695">
      <w:pPr>
        <w:spacing w:line="360" w:lineRule="auto"/>
      </w:pPr>
    </w:p>
    <w:p w14:paraId="0B6CC6A2" w14:textId="670CDEE2" w:rsidR="00CC7F97" w:rsidRDefault="00CC7F97" w:rsidP="00250695">
      <w:pPr>
        <w:spacing w:line="360" w:lineRule="auto"/>
      </w:pPr>
    </w:p>
    <w:p w14:paraId="73CF807B" w14:textId="7A80DC9A" w:rsidR="00CC7F97" w:rsidRDefault="00CC7F97" w:rsidP="00250695">
      <w:pPr>
        <w:spacing w:line="360" w:lineRule="auto"/>
      </w:pPr>
    </w:p>
    <w:p w14:paraId="3C9BEBC5" w14:textId="44B0A6BA" w:rsidR="00CC7F97" w:rsidRDefault="00CC7F97" w:rsidP="00250695">
      <w:pPr>
        <w:spacing w:line="360" w:lineRule="auto"/>
      </w:pPr>
    </w:p>
    <w:p w14:paraId="47F91652" w14:textId="39DA1F15" w:rsidR="00CC7F97" w:rsidRDefault="00CC7F97" w:rsidP="00250695">
      <w:pPr>
        <w:spacing w:line="360" w:lineRule="auto"/>
      </w:pPr>
    </w:p>
    <w:p w14:paraId="7FE7338E" w14:textId="63B1C100" w:rsidR="00CC7F97" w:rsidRDefault="00CC7F97" w:rsidP="00250695">
      <w:pPr>
        <w:spacing w:line="360" w:lineRule="auto"/>
      </w:pPr>
    </w:p>
    <w:p w14:paraId="354604ED" w14:textId="5A37CF76" w:rsidR="00CC7F97" w:rsidRDefault="00CC7F97" w:rsidP="00250695">
      <w:pPr>
        <w:spacing w:line="360" w:lineRule="auto"/>
      </w:pPr>
    </w:p>
    <w:p w14:paraId="2A1EDA21" w14:textId="7CA2EBEB" w:rsidR="00CC7F97" w:rsidRDefault="00CC7F97" w:rsidP="00250695">
      <w:pPr>
        <w:spacing w:line="360" w:lineRule="auto"/>
      </w:pPr>
    </w:p>
    <w:p w14:paraId="11417E99" w14:textId="18A28089" w:rsidR="00CC7F97" w:rsidRDefault="00CC7F97" w:rsidP="00250695">
      <w:pPr>
        <w:spacing w:line="360" w:lineRule="auto"/>
      </w:pPr>
    </w:p>
    <w:p w14:paraId="2D29D027" w14:textId="38232D7A" w:rsidR="00CC7F97" w:rsidRDefault="00CC7F97" w:rsidP="00250695">
      <w:pPr>
        <w:spacing w:line="360" w:lineRule="auto"/>
      </w:pPr>
    </w:p>
    <w:p w14:paraId="38947BD6" w14:textId="335F8467" w:rsidR="00CC7F97" w:rsidRDefault="00CC7F97" w:rsidP="00250695">
      <w:pPr>
        <w:spacing w:line="360" w:lineRule="auto"/>
      </w:pPr>
    </w:p>
    <w:p w14:paraId="72673E14" w14:textId="7DC57D39" w:rsidR="00CC7F97" w:rsidRDefault="00CC7F97" w:rsidP="00250695">
      <w:pPr>
        <w:spacing w:line="360" w:lineRule="auto"/>
      </w:pPr>
    </w:p>
    <w:p w14:paraId="1C61EC92" w14:textId="73BD5010" w:rsidR="00CC7F97" w:rsidRDefault="00CC7F97" w:rsidP="00250695">
      <w:pPr>
        <w:spacing w:line="360" w:lineRule="auto"/>
      </w:pPr>
    </w:p>
    <w:p w14:paraId="40B56A67" w14:textId="0ABFBD2D" w:rsidR="00CC7F97" w:rsidRDefault="00CC7F97" w:rsidP="00250695">
      <w:pPr>
        <w:spacing w:line="360" w:lineRule="auto"/>
      </w:pPr>
    </w:p>
    <w:p w14:paraId="78C90CF5" w14:textId="54031A40" w:rsidR="00CC7F97" w:rsidRDefault="00CC7F97" w:rsidP="00250695">
      <w:pPr>
        <w:spacing w:line="360" w:lineRule="auto"/>
      </w:pPr>
    </w:p>
    <w:p w14:paraId="1612DDD9" w14:textId="6CD58414" w:rsidR="00CC7F97" w:rsidRDefault="00CC7F97" w:rsidP="00250695">
      <w:pPr>
        <w:spacing w:line="360" w:lineRule="auto"/>
      </w:pPr>
    </w:p>
    <w:p w14:paraId="5638E096" w14:textId="5F0CB4EE" w:rsidR="00CC7F97" w:rsidRDefault="00CC7F97" w:rsidP="00250695">
      <w:pPr>
        <w:spacing w:line="360" w:lineRule="auto"/>
      </w:pPr>
    </w:p>
    <w:p w14:paraId="0585F185" w14:textId="7E8F33BC" w:rsidR="00CC7F97" w:rsidRDefault="00CC7F97" w:rsidP="00250695">
      <w:pPr>
        <w:spacing w:line="360" w:lineRule="auto"/>
      </w:pPr>
    </w:p>
    <w:p w14:paraId="56C0AAE2" w14:textId="3868760C" w:rsidR="00CC7F97" w:rsidRDefault="00CC7F97" w:rsidP="00250695">
      <w:pPr>
        <w:spacing w:line="360" w:lineRule="auto"/>
      </w:pPr>
    </w:p>
    <w:p w14:paraId="1A856AF3" w14:textId="0B64B5C9" w:rsidR="00CC7F97" w:rsidRDefault="00CC7F97" w:rsidP="00250695">
      <w:pPr>
        <w:spacing w:line="360" w:lineRule="auto"/>
      </w:pPr>
    </w:p>
    <w:p w14:paraId="319E9AC4" w14:textId="2CA41444" w:rsidR="00CC7F97" w:rsidRDefault="00CC7F97" w:rsidP="00250695">
      <w:pPr>
        <w:spacing w:line="360" w:lineRule="auto"/>
      </w:pPr>
    </w:p>
    <w:p w14:paraId="2DAA3DFC" w14:textId="7718B8BF" w:rsidR="00CC7F97" w:rsidRDefault="00CC7F97" w:rsidP="00250695">
      <w:pPr>
        <w:spacing w:line="360" w:lineRule="auto"/>
      </w:pPr>
    </w:p>
    <w:p w14:paraId="0A746D2D" w14:textId="2F8D1F81" w:rsidR="00CC7F97" w:rsidRDefault="00CC7F97" w:rsidP="00250695">
      <w:pPr>
        <w:spacing w:line="360" w:lineRule="auto"/>
      </w:pPr>
    </w:p>
    <w:p w14:paraId="53FE6EA1" w14:textId="62E6FD5D" w:rsidR="00CC7F97" w:rsidRDefault="00CC7F97" w:rsidP="00250695">
      <w:pPr>
        <w:spacing w:line="360" w:lineRule="auto"/>
      </w:pPr>
    </w:p>
    <w:p w14:paraId="5292C1AF" w14:textId="631D3BCD" w:rsidR="00CC7F97" w:rsidRDefault="00CC7F97" w:rsidP="00250695">
      <w:pPr>
        <w:spacing w:line="360" w:lineRule="auto"/>
      </w:pPr>
    </w:p>
    <w:p w14:paraId="738C1085" w14:textId="59BB6139" w:rsidR="00CC7F97" w:rsidRDefault="00CC7F97" w:rsidP="00250695">
      <w:pPr>
        <w:spacing w:line="360" w:lineRule="auto"/>
        <w:rPr>
          <w:u w:val="single"/>
        </w:rPr>
      </w:pPr>
      <w:r w:rsidRPr="00CC7F97">
        <w:rPr>
          <w:u w:val="single"/>
        </w:rPr>
        <w:lastRenderedPageBreak/>
        <w:t xml:space="preserve">Reference list </w:t>
      </w:r>
    </w:p>
    <w:p w14:paraId="7CCD0D57" w14:textId="77777777" w:rsidR="00CC7F97" w:rsidRPr="00CC7F97" w:rsidRDefault="00CC7F97" w:rsidP="00CC7F97">
      <w:pPr>
        <w:spacing w:line="360" w:lineRule="auto"/>
      </w:pPr>
      <w:proofErr w:type="spellStart"/>
      <w:r w:rsidRPr="00CC7F97">
        <w:t>Berer</w:t>
      </w:r>
      <w:proofErr w:type="spellEnd"/>
      <w:r w:rsidRPr="00CC7F97">
        <w:t xml:space="preserve">, M. (2015) ‘The History and Role of the Criminal Law in Anti-FGM Campaigns: Is the Criminal Law What is Needed, at Least on Countries Like Great Britain?’, </w:t>
      </w:r>
      <w:proofErr w:type="spellStart"/>
      <w:r w:rsidRPr="00CC7F97">
        <w:rPr>
          <w:i/>
          <w:iCs/>
        </w:rPr>
        <w:t>Reprod</w:t>
      </w:r>
      <w:proofErr w:type="spellEnd"/>
      <w:r w:rsidRPr="00CC7F97">
        <w:rPr>
          <w:i/>
          <w:iCs/>
        </w:rPr>
        <w:t xml:space="preserve"> Health Matters, </w:t>
      </w:r>
      <w:r w:rsidRPr="00CC7F97">
        <w:t>23(46), pp.146-157. DOI: 10.1016/j.rhm.2015.10.001.</w:t>
      </w:r>
    </w:p>
    <w:p w14:paraId="6185B8D7" w14:textId="77777777" w:rsidR="00CC7F97" w:rsidRPr="00CC7F97" w:rsidRDefault="00CC7F97" w:rsidP="00CC7F97">
      <w:pPr>
        <w:spacing w:line="360" w:lineRule="auto"/>
      </w:pPr>
    </w:p>
    <w:p w14:paraId="62110238" w14:textId="77777777" w:rsidR="00CC7F97" w:rsidRPr="00CC7F97" w:rsidRDefault="00CC7F97" w:rsidP="00CC7F97">
      <w:pPr>
        <w:spacing w:line="360" w:lineRule="auto"/>
      </w:pPr>
      <w:proofErr w:type="spellStart"/>
      <w:r w:rsidRPr="00CC7F97">
        <w:t>Berer</w:t>
      </w:r>
      <w:proofErr w:type="spellEnd"/>
      <w:r w:rsidRPr="00CC7F97">
        <w:t xml:space="preserve">, M. (2019) ‘Prosecution of Female Genital Mutilation in the United Kingdom: Injustice at the Intersection of Good Public Health Intersections and the Criminal Law’, </w:t>
      </w:r>
      <w:r w:rsidRPr="00CC7F97">
        <w:rPr>
          <w:i/>
          <w:iCs/>
        </w:rPr>
        <w:t xml:space="preserve">Medical Law International, </w:t>
      </w:r>
      <w:r w:rsidRPr="00CC7F97">
        <w:t xml:space="preserve">19(4), pp.258-281. DOI: </w:t>
      </w:r>
      <w:hyperlink r:id="rId6" w:history="1">
        <w:r w:rsidRPr="00CC7F97">
          <w:rPr>
            <w:rStyle w:val="Hyperlink"/>
            <w:u w:val="none"/>
          </w:rPr>
          <w:t>10.1177/0968533220914070</w:t>
        </w:r>
      </w:hyperlink>
    </w:p>
    <w:p w14:paraId="418F10AF" w14:textId="77777777" w:rsidR="00CC7F97" w:rsidRPr="00CC7F97" w:rsidRDefault="00CC7F97" w:rsidP="00CC7F97">
      <w:pPr>
        <w:spacing w:line="360" w:lineRule="auto"/>
      </w:pPr>
    </w:p>
    <w:p w14:paraId="287FEA75" w14:textId="77777777" w:rsidR="00CC7F97" w:rsidRPr="00CC7F97" w:rsidRDefault="00CC7F97" w:rsidP="00CC7F97">
      <w:pPr>
        <w:spacing w:line="360" w:lineRule="auto"/>
      </w:pPr>
      <w:r w:rsidRPr="00CC7F97">
        <w:t xml:space="preserve">Bryant, R. and Bryant, S. (2018) </w:t>
      </w:r>
      <w:r w:rsidRPr="00CC7F97">
        <w:rPr>
          <w:i/>
          <w:iCs/>
        </w:rPr>
        <w:t xml:space="preserve">Blackstone’s Handbook for Policing Students 2019. </w:t>
      </w:r>
      <w:r w:rsidRPr="00CC7F97">
        <w:t>13</w:t>
      </w:r>
      <w:r w:rsidRPr="00CC7F97">
        <w:rPr>
          <w:vertAlign w:val="superscript"/>
        </w:rPr>
        <w:t>th</w:t>
      </w:r>
      <w:r w:rsidRPr="00CC7F97">
        <w:t xml:space="preserve"> </w:t>
      </w:r>
      <w:proofErr w:type="spellStart"/>
      <w:r w:rsidRPr="00CC7F97">
        <w:t>edn</w:t>
      </w:r>
      <w:proofErr w:type="spellEnd"/>
      <w:r w:rsidRPr="00CC7F97">
        <w:t xml:space="preserve">. Oxford: Oxford University Press. </w:t>
      </w:r>
    </w:p>
    <w:p w14:paraId="4E525F06" w14:textId="77777777" w:rsidR="00CC7F97" w:rsidRPr="00CC7F97" w:rsidRDefault="00CC7F97" w:rsidP="00CC7F97">
      <w:pPr>
        <w:spacing w:line="360" w:lineRule="auto"/>
      </w:pPr>
    </w:p>
    <w:p w14:paraId="49143ED3" w14:textId="77777777" w:rsidR="00CC7F97" w:rsidRPr="00CC7F97" w:rsidRDefault="00CC7F97" w:rsidP="00CC7F97">
      <w:pPr>
        <w:spacing w:line="360" w:lineRule="auto"/>
      </w:pPr>
      <w:proofErr w:type="spellStart"/>
      <w:r w:rsidRPr="00CC7F97">
        <w:t>Burrage</w:t>
      </w:r>
      <w:proofErr w:type="spellEnd"/>
      <w:r w:rsidRPr="00CC7F97">
        <w:t xml:space="preserve">, H. (2016) </w:t>
      </w:r>
      <w:r w:rsidRPr="00CC7F97">
        <w:rPr>
          <w:i/>
          <w:iCs/>
        </w:rPr>
        <w:t xml:space="preserve">Eradicating Female Genital Mutilation A UK Perspective. </w:t>
      </w:r>
      <w:r w:rsidRPr="00CC7F97">
        <w:t xml:space="preserve">Oxon: Routledge. </w:t>
      </w:r>
    </w:p>
    <w:p w14:paraId="28BAEFBB" w14:textId="77777777" w:rsidR="00CC7F97" w:rsidRPr="00CC7F97" w:rsidRDefault="00CC7F97" w:rsidP="00CC7F97">
      <w:pPr>
        <w:spacing w:line="360" w:lineRule="auto"/>
      </w:pPr>
    </w:p>
    <w:p w14:paraId="268BB2ED" w14:textId="77777777" w:rsidR="00CC7F97" w:rsidRPr="00CC7F97" w:rsidRDefault="00CC7F97" w:rsidP="00CC7F97">
      <w:pPr>
        <w:spacing w:line="360" w:lineRule="auto"/>
      </w:pPr>
      <w:r w:rsidRPr="00CC7F97">
        <w:t xml:space="preserve">Burton, M., Evans, R. and Sanders, A. (2007) ‘Vulnerable and Intimidated Witnesses and the Adversarial Process in England and Wales’, </w:t>
      </w:r>
      <w:r w:rsidRPr="00CC7F97">
        <w:rPr>
          <w:i/>
          <w:iCs/>
        </w:rPr>
        <w:t xml:space="preserve">The International Journal of Evidence and Proof, </w:t>
      </w:r>
      <w:r w:rsidRPr="00CC7F97">
        <w:t xml:space="preserve">11(1), pp.1-23. DOI: </w:t>
      </w:r>
      <w:hyperlink r:id="rId7" w:history="1">
        <w:r w:rsidRPr="00CC7F97">
          <w:rPr>
            <w:rStyle w:val="Hyperlink"/>
            <w:u w:val="none"/>
          </w:rPr>
          <w:t>10.1350/ijep.2006.11.1.1</w:t>
        </w:r>
      </w:hyperlink>
      <w:r w:rsidRPr="00CC7F97">
        <w:t xml:space="preserve">. </w:t>
      </w:r>
    </w:p>
    <w:p w14:paraId="585BE757" w14:textId="77777777" w:rsidR="00CC7F97" w:rsidRPr="00CC7F97" w:rsidRDefault="00CC7F97" w:rsidP="00CC7F97">
      <w:pPr>
        <w:spacing w:line="360" w:lineRule="auto"/>
      </w:pPr>
    </w:p>
    <w:p w14:paraId="58C6EC1D" w14:textId="77777777" w:rsidR="00CC7F97" w:rsidRPr="00CC7F97" w:rsidRDefault="00CC7F97" w:rsidP="00CC7F97">
      <w:pPr>
        <w:spacing w:line="360" w:lineRule="auto"/>
      </w:pPr>
      <w:r w:rsidRPr="00CC7F97">
        <w:t xml:space="preserve">Christou, T. and Fowles, S. (2015) ‘Failure to Protect Girls from Female Genital Mutilation’, </w:t>
      </w:r>
      <w:r w:rsidRPr="00CC7F97">
        <w:rPr>
          <w:i/>
          <w:iCs/>
        </w:rPr>
        <w:t xml:space="preserve">The Journal of Criminal Law, </w:t>
      </w:r>
      <w:r w:rsidRPr="00CC7F97">
        <w:t>79(5), pp.344-357. DOI:10.1177/0022018315603593.</w:t>
      </w:r>
    </w:p>
    <w:p w14:paraId="625D09DF" w14:textId="77777777" w:rsidR="00CC7F97" w:rsidRPr="00CC7F97" w:rsidRDefault="00CC7F97" w:rsidP="00CC7F97">
      <w:pPr>
        <w:spacing w:line="360" w:lineRule="auto"/>
      </w:pPr>
    </w:p>
    <w:p w14:paraId="26509B16" w14:textId="77777777" w:rsidR="00CC7F97" w:rsidRPr="00CC7F97" w:rsidRDefault="00CC7F97" w:rsidP="00CC7F97">
      <w:pPr>
        <w:spacing w:line="360" w:lineRule="auto"/>
      </w:pPr>
      <w:r w:rsidRPr="00CC7F97">
        <w:t xml:space="preserve">Cook, K. (2016) ‘Female Genital Mutilation in the UK Population: A Serious Crime’, </w:t>
      </w:r>
      <w:r w:rsidRPr="00CC7F97">
        <w:rPr>
          <w:i/>
          <w:iCs/>
        </w:rPr>
        <w:t xml:space="preserve">The Journal of Criminal Law, </w:t>
      </w:r>
      <w:r w:rsidRPr="00CC7F97">
        <w:t xml:space="preserve">80(2), pp.88-96. DOI:10.1177/0022018316639092. </w:t>
      </w:r>
    </w:p>
    <w:p w14:paraId="7D5A641E" w14:textId="77777777" w:rsidR="00CC7F97" w:rsidRPr="00CC7F97" w:rsidRDefault="00CC7F97" w:rsidP="00CC7F97">
      <w:pPr>
        <w:spacing w:line="360" w:lineRule="auto"/>
      </w:pPr>
    </w:p>
    <w:p w14:paraId="0FBFDDE5" w14:textId="77777777" w:rsidR="00CC7F97" w:rsidRPr="00CC7F97" w:rsidRDefault="00CC7F97" w:rsidP="00CC7F97">
      <w:pPr>
        <w:spacing w:line="360" w:lineRule="auto"/>
      </w:pPr>
      <w:r w:rsidRPr="00CC7F97">
        <w:t xml:space="preserve">Crown Prosecution Service (2021) </w:t>
      </w:r>
      <w:r w:rsidRPr="00CC7F97">
        <w:rPr>
          <w:i/>
          <w:iCs/>
        </w:rPr>
        <w:t xml:space="preserve">Female Genital Mutilation, </w:t>
      </w:r>
      <w:r w:rsidRPr="00CC7F97">
        <w:t xml:space="preserve">Available at: </w:t>
      </w:r>
      <w:hyperlink r:id="rId8" w:history="1">
        <w:r w:rsidRPr="00CC7F97">
          <w:rPr>
            <w:rStyle w:val="Hyperlink"/>
            <w:u w:val="none"/>
          </w:rPr>
          <w:t>https://www.cps.gov.uk/legal-guidance/female-genital-mutilation</w:t>
        </w:r>
      </w:hyperlink>
      <w:r w:rsidRPr="00CC7F97">
        <w:t xml:space="preserve"> (Accessed: 8</w:t>
      </w:r>
      <w:r w:rsidRPr="00CC7F97">
        <w:rPr>
          <w:vertAlign w:val="superscript"/>
        </w:rPr>
        <w:t>th</w:t>
      </w:r>
      <w:r w:rsidRPr="00CC7F97">
        <w:t xml:space="preserve"> March 2022). </w:t>
      </w:r>
    </w:p>
    <w:p w14:paraId="4EB04B92" w14:textId="77777777" w:rsidR="00CC7F97" w:rsidRPr="00CC7F97" w:rsidRDefault="00CC7F97" w:rsidP="00CC7F97">
      <w:pPr>
        <w:spacing w:line="360" w:lineRule="auto"/>
      </w:pPr>
    </w:p>
    <w:p w14:paraId="5C4FEE6A" w14:textId="77777777" w:rsidR="00CC7F97" w:rsidRPr="00CC7F97" w:rsidRDefault="00CC7F97" w:rsidP="00CC7F97">
      <w:pPr>
        <w:spacing w:line="360" w:lineRule="auto"/>
      </w:pPr>
      <w:r w:rsidRPr="00CC7F97">
        <w:t xml:space="preserve">Crown Prosecution Service. (2019) </w:t>
      </w:r>
      <w:r w:rsidRPr="00CC7F97">
        <w:rPr>
          <w:i/>
          <w:iCs/>
        </w:rPr>
        <w:t xml:space="preserve">Violence Against Women and Girls Report 2018-19. </w:t>
      </w:r>
      <w:r w:rsidRPr="00CC7F97">
        <w:t xml:space="preserve">Available at: </w:t>
      </w:r>
      <w:hyperlink r:id="rId9" w:history="1">
        <w:r w:rsidRPr="00CC7F97">
          <w:rPr>
            <w:rStyle w:val="Hyperlink"/>
            <w:u w:val="none"/>
          </w:rPr>
          <w:t>https://www.cps.gov.uk/sites/default/files/documents/publications/cps-vawg-report-2019.pdf</w:t>
        </w:r>
      </w:hyperlink>
      <w:r w:rsidRPr="00CC7F97">
        <w:t xml:space="preserve"> (Accessed: 9</w:t>
      </w:r>
      <w:r w:rsidRPr="00CC7F97">
        <w:rPr>
          <w:vertAlign w:val="superscript"/>
        </w:rPr>
        <w:t>th</w:t>
      </w:r>
      <w:r w:rsidRPr="00CC7F97">
        <w:t xml:space="preserve"> March 2022). </w:t>
      </w:r>
    </w:p>
    <w:p w14:paraId="017A3233" w14:textId="77777777" w:rsidR="00CC7F97" w:rsidRPr="00CC7F97" w:rsidRDefault="00CC7F97" w:rsidP="00CC7F97">
      <w:pPr>
        <w:spacing w:line="360" w:lineRule="auto"/>
      </w:pPr>
    </w:p>
    <w:p w14:paraId="47E49243" w14:textId="77777777" w:rsidR="00CC7F97" w:rsidRPr="00CC7F97" w:rsidRDefault="00CC7F97" w:rsidP="00CC7F97">
      <w:pPr>
        <w:spacing w:line="360" w:lineRule="auto"/>
      </w:pPr>
      <w:r w:rsidRPr="00CC7F97">
        <w:t xml:space="preserve">Earp, B. (2020) ‘Zero Tolerance for Genital Mutilation: A Review of Moral Justifications’, </w:t>
      </w:r>
      <w:r w:rsidRPr="00CC7F97">
        <w:rPr>
          <w:i/>
          <w:iCs/>
        </w:rPr>
        <w:t xml:space="preserve">Current Sexual Health Reports, </w:t>
      </w:r>
      <w:r w:rsidRPr="00CC7F97">
        <w:t>12(4), pp.276-288. DOI: 10.1007/s11930-020-002860.</w:t>
      </w:r>
    </w:p>
    <w:p w14:paraId="26CBF5F9" w14:textId="77777777" w:rsidR="00CC7F97" w:rsidRPr="00CC7F97" w:rsidRDefault="00CC7F97" w:rsidP="00CC7F97">
      <w:pPr>
        <w:spacing w:line="360" w:lineRule="auto"/>
      </w:pPr>
    </w:p>
    <w:p w14:paraId="79A82A65" w14:textId="77777777" w:rsidR="00CC7F97" w:rsidRPr="00CC7F97" w:rsidRDefault="00CC7F97" w:rsidP="00CC7F97">
      <w:pPr>
        <w:spacing w:line="360" w:lineRule="auto"/>
      </w:pPr>
      <w:r w:rsidRPr="00CC7F97">
        <w:t xml:space="preserve">Gaffney-Rhys, R. (2019) ‘Female Genital Mutilation: The Law in England and Wales from a Human Rights Perspective’, </w:t>
      </w:r>
      <w:r w:rsidRPr="00CC7F97">
        <w:rPr>
          <w:i/>
          <w:iCs/>
        </w:rPr>
        <w:t xml:space="preserve">The International Journal of Human Rights, </w:t>
      </w:r>
      <w:r w:rsidRPr="00CC7F97">
        <w:t xml:space="preserve">24(4), pp. 457-482. DOI: </w:t>
      </w:r>
      <w:hyperlink r:id="rId10" w:history="1">
        <w:r w:rsidRPr="00CC7F97">
          <w:rPr>
            <w:rStyle w:val="Hyperlink"/>
            <w:u w:val="none"/>
          </w:rPr>
          <w:t>10.1080/13642987.2019.1646249</w:t>
        </w:r>
      </w:hyperlink>
      <w:r w:rsidRPr="00CC7F97">
        <w:t>.</w:t>
      </w:r>
    </w:p>
    <w:p w14:paraId="436F55D5" w14:textId="77777777" w:rsidR="00CC7F97" w:rsidRPr="00CC7F97" w:rsidRDefault="00CC7F97" w:rsidP="00CC7F97">
      <w:pPr>
        <w:spacing w:line="360" w:lineRule="auto"/>
      </w:pPr>
    </w:p>
    <w:p w14:paraId="213CB103" w14:textId="77777777" w:rsidR="00CC7F97" w:rsidRPr="00CC7F97" w:rsidRDefault="00CC7F97" w:rsidP="00CC7F97">
      <w:pPr>
        <w:spacing w:line="360" w:lineRule="auto"/>
      </w:pPr>
      <w:proofErr w:type="spellStart"/>
      <w:r w:rsidRPr="00CC7F97">
        <w:t>Gangoli</w:t>
      </w:r>
      <w:proofErr w:type="spellEnd"/>
      <w:r w:rsidRPr="00CC7F97">
        <w:t xml:space="preserve">, G. </w:t>
      </w:r>
      <w:r w:rsidRPr="00CC7F97">
        <w:rPr>
          <w:i/>
          <w:iCs/>
        </w:rPr>
        <w:t xml:space="preserve">et. al. </w:t>
      </w:r>
      <w:r w:rsidRPr="00CC7F97">
        <w:t xml:space="preserve">(2018) ‘Perception and Barriers: Reporting Female Genital Mutilation’, </w:t>
      </w:r>
      <w:r w:rsidRPr="00CC7F97">
        <w:rPr>
          <w:i/>
          <w:iCs/>
        </w:rPr>
        <w:t xml:space="preserve">Journal of Aggression, Conflict and Peace Research, </w:t>
      </w:r>
      <w:r w:rsidRPr="00CC7F97">
        <w:t xml:space="preserve">10(4), pp. 251-260. DOI: </w:t>
      </w:r>
      <w:hyperlink r:id="rId11" w:tooltip="DOI: https://doi.org/10.1108/JACPR-09-2017-0323" w:history="1">
        <w:r w:rsidRPr="00CC7F97">
          <w:rPr>
            <w:rStyle w:val="Hyperlink"/>
            <w:u w:val="none"/>
          </w:rPr>
          <w:t>10.1108/JACPR-09-2017-0323</w:t>
        </w:r>
      </w:hyperlink>
      <w:r w:rsidRPr="00CC7F97">
        <w:t>.</w:t>
      </w:r>
    </w:p>
    <w:p w14:paraId="305F7165" w14:textId="77777777" w:rsidR="00CC7F97" w:rsidRPr="00CC7F97" w:rsidRDefault="00CC7F97" w:rsidP="00CC7F97">
      <w:pPr>
        <w:spacing w:line="360" w:lineRule="auto"/>
      </w:pPr>
    </w:p>
    <w:p w14:paraId="588DF719" w14:textId="77777777" w:rsidR="00CC7F97" w:rsidRPr="00CC7F97" w:rsidRDefault="00CC7F97" w:rsidP="00CC7F97">
      <w:pPr>
        <w:spacing w:line="360" w:lineRule="auto"/>
      </w:pPr>
      <w:r w:rsidRPr="00CC7F97">
        <w:t xml:space="preserve">Gerry, F. </w:t>
      </w:r>
      <w:r w:rsidRPr="00CC7F97">
        <w:rPr>
          <w:i/>
          <w:iCs/>
        </w:rPr>
        <w:t xml:space="preserve">et. al. </w:t>
      </w:r>
      <w:r w:rsidRPr="00CC7F97">
        <w:t xml:space="preserve">(2021) ‘Widespread Concerns Still Exist in Relation to Discrimination Towards Women and Girls and FGM’, </w:t>
      </w:r>
      <w:r w:rsidRPr="00CC7F97">
        <w:rPr>
          <w:i/>
          <w:iCs/>
        </w:rPr>
        <w:t xml:space="preserve">Archives of Disease in Childhood, </w:t>
      </w:r>
      <w:r w:rsidRPr="00CC7F97">
        <w:t xml:space="preserve">106(9), pp. 929. DOI: </w:t>
      </w:r>
      <w:hyperlink r:id="rId12" w:tgtFrame="_new" w:history="1">
        <w:r w:rsidRPr="00CC7F97">
          <w:rPr>
            <w:rStyle w:val="Hyperlink"/>
            <w:u w:val="none"/>
          </w:rPr>
          <w:t>10.1136/archdischild-2020-321187</w:t>
        </w:r>
      </w:hyperlink>
      <w:r w:rsidRPr="00CC7F97">
        <w:t>.</w:t>
      </w:r>
    </w:p>
    <w:p w14:paraId="594D57E4" w14:textId="77777777" w:rsidR="00CC7F97" w:rsidRPr="00CC7F97" w:rsidRDefault="00CC7F97" w:rsidP="00CC7F97">
      <w:pPr>
        <w:spacing w:line="360" w:lineRule="auto"/>
      </w:pPr>
    </w:p>
    <w:p w14:paraId="0731AF8E" w14:textId="77777777" w:rsidR="00CC7F97" w:rsidRPr="00CC7F97" w:rsidRDefault="00CC7F97" w:rsidP="00CC7F97">
      <w:pPr>
        <w:spacing w:line="360" w:lineRule="auto"/>
      </w:pPr>
      <w:r w:rsidRPr="00CC7F97">
        <w:t xml:space="preserve">Gill, A., Cox, P. and Weir, R. (2018) ‘Shaping Priority Services for UK Victims of Honour Based Violence/Abuse, Forced Marriage and Female Genital Mutilation’, </w:t>
      </w:r>
      <w:r w:rsidRPr="00CC7F97">
        <w:rPr>
          <w:i/>
          <w:iCs/>
        </w:rPr>
        <w:t xml:space="preserve">The Howard Journal of Crime and Justice, </w:t>
      </w:r>
      <w:r w:rsidRPr="00CC7F97">
        <w:t>57(4), pp.576-595. DOI: 10.1111/hojo.12287.</w:t>
      </w:r>
    </w:p>
    <w:p w14:paraId="18289961" w14:textId="77777777" w:rsidR="00CC7F97" w:rsidRPr="00CC7F97" w:rsidRDefault="00CC7F97" w:rsidP="00CC7F97">
      <w:pPr>
        <w:spacing w:line="360" w:lineRule="auto"/>
      </w:pPr>
    </w:p>
    <w:p w14:paraId="6890D9F4" w14:textId="77777777" w:rsidR="00CC7F97" w:rsidRPr="00CC7F97" w:rsidRDefault="00CC7F97" w:rsidP="00CC7F97">
      <w:pPr>
        <w:spacing w:line="360" w:lineRule="auto"/>
      </w:pPr>
      <w:r w:rsidRPr="00CC7F97">
        <w:t>Hall, M., (2012). </w:t>
      </w:r>
      <w:r w:rsidRPr="00CC7F97">
        <w:rPr>
          <w:i/>
          <w:iCs/>
        </w:rPr>
        <w:t xml:space="preserve">Victims </w:t>
      </w:r>
      <w:proofErr w:type="gramStart"/>
      <w:r w:rsidRPr="00CC7F97">
        <w:rPr>
          <w:i/>
          <w:iCs/>
        </w:rPr>
        <w:t>Of</w:t>
      </w:r>
      <w:proofErr w:type="gramEnd"/>
      <w:r w:rsidRPr="00CC7F97">
        <w:rPr>
          <w:i/>
          <w:iCs/>
        </w:rPr>
        <w:t xml:space="preserve"> Crime: Policy And Practice In Criminal Justice</w:t>
      </w:r>
      <w:r w:rsidRPr="00CC7F97">
        <w:t>. Oxon: Routledge.</w:t>
      </w:r>
    </w:p>
    <w:p w14:paraId="18065CEE" w14:textId="77777777" w:rsidR="00CC7F97" w:rsidRPr="00CC7F97" w:rsidRDefault="00CC7F97" w:rsidP="00CC7F97">
      <w:pPr>
        <w:spacing w:line="360" w:lineRule="auto"/>
      </w:pPr>
    </w:p>
    <w:p w14:paraId="4727D088" w14:textId="77777777" w:rsidR="00CC7F97" w:rsidRPr="00CC7F97" w:rsidRDefault="00CC7F97" w:rsidP="00CC7F97">
      <w:pPr>
        <w:spacing w:line="360" w:lineRule="auto"/>
      </w:pPr>
      <w:proofErr w:type="spellStart"/>
      <w:r w:rsidRPr="00CC7F97">
        <w:t>Harrar</w:t>
      </w:r>
      <w:proofErr w:type="spellEnd"/>
      <w:r w:rsidRPr="00CC7F97">
        <w:t xml:space="preserve">, P. (2021) ‘Who’s Policing Whom? A Look into the Policing Responses to Harmful Practices and the Role of Civic Society’, </w:t>
      </w:r>
      <w:r w:rsidRPr="00CC7F97">
        <w:rPr>
          <w:i/>
          <w:iCs/>
        </w:rPr>
        <w:t xml:space="preserve">Journal of Global Faultlines, </w:t>
      </w:r>
      <w:r w:rsidRPr="00CC7F97">
        <w:t xml:space="preserve">8(1), pp.81-90. DOI: 10.13169/jglobfaul.8.1.0081. </w:t>
      </w:r>
    </w:p>
    <w:p w14:paraId="5D77C27A" w14:textId="77777777" w:rsidR="00CC7F97" w:rsidRPr="00CC7F97" w:rsidRDefault="00CC7F97" w:rsidP="00CC7F97">
      <w:pPr>
        <w:spacing w:line="360" w:lineRule="auto"/>
      </w:pPr>
    </w:p>
    <w:p w14:paraId="566CB0B0" w14:textId="77777777" w:rsidR="00CC7F97" w:rsidRPr="00CC7F97" w:rsidRDefault="00CC7F97" w:rsidP="00CC7F97">
      <w:pPr>
        <w:spacing w:line="360" w:lineRule="auto"/>
      </w:pPr>
      <w:r w:rsidRPr="00CC7F97">
        <w:t xml:space="preserve">Hester, M. and Lilley, S. (2017). ‘More than support to court’. </w:t>
      </w:r>
      <w:r w:rsidRPr="00CC7F97">
        <w:rPr>
          <w:i/>
          <w:iCs/>
        </w:rPr>
        <w:t>International Review of Victimology</w:t>
      </w:r>
      <w:r w:rsidRPr="00CC7F97">
        <w:t>, 24(3), pp.313-328.</w:t>
      </w:r>
    </w:p>
    <w:p w14:paraId="22C33F22" w14:textId="77777777" w:rsidR="00CC7F97" w:rsidRPr="00CC7F97" w:rsidRDefault="00CC7F97" w:rsidP="00CC7F97">
      <w:pPr>
        <w:spacing w:line="360" w:lineRule="auto"/>
      </w:pPr>
    </w:p>
    <w:p w14:paraId="3759C41C" w14:textId="77777777" w:rsidR="00CC7F97" w:rsidRPr="00CC7F97" w:rsidRDefault="00CC7F97" w:rsidP="00CC7F97">
      <w:pPr>
        <w:spacing w:line="360" w:lineRule="auto"/>
      </w:pPr>
      <w:r w:rsidRPr="00CC7F97">
        <w:t xml:space="preserve">Home Office. (2011) </w:t>
      </w:r>
      <w:r w:rsidRPr="00CC7F97">
        <w:rPr>
          <w:i/>
          <w:iCs/>
        </w:rPr>
        <w:t xml:space="preserve">Female Genital Mutilation (FGM) the Facts. </w:t>
      </w:r>
      <w:r w:rsidRPr="00CC7F97">
        <w:t xml:space="preserve">Available at: </w:t>
      </w:r>
      <w:hyperlink r:id="rId13" w:history="1">
        <w:r w:rsidRPr="00CC7F97">
          <w:rPr>
            <w:rStyle w:val="Hyperlink"/>
            <w:u w:val="none"/>
          </w:rPr>
          <w:t>https://assets.publishing.service.gov.uk/government/uploads/system/uploads/attachment_data/file/783684/FGM_The_Facts_A6_v4_web.pdf</w:t>
        </w:r>
      </w:hyperlink>
      <w:r w:rsidRPr="00CC7F97">
        <w:t xml:space="preserve"> (Accessed: 8</w:t>
      </w:r>
      <w:r w:rsidRPr="00CC7F97">
        <w:rPr>
          <w:vertAlign w:val="superscript"/>
        </w:rPr>
        <w:t>th</w:t>
      </w:r>
      <w:r w:rsidRPr="00CC7F97">
        <w:t xml:space="preserve"> March 2022). </w:t>
      </w:r>
    </w:p>
    <w:p w14:paraId="09C527F6" w14:textId="77777777" w:rsidR="00CC7F97" w:rsidRPr="00CC7F97" w:rsidRDefault="00CC7F97" w:rsidP="00CC7F97">
      <w:pPr>
        <w:spacing w:line="360" w:lineRule="auto"/>
      </w:pPr>
    </w:p>
    <w:p w14:paraId="6B9ACE46" w14:textId="77777777" w:rsidR="00CC7F97" w:rsidRPr="00CC7F97" w:rsidRDefault="00CC7F97" w:rsidP="00CC7F97">
      <w:pPr>
        <w:spacing w:line="360" w:lineRule="auto"/>
      </w:pPr>
      <w:r w:rsidRPr="00CC7F97">
        <w:t xml:space="preserve">Home, J. </w:t>
      </w:r>
      <w:r w:rsidRPr="00CC7F97">
        <w:rPr>
          <w:i/>
          <w:iCs/>
        </w:rPr>
        <w:t xml:space="preserve">et. al. </w:t>
      </w:r>
      <w:r w:rsidRPr="00CC7F97">
        <w:t xml:space="preserve">(2020) ‘A Review of the Law Surrounding Female Genital Mutilation Protection Orders’, </w:t>
      </w:r>
      <w:r w:rsidRPr="00CC7F97">
        <w:rPr>
          <w:i/>
          <w:iCs/>
        </w:rPr>
        <w:t xml:space="preserve">British Journal of Midwifery, </w:t>
      </w:r>
      <w:r w:rsidRPr="00CC7F97">
        <w:t xml:space="preserve">28(7), pp.418-429. DOI: </w:t>
      </w:r>
      <w:hyperlink r:id="rId14" w:history="1">
        <w:r w:rsidRPr="00CC7F97">
          <w:rPr>
            <w:rStyle w:val="Hyperlink"/>
            <w:u w:val="none"/>
          </w:rPr>
          <w:t>10.12968/bjom.2020.28.7.418</w:t>
        </w:r>
      </w:hyperlink>
      <w:r w:rsidRPr="00CC7F97">
        <w:t>.</w:t>
      </w:r>
    </w:p>
    <w:p w14:paraId="2CE83F54" w14:textId="77777777" w:rsidR="00CC7F97" w:rsidRPr="00CC7F97" w:rsidRDefault="00CC7F97" w:rsidP="00CC7F97">
      <w:pPr>
        <w:spacing w:line="360" w:lineRule="auto"/>
      </w:pPr>
    </w:p>
    <w:p w14:paraId="64D24292" w14:textId="77777777" w:rsidR="00CC7F97" w:rsidRPr="00CC7F97" w:rsidRDefault="00CC7F97" w:rsidP="00CC7F97">
      <w:pPr>
        <w:spacing w:line="360" w:lineRule="auto"/>
      </w:pPr>
      <w:r w:rsidRPr="00CC7F97">
        <w:t xml:space="preserve">Jefferson, M. (2015) ‘FGM/Cutting: Contextualising Recent Legal Developments’, </w:t>
      </w:r>
      <w:r w:rsidRPr="00CC7F97">
        <w:rPr>
          <w:i/>
          <w:iCs/>
        </w:rPr>
        <w:t xml:space="preserve">Journal of Criminal Law, </w:t>
      </w:r>
      <w:r w:rsidRPr="00CC7F97">
        <w:t xml:space="preserve">79(6), pp.411-421. DOI: 10.1177/0022018315614447. </w:t>
      </w:r>
    </w:p>
    <w:p w14:paraId="7150B8B2" w14:textId="77777777" w:rsidR="00CC7F97" w:rsidRPr="00CC7F97" w:rsidRDefault="00CC7F97" w:rsidP="00CC7F97">
      <w:pPr>
        <w:spacing w:line="360" w:lineRule="auto"/>
      </w:pPr>
    </w:p>
    <w:p w14:paraId="40CA86D1" w14:textId="77777777" w:rsidR="00CC7F97" w:rsidRPr="00CC7F97" w:rsidRDefault="00CC7F97" w:rsidP="00CC7F97">
      <w:pPr>
        <w:spacing w:line="360" w:lineRule="auto"/>
      </w:pPr>
      <w:r w:rsidRPr="00CC7F97">
        <w:t xml:space="preserve">Judiciary of England and Wales. (2019) </w:t>
      </w:r>
      <w:r w:rsidRPr="00CC7F97">
        <w:rPr>
          <w:i/>
          <w:iCs/>
        </w:rPr>
        <w:t xml:space="preserve">In the Central Criminal Court R v N (Female Genital Mutilation) Sentencing Remarks of Mrs Justice Whipple 8 March 2019. </w:t>
      </w:r>
      <w:r w:rsidRPr="00CC7F97">
        <w:t xml:space="preserve">Available at: </w:t>
      </w:r>
      <w:hyperlink r:id="rId15" w:history="1">
        <w:r w:rsidRPr="00CC7F97">
          <w:rPr>
            <w:rStyle w:val="Hyperlink"/>
            <w:u w:val="none"/>
          </w:rPr>
          <w:t>https://www.judiciary.uk/wp-content/uploads/2019/03/r-v-n-female-genital-mutilation-sentencing-remarks-whipple-j.pdf</w:t>
        </w:r>
      </w:hyperlink>
      <w:r w:rsidRPr="00CC7F97">
        <w:t xml:space="preserve"> (Accessed: 9</w:t>
      </w:r>
      <w:r w:rsidRPr="00CC7F97">
        <w:rPr>
          <w:vertAlign w:val="superscript"/>
        </w:rPr>
        <w:t>th</w:t>
      </w:r>
      <w:r w:rsidRPr="00CC7F97">
        <w:t xml:space="preserve"> March 2022).</w:t>
      </w:r>
    </w:p>
    <w:p w14:paraId="34A2C709" w14:textId="77777777" w:rsidR="00CC7F97" w:rsidRPr="00CC7F97" w:rsidRDefault="00CC7F97" w:rsidP="00CC7F97">
      <w:pPr>
        <w:spacing w:line="360" w:lineRule="auto"/>
      </w:pPr>
    </w:p>
    <w:p w14:paraId="63BA6634" w14:textId="77777777" w:rsidR="00CC7F97" w:rsidRPr="00CC7F97" w:rsidRDefault="00CC7F97" w:rsidP="00CC7F97">
      <w:pPr>
        <w:spacing w:line="360" w:lineRule="auto"/>
      </w:pPr>
      <w:r w:rsidRPr="00CC7F97">
        <w:t xml:space="preserve">Karlsen, S. </w:t>
      </w:r>
      <w:r w:rsidRPr="00CC7F97">
        <w:rPr>
          <w:i/>
          <w:iCs/>
        </w:rPr>
        <w:t xml:space="preserve">et. al. </w:t>
      </w:r>
      <w:r w:rsidRPr="00CC7F97">
        <w:t xml:space="preserve">(2020) ‘’Putting Salt on the Wound’: A Qualitative Study of the Impact of FGM- Safeguarding in Healthcare Settings on People with British Somali Heritage Living in Bristol, UK’, </w:t>
      </w:r>
      <w:r w:rsidRPr="00CC7F97">
        <w:rPr>
          <w:i/>
          <w:iCs/>
        </w:rPr>
        <w:t xml:space="preserve">BMJ Open, </w:t>
      </w:r>
      <w:r w:rsidRPr="00CC7F97">
        <w:t xml:space="preserve">pp.1-9. DOI: 10.1136/bmjopen-2019-035039. </w:t>
      </w:r>
    </w:p>
    <w:p w14:paraId="00EFD31A" w14:textId="77777777" w:rsidR="00CC7F97" w:rsidRPr="00CC7F97" w:rsidRDefault="00CC7F97" w:rsidP="00CC7F97">
      <w:pPr>
        <w:spacing w:line="360" w:lineRule="auto"/>
      </w:pPr>
    </w:p>
    <w:p w14:paraId="0B8249BD" w14:textId="77777777" w:rsidR="00CC7F97" w:rsidRPr="00CC7F97" w:rsidRDefault="00CC7F97" w:rsidP="00CC7F97">
      <w:pPr>
        <w:spacing w:line="360" w:lineRule="auto"/>
      </w:pPr>
      <w:r w:rsidRPr="00CC7F97">
        <w:t xml:space="preserve">Karlsen, S. </w:t>
      </w:r>
      <w:r w:rsidRPr="00CC7F97">
        <w:rPr>
          <w:i/>
          <w:iCs/>
        </w:rPr>
        <w:t xml:space="preserve">et. al. </w:t>
      </w:r>
      <w:r w:rsidRPr="00CC7F97">
        <w:t xml:space="preserve">(2022) ‘Available Evidence Suggests that Prevalence and Risk of Female Genital Cutting/Mutilation in the UK is much Lower than Widely Presumed – Policies Based on Exaggerated Estimates are Harmful to Girls and Women from Affected Communities’, </w:t>
      </w:r>
      <w:r w:rsidRPr="00CC7F97">
        <w:rPr>
          <w:i/>
          <w:iCs/>
        </w:rPr>
        <w:t xml:space="preserve">International Journal of Impotence Research, </w:t>
      </w:r>
      <w:r w:rsidRPr="00CC7F97">
        <w:t>pp.1-4. DOI: 10.1038/s41443-021-00526-4.</w:t>
      </w:r>
    </w:p>
    <w:p w14:paraId="2053A178" w14:textId="77777777" w:rsidR="00CC7F97" w:rsidRPr="00CC7F97" w:rsidRDefault="00CC7F97" w:rsidP="00CC7F97">
      <w:pPr>
        <w:spacing w:line="360" w:lineRule="auto"/>
      </w:pPr>
    </w:p>
    <w:p w14:paraId="43663459" w14:textId="77777777" w:rsidR="00CC7F97" w:rsidRPr="00CC7F97" w:rsidRDefault="00CC7F97" w:rsidP="00CC7F97">
      <w:pPr>
        <w:spacing w:line="360" w:lineRule="auto"/>
      </w:pPr>
      <w:r w:rsidRPr="00CC7F97">
        <w:t xml:space="preserve">Lovett, J., Regan, L. and Kelly, L. (2004). </w:t>
      </w:r>
      <w:r w:rsidRPr="00CC7F97">
        <w:rPr>
          <w:i/>
          <w:iCs/>
        </w:rPr>
        <w:t xml:space="preserve">Sexual Assault Referral Centre </w:t>
      </w:r>
      <w:proofErr w:type="gramStart"/>
      <w:r w:rsidRPr="00CC7F97">
        <w:rPr>
          <w:i/>
          <w:iCs/>
        </w:rPr>
        <w:t>S :</w:t>
      </w:r>
      <w:proofErr w:type="gramEnd"/>
      <w:r w:rsidRPr="00CC7F97">
        <w:rPr>
          <w:i/>
          <w:iCs/>
        </w:rPr>
        <w:t xml:space="preserve"> Developing Good Practice And Maximising Potentials.</w:t>
      </w:r>
      <w:r w:rsidRPr="00CC7F97">
        <w:t xml:space="preserve"> Available at: </w:t>
      </w:r>
      <w:hyperlink r:id="rId16" w:history="1">
        <w:r w:rsidRPr="00CC7F97">
          <w:rPr>
            <w:rStyle w:val="Hyperlink"/>
            <w:u w:val="none"/>
          </w:rPr>
          <w:t>https://www.researchgate.net/profile/Jo_Lovett/publication/241242219_Sexual_Assault_Referral_Centre_s_developing_good_practice_and_maximising_potentials/links/0deec534e91e4b0b21000000.pdf</w:t>
        </w:r>
      </w:hyperlink>
      <w:r w:rsidRPr="00CC7F97">
        <w:t xml:space="preserve">  (Accessed: 9</w:t>
      </w:r>
      <w:r w:rsidRPr="00CC7F97">
        <w:rPr>
          <w:vertAlign w:val="superscript"/>
        </w:rPr>
        <w:t xml:space="preserve">th </w:t>
      </w:r>
      <w:r w:rsidRPr="00CC7F97">
        <w:t>March 2022).</w:t>
      </w:r>
    </w:p>
    <w:p w14:paraId="42F321EC" w14:textId="77777777" w:rsidR="00CC7F97" w:rsidRPr="00CC7F97" w:rsidRDefault="00CC7F97" w:rsidP="00CC7F97">
      <w:pPr>
        <w:spacing w:line="360" w:lineRule="auto"/>
      </w:pPr>
    </w:p>
    <w:p w14:paraId="046925F7" w14:textId="77777777" w:rsidR="00CC7F97" w:rsidRPr="00CC7F97" w:rsidRDefault="00CC7F97" w:rsidP="00CC7F97">
      <w:pPr>
        <w:spacing w:line="360" w:lineRule="auto"/>
      </w:pPr>
      <w:proofErr w:type="spellStart"/>
      <w:r w:rsidRPr="00CC7F97">
        <w:t>Mawby</w:t>
      </w:r>
      <w:proofErr w:type="spellEnd"/>
      <w:r w:rsidRPr="00CC7F97">
        <w:t>, R., (2016). ‘Victim Support in England and Wales’. </w:t>
      </w:r>
      <w:r w:rsidRPr="00CC7F97">
        <w:rPr>
          <w:i/>
          <w:iCs/>
        </w:rPr>
        <w:t>International Review of Victimology</w:t>
      </w:r>
      <w:r w:rsidRPr="00CC7F97">
        <w:t>, 22(3), pp.203-221.</w:t>
      </w:r>
    </w:p>
    <w:p w14:paraId="50E2364B" w14:textId="77777777" w:rsidR="00CC7F97" w:rsidRPr="00CC7F97" w:rsidRDefault="00CC7F97" w:rsidP="00CC7F97">
      <w:pPr>
        <w:spacing w:line="360" w:lineRule="auto"/>
      </w:pPr>
    </w:p>
    <w:p w14:paraId="1149B29E" w14:textId="77777777" w:rsidR="00CC7F97" w:rsidRPr="00CC7F97" w:rsidRDefault="00CC7F97" w:rsidP="00CC7F97">
      <w:pPr>
        <w:spacing w:line="360" w:lineRule="auto"/>
      </w:pPr>
      <w:r w:rsidRPr="00CC7F97">
        <w:lastRenderedPageBreak/>
        <w:t xml:space="preserve">McCauley, M. and Broek, N. (2019) ‘Challenges in the Eradication of Female Genital Mutilation/Cutting’, </w:t>
      </w:r>
      <w:r w:rsidRPr="00CC7F97">
        <w:rPr>
          <w:i/>
          <w:iCs/>
        </w:rPr>
        <w:t xml:space="preserve">International Health, </w:t>
      </w:r>
      <w:r w:rsidRPr="00CC7F97">
        <w:t>11(1), pp. 1-4. DOI: 10.1093/</w:t>
      </w:r>
      <w:proofErr w:type="spellStart"/>
      <w:r w:rsidRPr="00CC7F97">
        <w:t>inthealth</w:t>
      </w:r>
      <w:proofErr w:type="spellEnd"/>
      <w:r w:rsidRPr="00CC7F97">
        <w:t>/ihy082.</w:t>
      </w:r>
    </w:p>
    <w:p w14:paraId="535602EE" w14:textId="77777777" w:rsidR="00CC7F97" w:rsidRPr="00CC7F97" w:rsidRDefault="00CC7F97" w:rsidP="00CC7F97">
      <w:pPr>
        <w:spacing w:line="360" w:lineRule="auto"/>
      </w:pPr>
    </w:p>
    <w:p w14:paraId="25BB52C2" w14:textId="77777777" w:rsidR="00CC7F97" w:rsidRPr="00CC7F97" w:rsidRDefault="00CC7F97" w:rsidP="00CC7F97">
      <w:pPr>
        <w:spacing w:line="360" w:lineRule="auto"/>
      </w:pPr>
      <w:r w:rsidRPr="00CC7F97">
        <w:t xml:space="preserve">Ministry of Justice (2020) </w:t>
      </w:r>
      <w:r w:rsidRPr="00CC7F97">
        <w:rPr>
          <w:i/>
          <w:iCs/>
        </w:rPr>
        <w:t xml:space="preserve">Code of Practice for Victims of Crime in England and Wales. </w:t>
      </w:r>
      <w:r w:rsidRPr="00CC7F97">
        <w:t xml:space="preserve">Available at: </w:t>
      </w:r>
      <w:hyperlink r:id="rId17" w:history="1">
        <w:r w:rsidRPr="00CC7F97">
          <w:rPr>
            <w:rStyle w:val="Hyperlink"/>
            <w:u w:val="none"/>
          </w:rPr>
          <w:t>https://assets.publishing.service.gov.uk/government/uploads/system/uploads/attachment_data/file/974376/victims-code-2020.pdf</w:t>
        </w:r>
      </w:hyperlink>
      <w:r w:rsidRPr="00CC7F97">
        <w:t xml:space="preserve"> (Accessed: 9</w:t>
      </w:r>
      <w:r w:rsidRPr="00CC7F97">
        <w:rPr>
          <w:vertAlign w:val="superscript"/>
        </w:rPr>
        <w:t>th</w:t>
      </w:r>
      <w:r w:rsidRPr="00CC7F97">
        <w:t xml:space="preserve"> March 2022).</w:t>
      </w:r>
    </w:p>
    <w:p w14:paraId="1E629E57" w14:textId="77777777" w:rsidR="00CC7F97" w:rsidRPr="00CC7F97" w:rsidRDefault="00CC7F97" w:rsidP="00CC7F97">
      <w:pPr>
        <w:spacing w:line="360" w:lineRule="auto"/>
      </w:pPr>
    </w:p>
    <w:p w14:paraId="48613C7B" w14:textId="77777777" w:rsidR="00CC7F97" w:rsidRPr="00CC7F97" w:rsidRDefault="00CC7F97" w:rsidP="00CC7F97">
      <w:pPr>
        <w:spacing w:line="360" w:lineRule="auto"/>
      </w:pPr>
      <w:proofErr w:type="spellStart"/>
      <w:r w:rsidRPr="00CC7F97">
        <w:t>Mohdin</w:t>
      </w:r>
      <w:proofErr w:type="spellEnd"/>
      <w:r w:rsidRPr="00CC7F97">
        <w:t xml:space="preserve">, A. (2019) </w:t>
      </w:r>
      <w:r w:rsidRPr="00CC7F97">
        <w:rPr>
          <w:i/>
          <w:iCs/>
        </w:rPr>
        <w:t xml:space="preserve">NHS to Open Specialist FGM Support Clinics Across England. </w:t>
      </w:r>
      <w:r w:rsidRPr="00CC7F97">
        <w:t xml:space="preserve">Available at </w:t>
      </w:r>
      <w:proofErr w:type="spellStart"/>
      <w:r w:rsidRPr="00CC7F97">
        <w:t>at</w:t>
      </w:r>
      <w:proofErr w:type="spellEnd"/>
      <w:r w:rsidRPr="00CC7F97">
        <w:t xml:space="preserve">: </w:t>
      </w:r>
      <w:hyperlink r:id="rId18" w:history="1">
        <w:r w:rsidRPr="00CC7F97">
          <w:rPr>
            <w:rStyle w:val="Hyperlink"/>
            <w:u w:val="none"/>
          </w:rPr>
          <w:t>https://www.theguardian.com/society/2019/sep/12/nhs-to-open-specialist-fgm-support-clinics-across-england</w:t>
        </w:r>
      </w:hyperlink>
      <w:r w:rsidRPr="00CC7F97">
        <w:t xml:space="preserve"> (Accessed: 8</w:t>
      </w:r>
      <w:r w:rsidRPr="00CC7F97">
        <w:rPr>
          <w:vertAlign w:val="superscript"/>
        </w:rPr>
        <w:t>th</w:t>
      </w:r>
      <w:r w:rsidRPr="00CC7F97">
        <w:t xml:space="preserve"> March 2022). </w:t>
      </w:r>
    </w:p>
    <w:p w14:paraId="555A2275" w14:textId="77777777" w:rsidR="00CC7F97" w:rsidRPr="00CC7F97" w:rsidRDefault="00CC7F97" w:rsidP="00CC7F97">
      <w:pPr>
        <w:spacing w:line="360" w:lineRule="auto"/>
      </w:pPr>
    </w:p>
    <w:p w14:paraId="7DE8D24B" w14:textId="77777777" w:rsidR="00CC7F97" w:rsidRPr="00CC7F97" w:rsidRDefault="00CC7F97" w:rsidP="00CC7F97">
      <w:pPr>
        <w:spacing w:line="360" w:lineRule="auto"/>
      </w:pPr>
      <w:r w:rsidRPr="00CC7F97">
        <w:t xml:space="preserve">National Health Service Digital. (2020) </w:t>
      </w:r>
      <w:r w:rsidRPr="00CC7F97">
        <w:rPr>
          <w:i/>
          <w:iCs/>
        </w:rPr>
        <w:t xml:space="preserve">Female Genital Mutilation (FGM) Enhanced Dataset, </w:t>
      </w:r>
      <w:r w:rsidRPr="00CC7F97">
        <w:t xml:space="preserve">Available at: </w:t>
      </w:r>
      <w:hyperlink r:id="rId19" w:history="1">
        <w:r w:rsidRPr="00CC7F97">
          <w:rPr>
            <w:rStyle w:val="Hyperlink"/>
            <w:u w:val="none"/>
          </w:rPr>
          <w:t>https://files.digital.nhs.uk/0B/7A41CB/Female%20Genital%20Mutilation%20%28FGM%29%20-%20April%202019%20to%20March%202020%20-%20Report.pdf</w:t>
        </w:r>
      </w:hyperlink>
      <w:r w:rsidRPr="00CC7F97">
        <w:t xml:space="preserve"> (Accessed: 8</w:t>
      </w:r>
      <w:r w:rsidRPr="00CC7F97">
        <w:rPr>
          <w:vertAlign w:val="superscript"/>
        </w:rPr>
        <w:t>th</w:t>
      </w:r>
      <w:r w:rsidRPr="00CC7F97">
        <w:t xml:space="preserve"> March 2022). </w:t>
      </w:r>
    </w:p>
    <w:p w14:paraId="67D887BF" w14:textId="77777777" w:rsidR="00CC7F97" w:rsidRPr="00CC7F97" w:rsidRDefault="00CC7F97" w:rsidP="00CC7F97">
      <w:pPr>
        <w:spacing w:line="360" w:lineRule="auto"/>
      </w:pPr>
    </w:p>
    <w:p w14:paraId="78DC9801" w14:textId="77777777" w:rsidR="00CC7F97" w:rsidRPr="00CC7F97" w:rsidRDefault="00CC7F97" w:rsidP="00CC7F97">
      <w:pPr>
        <w:spacing w:line="360" w:lineRule="auto"/>
      </w:pPr>
      <w:r w:rsidRPr="00CC7F97">
        <w:t xml:space="preserve">National Health Service. (2019) </w:t>
      </w:r>
      <w:r w:rsidRPr="00CC7F97">
        <w:rPr>
          <w:i/>
          <w:iCs/>
        </w:rPr>
        <w:t xml:space="preserve">National FGM Support Clinics. </w:t>
      </w:r>
      <w:r w:rsidRPr="00CC7F97">
        <w:t xml:space="preserve">Available: </w:t>
      </w:r>
      <w:hyperlink r:id="rId20" w:history="1">
        <w:r w:rsidRPr="00CC7F97">
          <w:rPr>
            <w:rStyle w:val="Hyperlink"/>
            <w:u w:val="none"/>
          </w:rPr>
          <w:t>https://www.nhs.uk/conditions/female-genital-mutilation-fgm/national-fgm-support-clinics/</w:t>
        </w:r>
      </w:hyperlink>
      <w:r w:rsidRPr="00CC7F97">
        <w:t xml:space="preserve"> (Accessed: 9</w:t>
      </w:r>
      <w:r w:rsidRPr="00CC7F97">
        <w:rPr>
          <w:vertAlign w:val="superscript"/>
        </w:rPr>
        <w:t>th</w:t>
      </w:r>
      <w:r w:rsidRPr="00CC7F97">
        <w:t xml:space="preserve"> March 2022). </w:t>
      </w:r>
    </w:p>
    <w:p w14:paraId="41C0549A" w14:textId="77777777" w:rsidR="00CC7F97" w:rsidRPr="00CC7F97" w:rsidRDefault="00CC7F97" w:rsidP="00CC7F97">
      <w:pPr>
        <w:spacing w:line="360" w:lineRule="auto"/>
      </w:pPr>
    </w:p>
    <w:p w14:paraId="0A7A63B4" w14:textId="77777777" w:rsidR="00CC7F97" w:rsidRPr="00CC7F97" w:rsidRDefault="00CC7F97" w:rsidP="00CC7F97">
      <w:pPr>
        <w:spacing w:line="360" w:lineRule="auto"/>
      </w:pPr>
      <w:r w:rsidRPr="00CC7F97">
        <w:t xml:space="preserve">Newburn, T. (2011) </w:t>
      </w:r>
      <w:r w:rsidRPr="00CC7F97">
        <w:rPr>
          <w:i/>
          <w:iCs/>
        </w:rPr>
        <w:t xml:space="preserve">Handbook of Policing. </w:t>
      </w:r>
      <w:r w:rsidRPr="00CC7F97">
        <w:t>2</w:t>
      </w:r>
      <w:r w:rsidRPr="00CC7F97">
        <w:rPr>
          <w:vertAlign w:val="superscript"/>
        </w:rPr>
        <w:t>nd</w:t>
      </w:r>
      <w:r w:rsidRPr="00CC7F97">
        <w:t xml:space="preserve"> </w:t>
      </w:r>
      <w:proofErr w:type="spellStart"/>
      <w:r w:rsidRPr="00CC7F97">
        <w:t>edn</w:t>
      </w:r>
      <w:proofErr w:type="spellEnd"/>
      <w:r w:rsidRPr="00CC7F97">
        <w:t xml:space="preserve">. Routledge: Oxon. </w:t>
      </w:r>
    </w:p>
    <w:p w14:paraId="144F9602" w14:textId="77777777" w:rsidR="00CC7F97" w:rsidRPr="00CC7F97" w:rsidRDefault="00CC7F97" w:rsidP="00CC7F97">
      <w:pPr>
        <w:spacing w:line="360" w:lineRule="auto"/>
      </w:pPr>
    </w:p>
    <w:p w14:paraId="4C3A853F" w14:textId="763486DB" w:rsidR="00CC7F97" w:rsidRPr="00CC7F97" w:rsidRDefault="00CC7F97" w:rsidP="00CC7F97">
      <w:pPr>
        <w:spacing w:line="360" w:lineRule="auto"/>
      </w:pPr>
      <w:r w:rsidRPr="00CC7F97">
        <w:t xml:space="preserve">Robinson, A., Hudson, K. and Brookman, F. (2008). ‘Multi-Agency Work on Sexual Violence: Challenges and Prospects Identified from the Implementation of a Sexual Assault Referral Centre (SARC)’. </w:t>
      </w:r>
      <w:r w:rsidRPr="00CC7F97">
        <w:rPr>
          <w:i/>
          <w:iCs/>
        </w:rPr>
        <w:t>The Howard Journal of Criminal Justice</w:t>
      </w:r>
      <w:r w:rsidRPr="00CC7F97">
        <w:t>, 47(4), pp.411-428.</w:t>
      </w:r>
    </w:p>
    <w:p w14:paraId="7C169667" w14:textId="77777777" w:rsidR="00CC7F97" w:rsidRPr="00CC7F97" w:rsidRDefault="00CC7F97" w:rsidP="00CC7F97">
      <w:pPr>
        <w:spacing w:line="360" w:lineRule="auto"/>
      </w:pPr>
    </w:p>
    <w:p w14:paraId="0994E96E" w14:textId="77777777" w:rsidR="00CC7F97" w:rsidRPr="00CC7F97" w:rsidRDefault="00CC7F97" w:rsidP="00CC7F97">
      <w:pPr>
        <w:spacing w:line="360" w:lineRule="auto"/>
      </w:pPr>
      <w:r w:rsidRPr="00CC7F97">
        <w:t xml:space="preserve">Schlueter, E., Meuleman, B. and Davidov, E. (2013) ‘Immigrant Integration Policies and Perceived Group Threat: A Multilevel Study of 27 Western and Eastern European Countries’, </w:t>
      </w:r>
      <w:r w:rsidRPr="00CC7F97">
        <w:rPr>
          <w:i/>
          <w:iCs/>
        </w:rPr>
        <w:t xml:space="preserve">Social Science Research, </w:t>
      </w:r>
      <w:r w:rsidRPr="00CC7F97">
        <w:t>42(3), pp.670-682. DOI: 10.1016/j.ssresearch.2012.12.001.</w:t>
      </w:r>
    </w:p>
    <w:p w14:paraId="30CBC5C1" w14:textId="77777777" w:rsidR="00CC7F97" w:rsidRPr="00CC7F97" w:rsidRDefault="00CC7F97" w:rsidP="00CC7F97">
      <w:pPr>
        <w:spacing w:line="360" w:lineRule="auto"/>
      </w:pPr>
    </w:p>
    <w:p w14:paraId="146E37B6" w14:textId="77777777" w:rsidR="00CC7F97" w:rsidRPr="00CC7F97" w:rsidRDefault="00CC7F97" w:rsidP="00CC7F97">
      <w:pPr>
        <w:spacing w:line="360" w:lineRule="auto"/>
      </w:pPr>
      <w:r w:rsidRPr="00CC7F97">
        <w:lastRenderedPageBreak/>
        <w:t xml:space="preserve">Topping, A. (2018) </w:t>
      </w:r>
      <w:r w:rsidRPr="00CC7F97">
        <w:rPr>
          <w:i/>
          <w:iCs/>
        </w:rPr>
        <w:t xml:space="preserve">UK Solicitor Cleared of Forcing Daughter to Undergo FGM. </w:t>
      </w:r>
      <w:r w:rsidRPr="00CC7F97">
        <w:t xml:space="preserve">Available at: </w:t>
      </w:r>
      <w:hyperlink r:id="rId21" w:history="1">
        <w:r w:rsidRPr="00CC7F97">
          <w:rPr>
            <w:rStyle w:val="Hyperlink"/>
            <w:u w:val="none"/>
          </w:rPr>
          <w:t>https://www.theguardian.com/society/2018/mar/22/uk-solicitor-acquited-forcing-daughter-fgm-female-genital-mutilation</w:t>
        </w:r>
      </w:hyperlink>
      <w:r w:rsidRPr="00CC7F97">
        <w:t xml:space="preserve"> (Accessed: 9</w:t>
      </w:r>
      <w:r w:rsidRPr="00CC7F97">
        <w:rPr>
          <w:vertAlign w:val="superscript"/>
        </w:rPr>
        <w:t>th</w:t>
      </w:r>
      <w:r w:rsidRPr="00CC7F97">
        <w:t xml:space="preserve"> March 2022). </w:t>
      </w:r>
    </w:p>
    <w:p w14:paraId="635BF63D" w14:textId="77777777" w:rsidR="00CC7F97" w:rsidRPr="00CC7F97" w:rsidRDefault="00CC7F97" w:rsidP="00CC7F97">
      <w:pPr>
        <w:spacing w:line="360" w:lineRule="auto"/>
      </w:pPr>
    </w:p>
    <w:p w14:paraId="5A027A0B" w14:textId="77777777" w:rsidR="00CC7F97" w:rsidRPr="00CC7F97" w:rsidRDefault="00CC7F97" w:rsidP="00CC7F97">
      <w:pPr>
        <w:spacing w:line="360" w:lineRule="auto"/>
      </w:pPr>
    </w:p>
    <w:p w14:paraId="2C10E9D0" w14:textId="77777777" w:rsidR="00CC7F97" w:rsidRPr="00CC7F97" w:rsidRDefault="00CC7F97" w:rsidP="00CC7F97">
      <w:pPr>
        <w:spacing w:line="360" w:lineRule="auto"/>
      </w:pPr>
    </w:p>
    <w:p w14:paraId="048DAE10" w14:textId="77777777" w:rsidR="00CC7F97" w:rsidRPr="00CC7F97" w:rsidRDefault="00CC7F97" w:rsidP="00250695">
      <w:pPr>
        <w:spacing w:line="360" w:lineRule="auto"/>
      </w:pPr>
    </w:p>
    <w:sectPr w:rsidR="00CC7F97" w:rsidRPr="00CC7F97" w:rsidSect="00CC7F97">
      <w:headerReference w:type="default" r:id="rId22"/>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38E3191" w14:textId="77777777" w:rsidR="00FA33AE" w:rsidRDefault="00FA33AE" w:rsidP="00CC7F97">
      <w:r>
        <w:separator/>
      </w:r>
    </w:p>
  </w:endnote>
  <w:endnote w:type="continuationSeparator" w:id="0">
    <w:p w14:paraId="5FC130EF" w14:textId="77777777" w:rsidR="00FA33AE" w:rsidRDefault="00FA33AE" w:rsidP="00CC7F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84B42B" w14:textId="77777777" w:rsidR="00FA33AE" w:rsidRDefault="00FA33AE" w:rsidP="00CC7F97">
      <w:r>
        <w:separator/>
      </w:r>
    </w:p>
  </w:footnote>
  <w:footnote w:type="continuationSeparator" w:id="0">
    <w:p w14:paraId="1760051D" w14:textId="77777777" w:rsidR="00FA33AE" w:rsidRDefault="00FA33AE" w:rsidP="00CC7F9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33C373" w14:textId="3A14F0B2" w:rsidR="00CC7F97" w:rsidRDefault="00CC7F97">
    <w:pPr>
      <w:pStyle w:val="Header"/>
    </w:pPr>
    <w:r>
      <w:t>Bethan Francis 1802113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0695"/>
    <w:rsid w:val="000E4958"/>
    <w:rsid w:val="000F6DEC"/>
    <w:rsid w:val="00250695"/>
    <w:rsid w:val="00473A0F"/>
    <w:rsid w:val="00482934"/>
    <w:rsid w:val="00524BE4"/>
    <w:rsid w:val="006C21D2"/>
    <w:rsid w:val="00A90F3E"/>
    <w:rsid w:val="00C222C9"/>
    <w:rsid w:val="00C47869"/>
    <w:rsid w:val="00CC7F97"/>
    <w:rsid w:val="00D52246"/>
    <w:rsid w:val="00E5252A"/>
    <w:rsid w:val="00FA33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364BE"/>
  <w15:chartTrackingRefBased/>
  <w15:docId w15:val="{F6999AAE-BE36-D44C-9657-75C68BE58A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7F97"/>
    <w:pPr>
      <w:tabs>
        <w:tab w:val="center" w:pos="4680"/>
        <w:tab w:val="right" w:pos="9360"/>
      </w:tabs>
    </w:pPr>
  </w:style>
  <w:style w:type="character" w:customStyle="1" w:styleId="HeaderChar">
    <w:name w:val="Header Char"/>
    <w:basedOn w:val="DefaultParagraphFont"/>
    <w:link w:val="Header"/>
    <w:uiPriority w:val="99"/>
    <w:rsid w:val="00CC7F97"/>
  </w:style>
  <w:style w:type="paragraph" w:styleId="Footer">
    <w:name w:val="footer"/>
    <w:basedOn w:val="Normal"/>
    <w:link w:val="FooterChar"/>
    <w:uiPriority w:val="99"/>
    <w:unhideWhenUsed/>
    <w:rsid w:val="00CC7F97"/>
    <w:pPr>
      <w:tabs>
        <w:tab w:val="center" w:pos="4680"/>
        <w:tab w:val="right" w:pos="9360"/>
      </w:tabs>
    </w:pPr>
  </w:style>
  <w:style w:type="character" w:customStyle="1" w:styleId="FooterChar">
    <w:name w:val="Footer Char"/>
    <w:basedOn w:val="DefaultParagraphFont"/>
    <w:link w:val="Footer"/>
    <w:uiPriority w:val="99"/>
    <w:rsid w:val="00CC7F97"/>
  </w:style>
  <w:style w:type="paragraph" w:styleId="NoSpacing">
    <w:name w:val="No Spacing"/>
    <w:link w:val="NoSpacingChar"/>
    <w:uiPriority w:val="1"/>
    <w:qFormat/>
    <w:rsid w:val="00CC7F97"/>
    <w:rPr>
      <w:rFonts w:eastAsiaTheme="minorEastAsia"/>
      <w:sz w:val="22"/>
      <w:szCs w:val="22"/>
      <w:lang w:val="en-US" w:eastAsia="zh-CN"/>
    </w:rPr>
  </w:style>
  <w:style w:type="character" w:customStyle="1" w:styleId="NoSpacingChar">
    <w:name w:val="No Spacing Char"/>
    <w:basedOn w:val="DefaultParagraphFont"/>
    <w:link w:val="NoSpacing"/>
    <w:uiPriority w:val="1"/>
    <w:rsid w:val="00CC7F97"/>
    <w:rPr>
      <w:rFonts w:eastAsiaTheme="minorEastAsia"/>
      <w:sz w:val="22"/>
      <w:szCs w:val="22"/>
      <w:lang w:val="en-US" w:eastAsia="zh-CN"/>
    </w:rPr>
  </w:style>
  <w:style w:type="character" w:styleId="Hyperlink">
    <w:name w:val="Hyperlink"/>
    <w:basedOn w:val="DefaultParagraphFont"/>
    <w:uiPriority w:val="99"/>
    <w:unhideWhenUsed/>
    <w:rsid w:val="00CC7F97"/>
    <w:rPr>
      <w:color w:val="0563C1" w:themeColor="hyperlink"/>
      <w:u w:val="single"/>
    </w:rPr>
  </w:style>
  <w:style w:type="character" w:styleId="UnresolvedMention">
    <w:name w:val="Unresolved Mention"/>
    <w:basedOn w:val="DefaultParagraphFont"/>
    <w:uiPriority w:val="99"/>
    <w:semiHidden/>
    <w:unhideWhenUsed/>
    <w:rsid w:val="00CC7F97"/>
    <w:rPr>
      <w:color w:val="605E5C"/>
      <w:shd w:val="clear" w:color="auto" w:fill="E1DFDD"/>
    </w:rPr>
  </w:style>
  <w:style w:type="character" w:styleId="FollowedHyperlink">
    <w:name w:val="FollowedHyperlink"/>
    <w:basedOn w:val="DefaultParagraphFont"/>
    <w:uiPriority w:val="99"/>
    <w:semiHidden/>
    <w:unhideWhenUsed/>
    <w:rsid w:val="00CC7F9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91876584">
      <w:bodyDiv w:val="1"/>
      <w:marLeft w:val="0"/>
      <w:marRight w:val="0"/>
      <w:marTop w:val="0"/>
      <w:marBottom w:val="0"/>
      <w:divBdr>
        <w:top w:val="none" w:sz="0" w:space="0" w:color="auto"/>
        <w:left w:val="none" w:sz="0" w:space="0" w:color="auto"/>
        <w:bottom w:val="none" w:sz="0" w:space="0" w:color="auto"/>
        <w:right w:val="none" w:sz="0" w:space="0" w:color="auto"/>
      </w:divBdr>
    </w:div>
    <w:div w:id="717633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ps.gov.uk/legal-guidance/female-genital-mutilation" TargetMode="External"/><Relationship Id="rId13" Type="http://schemas.openxmlformats.org/officeDocument/2006/relationships/hyperlink" Target="https://assets.publishing.service.gov.uk/government/uploads/system/uploads/attachment_data/file/783684/FGM_The_Facts_A6_v4_web.pdf" TargetMode="External"/><Relationship Id="rId18" Type="http://schemas.openxmlformats.org/officeDocument/2006/relationships/hyperlink" Target="https://www.theguardian.com/society/2019/sep/12/nhs-to-open-specialist-fgm-support-clinics-across-england" TargetMode="External"/><Relationship Id="rId3" Type="http://schemas.openxmlformats.org/officeDocument/2006/relationships/webSettings" Target="webSettings.xml"/><Relationship Id="rId21" Type="http://schemas.openxmlformats.org/officeDocument/2006/relationships/hyperlink" Target="https://www.theguardian.com/society/2018/mar/22/uk-solicitor-acquited-forcing-daughter-fgm-female-genital-mutilation" TargetMode="External"/><Relationship Id="rId7" Type="http://schemas.openxmlformats.org/officeDocument/2006/relationships/hyperlink" Target="https://doi.org/10.1350/ijep.2006.11.1.1" TargetMode="External"/><Relationship Id="rId12" Type="http://schemas.openxmlformats.org/officeDocument/2006/relationships/hyperlink" Target="http://dx.doi.org/10.1136/archdischild-2020-321187" TargetMode="External"/><Relationship Id="rId17" Type="http://schemas.openxmlformats.org/officeDocument/2006/relationships/hyperlink" Target="https://assets.publishing.service.gov.uk/government/uploads/system/uploads/attachment_data/file/974376/victims-code-2020.pdf" TargetMode="External"/><Relationship Id="rId2" Type="http://schemas.openxmlformats.org/officeDocument/2006/relationships/settings" Target="settings.xml"/><Relationship Id="rId16" Type="http://schemas.openxmlformats.org/officeDocument/2006/relationships/hyperlink" Target="https://www.researchgate.net/profile/Jo_Lovett/publication/241242219_Sexual_Assault_Referral_Centre_s_developing_good_practice_and_maximising_potentials/links/0deec534e91e4b0b21000000.pdf" TargetMode="External"/><Relationship Id="rId20" Type="http://schemas.openxmlformats.org/officeDocument/2006/relationships/hyperlink" Target="https://www.nhs.uk/conditions/female-genital-mutilation-fgm/national-fgm-support-clinics/" TargetMode="External"/><Relationship Id="rId1" Type="http://schemas.openxmlformats.org/officeDocument/2006/relationships/styles" Target="styles.xml"/><Relationship Id="rId6" Type="http://schemas.openxmlformats.org/officeDocument/2006/relationships/hyperlink" Target="https://doi.org/10.1177/0968533220914070" TargetMode="External"/><Relationship Id="rId11" Type="http://schemas.openxmlformats.org/officeDocument/2006/relationships/hyperlink" Target="https://doi.org/10.1108/JACPR-09-2017-0323"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judiciary.uk/wp-content/uploads/2019/03/r-v-n-female-genital-mutilation-sentencing-remarks-whipple-j.pdf" TargetMode="External"/><Relationship Id="rId23" Type="http://schemas.openxmlformats.org/officeDocument/2006/relationships/fontTable" Target="fontTable.xml"/><Relationship Id="rId10" Type="http://schemas.openxmlformats.org/officeDocument/2006/relationships/hyperlink" Target="https://doi.org/10.1080/13642987.2019.1646249" TargetMode="External"/><Relationship Id="rId19" Type="http://schemas.openxmlformats.org/officeDocument/2006/relationships/hyperlink" Target="https://files.digital.nhs.uk/0B/7A41CB/Female%20Genital%20Mutilation%20%28FGM%29%20-%20April%202019%20to%20March%202020%20-%20Report.pdf" TargetMode="External"/><Relationship Id="rId4" Type="http://schemas.openxmlformats.org/officeDocument/2006/relationships/footnotes" Target="footnotes.xml"/><Relationship Id="rId9" Type="http://schemas.openxmlformats.org/officeDocument/2006/relationships/hyperlink" Target="https://www.cps.gov.uk/sites/default/files/documents/publications/cps-vawg-report-2019.pdf" TargetMode="External"/><Relationship Id="rId14" Type="http://schemas.openxmlformats.org/officeDocument/2006/relationships/hyperlink" Target="https://doi.org/10.12968/bjom.2020.28.7.418"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833</TotalTime>
  <Pages>14</Pages>
  <Words>4135</Words>
  <Characters>23570</Characters>
  <Application>Microsoft Office Word</Application>
  <DocSecurity>0</DocSecurity>
  <Lines>196</Lines>
  <Paragraphs>55</Paragraphs>
  <ScaleCrop>false</ScaleCrop>
  <Company/>
  <LinksUpToDate>false</LinksUpToDate>
  <CharactersWithSpaces>27650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Are Vulnerable Victims of Female Genital Mutilation Being Failed by the Criminal Justice System?</dc:title>
  <dc:subject/>
  <dc:creator>Bethan Francis (1802113)</dc:creator>
  <cp:keywords/>
  <dc:description/>
  <cp:lastModifiedBy>Beth Francis (1802113)</cp:lastModifiedBy>
  <cp:revision>6</cp:revision>
  <dcterms:created xsi:type="dcterms:W3CDTF">2022-03-07T11:56:00Z</dcterms:created>
  <dcterms:modified xsi:type="dcterms:W3CDTF">2022-03-10T22:00:00Z</dcterms:modified>
</cp:coreProperties>
</file>