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A8237" w14:textId="4606491F" w:rsidR="00DC7D15" w:rsidRDefault="00DC7D15" w:rsidP="00DC7D15">
      <w:pPr>
        <w:jc w:val="center"/>
        <w:rPr>
          <w:rFonts w:ascii="Arial" w:hAnsi="Arial" w:cs="Arial"/>
          <w:sz w:val="56"/>
          <w:szCs w:val="56"/>
        </w:rPr>
      </w:pPr>
      <w:r w:rsidRPr="00DC7D15">
        <w:rPr>
          <w:rFonts w:ascii="Arial" w:hAnsi="Arial" w:cs="Arial"/>
          <w:sz w:val="56"/>
          <w:szCs w:val="56"/>
        </w:rPr>
        <w:t>Adapting to Change: A Business Environment Analysis of</w:t>
      </w:r>
      <w:r w:rsidR="00345808">
        <w:rPr>
          <w:rFonts w:ascii="Arial" w:hAnsi="Arial" w:cs="Arial"/>
          <w:sz w:val="56"/>
          <w:szCs w:val="56"/>
        </w:rPr>
        <w:t xml:space="preserve"> Toyota</w:t>
      </w:r>
    </w:p>
    <w:p w14:paraId="0BDE3155" w14:textId="77777777" w:rsidR="00DC7D15" w:rsidRDefault="00DC7D15" w:rsidP="00DC7D15">
      <w:pPr>
        <w:jc w:val="center"/>
        <w:rPr>
          <w:rFonts w:ascii="Arial" w:hAnsi="Arial" w:cs="Arial"/>
          <w:sz w:val="56"/>
          <w:szCs w:val="56"/>
        </w:rPr>
      </w:pPr>
    </w:p>
    <w:p w14:paraId="230CEF94" w14:textId="77777777" w:rsidR="00DC7D15" w:rsidRDefault="00DC7D15" w:rsidP="00DC7D15">
      <w:pPr>
        <w:jc w:val="center"/>
        <w:rPr>
          <w:rFonts w:ascii="Arial" w:hAnsi="Arial" w:cs="Arial"/>
          <w:sz w:val="56"/>
          <w:szCs w:val="56"/>
        </w:rPr>
      </w:pPr>
    </w:p>
    <w:p w14:paraId="0B6E4A66" w14:textId="77777777" w:rsidR="00DC7D15" w:rsidRDefault="00DC7D15" w:rsidP="00DC7D15">
      <w:pPr>
        <w:jc w:val="center"/>
        <w:rPr>
          <w:rFonts w:ascii="Arial" w:hAnsi="Arial" w:cs="Arial"/>
          <w:sz w:val="56"/>
          <w:szCs w:val="56"/>
        </w:rPr>
      </w:pPr>
    </w:p>
    <w:p w14:paraId="39A8852A" w14:textId="77777777" w:rsidR="00DC7D15" w:rsidRDefault="00DC7D15" w:rsidP="00DC7D15">
      <w:pPr>
        <w:jc w:val="center"/>
        <w:rPr>
          <w:rFonts w:ascii="Arial" w:hAnsi="Arial" w:cs="Arial"/>
          <w:sz w:val="56"/>
          <w:szCs w:val="56"/>
        </w:rPr>
      </w:pPr>
    </w:p>
    <w:p w14:paraId="2FD4137C" w14:textId="77777777" w:rsidR="00DC7D15" w:rsidRDefault="00DC7D15" w:rsidP="00DC7D15">
      <w:pPr>
        <w:jc w:val="center"/>
        <w:rPr>
          <w:rFonts w:ascii="Arial" w:hAnsi="Arial" w:cs="Arial"/>
          <w:sz w:val="56"/>
          <w:szCs w:val="56"/>
        </w:rPr>
      </w:pPr>
    </w:p>
    <w:p w14:paraId="69921880" w14:textId="77777777" w:rsidR="00DC7D15" w:rsidRDefault="00DC7D15" w:rsidP="00DC7D15">
      <w:pPr>
        <w:jc w:val="center"/>
        <w:rPr>
          <w:rFonts w:ascii="Arial" w:hAnsi="Arial" w:cs="Arial"/>
          <w:sz w:val="56"/>
          <w:szCs w:val="56"/>
        </w:rPr>
      </w:pPr>
    </w:p>
    <w:p w14:paraId="62646CB8" w14:textId="77777777" w:rsidR="00DC7D15" w:rsidRDefault="00DC7D15" w:rsidP="00DC7D15">
      <w:pPr>
        <w:jc w:val="center"/>
        <w:rPr>
          <w:rFonts w:ascii="Arial" w:hAnsi="Arial" w:cs="Arial"/>
          <w:sz w:val="56"/>
          <w:szCs w:val="56"/>
        </w:rPr>
      </w:pPr>
    </w:p>
    <w:p w14:paraId="4CD1B71E" w14:textId="1108BF4D" w:rsidR="00DC7D15" w:rsidRPr="00DC7D15" w:rsidRDefault="00DC7D15" w:rsidP="00DC7D15">
      <w:pPr>
        <w:spacing w:line="360" w:lineRule="auto"/>
        <w:jc w:val="both"/>
        <w:rPr>
          <w:rFonts w:ascii="Arial" w:hAnsi="Arial" w:cs="Arial"/>
          <w:sz w:val="56"/>
          <w:szCs w:val="56"/>
        </w:rPr>
      </w:pPr>
      <w:r w:rsidRPr="00DC7D15">
        <w:rPr>
          <w:rFonts w:ascii="Arial" w:hAnsi="Arial" w:cs="Arial"/>
          <w:sz w:val="44"/>
          <w:szCs w:val="44"/>
        </w:rPr>
        <w:t>Module: The Changing Business Environment</w:t>
      </w:r>
    </w:p>
    <w:p w14:paraId="163BB43B" w14:textId="108654D1" w:rsidR="00DC7D15" w:rsidRPr="00DC7D15" w:rsidRDefault="00DC7D15" w:rsidP="00DC7D15">
      <w:pPr>
        <w:spacing w:line="360" w:lineRule="auto"/>
        <w:jc w:val="both"/>
        <w:rPr>
          <w:rFonts w:ascii="Arial" w:hAnsi="Arial" w:cs="Arial"/>
          <w:sz w:val="44"/>
          <w:szCs w:val="44"/>
        </w:rPr>
      </w:pPr>
      <w:r w:rsidRPr="00DC7D15">
        <w:rPr>
          <w:rFonts w:ascii="Arial" w:hAnsi="Arial" w:cs="Arial"/>
          <w:sz w:val="44"/>
          <w:szCs w:val="44"/>
        </w:rPr>
        <w:t>Module Code: BMBM4010</w:t>
      </w:r>
    </w:p>
    <w:p w14:paraId="31EDA3F6" w14:textId="6FB936F7" w:rsidR="00DC7D15" w:rsidRPr="00B60956" w:rsidRDefault="00DC7D15" w:rsidP="00DC7D15">
      <w:pPr>
        <w:spacing w:line="360" w:lineRule="auto"/>
        <w:jc w:val="both"/>
        <w:rPr>
          <w:rFonts w:ascii="Arial" w:hAnsi="Arial" w:cs="Arial"/>
          <w:sz w:val="44"/>
          <w:szCs w:val="44"/>
        </w:rPr>
      </w:pPr>
      <w:r w:rsidRPr="00B60956">
        <w:rPr>
          <w:rFonts w:ascii="Arial" w:hAnsi="Arial" w:cs="Arial"/>
          <w:sz w:val="44"/>
          <w:szCs w:val="44"/>
        </w:rPr>
        <w:t>Name: Loredana Paula Morosan</w:t>
      </w:r>
    </w:p>
    <w:p w14:paraId="25CCB9F5" w14:textId="59683E5A" w:rsidR="00DC7D15" w:rsidRPr="00DC7D15" w:rsidRDefault="00DC7D15" w:rsidP="00DC7D15">
      <w:pPr>
        <w:spacing w:line="360" w:lineRule="auto"/>
        <w:jc w:val="both"/>
        <w:rPr>
          <w:rFonts w:ascii="Arial" w:hAnsi="Arial" w:cs="Arial"/>
          <w:sz w:val="44"/>
          <w:szCs w:val="44"/>
        </w:rPr>
      </w:pPr>
      <w:r w:rsidRPr="00DC7D15">
        <w:rPr>
          <w:rFonts w:ascii="Arial" w:hAnsi="Arial" w:cs="Arial"/>
          <w:sz w:val="44"/>
          <w:szCs w:val="44"/>
        </w:rPr>
        <w:t xml:space="preserve">Student Number: </w:t>
      </w:r>
      <w:r w:rsidR="00B60956">
        <w:rPr>
          <w:rFonts w:ascii="Arial" w:hAnsi="Arial" w:cs="Arial"/>
          <w:sz w:val="44"/>
          <w:szCs w:val="44"/>
        </w:rPr>
        <w:t>2414597</w:t>
      </w:r>
    </w:p>
    <w:p w14:paraId="0F9BB97A" w14:textId="288CAA75" w:rsidR="00DC7D15" w:rsidRDefault="00DC7D15" w:rsidP="00DC7D15">
      <w:pPr>
        <w:spacing w:line="360" w:lineRule="auto"/>
        <w:jc w:val="both"/>
        <w:rPr>
          <w:rFonts w:ascii="Arial" w:hAnsi="Arial" w:cs="Arial"/>
          <w:sz w:val="44"/>
          <w:szCs w:val="44"/>
        </w:rPr>
      </w:pPr>
      <w:r w:rsidRPr="00DC7D15">
        <w:rPr>
          <w:rFonts w:ascii="Arial" w:hAnsi="Arial" w:cs="Arial"/>
          <w:sz w:val="44"/>
          <w:szCs w:val="44"/>
        </w:rPr>
        <w:t>Lecturer: James Moore</w:t>
      </w:r>
    </w:p>
    <w:p w14:paraId="7BF3E909" w14:textId="77777777" w:rsidR="00DC7D15" w:rsidRDefault="00DC7D15" w:rsidP="00DC7D15">
      <w:pPr>
        <w:spacing w:line="360" w:lineRule="auto"/>
        <w:jc w:val="both"/>
        <w:rPr>
          <w:rFonts w:ascii="Arial" w:hAnsi="Arial" w:cs="Arial"/>
          <w:sz w:val="44"/>
          <w:szCs w:val="44"/>
        </w:rPr>
      </w:pPr>
    </w:p>
    <w:p w14:paraId="194F7D01" w14:textId="49850961" w:rsidR="00DC7D15" w:rsidRDefault="00DC7D15" w:rsidP="00DC7D15">
      <w:pPr>
        <w:spacing w:line="360" w:lineRule="auto"/>
        <w:jc w:val="both"/>
        <w:rPr>
          <w:rFonts w:ascii="Arial" w:hAnsi="Arial" w:cs="Arial"/>
          <w:sz w:val="44"/>
          <w:szCs w:val="44"/>
        </w:rPr>
      </w:pPr>
      <w:r>
        <w:rPr>
          <w:rFonts w:ascii="Arial" w:hAnsi="Arial" w:cs="Arial"/>
          <w:sz w:val="44"/>
          <w:szCs w:val="44"/>
        </w:rPr>
        <w:t xml:space="preserve">Word Count: </w:t>
      </w:r>
      <w:r w:rsidR="00CB0A2E">
        <w:rPr>
          <w:rFonts w:ascii="Arial" w:hAnsi="Arial" w:cs="Arial"/>
          <w:sz w:val="44"/>
          <w:szCs w:val="44"/>
        </w:rPr>
        <w:t>299</w:t>
      </w:r>
      <w:r w:rsidR="00B60956">
        <w:rPr>
          <w:rFonts w:ascii="Arial" w:hAnsi="Arial" w:cs="Arial"/>
          <w:sz w:val="44"/>
          <w:szCs w:val="44"/>
        </w:rPr>
        <w:t>7</w:t>
      </w:r>
    </w:p>
    <w:p w14:paraId="4372829B" w14:textId="18D391B6"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lastRenderedPageBreak/>
        <w:t>Toyota Motor Corporation is one of the most prominent and influential organisations within the global automotive industry. Established in 1937 and headquartered in Toyota City, Japan, the company has developed a strong international presence and a reputation for quality, reliability, and efficiency. Central to Toyota’s success has been its pioneering of the Toyota Production System (TPS), a lean manufacturing philosophy that emphasises waste reduction, continuous improvement, and operational excellence. This system has not only improved productivity but has also become a global benchmark for operational efficiency and supply chain management across industries (Liker, 2021). In addition, Toyota was among the first manufacturers to invest significantly in hybrid technology, most notably through the Toyota Prius, which positioned the company as a leader in environmentally conscious innovation (Toyota, 2024). The company’s ability to combine efficiency with innovation has enabled it to maintain strong global market share and brand loyalty in an increasingly competitive environment (Statista, 2024).</w:t>
      </w:r>
    </w:p>
    <w:p w14:paraId="4C811693" w14:textId="1F4EBDE8"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The automotive industry itself represents a critical component of the global economy, contributing significantly to employment, technological advancement, and economic growth. It supports millions of jobs globally and plays a central role in industrial development and international trade (World Economic Forum, 2024). However, the industry is currently undergoing a period of unprecedented transformation. Rapid technological developments, particularly in electric vehicles (EVs), autonomous driving, and digital connectivity, are reshaping traditional business models and fundamentally altering value creation within the industry (KPMG, 2023). At the same time, growing environmental concerns and climate change policies are placing increasing pressure on manufacturers to reduce emissions and transition towards sustainable mobility solutions (IEA, 2023). These changes have intensified competition and forced organisations to adapt more rapidly than ever before, while also increasing uncertainty and strategic risk across global markets </w:t>
      </w:r>
      <w:r w:rsidR="00345808" w:rsidRPr="00345808">
        <w:rPr>
          <w:rFonts w:ascii="Arial" w:hAnsi="Arial" w:cs="Arial"/>
          <w:sz w:val="24"/>
          <w:szCs w:val="24"/>
        </w:rPr>
        <w:t>(United Nations, 2023)</w:t>
      </w:r>
      <w:r w:rsidR="00345808">
        <w:rPr>
          <w:rFonts w:ascii="Arial" w:hAnsi="Arial" w:cs="Arial"/>
          <w:sz w:val="24"/>
          <w:szCs w:val="24"/>
        </w:rPr>
        <w:t>.</w:t>
      </w:r>
    </w:p>
    <w:p w14:paraId="6DA8F4B8" w14:textId="475E602A"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Toyota has been selected as the focus of this analysis for several key reasons. Firstly, the company operates within a highly competitive and globalised industry, making it particularly sensitive to external environmental changes. Its presence across multiple markets exposes it to a wide range of political, economic, and regulatory influences, providing a comprehensive case for analysis (Hill, 2022). Secondly, Toyota has </w:t>
      </w:r>
      <w:r w:rsidRPr="00CB0A2E">
        <w:rPr>
          <w:rFonts w:ascii="Arial" w:hAnsi="Arial" w:cs="Arial"/>
          <w:sz w:val="24"/>
          <w:szCs w:val="24"/>
        </w:rPr>
        <w:lastRenderedPageBreak/>
        <w:t>demonstrated both strengths and limitations in its response to industry transformation. While it has historically been a leader in hybrid technology, it has faced criticism for its comparatively slower adoption of fully electric vehicles, especially when compared with disruptive competitors such as Tesla Inc. (The Economist, 2023). This contrast highlights the strategic challenges faced by established firms in responding to innovation-driven disruption. In particular, Toyota’s continued emphasis on hybrid and hydrogen technologies has been viewed by some analysts as a risk in a market increasingly dominated by battery electric vehicles (Financial Times, 2024).</w:t>
      </w:r>
    </w:p>
    <w:p w14:paraId="5C506862" w14:textId="04101A73"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Thirdly, Toyota’s long-term strategic approach provides an interesting perspective on organisational adaptability. Unlike some competitors that prioritise rapid innovation and market disruption, Toyota has traditionally adopted a cautious and incremental approach, focusing on reliability, efficiency, and sustainability. This raises important questions about the effectiveness of different strategic responses in a rapidly changing environment. While such an approach reduces risk and ensures consistency, it may also limit the organisation’s ability to respond quickly to disruptive technological shifts </w:t>
      </w:r>
      <w:r w:rsidR="00345808" w:rsidRPr="00345808">
        <w:rPr>
          <w:rFonts w:ascii="Arial" w:hAnsi="Arial" w:cs="Arial"/>
          <w:sz w:val="24"/>
          <w:szCs w:val="24"/>
        </w:rPr>
        <w:t>(Grant, 2022)</w:t>
      </w:r>
      <w:r w:rsidRPr="00CB0A2E">
        <w:rPr>
          <w:rFonts w:ascii="Arial" w:hAnsi="Arial" w:cs="Arial"/>
          <w:sz w:val="24"/>
          <w:szCs w:val="24"/>
        </w:rPr>
        <w:t>. As such, Toyota offers valuable insights into how organisations balance stability with the need for transformation.</w:t>
      </w:r>
    </w:p>
    <w:p w14:paraId="7D97289A" w14:textId="20CC871D"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This essay will critically examine how Toyota navigates the challenges and opportunities presented by its external business environment. It will begin by exploring the concept of the business environment and the importance of analysing external influences on organisational performance. Key theoretical frameworks, including PESTLE analysis and Porter’s Five Forces, will be introduced to provide a structured basis for analysis. The discussion will then apply these frameworks to evaluate the political, economic, social, technological, legal, and environmental factors affecting Toyota. Following this, the essay will assess the organisation’s strategic responses, including its approach to innovation, leadership, and sustainability. Finally, the essay will offer conclusions and recommendations aimed at enhancing Toyota’s adaptability in an increasingly dynamic and uncertain global environment.</w:t>
      </w:r>
    </w:p>
    <w:p w14:paraId="5F450500" w14:textId="616837FA"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The business environment refers to the combination of internal and external factors that influence an organisation’s operations, performance, and strategic decision-making (Johnson et al., 2020). While internal factors such as organisational culture, resources, and capabilities play a significant role in shaping performance, external </w:t>
      </w:r>
      <w:r w:rsidRPr="00CB0A2E">
        <w:rPr>
          <w:rFonts w:ascii="Arial" w:hAnsi="Arial" w:cs="Arial"/>
          <w:sz w:val="24"/>
          <w:szCs w:val="24"/>
        </w:rPr>
        <w:lastRenderedPageBreak/>
        <w:t>factors often present greater uncertainty and complexity. These external influences can create both opportunities and threats, making it essential for organisations to continuously monitor and analyse their environment in order to remain competitive. In an increasingly globalised economy, the ability to respond effectively to external pressures has become a key determinant of long-term success (Deloitte, 2023).</w:t>
      </w:r>
    </w:p>
    <w:p w14:paraId="559658C4" w14:textId="763866DB"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External business environments are commonly divided into two categories: the micro-environment and the macro-environment. The micro-environment includes stakeholders that have a direct impact on the organisation, such as customers, suppliers, competitors, and intermediaries. These factors influence day-to-day operations and immediate strategic decisions. In contrast, the macro-environment consists of broader forces that shape the overall context in which organisations operate. These include political, economic, social, technological, legal, and environmental factors, which often operate beyond the control of individual firms but have significant implications for long-term strategy (Grant, 2022). Understanding the interaction between these forces is essential for organisations seeking to maintain competitiveness in rapidly evolving industries.</w:t>
      </w:r>
    </w:p>
    <w:p w14:paraId="1903777B" w14:textId="6CCED51E"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Analysing the business environment is critical for several reasons. Firstly, it enables organisations to identify opportunities for growth and innovation. For example, the increasing demand for electric vehicles presents new market opportunities for automotive manufacturers willing to invest in emerging technologies. Secondly, environmental analysis helps organisations anticipate and mitigate risks. Economic downturns, regulatory changes, and technological disruptions can all pose significant challenges, and organisations that fail to anticipate these changes may struggle to adapt effectively. Thirdly, analysing the business environment supports informed strategic decision-making by aligning organisational capabilities with external conditions, thereby enhancing competitiveness and sustainability (Johnson et al., 2020). In this context, continuous environmental scanning is essential for maintaining strategic relevance in highly dynamic markets (PwC, 2023).</w:t>
      </w:r>
    </w:p>
    <w:p w14:paraId="102FBD80" w14:textId="55D2DFF3"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One of the most widely used frameworks for analysing the macro-environment is PESTLE analysis, which examines Political, Economic, Social, Technological, Legal, and Environmental factors. This framework provides a systematic approach for identifying and evaluating the external influences that may affect an organisation. </w:t>
      </w:r>
      <w:r w:rsidRPr="00CB0A2E">
        <w:rPr>
          <w:rFonts w:ascii="Arial" w:hAnsi="Arial" w:cs="Arial"/>
          <w:sz w:val="24"/>
          <w:szCs w:val="24"/>
        </w:rPr>
        <w:lastRenderedPageBreak/>
        <w:t>Political factors include government policies, trade regulations, and political stability, all of which can influence business operations. Economic factors encompass variables such as inflation, interest rates, and economic growth, which affect consumer purchasing power and demand. Social factors relate to demographic trends, cultural attitudes, and consumer preferences, while technological factors focus on innovation and technological advancements. Legal factors include laws and regulations that organisations must comply with, and environmental factors address issues such as sustainability and climate change. The PESTLE framework is particularly useful in industries experiencing rapid change, such as automotive manufacturing, where external pressures are constantly evolving (KPMG, 2023).</w:t>
      </w:r>
    </w:p>
    <w:p w14:paraId="29BE18A6" w14:textId="15E65774"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Another important framework is Porter’s Five Forces model, which provides insight into the competitive dynamics of an industry. Developed by Porter (2008), this model identifies five key forces that shape industry competition: competitive rivalry, the threat of new entrants, the bargaining power of buyers, the bargaining power of suppliers, and the threat of substitutes. In the automotive industry, competitive rivalry is particularly intense due to the presence of numerous global manufacturers and the high costs associated with product development and production. The threat of new entrants, while relatively low due to high capital requirements, has increased in recent years with the emergence of new electric vehicle manufacturers. The bargaining power of buyers is also significant, as consumers have access to a wide range of choices and are increasingly price-sensitive and environmentally conscious. This has intensified pressure on firms to differentiate their products and innovate continuously (Statista, 2024).</w:t>
      </w:r>
    </w:p>
    <w:p w14:paraId="135CDBB8" w14:textId="77777777" w:rsidR="00CB0A2E" w:rsidRDefault="00CB0A2E" w:rsidP="00CB0A2E">
      <w:pPr>
        <w:spacing w:line="360" w:lineRule="auto"/>
        <w:jc w:val="both"/>
        <w:rPr>
          <w:rFonts w:ascii="Arial" w:hAnsi="Arial" w:cs="Arial"/>
          <w:sz w:val="24"/>
          <w:szCs w:val="24"/>
        </w:rPr>
      </w:pPr>
      <w:r w:rsidRPr="00CB0A2E">
        <w:rPr>
          <w:rFonts w:ascii="Arial" w:hAnsi="Arial" w:cs="Arial"/>
          <w:sz w:val="24"/>
          <w:szCs w:val="24"/>
        </w:rPr>
        <w:t>For Toyota, understanding and analysing the business environment is especially important given its global scale and exposure to diverse external conditions. The company operates in multiple regions, each with distinct regulatory frameworks, economic conditions, and consumer preferences. Furthermore, the rapid pace of technological change, particularly in relation to electric vehicles and digital mobility, has intensified competition and altered traditional industry dynamics. At the same time, increasing environmental concerns and government regulations aimed at reducing emissions have placed additional pressure on automotive manufacturers to innovate and adapt (IEA, 2023). As a result, Toyota must continuously adjust its strategies to remain competitive in an increasingly volatile and complex global environment.</w:t>
      </w:r>
    </w:p>
    <w:p w14:paraId="564CA640" w14:textId="6D8D1D51"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lastRenderedPageBreak/>
        <w:t>In this context, frameworks such as PESTLE analysis and Porter’s Five Forces provide valuable tools for understanding the complexities of the business environment. By systematically analysing external factors and competitive dynamics, organisations such as Toyota Motor Corporation can develop strategies that enable them to navigate uncertainty, exploit opportunities, and maintain long-term competitiveness (Johnson et al., 2020).</w:t>
      </w:r>
    </w:p>
    <w:p w14:paraId="794C6BF0" w14:textId="59AAA74F"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Political factors continue to exert a significant influence on the global automotive industry and, consequently, on Toyota Motor Corporation. Governments across major markets are increasingly implementing policies aimed at reducing carbon emissions and accelerating the transition towards sustainable transport. For example, the European Union’s commitment to banning the sale of new petrol and diesel vehicles by 2035 represents a major structural shift in the industry (European Commission, 2023). This policy creates both a challenge and an opportunity for Toyota. On one hand, it pressures the company to accelerate its transition to battery electric vehicles (BEVs), an area where it has historically lagged behind competitors. On the other hand, it provides an opportunity for Toyota to leverage its existing expertise in hybrid technology and expand into new low-emission markets. Additionally, geopolitical tensions, particularly between the United States and China, have disrupted global trade and supply chains, creating uncertainty for multinational firms (Reuters, 2024). Toyota’s global production network makes it particularly vulnerable to such disruptions, highlighting the importance of political risk management and supply chain diversification strategies (World Trade Organization, 2023).</w:t>
      </w:r>
    </w:p>
    <w:p w14:paraId="3DF6076B" w14:textId="429FE0DD"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Economic factors also play a crucial role in shaping Toyota’s operating environment. The demand for automobiles is highly sensitive to macroeconomic conditions such as economic growth, inflation, and interest rates. During periods of economic uncertainty, consumers are less likely to make large purchases such as vehicles. The COVID-19 pandemic provided a clear example of this dynamic, as global vehicle sales declined sharply due to reduced consumer confidence and economic instability (World Bank, 2023). Furthermore, the pandemic exposed significant vulnerabilities in global supply chains, particularly in relation to semiconductor shortages, which disrupted production across the automotive industry, including Toyota (McKinsey </w:t>
      </w:r>
      <w:r w:rsidR="00345808">
        <w:rPr>
          <w:rFonts w:ascii="Arial" w:hAnsi="Arial" w:cs="Arial"/>
          <w:sz w:val="24"/>
          <w:szCs w:val="24"/>
        </w:rPr>
        <w:t>and</w:t>
      </w:r>
      <w:r w:rsidRPr="00CB0A2E">
        <w:rPr>
          <w:rFonts w:ascii="Arial" w:hAnsi="Arial" w:cs="Arial"/>
          <w:sz w:val="24"/>
          <w:szCs w:val="24"/>
        </w:rPr>
        <w:t xml:space="preserve"> Company, 2022). Currency fluctuations also impact Toyota’s financial performance due to its extensive international operations, as exchange rate volatility can affect both costs and revenues </w:t>
      </w:r>
      <w:r w:rsidRPr="00CB0A2E">
        <w:rPr>
          <w:rFonts w:ascii="Arial" w:hAnsi="Arial" w:cs="Arial"/>
          <w:sz w:val="24"/>
          <w:szCs w:val="24"/>
        </w:rPr>
        <w:lastRenderedPageBreak/>
        <w:t>(IMF, 2023). However, economic recovery in key markets presents opportunities for growth, particularly as demand for new technologies such as electric vehicles increases (OECD, 2023). This suggests that economic cycles not only create risk but also drive innovation and investment in emerging automotive technologies.</w:t>
      </w:r>
    </w:p>
    <w:p w14:paraId="42463CBE" w14:textId="19E0960D"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Social factors are increasingly shaping the strategic direction of the automotive industry. Consumer preferences are shifting towards environmentally sustainable products, digital connectivity, and flexible mobility solutions. There is growing awareness of climate change, particularly among younger consumers, who are more likely to favour electric vehicles and shared mobility services over traditional car ownership (Deloitte, 2023). Toyota initially responded to these trends through its hybrid vehicles, which offered a more environmentally friendly alternative to conventional internal combustion engines. However, the rapid rise in demand for fully electric vehicles has altered consumer expectations, placing pressure on Toyota to expand its BEV offerings. Urbanisation and changing lifestyles have also contributed to the growth of ride-sharing and mobility-as-a-service platforms, reducing the emphasis on individual car ownership (PwC, 2023). These trends present both challenges and opportunities for Toyota, requiring the company to adapt its product portfolio and explore new business models while maintaining brand relevance in changing markets (Ipsos, 2023).</w:t>
      </w:r>
    </w:p>
    <w:p w14:paraId="44BF1F95" w14:textId="57E92459"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Technological factors represent one of the most disruptive forces affecting Toyota and the wider automotive industry. Advances in battery technology, artificial intelligence, and autonomous driving are transforming the way vehicles are produced and used. Competitors such as Tesla Inc. have gained a competitive advantage by focusing on electric vehicles and software integration, setting new industry standards (The Economist, 2023). Toyota has been criticised for its slower transition to BEVs, instead prioritising hybrid and hydrogen fuel cell technologies. The development of the Toyota Mirai reflects Toyota’s long-term investment in hydrogen as an alternative energy source; however, the lack of infrastructure and high costs associated with hydrogen technology limit its widespread adoption (Bloomberg, 2024). Nevertheless, technological change also presents opportunities for Toyota, particularly in areas such as autonomous driving and connected vehicle technologies, where the company has begun to invest through partnerships and research initiatives (Gartner, 2023). These </w:t>
      </w:r>
      <w:r w:rsidRPr="00CB0A2E">
        <w:rPr>
          <w:rFonts w:ascii="Arial" w:hAnsi="Arial" w:cs="Arial"/>
          <w:sz w:val="24"/>
          <w:szCs w:val="24"/>
        </w:rPr>
        <w:lastRenderedPageBreak/>
        <w:t>developments highlight the increasing importance of digital capabilities and software integration in determining competitive advantage.</w:t>
      </w:r>
    </w:p>
    <w:p w14:paraId="66ECB0FE" w14:textId="262460F2"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Legal factors impose additional pressures on Toyota’s operations. The automotive industry is subject to strict regulations concerning safety, emissions, and labour standards. Compliance with these regulations requires significant investment in research and development, increasing operational costs. Stricter emissions standards in regions such as Europe and North America have forced manufacturers to accelerate the development of low-emission vehicles (International Council on Clean Transportation, 2022). Failure to comply with these regulations can result in substantial financial penalties and damage to corporate reputation. However, legal requirements can also create opportunities by encouraging innovation and technological advancement. Companies that successfully adapt to regulatory changes can gain a competitive advantage by positioning themselves as leaders in sustainability and compliance (Deloitte, 2023). This demonstrates how regulation can act not only as a constraint but also as a catalyst for innovation.</w:t>
      </w:r>
    </w:p>
    <w:p w14:paraId="6D67EA49" w14:textId="5CA7EBFE"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Environmental factors are perhaps the most critical drivers of change within the automotive industry. Climate change has intensified pressure on organisations to reduce their carbon footprint and adopt sustainable practices. Toyota has committed to achieving carbon neutrality by 2050 and has introduced a range of sustainability initiatives aimed at reducing emissions across its operations (Toyota, 2023). However, critics argue that Toyota’s relatively slow adoption of BEVs may hinder its ability to meet these targets, particularly in comparison with more aggressive competitors (Financial Times, 2024). At the same time, environmental concerns create significant opportunities for innovation, particularly in the development of clean energy vehicles and sustainable manufacturing processes. The increasing availability of renewable energy and advancements in battery technology further support this transition (UNEP, 2023). As sustainability becomes a central competitive factor, organisations that fail to adapt may face long-term strategic disadvantage.</w:t>
      </w:r>
    </w:p>
    <w:p w14:paraId="32161483" w14:textId="31156570"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Overall, the PESTLE analysis highlights a complex and dynamic external environment characterised by both significant challenges and opportunities. Political and legal pressures are accelerating the transition towards sustainable mobility, while economic uncertainties and supply chain disruptions present ongoing risks. Social and </w:t>
      </w:r>
      <w:r w:rsidRPr="00CB0A2E">
        <w:rPr>
          <w:rFonts w:ascii="Arial" w:hAnsi="Arial" w:cs="Arial"/>
          <w:sz w:val="24"/>
          <w:szCs w:val="24"/>
        </w:rPr>
        <w:lastRenderedPageBreak/>
        <w:t>technological changes are reshaping consumer expectations and industry competition, requiring organisations such as Toyota to continuously adapt. At the same time, environmental concerns are driving innovation and creating new market opportunities. This reinforces the importance of strategic agility and continuous adaptation in maintaining competitiveness within rapidly evolving industries (Grant, 2022).</w:t>
      </w:r>
    </w:p>
    <w:p w14:paraId="50B679A1" w14:textId="1CE13E53"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In response to these external pressures, Toyota has implemented a range of strategic initiatives aimed at maintaining its competitive position. One of the company’s key strengths lies in its production system, which emphasises efficiency, waste reduction, and continuous improvement. This approach has enabled Toyota to maintain high levels of operational efficiency and cost competitiveness within the global automotive market (Liker, 2021). The principle of continuous improvement remains central to Toyota’s organisational culture and supports its ability to adapt incrementally to changing conditions.</w:t>
      </w:r>
    </w:p>
    <w:p w14:paraId="527A9879" w14:textId="0820B851"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Toyota has also begun to expand its electrification strategy, announcing significant investments in battery electric vehicles while continuing to develop hybrid and hydrogen technologies. This diversified approach reflects a long-term strategic perspective that seeks to balance risk and innovation. While this strategy provides flexibility, it has been criticised for lacking the urgency demonstrated by competitors such as Tesla Inc., which have focused more aggressively on BEV development (The Economist, 2023). This cautious positioning may limit Toyota’s ability to capture market share in rapidly growing EV segments.</w:t>
      </w:r>
    </w:p>
    <w:p w14:paraId="399E1C80" w14:textId="6A4BBDCF"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Leadership has played an important role in shaping Toyota’s response to environmental changes. The company’s leadership has traditionally prioritised stability, reliability, and long-term sustainability over rapid disruption. This conservative approach has contributed to Toyota’s resilience and consistent performance; however, it has also limited its ability to respond quickly to emerging technological trends. In contrast, more disruptive firms have adopted agile and innovation-driven leadership styles that prioritise rapid experimentation and market entry (Hill, 2022).</w:t>
      </w:r>
    </w:p>
    <w:p w14:paraId="110AB2CF" w14:textId="76BDABDA"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 xml:space="preserve">Toyota has also invested in innovation beyond traditional vehicle manufacturing. The company has developed partnerships with technology firms to advance autonomous driving and connected vehicle technologies. In addition, it has explored new business </w:t>
      </w:r>
      <w:r w:rsidRPr="00CB0A2E">
        <w:rPr>
          <w:rFonts w:ascii="Arial" w:hAnsi="Arial" w:cs="Arial"/>
          <w:sz w:val="24"/>
          <w:szCs w:val="24"/>
        </w:rPr>
        <w:lastRenderedPageBreak/>
        <w:t>models, including mobility-as-a-service solutions, reflecting a broader shift within the industry towards integrated mobility ecosystems (KPMG, 2023). These initiatives demonstrate Toyota’s recognition of the need to adapt to changing consumer demands and technological advancements.</w:t>
      </w:r>
    </w:p>
    <w:p w14:paraId="0D5C01B0" w14:textId="6576BB7C"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Despite these efforts, alternative strategic responses could further enhance Toyota’s adaptability. For instance, the company could accelerate its transition to battery electric vehicles in order to compete more directly with industry leaders. Increased investment in battery technology and software integration would enable Toyota to meet evolving consumer expectations and improve its competitive position. Furthermore, adopting a more agile and innovation-focused leadership approach could enhance the company’s ability to respond to rapid technological change. Expanding strategic partnerships with technology companies could also strengthen Toyota’s capabilities in areas such as artificial intelligence and digital mobility (World Economic Forum, 2024).</w:t>
      </w:r>
    </w:p>
    <w:p w14:paraId="6F95D31B" w14:textId="17037677" w:rsidR="00CB0A2E" w:rsidRPr="00CB0A2E" w:rsidRDefault="00CB0A2E" w:rsidP="00CB0A2E">
      <w:pPr>
        <w:spacing w:line="360" w:lineRule="auto"/>
        <w:jc w:val="both"/>
        <w:rPr>
          <w:rFonts w:ascii="Arial" w:hAnsi="Arial" w:cs="Arial"/>
          <w:sz w:val="24"/>
          <w:szCs w:val="24"/>
        </w:rPr>
      </w:pPr>
      <w:r w:rsidRPr="00CB0A2E">
        <w:rPr>
          <w:rFonts w:ascii="Arial" w:hAnsi="Arial" w:cs="Arial"/>
          <w:sz w:val="24"/>
          <w:szCs w:val="24"/>
        </w:rPr>
        <w:t>In conclusion, Toyota operates within a highly complex and rapidly changing business environment shaped by political, economic, social, technological, legal, and environmental factors. The PESTLE analysis highlights the significant challenges and opportunities facing the organisation, particularly in relation to sustainability and technological disruption. Toyota has demonstrated a strong capacity for adaptation through its operational efficiency, long-term strategic approach, and investment in innovation. However, its relatively cautious approach to electrification and technological change may limit its competitiveness in the future.</w:t>
      </w:r>
    </w:p>
    <w:p w14:paraId="3A6D2815" w14:textId="08A789CB" w:rsidR="00655EB7" w:rsidRDefault="00CB0A2E" w:rsidP="00CB0A2E">
      <w:pPr>
        <w:spacing w:line="360" w:lineRule="auto"/>
        <w:jc w:val="both"/>
        <w:rPr>
          <w:rFonts w:ascii="Arial" w:hAnsi="Arial" w:cs="Arial"/>
          <w:sz w:val="24"/>
          <w:szCs w:val="24"/>
        </w:rPr>
      </w:pPr>
      <w:r w:rsidRPr="00CB0A2E">
        <w:rPr>
          <w:rFonts w:ascii="Arial" w:hAnsi="Arial" w:cs="Arial"/>
          <w:sz w:val="24"/>
          <w:szCs w:val="24"/>
        </w:rPr>
        <w:t>To enhance its adaptability, Toyota should accelerate its investment in battery electric vehicles, strengthen its focus on emerging technologies, and adopt a more agile and proactive strategic approach. By doing so, the company can better respond to external environmental changes and maintain its leadership position within the global automotive industry.</w:t>
      </w:r>
    </w:p>
    <w:p w14:paraId="07C4FCE2" w14:textId="77777777" w:rsidR="00655EB7" w:rsidRDefault="00655EB7" w:rsidP="00CB0A2E">
      <w:pPr>
        <w:spacing w:line="360" w:lineRule="auto"/>
        <w:jc w:val="both"/>
        <w:rPr>
          <w:rFonts w:ascii="Arial" w:hAnsi="Arial" w:cs="Arial"/>
          <w:sz w:val="24"/>
          <w:szCs w:val="24"/>
        </w:rPr>
      </w:pPr>
    </w:p>
    <w:p w14:paraId="7140BD50" w14:textId="77777777" w:rsidR="00655EB7" w:rsidRDefault="00655EB7" w:rsidP="00CB0A2E">
      <w:pPr>
        <w:spacing w:line="360" w:lineRule="auto"/>
        <w:jc w:val="both"/>
        <w:rPr>
          <w:rFonts w:ascii="Arial" w:hAnsi="Arial" w:cs="Arial"/>
          <w:sz w:val="24"/>
          <w:szCs w:val="24"/>
        </w:rPr>
      </w:pPr>
    </w:p>
    <w:p w14:paraId="61A66100" w14:textId="77777777" w:rsidR="00655EB7" w:rsidRDefault="00655EB7" w:rsidP="00CB0A2E">
      <w:pPr>
        <w:spacing w:line="360" w:lineRule="auto"/>
        <w:jc w:val="both"/>
        <w:rPr>
          <w:rFonts w:ascii="Arial" w:hAnsi="Arial" w:cs="Arial"/>
          <w:sz w:val="24"/>
          <w:szCs w:val="24"/>
        </w:rPr>
      </w:pPr>
    </w:p>
    <w:p w14:paraId="157054B5" w14:textId="77777777" w:rsidR="00655EB7" w:rsidRDefault="00655EB7" w:rsidP="00655EB7">
      <w:pPr>
        <w:pStyle w:val="NormalWeb"/>
        <w:spacing w:line="360" w:lineRule="auto"/>
        <w:jc w:val="both"/>
        <w:rPr>
          <w:rFonts w:ascii="Arial" w:hAnsi="Arial" w:cs="Arial"/>
        </w:rPr>
      </w:pPr>
    </w:p>
    <w:p w14:paraId="787EDF9E" w14:textId="77777777" w:rsidR="00655EB7" w:rsidRDefault="00655EB7" w:rsidP="00655EB7">
      <w:pPr>
        <w:pStyle w:val="NormalWeb"/>
        <w:spacing w:line="360" w:lineRule="auto"/>
        <w:jc w:val="both"/>
        <w:rPr>
          <w:rFonts w:ascii="Arial" w:hAnsi="Arial" w:cs="Arial"/>
        </w:rPr>
      </w:pPr>
      <w:r>
        <w:rPr>
          <w:rFonts w:ascii="Arial" w:hAnsi="Arial" w:cs="Arial"/>
        </w:rPr>
        <w:lastRenderedPageBreak/>
        <w:t>References</w:t>
      </w:r>
    </w:p>
    <w:p w14:paraId="039E5D60"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Accenture (2022) </w:t>
      </w:r>
      <w:r w:rsidRPr="00655EB7">
        <w:rPr>
          <w:rStyle w:val="Emphasis"/>
          <w:rFonts w:ascii="Arial" w:eastAsiaTheme="majorEastAsia" w:hAnsi="Arial" w:cs="Arial"/>
        </w:rPr>
        <w:t>Mobility consumer survey 2022</w:t>
      </w:r>
      <w:r w:rsidRPr="00655EB7">
        <w:rPr>
          <w:rFonts w:ascii="Arial" w:hAnsi="Arial" w:cs="Arial"/>
        </w:rPr>
        <w:t>. Dublin: Accenture.</w:t>
      </w:r>
    </w:p>
    <w:p w14:paraId="6D70D35C"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Bloomberg (2024) </w:t>
      </w:r>
      <w:r w:rsidRPr="00655EB7">
        <w:rPr>
          <w:rStyle w:val="Emphasis"/>
          <w:rFonts w:ascii="Arial" w:eastAsiaTheme="majorEastAsia" w:hAnsi="Arial" w:cs="Arial"/>
        </w:rPr>
        <w:t>Global automotive outlook 2024</w:t>
      </w:r>
      <w:r w:rsidRPr="00655EB7">
        <w:rPr>
          <w:rFonts w:ascii="Arial" w:hAnsi="Arial" w:cs="Arial"/>
        </w:rPr>
        <w:t>. New York: Bloomberg.</w:t>
      </w:r>
    </w:p>
    <w:p w14:paraId="1C696610" w14:textId="77777777" w:rsidR="00655EB7" w:rsidRPr="00655EB7" w:rsidRDefault="00655EB7" w:rsidP="00655EB7">
      <w:pPr>
        <w:pStyle w:val="NormalWeb"/>
        <w:spacing w:line="360" w:lineRule="auto"/>
        <w:jc w:val="both"/>
        <w:rPr>
          <w:rFonts w:ascii="Arial" w:hAnsi="Arial" w:cs="Arial"/>
        </w:rPr>
      </w:pPr>
      <w:proofErr w:type="spellStart"/>
      <w:r w:rsidRPr="00655EB7">
        <w:rPr>
          <w:rFonts w:ascii="Arial" w:hAnsi="Arial" w:cs="Arial"/>
        </w:rPr>
        <w:t>BloombergNEF</w:t>
      </w:r>
      <w:proofErr w:type="spellEnd"/>
      <w:r w:rsidRPr="00655EB7">
        <w:rPr>
          <w:rFonts w:ascii="Arial" w:hAnsi="Arial" w:cs="Arial"/>
        </w:rPr>
        <w:t xml:space="preserve"> (2024) </w:t>
      </w:r>
      <w:r w:rsidRPr="00655EB7">
        <w:rPr>
          <w:rStyle w:val="Emphasis"/>
          <w:rFonts w:ascii="Arial" w:eastAsiaTheme="majorEastAsia" w:hAnsi="Arial" w:cs="Arial"/>
        </w:rPr>
        <w:t>Electric vehicle outlook 2024</w:t>
      </w:r>
      <w:r w:rsidRPr="00655EB7">
        <w:rPr>
          <w:rFonts w:ascii="Arial" w:hAnsi="Arial" w:cs="Arial"/>
        </w:rPr>
        <w:t xml:space="preserve">. London: </w:t>
      </w:r>
      <w:proofErr w:type="spellStart"/>
      <w:r w:rsidRPr="00655EB7">
        <w:rPr>
          <w:rFonts w:ascii="Arial" w:hAnsi="Arial" w:cs="Arial"/>
        </w:rPr>
        <w:t>BloombergNEF</w:t>
      </w:r>
      <w:proofErr w:type="spellEnd"/>
      <w:r w:rsidRPr="00655EB7">
        <w:rPr>
          <w:rFonts w:ascii="Arial" w:hAnsi="Arial" w:cs="Arial"/>
        </w:rPr>
        <w:t>.</w:t>
      </w:r>
    </w:p>
    <w:p w14:paraId="127D2E2F"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Deloitte (2023) </w:t>
      </w:r>
      <w:r w:rsidRPr="00655EB7">
        <w:rPr>
          <w:rStyle w:val="Emphasis"/>
          <w:rFonts w:ascii="Arial" w:eastAsiaTheme="majorEastAsia" w:hAnsi="Arial" w:cs="Arial"/>
        </w:rPr>
        <w:t>Global automotive consumer study 2023</w:t>
      </w:r>
      <w:r w:rsidRPr="00655EB7">
        <w:rPr>
          <w:rFonts w:ascii="Arial" w:hAnsi="Arial" w:cs="Arial"/>
        </w:rPr>
        <w:t>. London: Deloitte.</w:t>
      </w:r>
    </w:p>
    <w:p w14:paraId="676187A8" w14:textId="77777777" w:rsidR="00655EB7" w:rsidRPr="00655EB7" w:rsidRDefault="00655EB7" w:rsidP="00345808">
      <w:pPr>
        <w:pStyle w:val="NormalWeb"/>
        <w:spacing w:line="360" w:lineRule="auto"/>
        <w:jc w:val="both"/>
        <w:rPr>
          <w:rFonts w:ascii="Arial" w:hAnsi="Arial" w:cs="Arial"/>
        </w:rPr>
      </w:pPr>
      <w:r w:rsidRPr="00655EB7">
        <w:rPr>
          <w:rFonts w:ascii="Arial" w:hAnsi="Arial" w:cs="Arial"/>
        </w:rPr>
        <w:t xml:space="preserve">European Commission (2023) </w:t>
      </w:r>
      <w:r w:rsidRPr="00655EB7">
        <w:rPr>
          <w:rStyle w:val="Emphasis"/>
          <w:rFonts w:ascii="Arial" w:eastAsiaTheme="majorEastAsia" w:hAnsi="Arial" w:cs="Arial"/>
        </w:rPr>
        <w:t>Fit for 55: delivering the EU’s 2030 climate target</w:t>
      </w:r>
      <w:r w:rsidRPr="00655EB7">
        <w:rPr>
          <w:rFonts w:ascii="Arial" w:hAnsi="Arial" w:cs="Arial"/>
        </w:rPr>
        <w:t>. Brussels: European Commission.</w:t>
      </w:r>
    </w:p>
    <w:p w14:paraId="239E15EB"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Financial Times (2024) </w:t>
      </w:r>
      <w:r w:rsidRPr="00655EB7">
        <w:rPr>
          <w:rStyle w:val="Emphasis"/>
          <w:rFonts w:ascii="Arial" w:eastAsiaTheme="majorEastAsia" w:hAnsi="Arial" w:cs="Arial"/>
        </w:rPr>
        <w:t>Toyota’s electric vehicle strategy under scrutiny</w:t>
      </w:r>
      <w:r w:rsidRPr="00655EB7">
        <w:rPr>
          <w:rFonts w:ascii="Arial" w:hAnsi="Arial" w:cs="Arial"/>
        </w:rPr>
        <w:t>. London: Financial Times.</w:t>
      </w:r>
    </w:p>
    <w:p w14:paraId="02BBA2B4"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Gartner (2023) </w:t>
      </w:r>
      <w:r w:rsidRPr="00655EB7">
        <w:rPr>
          <w:rStyle w:val="Emphasis"/>
          <w:rFonts w:ascii="Arial" w:eastAsiaTheme="majorEastAsia" w:hAnsi="Arial" w:cs="Arial"/>
        </w:rPr>
        <w:t>Top automotive technology trends 2023</w:t>
      </w:r>
      <w:r w:rsidRPr="00655EB7">
        <w:rPr>
          <w:rFonts w:ascii="Arial" w:hAnsi="Arial" w:cs="Arial"/>
        </w:rPr>
        <w:t>. Stamford: Gartner.</w:t>
      </w:r>
    </w:p>
    <w:p w14:paraId="735D8E0F"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Grant, R.M. (2022) </w:t>
      </w:r>
      <w:r w:rsidRPr="00655EB7">
        <w:rPr>
          <w:rStyle w:val="Emphasis"/>
          <w:rFonts w:ascii="Arial" w:eastAsiaTheme="majorEastAsia" w:hAnsi="Arial" w:cs="Arial"/>
        </w:rPr>
        <w:t>Contemporary strategy analysis</w:t>
      </w:r>
      <w:r w:rsidRPr="00655EB7">
        <w:rPr>
          <w:rFonts w:ascii="Arial" w:hAnsi="Arial" w:cs="Arial"/>
        </w:rPr>
        <w:t xml:space="preserve">. 11th </w:t>
      </w:r>
      <w:proofErr w:type="spellStart"/>
      <w:r w:rsidRPr="00655EB7">
        <w:rPr>
          <w:rFonts w:ascii="Arial" w:hAnsi="Arial" w:cs="Arial"/>
        </w:rPr>
        <w:t>edn</w:t>
      </w:r>
      <w:proofErr w:type="spellEnd"/>
      <w:r w:rsidRPr="00655EB7">
        <w:rPr>
          <w:rFonts w:ascii="Arial" w:hAnsi="Arial" w:cs="Arial"/>
        </w:rPr>
        <w:t>. Hoboken: Wiley.</w:t>
      </w:r>
    </w:p>
    <w:p w14:paraId="671FB7E8"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Hill, C.W.L. (2022) </w:t>
      </w:r>
      <w:r w:rsidRPr="00655EB7">
        <w:rPr>
          <w:rStyle w:val="Emphasis"/>
          <w:rFonts w:ascii="Arial" w:eastAsiaTheme="majorEastAsia" w:hAnsi="Arial" w:cs="Arial"/>
        </w:rPr>
        <w:t>International business: competing in the global marketplace</w:t>
      </w:r>
      <w:r w:rsidRPr="00655EB7">
        <w:rPr>
          <w:rFonts w:ascii="Arial" w:hAnsi="Arial" w:cs="Arial"/>
        </w:rPr>
        <w:t xml:space="preserve">. 13th </w:t>
      </w:r>
      <w:proofErr w:type="spellStart"/>
      <w:r w:rsidRPr="00655EB7">
        <w:rPr>
          <w:rFonts w:ascii="Arial" w:hAnsi="Arial" w:cs="Arial"/>
        </w:rPr>
        <w:t>edn</w:t>
      </w:r>
      <w:proofErr w:type="spellEnd"/>
      <w:r w:rsidRPr="00655EB7">
        <w:rPr>
          <w:rFonts w:ascii="Arial" w:hAnsi="Arial" w:cs="Arial"/>
        </w:rPr>
        <w:t>. New York: McGraw-Hill.</w:t>
      </w:r>
    </w:p>
    <w:p w14:paraId="46DF23C3"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International Council on Clean Transportation (2022) </w:t>
      </w:r>
      <w:r w:rsidRPr="00655EB7">
        <w:rPr>
          <w:rStyle w:val="Emphasis"/>
          <w:rFonts w:ascii="Arial" w:eastAsiaTheme="majorEastAsia" w:hAnsi="Arial" w:cs="Arial"/>
        </w:rPr>
        <w:t>Global vehicle emissions standards report</w:t>
      </w:r>
      <w:r w:rsidRPr="00655EB7">
        <w:rPr>
          <w:rFonts w:ascii="Arial" w:hAnsi="Arial" w:cs="Arial"/>
        </w:rPr>
        <w:t>. Washington, DC: ICCT.</w:t>
      </w:r>
    </w:p>
    <w:p w14:paraId="796BB991"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International Energy Agency (IEA) (2023) </w:t>
      </w:r>
      <w:r w:rsidRPr="00655EB7">
        <w:rPr>
          <w:rStyle w:val="Emphasis"/>
          <w:rFonts w:ascii="Arial" w:eastAsiaTheme="majorEastAsia" w:hAnsi="Arial" w:cs="Arial"/>
        </w:rPr>
        <w:t>Global EV outlook 2023</w:t>
      </w:r>
      <w:r w:rsidRPr="00655EB7">
        <w:rPr>
          <w:rFonts w:ascii="Arial" w:hAnsi="Arial" w:cs="Arial"/>
        </w:rPr>
        <w:t>. Paris: IEA.</w:t>
      </w:r>
    </w:p>
    <w:p w14:paraId="34BAE5B0"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International Monetary Fund (IMF) (2023) </w:t>
      </w:r>
      <w:r w:rsidRPr="00655EB7">
        <w:rPr>
          <w:rStyle w:val="Emphasis"/>
          <w:rFonts w:ascii="Arial" w:eastAsiaTheme="majorEastAsia" w:hAnsi="Arial" w:cs="Arial"/>
        </w:rPr>
        <w:t>World economic outlook</w:t>
      </w:r>
      <w:r w:rsidRPr="00655EB7">
        <w:rPr>
          <w:rFonts w:ascii="Arial" w:hAnsi="Arial" w:cs="Arial"/>
        </w:rPr>
        <w:t>. Washington, DC: IMF.</w:t>
      </w:r>
    </w:p>
    <w:p w14:paraId="010A6E14"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Ipsos (2023) </w:t>
      </w:r>
      <w:r w:rsidRPr="00655EB7">
        <w:rPr>
          <w:rStyle w:val="Emphasis"/>
          <w:rFonts w:ascii="Arial" w:eastAsiaTheme="majorEastAsia" w:hAnsi="Arial" w:cs="Arial"/>
        </w:rPr>
        <w:t>Global attitudes towards electric vehicles 2023</w:t>
      </w:r>
      <w:r w:rsidRPr="00655EB7">
        <w:rPr>
          <w:rFonts w:ascii="Arial" w:hAnsi="Arial" w:cs="Arial"/>
        </w:rPr>
        <w:t>. Paris: Ipsos.</w:t>
      </w:r>
    </w:p>
    <w:p w14:paraId="082DA047"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Johnson, G., Whittington, R., Scholes, K., Angwin, D. and </w:t>
      </w:r>
      <w:proofErr w:type="spellStart"/>
      <w:r w:rsidRPr="00655EB7">
        <w:rPr>
          <w:rFonts w:ascii="Arial" w:hAnsi="Arial" w:cs="Arial"/>
        </w:rPr>
        <w:t>Regnér</w:t>
      </w:r>
      <w:proofErr w:type="spellEnd"/>
      <w:r w:rsidRPr="00655EB7">
        <w:rPr>
          <w:rFonts w:ascii="Arial" w:hAnsi="Arial" w:cs="Arial"/>
        </w:rPr>
        <w:t xml:space="preserve">, P. (2020) </w:t>
      </w:r>
      <w:r w:rsidRPr="00655EB7">
        <w:rPr>
          <w:rStyle w:val="Emphasis"/>
          <w:rFonts w:ascii="Arial" w:eastAsiaTheme="majorEastAsia" w:hAnsi="Arial" w:cs="Arial"/>
        </w:rPr>
        <w:t>Exploring strategy</w:t>
      </w:r>
      <w:r w:rsidRPr="00655EB7">
        <w:rPr>
          <w:rFonts w:ascii="Arial" w:hAnsi="Arial" w:cs="Arial"/>
        </w:rPr>
        <w:t xml:space="preserve">. 12th </w:t>
      </w:r>
      <w:proofErr w:type="spellStart"/>
      <w:r w:rsidRPr="00655EB7">
        <w:rPr>
          <w:rFonts w:ascii="Arial" w:hAnsi="Arial" w:cs="Arial"/>
        </w:rPr>
        <w:t>edn</w:t>
      </w:r>
      <w:proofErr w:type="spellEnd"/>
      <w:r w:rsidRPr="00655EB7">
        <w:rPr>
          <w:rFonts w:ascii="Arial" w:hAnsi="Arial" w:cs="Arial"/>
        </w:rPr>
        <w:t>. Harlow: Pearson.</w:t>
      </w:r>
    </w:p>
    <w:p w14:paraId="596A814F"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KPMG (2023) </w:t>
      </w:r>
      <w:r w:rsidRPr="00655EB7">
        <w:rPr>
          <w:rStyle w:val="Emphasis"/>
          <w:rFonts w:ascii="Arial" w:eastAsiaTheme="majorEastAsia" w:hAnsi="Arial" w:cs="Arial"/>
        </w:rPr>
        <w:t>Global automotive executive survey 2023</w:t>
      </w:r>
      <w:r w:rsidRPr="00655EB7">
        <w:rPr>
          <w:rFonts w:ascii="Arial" w:hAnsi="Arial" w:cs="Arial"/>
        </w:rPr>
        <w:t>. London: KPMG.</w:t>
      </w:r>
    </w:p>
    <w:p w14:paraId="65EF9DE8"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lastRenderedPageBreak/>
        <w:t xml:space="preserve">Liker, J.K. (2021) </w:t>
      </w:r>
      <w:r w:rsidRPr="00655EB7">
        <w:rPr>
          <w:rStyle w:val="Emphasis"/>
          <w:rFonts w:ascii="Arial" w:eastAsiaTheme="majorEastAsia" w:hAnsi="Arial" w:cs="Arial"/>
        </w:rPr>
        <w:t>The Toyota way: 14 management principles from the world’s greatest manufacturer</w:t>
      </w:r>
      <w:r w:rsidRPr="00655EB7">
        <w:rPr>
          <w:rFonts w:ascii="Arial" w:hAnsi="Arial" w:cs="Arial"/>
        </w:rPr>
        <w:t xml:space="preserve">. 2nd </w:t>
      </w:r>
      <w:proofErr w:type="spellStart"/>
      <w:r w:rsidRPr="00655EB7">
        <w:rPr>
          <w:rFonts w:ascii="Arial" w:hAnsi="Arial" w:cs="Arial"/>
        </w:rPr>
        <w:t>edn</w:t>
      </w:r>
      <w:proofErr w:type="spellEnd"/>
      <w:r w:rsidRPr="00655EB7">
        <w:rPr>
          <w:rFonts w:ascii="Arial" w:hAnsi="Arial" w:cs="Arial"/>
        </w:rPr>
        <w:t>. New York: McGraw-Hill.</w:t>
      </w:r>
    </w:p>
    <w:p w14:paraId="3489CC83"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McKinsey and Company (2022) </w:t>
      </w:r>
      <w:r w:rsidRPr="00655EB7">
        <w:rPr>
          <w:rStyle w:val="Emphasis"/>
          <w:rFonts w:ascii="Arial" w:eastAsiaTheme="majorEastAsia" w:hAnsi="Arial" w:cs="Arial"/>
        </w:rPr>
        <w:t>Semiconductor shortage and automotive impact</w:t>
      </w:r>
      <w:r w:rsidRPr="00655EB7">
        <w:rPr>
          <w:rFonts w:ascii="Arial" w:hAnsi="Arial" w:cs="Arial"/>
        </w:rPr>
        <w:t>. New York: McKinsey and Company.</w:t>
      </w:r>
    </w:p>
    <w:p w14:paraId="25778167"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McKinsey and Company (2023) </w:t>
      </w:r>
      <w:r w:rsidRPr="00655EB7">
        <w:rPr>
          <w:rStyle w:val="Emphasis"/>
          <w:rFonts w:ascii="Arial" w:eastAsiaTheme="majorEastAsia" w:hAnsi="Arial" w:cs="Arial"/>
        </w:rPr>
        <w:t>The future of mobility 2030</w:t>
      </w:r>
      <w:r w:rsidRPr="00655EB7">
        <w:rPr>
          <w:rFonts w:ascii="Arial" w:hAnsi="Arial" w:cs="Arial"/>
        </w:rPr>
        <w:t>. New York: McKinsey and Company.</w:t>
      </w:r>
    </w:p>
    <w:p w14:paraId="74AC0EA7"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OECD (2023) </w:t>
      </w:r>
      <w:r w:rsidRPr="00655EB7">
        <w:rPr>
          <w:rStyle w:val="Emphasis"/>
          <w:rFonts w:ascii="Arial" w:eastAsiaTheme="majorEastAsia" w:hAnsi="Arial" w:cs="Arial"/>
        </w:rPr>
        <w:t>Economic outlook 2023</w:t>
      </w:r>
      <w:r w:rsidRPr="00655EB7">
        <w:rPr>
          <w:rFonts w:ascii="Arial" w:hAnsi="Arial" w:cs="Arial"/>
        </w:rPr>
        <w:t>. Paris: OECD Publishing.</w:t>
      </w:r>
    </w:p>
    <w:p w14:paraId="07BB0C64"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Porter, M.E. (2008) ‘The five competitive forces that shape strategy’, </w:t>
      </w:r>
      <w:r w:rsidRPr="00655EB7">
        <w:rPr>
          <w:rStyle w:val="Emphasis"/>
          <w:rFonts w:ascii="Arial" w:eastAsiaTheme="majorEastAsia" w:hAnsi="Arial" w:cs="Arial"/>
        </w:rPr>
        <w:t>Harvard Business Review</w:t>
      </w:r>
      <w:r w:rsidRPr="00655EB7">
        <w:rPr>
          <w:rFonts w:ascii="Arial" w:hAnsi="Arial" w:cs="Arial"/>
        </w:rPr>
        <w:t>, 86(1), pp. 78–93.</w:t>
      </w:r>
    </w:p>
    <w:p w14:paraId="2DD70536"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PwC (2023) </w:t>
      </w:r>
      <w:r w:rsidRPr="00655EB7">
        <w:rPr>
          <w:rStyle w:val="Emphasis"/>
          <w:rFonts w:ascii="Arial" w:eastAsiaTheme="majorEastAsia" w:hAnsi="Arial" w:cs="Arial"/>
        </w:rPr>
        <w:t>Global mobility trends 2023</w:t>
      </w:r>
      <w:r w:rsidRPr="00655EB7">
        <w:rPr>
          <w:rFonts w:ascii="Arial" w:hAnsi="Arial" w:cs="Arial"/>
        </w:rPr>
        <w:t>. London: PwC.</w:t>
      </w:r>
    </w:p>
    <w:p w14:paraId="2CEFBAE4"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Reuters (2024) </w:t>
      </w:r>
      <w:r w:rsidRPr="00655EB7">
        <w:rPr>
          <w:rStyle w:val="Emphasis"/>
          <w:rFonts w:ascii="Arial" w:eastAsiaTheme="majorEastAsia" w:hAnsi="Arial" w:cs="Arial"/>
        </w:rPr>
        <w:t>Global automotive supply chain disruption analysis</w:t>
      </w:r>
      <w:r w:rsidRPr="00655EB7">
        <w:rPr>
          <w:rFonts w:ascii="Arial" w:hAnsi="Arial" w:cs="Arial"/>
        </w:rPr>
        <w:t>. London: Reuters.</w:t>
      </w:r>
    </w:p>
    <w:p w14:paraId="03E1813E"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S&amp;P Global (2024) </w:t>
      </w:r>
      <w:r w:rsidRPr="00655EB7">
        <w:rPr>
          <w:rStyle w:val="Emphasis"/>
          <w:rFonts w:ascii="Arial" w:eastAsiaTheme="majorEastAsia" w:hAnsi="Arial" w:cs="Arial"/>
        </w:rPr>
        <w:t>Automotive market outlook 2024</w:t>
      </w:r>
      <w:r w:rsidRPr="00655EB7">
        <w:rPr>
          <w:rFonts w:ascii="Arial" w:hAnsi="Arial" w:cs="Arial"/>
        </w:rPr>
        <w:t>. London: S&amp;P Global.</w:t>
      </w:r>
    </w:p>
    <w:p w14:paraId="7D27D4C7"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Statista (2024) </w:t>
      </w:r>
      <w:r w:rsidRPr="00655EB7">
        <w:rPr>
          <w:rStyle w:val="Emphasis"/>
          <w:rFonts w:ascii="Arial" w:eastAsiaTheme="majorEastAsia" w:hAnsi="Arial" w:cs="Arial"/>
        </w:rPr>
        <w:t>Automotive industry statistics report</w:t>
      </w:r>
      <w:r w:rsidRPr="00655EB7">
        <w:rPr>
          <w:rFonts w:ascii="Arial" w:hAnsi="Arial" w:cs="Arial"/>
        </w:rPr>
        <w:t>. Hamburg: Statista.</w:t>
      </w:r>
    </w:p>
    <w:p w14:paraId="7C1ACB67"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The Economist (2023) </w:t>
      </w:r>
      <w:r w:rsidRPr="00655EB7">
        <w:rPr>
          <w:rStyle w:val="Emphasis"/>
          <w:rFonts w:ascii="Arial" w:eastAsiaTheme="majorEastAsia" w:hAnsi="Arial" w:cs="Arial"/>
        </w:rPr>
        <w:t>The global race for electric vehicles</w:t>
      </w:r>
      <w:r w:rsidRPr="00655EB7">
        <w:rPr>
          <w:rFonts w:ascii="Arial" w:hAnsi="Arial" w:cs="Arial"/>
        </w:rPr>
        <w:t>. London: The Economist.</w:t>
      </w:r>
    </w:p>
    <w:p w14:paraId="2AFA2B06"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Toyota Motor Corporation (2023) </w:t>
      </w:r>
      <w:r w:rsidRPr="00655EB7">
        <w:rPr>
          <w:rStyle w:val="Emphasis"/>
          <w:rFonts w:ascii="Arial" w:eastAsiaTheme="majorEastAsia" w:hAnsi="Arial" w:cs="Arial"/>
        </w:rPr>
        <w:t>Sustainability data book 2023</w:t>
      </w:r>
      <w:r w:rsidRPr="00655EB7">
        <w:rPr>
          <w:rFonts w:ascii="Arial" w:hAnsi="Arial" w:cs="Arial"/>
        </w:rPr>
        <w:t>. Toyota City: Toyota Motor Corporation.</w:t>
      </w:r>
    </w:p>
    <w:p w14:paraId="5A5161B7"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Toyota Motor Corporation (2024) </w:t>
      </w:r>
      <w:r w:rsidRPr="00655EB7">
        <w:rPr>
          <w:rStyle w:val="Emphasis"/>
          <w:rFonts w:ascii="Arial" w:eastAsiaTheme="majorEastAsia" w:hAnsi="Arial" w:cs="Arial"/>
        </w:rPr>
        <w:t>Annual report 2024</w:t>
      </w:r>
      <w:r w:rsidRPr="00655EB7">
        <w:rPr>
          <w:rFonts w:ascii="Arial" w:hAnsi="Arial" w:cs="Arial"/>
        </w:rPr>
        <w:t>. Toyota City: Toyota Motor Corporation.</w:t>
      </w:r>
    </w:p>
    <w:p w14:paraId="7F1E8FD4"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United Nations (2023) </w:t>
      </w:r>
      <w:r w:rsidRPr="00655EB7">
        <w:rPr>
          <w:rStyle w:val="Emphasis"/>
          <w:rFonts w:ascii="Arial" w:eastAsiaTheme="majorEastAsia" w:hAnsi="Arial" w:cs="Arial"/>
        </w:rPr>
        <w:t>Global climate change report</w:t>
      </w:r>
      <w:r w:rsidRPr="00655EB7">
        <w:rPr>
          <w:rFonts w:ascii="Arial" w:hAnsi="Arial" w:cs="Arial"/>
        </w:rPr>
        <w:t>. New York: United Nations.</w:t>
      </w:r>
    </w:p>
    <w:p w14:paraId="5280BCDD"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United Nations Environment Programme (UNEP) (2023) </w:t>
      </w:r>
      <w:r w:rsidRPr="00655EB7">
        <w:rPr>
          <w:rStyle w:val="Emphasis"/>
          <w:rFonts w:ascii="Arial" w:eastAsiaTheme="majorEastAsia" w:hAnsi="Arial" w:cs="Arial"/>
        </w:rPr>
        <w:t>Sustainable mobility report</w:t>
      </w:r>
      <w:r w:rsidRPr="00655EB7">
        <w:rPr>
          <w:rFonts w:ascii="Arial" w:hAnsi="Arial" w:cs="Arial"/>
        </w:rPr>
        <w:t>. Nairobi: UNEP.</w:t>
      </w:r>
    </w:p>
    <w:p w14:paraId="2FDA4613"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World Bank (2023) </w:t>
      </w:r>
      <w:r w:rsidRPr="00655EB7">
        <w:rPr>
          <w:rStyle w:val="Emphasis"/>
          <w:rFonts w:ascii="Arial" w:eastAsiaTheme="majorEastAsia" w:hAnsi="Arial" w:cs="Arial"/>
        </w:rPr>
        <w:t>Global economic prospects</w:t>
      </w:r>
      <w:r w:rsidRPr="00655EB7">
        <w:rPr>
          <w:rFonts w:ascii="Arial" w:hAnsi="Arial" w:cs="Arial"/>
        </w:rPr>
        <w:t>. Washington, DC: World Bank.</w:t>
      </w:r>
    </w:p>
    <w:p w14:paraId="63BF0DEF"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lastRenderedPageBreak/>
        <w:t xml:space="preserve">World Economic Forum (2024) </w:t>
      </w:r>
      <w:r w:rsidRPr="00655EB7">
        <w:rPr>
          <w:rStyle w:val="Emphasis"/>
          <w:rFonts w:ascii="Arial" w:eastAsiaTheme="majorEastAsia" w:hAnsi="Arial" w:cs="Arial"/>
        </w:rPr>
        <w:t>The future of mobility</w:t>
      </w:r>
      <w:r w:rsidRPr="00655EB7">
        <w:rPr>
          <w:rFonts w:ascii="Arial" w:hAnsi="Arial" w:cs="Arial"/>
        </w:rPr>
        <w:t>. Geneva: World Economic Forum.</w:t>
      </w:r>
    </w:p>
    <w:p w14:paraId="33866B28" w14:textId="77777777" w:rsidR="00655EB7" w:rsidRPr="00655EB7" w:rsidRDefault="00655EB7" w:rsidP="00655EB7">
      <w:pPr>
        <w:pStyle w:val="NormalWeb"/>
        <w:spacing w:line="360" w:lineRule="auto"/>
        <w:jc w:val="both"/>
        <w:rPr>
          <w:rFonts w:ascii="Arial" w:hAnsi="Arial" w:cs="Arial"/>
        </w:rPr>
      </w:pPr>
      <w:r w:rsidRPr="00655EB7">
        <w:rPr>
          <w:rFonts w:ascii="Arial" w:hAnsi="Arial" w:cs="Arial"/>
        </w:rPr>
        <w:t xml:space="preserve">World Trade Organization (2023) </w:t>
      </w:r>
      <w:r w:rsidRPr="00655EB7">
        <w:rPr>
          <w:rStyle w:val="Emphasis"/>
          <w:rFonts w:ascii="Arial" w:eastAsiaTheme="majorEastAsia" w:hAnsi="Arial" w:cs="Arial"/>
        </w:rPr>
        <w:t>World trade report 2023</w:t>
      </w:r>
      <w:r w:rsidRPr="00655EB7">
        <w:rPr>
          <w:rFonts w:ascii="Arial" w:hAnsi="Arial" w:cs="Arial"/>
        </w:rPr>
        <w:t>. Geneva: World Trade Organization.</w:t>
      </w:r>
    </w:p>
    <w:p w14:paraId="0F9537C0" w14:textId="4F87B4C6" w:rsidR="00655EB7" w:rsidRPr="00655EB7" w:rsidRDefault="00655EB7" w:rsidP="00655EB7">
      <w:pPr>
        <w:pStyle w:val="NormalWeb"/>
        <w:spacing w:line="360" w:lineRule="auto"/>
        <w:jc w:val="both"/>
      </w:pPr>
    </w:p>
    <w:sectPr w:rsidR="00655EB7" w:rsidRPr="00655E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D37BF"/>
    <w:multiLevelType w:val="multilevel"/>
    <w:tmpl w:val="91747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B6025"/>
    <w:multiLevelType w:val="multilevel"/>
    <w:tmpl w:val="68003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774400">
    <w:abstractNumId w:val="0"/>
  </w:num>
  <w:num w:numId="2" w16cid:durableId="1181579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D15"/>
    <w:rsid w:val="000B1362"/>
    <w:rsid w:val="00345808"/>
    <w:rsid w:val="00655EB7"/>
    <w:rsid w:val="008D322E"/>
    <w:rsid w:val="009A3805"/>
    <w:rsid w:val="00B60956"/>
    <w:rsid w:val="00C0788C"/>
    <w:rsid w:val="00CB0A2E"/>
    <w:rsid w:val="00DC7D15"/>
    <w:rsid w:val="00ED0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7989C"/>
  <w15:chartTrackingRefBased/>
  <w15:docId w15:val="{2B9B9E69-97C0-4926-9E9B-DA8308B1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D1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C7D1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7D1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7D1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7D1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7D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D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D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D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D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C7D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7D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7D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7D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7D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D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D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D15"/>
    <w:rPr>
      <w:rFonts w:eastAsiaTheme="majorEastAsia" w:cstheme="majorBidi"/>
      <w:color w:val="272727" w:themeColor="text1" w:themeTint="D8"/>
    </w:rPr>
  </w:style>
  <w:style w:type="paragraph" w:styleId="Title">
    <w:name w:val="Title"/>
    <w:basedOn w:val="Normal"/>
    <w:next w:val="Normal"/>
    <w:link w:val="TitleChar"/>
    <w:uiPriority w:val="10"/>
    <w:qFormat/>
    <w:rsid w:val="00DC7D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D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D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D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D15"/>
    <w:pPr>
      <w:spacing w:before="160"/>
      <w:jc w:val="center"/>
    </w:pPr>
    <w:rPr>
      <w:i/>
      <w:iCs/>
      <w:color w:val="404040" w:themeColor="text1" w:themeTint="BF"/>
    </w:rPr>
  </w:style>
  <w:style w:type="character" w:customStyle="1" w:styleId="QuoteChar">
    <w:name w:val="Quote Char"/>
    <w:basedOn w:val="DefaultParagraphFont"/>
    <w:link w:val="Quote"/>
    <w:uiPriority w:val="29"/>
    <w:rsid w:val="00DC7D15"/>
    <w:rPr>
      <w:i/>
      <w:iCs/>
      <w:color w:val="404040" w:themeColor="text1" w:themeTint="BF"/>
    </w:rPr>
  </w:style>
  <w:style w:type="paragraph" w:styleId="ListParagraph">
    <w:name w:val="List Paragraph"/>
    <w:basedOn w:val="Normal"/>
    <w:uiPriority w:val="34"/>
    <w:qFormat/>
    <w:rsid w:val="00DC7D15"/>
    <w:pPr>
      <w:ind w:left="720"/>
      <w:contextualSpacing/>
    </w:pPr>
  </w:style>
  <w:style w:type="character" w:styleId="IntenseEmphasis">
    <w:name w:val="Intense Emphasis"/>
    <w:basedOn w:val="DefaultParagraphFont"/>
    <w:uiPriority w:val="21"/>
    <w:qFormat/>
    <w:rsid w:val="00DC7D15"/>
    <w:rPr>
      <w:i/>
      <w:iCs/>
      <w:color w:val="2F5496" w:themeColor="accent1" w:themeShade="BF"/>
    </w:rPr>
  </w:style>
  <w:style w:type="paragraph" w:styleId="IntenseQuote">
    <w:name w:val="Intense Quote"/>
    <w:basedOn w:val="Normal"/>
    <w:next w:val="Normal"/>
    <w:link w:val="IntenseQuoteChar"/>
    <w:uiPriority w:val="30"/>
    <w:qFormat/>
    <w:rsid w:val="00DC7D1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7D15"/>
    <w:rPr>
      <w:i/>
      <w:iCs/>
      <w:color w:val="2F5496" w:themeColor="accent1" w:themeShade="BF"/>
    </w:rPr>
  </w:style>
  <w:style w:type="character" w:styleId="IntenseReference">
    <w:name w:val="Intense Reference"/>
    <w:basedOn w:val="DefaultParagraphFont"/>
    <w:uiPriority w:val="32"/>
    <w:qFormat/>
    <w:rsid w:val="00DC7D15"/>
    <w:rPr>
      <w:b/>
      <w:bCs/>
      <w:smallCaps/>
      <w:color w:val="2F5496" w:themeColor="accent1" w:themeShade="BF"/>
      <w:spacing w:val="5"/>
    </w:rPr>
  </w:style>
  <w:style w:type="paragraph" w:styleId="NormalWeb">
    <w:name w:val="Normal (Web)"/>
    <w:basedOn w:val="Normal"/>
    <w:uiPriority w:val="99"/>
    <w:unhideWhenUsed/>
    <w:rsid w:val="00655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55E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3850</Words>
  <Characters>21950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dc:creator>
  <cp:keywords/>
  <dc:description/>
  <cp:lastModifiedBy>Ellie G</cp:lastModifiedBy>
  <cp:revision>2</cp:revision>
  <dcterms:created xsi:type="dcterms:W3CDTF">2026-04-02T20:29:00Z</dcterms:created>
  <dcterms:modified xsi:type="dcterms:W3CDTF">2026-04-02T20:29:00Z</dcterms:modified>
</cp:coreProperties>
</file>