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CA1F975" w14:textId="77777777" w:rsidR="00061F03" w:rsidRPr="0010098C" w:rsidRDefault="00147B23">
      <w:pPr>
        <w:pStyle w:val="Heading1"/>
        <w:pageBreakBefore/>
      </w:pPr>
      <w:r>
        <w:rPr>
          <w:noProof/>
        </w:rPr>
        <w:drawing>
          <wp:inline distT="0" distB="0" distL="0" distR="0" wp14:anchorId="5EEB8BFD" wp14:editId="0D664167">
            <wp:extent cx="1809750" cy="90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904875"/>
                    </a:xfrm>
                    <a:prstGeom prst="rect">
                      <a:avLst/>
                    </a:prstGeom>
                    <a:noFill/>
                  </pic:spPr>
                </pic:pic>
              </a:graphicData>
            </a:graphic>
          </wp:inline>
        </w:drawing>
      </w:r>
    </w:p>
    <w:p w14:paraId="4CEBE0EF" w14:textId="77777777" w:rsidR="00061F03" w:rsidRDefault="00061F03">
      <w:pPr>
        <w:spacing w:before="113"/>
      </w:pPr>
    </w:p>
    <w:p w14:paraId="10210C17" w14:textId="77777777" w:rsidR="00147B23" w:rsidRDefault="00147B23">
      <w:pPr>
        <w:spacing w:before="113"/>
      </w:pPr>
      <w:r>
        <w:t xml:space="preserve">Module: </w:t>
      </w:r>
      <w:r w:rsidRPr="00147B23">
        <w:t>Developing Relationships and Workplace Achievement</w:t>
      </w:r>
    </w:p>
    <w:p w14:paraId="5ED98AF9" w14:textId="77777777" w:rsidR="00147B23" w:rsidRDefault="00147B23">
      <w:pPr>
        <w:spacing w:before="113"/>
      </w:pPr>
      <w:r>
        <w:t>Module Code:</w:t>
      </w:r>
      <w:r w:rsidRPr="00147B23">
        <w:t xml:space="preserve"> BMSW5102_BIRM</w:t>
      </w:r>
    </w:p>
    <w:p w14:paraId="5AB54A46" w14:textId="77777777" w:rsidR="00147B23" w:rsidRDefault="00147B23" w:rsidP="00147B23">
      <w:pPr>
        <w:spacing w:before="113"/>
      </w:pPr>
      <w:r>
        <w:t xml:space="preserve"> Assessment component 2</w:t>
      </w:r>
    </w:p>
    <w:p w14:paraId="77EF34C5" w14:textId="0BBB4AE3" w:rsidR="00147B23" w:rsidRDefault="00147B23" w:rsidP="00147B23">
      <w:pPr>
        <w:spacing w:before="113"/>
      </w:pPr>
      <w:r>
        <w:t xml:space="preserve">Student ID: </w:t>
      </w:r>
      <w:r w:rsidR="00D33A52">
        <w:t>2111917</w:t>
      </w:r>
    </w:p>
    <w:p w14:paraId="2EC86580" w14:textId="57856871" w:rsidR="00147B23" w:rsidRDefault="00147B23" w:rsidP="00147B23">
      <w:pPr>
        <w:spacing w:before="113"/>
      </w:pPr>
      <w:r>
        <w:t xml:space="preserve">Student Name: </w:t>
      </w:r>
      <w:r w:rsidR="00D33A52">
        <w:t>VITALIE ERHAN</w:t>
      </w:r>
    </w:p>
    <w:p w14:paraId="58EAA3C2" w14:textId="77777777" w:rsidR="0056289F" w:rsidRDefault="002B67E1">
      <w:pPr>
        <w:spacing w:before="113"/>
      </w:pPr>
      <w:r>
        <w:t xml:space="preserve">  </w:t>
      </w:r>
    </w:p>
    <w:p w14:paraId="3C993586" w14:textId="77777777" w:rsidR="0056289F" w:rsidRPr="0010098C" w:rsidRDefault="0056289F">
      <w:pPr>
        <w:spacing w:before="113"/>
      </w:pPr>
    </w:p>
    <w:p w14:paraId="5CA72CAC" w14:textId="77777777" w:rsidR="00061F03" w:rsidRPr="002B67E1" w:rsidRDefault="002B67E1">
      <w:pPr>
        <w:pStyle w:val="ContentsHeading"/>
        <w:rPr>
          <w:i/>
          <w:iCs/>
          <w:sz w:val="32"/>
          <w:u w:val="single"/>
        </w:rPr>
      </w:pPr>
      <w:r w:rsidRPr="002B67E1">
        <w:rPr>
          <w:i/>
          <w:iCs/>
          <w:sz w:val="32"/>
          <w:u w:val="single"/>
        </w:rPr>
        <w:t>PJSC Lukoil and Murphy Oil Corporation</w:t>
      </w:r>
    </w:p>
    <w:p w14:paraId="146997E8" w14:textId="77777777" w:rsidR="0010098C" w:rsidRPr="0010098C" w:rsidRDefault="0010098C">
      <w:pPr>
        <w:pStyle w:val="ContentsHeading"/>
      </w:pPr>
    </w:p>
    <w:p w14:paraId="31F55575" w14:textId="77777777" w:rsidR="0010098C" w:rsidRPr="0010098C" w:rsidRDefault="0010098C">
      <w:pPr>
        <w:pStyle w:val="ContentsHeading"/>
      </w:pPr>
    </w:p>
    <w:p w14:paraId="2BDC297F" w14:textId="77777777" w:rsidR="0010098C" w:rsidRDefault="0010098C" w:rsidP="00147B23">
      <w:pPr>
        <w:pStyle w:val="ContentsHeading"/>
        <w:jc w:val="both"/>
      </w:pPr>
    </w:p>
    <w:p w14:paraId="3830A542" w14:textId="77777777" w:rsidR="00147B23" w:rsidRDefault="00147B23" w:rsidP="00147B23">
      <w:pPr>
        <w:pStyle w:val="ContentsHeading"/>
        <w:jc w:val="both"/>
      </w:pPr>
    </w:p>
    <w:p w14:paraId="3D40B0B0" w14:textId="77777777" w:rsidR="0010098C" w:rsidRDefault="0010098C" w:rsidP="0056289F">
      <w:pPr>
        <w:pStyle w:val="Heading1"/>
        <w:numPr>
          <w:ilvl w:val="0"/>
          <w:numId w:val="0"/>
        </w:numPr>
      </w:pPr>
    </w:p>
    <w:p w14:paraId="75C7365D" w14:textId="77777777" w:rsidR="00147B23" w:rsidRDefault="00147B23" w:rsidP="00147B23"/>
    <w:p w14:paraId="767D733C" w14:textId="77777777" w:rsidR="00147B23" w:rsidRDefault="00147B23" w:rsidP="00147B23"/>
    <w:p w14:paraId="45BAC2E7" w14:textId="77777777" w:rsidR="00147B23" w:rsidRDefault="00147B23" w:rsidP="00147B23"/>
    <w:p w14:paraId="28D3E65F" w14:textId="77777777" w:rsidR="002B67E1" w:rsidRDefault="002B67E1" w:rsidP="00147B23"/>
    <w:p w14:paraId="643984CE" w14:textId="77777777" w:rsidR="002B67E1" w:rsidRPr="00147B23" w:rsidRDefault="002B67E1" w:rsidP="00147B23"/>
    <w:p w14:paraId="0DA8B8D1" w14:textId="77777777" w:rsidR="0010098C" w:rsidRPr="0010098C" w:rsidRDefault="0010098C" w:rsidP="0010098C"/>
    <w:p w14:paraId="1CC6E592" w14:textId="77777777" w:rsidR="0010098C" w:rsidRPr="0010098C" w:rsidRDefault="0010098C" w:rsidP="0010098C">
      <w:pPr>
        <w:rPr>
          <w:b/>
        </w:rPr>
      </w:pPr>
      <w:r w:rsidRPr="0010098C">
        <w:rPr>
          <w:b/>
        </w:rPr>
        <w:lastRenderedPageBreak/>
        <w:t xml:space="preserve">EXECUTIVE SUMMARY </w:t>
      </w:r>
    </w:p>
    <w:p w14:paraId="1561DBFF" w14:textId="77777777" w:rsidR="0010098C" w:rsidRPr="002B67E1" w:rsidRDefault="0010098C" w:rsidP="0010098C">
      <w:pPr>
        <w:rPr>
          <w:bCs/>
        </w:rPr>
      </w:pPr>
      <w:r w:rsidRPr="0010098C">
        <w:rPr>
          <w:b/>
        </w:rPr>
        <w:tab/>
      </w:r>
      <w:r w:rsidR="002B67E1" w:rsidRPr="002B67E1">
        <w:rPr>
          <w:bCs/>
        </w:rPr>
        <w:t xml:space="preserve">This report examines the cultural differences and similarities between two countries and the different international human resource management approaches that can be used to make merger and acquisition successful. It focuses on </w:t>
      </w:r>
      <w:bookmarkStart w:id="0" w:name="_Hlk130326366"/>
      <w:r w:rsidR="002B67E1" w:rsidRPr="002B67E1">
        <w:rPr>
          <w:bCs/>
        </w:rPr>
        <w:t>PJSC Lukoil and Murphy Oil Corporation</w:t>
      </w:r>
      <w:bookmarkEnd w:id="0"/>
      <w:r w:rsidR="002B67E1" w:rsidRPr="002B67E1">
        <w:rPr>
          <w:bCs/>
        </w:rPr>
        <w:t>, two well-known companies, and highlights the importance of developing relationships and workplace achievement for business success. It also covers the different challenges and issues faced by human resource management.</w:t>
      </w:r>
    </w:p>
    <w:p w14:paraId="664183D3" w14:textId="77777777" w:rsidR="00061F03" w:rsidRPr="0010098C" w:rsidRDefault="00061F03">
      <w:pPr>
        <w:pStyle w:val="ContentsHeading"/>
        <w:pageBreakBefore/>
      </w:pPr>
      <w:r w:rsidRPr="0010098C">
        <w:lastRenderedPageBreak/>
        <w:t>Table of Contents</w:t>
      </w:r>
    </w:p>
    <w:p w14:paraId="7A6B2CB6" w14:textId="77777777" w:rsidR="00061F03" w:rsidRDefault="00147B23">
      <w:pPr>
        <w:spacing w:line="100" w:lineRule="atLeast"/>
        <w:ind w:left="844" w:hanging="806"/>
        <w:rPr>
          <w:szCs w:val="24"/>
        </w:rPr>
      </w:pPr>
      <w:r>
        <w:rPr>
          <w:szCs w:val="24"/>
        </w:rPr>
        <w:t>Introduction……………………………………………………………………………………….3</w:t>
      </w:r>
    </w:p>
    <w:p w14:paraId="7C9F3401" w14:textId="77777777" w:rsidR="00147B23" w:rsidRDefault="00147B23">
      <w:pPr>
        <w:spacing w:line="100" w:lineRule="atLeast"/>
        <w:ind w:left="844" w:hanging="806"/>
        <w:rPr>
          <w:szCs w:val="24"/>
        </w:rPr>
      </w:pPr>
    </w:p>
    <w:p w14:paraId="029B0E2B" w14:textId="77777777" w:rsidR="00147B23" w:rsidRDefault="008B2BE3">
      <w:pPr>
        <w:spacing w:line="100" w:lineRule="atLeast"/>
        <w:ind w:left="844" w:hanging="806"/>
        <w:rPr>
          <w:szCs w:val="24"/>
        </w:rPr>
      </w:pPr>
      <w:r w:rsidRPr="008B2BE3">
        <w:rPr>
          <w:szCs w:val="24"/>
        </w:rPr>
        <w:t>Overview of the companies</w:t>
      </w:r>
      <w:r>
        <w:rPr>
          <w:szCs w:val="24"/>
        </w:rPr>
        <w:t xml:space="preserve"> </w:t>
      </w:r>
      <w:r w:rsidRPr="008B2BE3">
        <w:rPr>
          <w:szCs w:val="24"/>
        </w:rPr>
        <w:t>PJSC Lukoil and Murphy Oil</w:t>
      </w:r>
      <w:r>
        <w:rPr>
          <w:szCs w:val="24"/>
        </w:rPr>
        <w:t>……………………………………….3</w:t>
      </w:r>
    </w:p>
    <w:p w14:paraId="117B2838" w14:textId="77777777" w:rsidR="008B2BE3" w:rsidRDefault="008B2BE3">
      <w:pPr>
        <w:spacing w:line="100" w:lineRule="atLeast"/>
        <w:ind w:left="844" w:hanging="806"/>
        <w:rPr>
          <w:szCs w:val="24"/>
        </w:rPr>
      </w:pPr>
    </w:p>
    <w:p w14:paraId="3CC2A059" w14:textId="77777777" w:rsidR="008B2BE3" w:rsidRPr="006057E1" w:rsidRDefault="008B2BE3" w:rsidP="008B2BE3">
      <w:pPr>
        <w:spacing w:line="100" w:lineRule="atLeast"/>
        <w:ind w:left="844" w:hanging="806"/>
        <w:rPr>
          <w:b/>
          <w:bCs/>
          <w:szCs w:val="24"/>
        </w:rPr>
      </w:pPr>
      <w:r w:rsidRPr="006057E1">
        <w:rPr>
          <w:b/>
          <w:bCs/>
          <w:szCs w:val="24"/>
        </w:rPr>
        <w:t>Section 1</w:t>
      </w:r>
    </w:p>
    <w:p w14:paraId="118E4310" w14:textId="77777777" w:rsidR="008B2BE3" w:rsidRPr="008B2BE3" w:rsidRDefault="008B2BE3" w:rsidP="008B2BE3">
      <w:pPr>
        <w:spacing w:line="100" w:lineRule="atLeast"/>
        <w:rPr>
          <w:szCs w:val="24"/>
        </w:rPr>
      </w:pPr>
    </w:p>
    <w:p w14:paraId="19AF704A" w14:textId="77777777" w:rsidR="008B2BE3" w:rsidRDefault="008B2BE3" w:rsidP="008B2BE3">
      <w:pPr>
        <w:spacing w:line="100" w:lineRule="atLeast"/>
        <w:ind w:left="844" w:hanging="806"/>
        <w:rPr>
          <w:szCs w:val="24"/>
        </w:rPr>
      </w:pPr>
      <w:r w:rsidRPr="008B2BE3">
        <w:rPr>
          <w:szCs w:val="24"/>
        </w:rPr>
        <w:t>Part. 1:  Cultural Analysis of Countries US and Russia</w:t>
      </w:r>
      <w:r>
        <w:rPr>
          <w:szCs w:val="24"/>
        </w:rPr>
        <w:t>…………………………………………...4</w:t>
      </w:r>
    </w:p>
    <w:p w14:paraId="7A73988D" w14:textId="77777777" w:rsidR="008B2BE3" w:rsidRDefault="008B2BE3" w:rsidP="008B2BE3">
      <w:pPr>
        <w:spacing w:line="100" w:lineRule="atLeast"/>
        <w:ind w:left="844" w:hanging="806"/>
        <w:rPr>
          <w:szCs w:val="24"/>
        </w:rPr>
      </w:pPr>
    </w:p>
    <w:p w14:paraId="3FB058FA" w14:textId="77777777" w:rsidR="008B2BE3" w:rsidRDefault="008B2BE3" w:rsidP="008B2BE3">
      <w:pPr>
        <w:spacing w:line="100" w:lineRule="atLeast"/>
        <w:ind w:left="844" w:hanging="806"/>
        <w:rPr>
          <w:szCs w:val="24"/>
        </w:rPr>
      </w:pPr>
      <w:r w:rsidRPr="008B2BE3">
        <w:rPr>
          <w:szCs w:val="24"/>
        </w:rPr>
        <w:t>Hofstede's Cultural Dimensions</w:t>
      </w:r>
      <w:r>
        <w:rPr>
          <w:szCs w:val="24"/>
        </w:rPr>
        <w:t>…………………………………………………………………..4</w:t>
      </w:r>
    </w:p>
    <w:p w14:paraId="6B523D1E" w14:textId="77777777" w:rsidR="008B2BE3" w:rsidRDefault="008B2BE3" w:rsidP="008B2BE3">
      <w:pPr>
        <w:spacing w:line="100" w:lineRule="atLeast"/>
        <w:ind w:left="844" w:hanging="806"/>
        <w:rPr>
          <w:szCs w:val="24"/>
        </w:rPr>
      </w:pPr>
    </w:p>
    <w:p w14:paraId="4CFFA0FB" w14:textId="77777777" w:rsidR="008B2BE3" w:rsidRDefault="008B2BE3" w:rsidP="008B2BE3">
      <w:pPr>
        <w:spacing w:line="100" w:lineRule="atLeast"/>
        <w:ind w:left="844" w:hanging="806"/>
        <w:rPr>
          <w:szCs w:val="24"/>
        </w:rPr>
      </w:pPr>
      <w:r w:rsidRPr="008B2BE3">
        <w:rPr>
          <w:szCs w:val="24"/>
        </w:rPr>
        <w:t>Trompenaars' Model</w:t>
      </w:r>
      <w:r>
        <w:rPr>
          <w:szCs w:val="24"/>
        </w:rPr>
        <w:t>………………………………………………………………………………5</w:t>
      </w:r>
    </w:p>
    <w:p w14:paraId="05CFAB68" w14:textId="77777777" w:rsidR="008B2BE3" w:rsidRPr="0010098C" w:rsidRDefault="008B2BE3" w:rsidP="008B2BE3">
      <w:pPr>
        <w:spacing w:line="100" w:lineRule="atLeast"/>
        <w:ind w:left="844" w:hanging="806"/>
        <w:rPr>
          <w:szCs w:val="24"/>
        </w:rPr>
      </w:pPr>
    </w:p>
    <w:p w14:paraId="0AEF6FAE" w14:textId="77777777" w:rsidR="00061F03" w:rsidRDefault="008B2BE3">
      <w:pPr>
        <w:spacing w:line="100" w:lineRule="atLeast"/>
        <w:ind w:left="844" w:hanging="806"/>
        <w:rPr>
          <w:szCs w:val="24"/>
        </w:rPr>
      </w:pPr>
      <w:r w:rsidRPr="008B2BE3">
        <w:rPr>
          <w:szCs w:val="24"/>
        </w:rPr>
        <w:t>Part 2.  Institutional analysis of Countries US and Russia</w:t>
      </w:r>
      <w:r>
        <w:rPr>
          <w:szCs w:val="24"/>
        </w:rPr>
        <w:t>……………………………………….6</w:t>
      </w:r>
    </w:p>
    <w:p w14:paraId="1E9C10D9" w14:textId="77777777" w:rsidR="008B2BE3" w:rsidRPr="0010098C" w:rsidRDefault="008B2BE3">
      <w:pPr>
        <w:spacing w:line="100" w:lineRule="atLeast"/>
        <w:ind w:left="844" w:hanging="806"/>
        <w:rPr>
          <w:szCs w:val="24"/>
        </w:rPr>
      </w:pPr>
    </w:p>
    <w:p w14:paraId="643F15DE" w14:textId="77777777" w:rsidR="00061F03" w:rsidRDefault="008B2BE3">
      <w:pPr>
        <w:spacing w:line="100" w:lineRule="atLeast"/>
        <w:ind w:left="844" w:hanging="806"/>
        <w:rPr>
          <w:szCs w:val="24"/>
        </w:rPr>
      </w:pPr>
      <w:r w:rsidRPr="008B2BE3">
        <w:rPr>
          <w:szCs w:val="24"/>
        </w:rPr>
        <w:t>Neo-institutional theory (Scott, 1995)</w:t>
      </w:r>
      <w:r>
        <w:rPr>
          <w:szCs w:val="24"/>
        </w:rPr>
        <w:t>……………………………………………………………7</w:t>
      </w:r>
    </w:p>
    <w:p w14:paraId="6336D8F6" w14:textId="77777777" w:rsidR="008B2BE3" w:rsidRDefault="008B2BE3">
      <w:pPr>
        <w:spacing w:line="100" w:lineRule="atLeast"/>
        <w:ind w:left="844" w:hanging="806"/>
        <w:rPr>
          <w:szCs w:val="24"/>
        </w:rPr>
      </w:pPr>
    </w:p>
    <w:p w14:paraId="4A2E441C" w14:textId="77777777" w:rsidR="008B2BE3" w:rsidRDefault="008B2BE3">
      <w:pPr>
        <w:spacing w:line="100" w:lineRule="atLeast"/>
        <w:ind w:left="844" w:hanging="806"/>
        <w:rPr>
          <w:szCs w:val="24"/>
        </w:rPr>
      </w:pPr>
      <w:r w:rsidRPr="008B2BE3">
        <w:rPr>
          <w:szCs w:val="24"/>
        </w:rPr>
        <w:t>Theory of isomorphism (DiMaggio and Powell 1991) PES  analysis</w:t>
      </w:r>
      <w:r>
        <w:rPr>
          <w:szCs w:val="24"/>
        </w:rPr>
        <w:t>…………………………….8</w:t>
      </w:r>
    </w:p>
    <w:p w14:paraId="6BF7D1D7" w14:textId="77777777" w:rsidR="008B2BE3" w:rsidRDefault="008B2BE3">
      <w:pPr>
        <w:spacing w:line="100" w:lineRule="atLeast"/>
        <w:ind w:left="844" w:hanging="806"/>
        <w:rPr>
          <w:szCs w:val="24"/>
        </w:rPr>
      </w:pPr>
    </w:p>
    <w:p w14:paraId="1D3A25FC" w14:textId="77777777" w:rsidR="008B2BE3" w:rsidRPr="006057E1" w:rsidRDefault="008B2BE3">
      <w:pPr>
        <w:spacing w:line="100" w:lineRule="atLeast"/>
        <w:ind w:left="844" w:hanging="806"/>
        <w:rPr>
          <w:b/>
          <w:bCs/>
          <w:szCs w:val="24"/>
        </w:rPr>
      </w:pPr>
      <w:r w:rsidRPr="006057E1">
        <w:rPr>
          <w:b/>
          <w:bCs/>
          <w:szCs w:val="24"/>
        </w:rPr>
        <w:t>Section 2</w:t>
      </w:r>
    </w:p>
    <w:p w14:paraId="5ACFF835" w14:textId="77777777" w:rsidR="006057E1" w:rsidRDefault="006057E1">
      <w:pPr>
        <w:spacing w:line="100" w:lineRule="atLeast"/>
        <w:ind w:left="844" w:hanging="806"/>
        <w:rPr>
          <w:szCs w:val="24"/>
        </w:rPr>
      </w:pPr>
    </w:p>
    <w:p w14:paraId="7771E3EA" w14:textId="77777777" w:rsidR="008B2BE3" w:rsidRDefault="008B2BE3">
      <w:pPr>
        <w:spacing w:line="100" w:lineRule="atLeast"/>
        <w:ind w:left="844" w:hanging="806"/>
        <w:rPr>
          <w:szCs w:val="24"/>
        </w:rPr>
      </w:pPr>
      <w:r w:rsidRPr="008B2BE3">
        <w:rPr>
          <w:szCs w:val="24"/>
        </w:rPr>
        <w:t xml:space="preserve"> M&amp;A Rationale and Integration  Strategy</w:t>
      </w:r>
      <w:r w:rsidR="006057E1">
        <w:rPr>
          <w:szCs w:val="24"/>
        </w:rPr>
        <w:t>……………………………………………………</w:t>
      </w:r>
      <w:r w:rsidR="002B67E1">
        <w:rPr>
          <w:szCs w:val="24"/>
        </w:rPr>
        <w:t>….</w:t>
      </w:r>
      <w:r w:rsidR="006057E1">
        <w:rPr>
          <w:szCs w:val="24"/>
        </w:rPr>
        <w:t>9</w:t>
      </w:r>
    </w:p>
    <w:p w14:paraId="67417FF7" w14:textId="77777777" w:rsidR="006057E1" w:rsidRDefault="006057E1">
      <w:pPr>
        <w:spacing w:line="100" w:lineRule="atLeast"/>
        <w:ind w:left="844" w:hanging="806"/>
        <w:rPr>
          <w:szCs w:val="24"/>
        </w:rPr>
      </w:pPr>
    </w:p>
    <w:p w14:paraId="56D71F97" w14:textId="77777777" w:rsidR="006057E1" w:rsidRDefault="006057E1">
      <w:pPr>
        <w:spacing w:line="100" w:lineRule="atLeast"/>
        <w:ind w:left="844" w:hanging="806"/>
        <w:rPr>
          <w:szCs w:val="24"/>
        </w:rPr>
      </w:pPr>
      <w:r w:rsidRPr="006057E1">
        <w:rPr>
          <w:szCs w:val="24"/>
        </w:rPr>
        <w:t>Theories and frameworks</w:t>
      </w:r>
      <w:r>
        <w:rPr>
          <w:szCs w:val="24"/>
        </w:rPr>
        <w:t>……………………………………………………………………</w:t>
      </w:r>
      <w:r w:rsidR="002B67E1">
        <w:rPr>
          <w:szCs w:val="24"/>
        </w:rPr>
        <w:t>….</w:t>
      </w:r>
      <w:r>
        <w:rPr>
          <w:szCs w:val="24"/>
        </w:rPr>
        <w:t>10</w:t>
      </w:r>
    </w:p>
    <w:p w14:paraId="15E3BD2C" w14:textId="77777777" w:rsidR="006057E1" w:rsidRDefault="006057E1">
      <w:pPr>
        <w:spacing w:line="100" w:lineRule="atLeast"/>
        <w:ind w:left="844" w:hanging="806"/>
        <w:rPr>
          <w:szCs w:val="24"/>
        </w:rPr>
      </w:pPr>
    </w:p>
    <w:p w14:paraId="5CDD083D" w14:textId="77777777" w:rsidR="006057E1" w:rsidRDefault="006057E1">
      <w:pPr>
        <w:spacing w:line="100" w:lineRule="atLeast"/>
        <w:ind w:left="844" w:hanging="806"/>
        <w:rPr>
          <w:szCs w:val="24"/>
        </w:rPr>
      </w:pPr>
      <w:r>
        <w:rPr>
          <w:szCs w:val="24"/>
        </w:rPr>
        <w:t>Conclusion……………………………………………………………………………………….11</w:t>
      </w:r>
    </w:p>
    <w:p w14:paraId="26920266" w14:textId="77777777" w:rsidR="006057E1" w:rsidRDefault="006057E1">
      <w:pPr>
        <w:spacing w:line="100" w:lineRule="atLeast"/>
        <w:ind w:left="844" w:hanging="806"/>
        <w:rPr>
          <w:szCs w:val="24"/>
        </w:rPr>
      </w:pPr>
    </w:p>
    <w:p w14:paraId="4A72CEA8" w14:textId="77777777" w:rsidR="006057E1" w:rsidRDefault="006057E1">
      <w:pPr>
        <w:spacing w:line="100" w:lineRule="atLeast"/>
        <w:ind w:left="844" w:hanging="806"/>
        <w:rPr>
          <w:szCs w:val="24"/>
        </w:rPr>
      </w:pPr>
      <w:r>
        <w:rPr>
          <w:szCs w:val="24"/>
        </w:rPr>
        <w:t>References……………………………………………………………………………………….12</w:t>
      </w:r>
    </w:p>
    <w:p w14:paraId="316EE770" w14:textId="77777777" w:rsidR="006057E1" w:rsidRDefault="006057E1">
      <w:pPr>
        <w:spacing w:line="100" w:lineRule="atLeast"/>
        <w:ind w:left="844" w:hanging="806"/>
        <w:rPr>
          <w:szCs w:val="24"/>
        </w:rPr>
      </w:pPr>
    </w:p>
    <w:p w14:paraId="06B17674" w14:textId="77777777" w:rsidR="008B2BE3" w:rsidRPr="0010098C" w:rsidRDefault="008B2BE3">
      <w:pPr>
        <w:spacing w:line="100" w:lineRule="atLeast"/>
        <w:ind w:left="844" w:hanging="806"/>
        <w:rPr>
          <w:szCs w:val="24"/>
        </w:rPr>
      </w:pPr>
    </w:p>
    <w:p w14:paraId="6119ED8C" w14:textId="77777777" w:rsidR="00061F03" w:rsidRPr="0010098C" w:rsidRDefault="00061F03">
      <w:pPr>
        <w:pStyle w:val="Heading1"/>
      </w:pPr>
    </w:p>
    <w:p w14:paraId="3ABAF08C" w14:textId="77777777" w:rsidR="00061F03" w:rsidRPr="0010098C" w:rsidRDefault="00061F03">
      <w:pPr>
        <w:pStyle w:val="Heading1"/>
      </w:pPr>
    </w:p>
    <w:p w14:paraId="30AAF8C9" w14:textId="77777777" w:rsidR="00061F03" w:rsidRPr="0010098C" w:rsidRDefault="00061F03">
      <w:pPr>
        <w:pStyle w:val="Heading1"/>
      </w:pPr>
    </w:p>
    <w:p w14:paraId="2A170D43" w14:textId="77777777" w:rsidR="00061F03" w:rsidRPr="0010098C" w:rsidRDefault="00061F03">
      <w:pPr>
        <w:pStyle w:val="Heading1"/>
      </w:pPr>
    </w:p>
    <w:p w14:paraId="51649FCD" w14:textId="77777777" w:rsidR="0010098C" w:rsidRPr="0010098C" w:rsidRDefault="0010098C" w:rsidP="006057E1">
      <w:pPr>
        <w:pStyle w:val="Heading1"/>
        <w:numPr>
          <w:ilvl w:val="0"/>
          <w:numId w:val="0"/>
        </w:numPr>
      </w:pPr>
    </w:p>
    <w:p w14:paraId="1C535ADC" w14:textId="77777777" w:rsidR="0010098C" w:rsidRPr="0010098C" w:rsidRDefault="0010098C" w:rsidP="0010098C"/>
    <w:p w14:paraId="44D1662A" w14:textId="77777777" w:rsidR="00147B23" w:rsidRDefault="00147B23">
      <w:pPr>
        <w:rPr>
          <w:b/>
        </w:rPr>
      </w:pPr>
    </w:p>
    <w:p w14:paraId="30493499" w14:textId="77777777" w:rsidR="00147B23" w:rsidRDefault="00147B23">
      <w:pPr>
        <w:rPr>
          <w:b/>
        </w:rPr>
      </w:pPr>
    </w:p>
    <w:p w14:paraId="0373952C" w14:textId="77777777" w:rsidR="00061F03" w:rsidRPr="00E16D3C" w:rsidRDefault="0002079A">
      <w:pPr>
        <w:rPr>
          <w:b/>
          <w:sz w:val="28"/>
          <w:szCs w:val="28"/>
        </w:rPr>
      </w:pPr>
      <w:r w:rsidRPr="00E16D3C">
        <w:rPr>
          <w:b/>
          <w:sz w:val="28"/>
          <w:szCs w:val="28"/>
        </w:rPr>
        <w:lastRenderedPageBreak/>
        <w:t>I</w:t>
      </w:r>
      <w:r w:rsidR="00E16D3C">
        <w:rPr>
          <w:b/>
          <w:sz w:val="28"/>
          <w:szCs w:val="28"/>
        </w:rPr>
        <w:t xml:space="preserve">ntroduction </w:t>
      </w:r>
    </w:p>
    <w:p w14:paraId="042E6652" w14:textId="77777777" w:rsidR="00E16D3C" w:rsidRDefault="00E16D3C" w:rsidP="008A53EB">
      <w:r w:rsidRPr="00E16D3C">
        <w:t xml:space="preserve">The oil and gas industry </w:t>
      </w:r>
      <w:r w:rsidR="00BC7C48" w:rsidRPr="00E16D3C">
        <w:t>are</w:t>
      </w:r>
      <w:r w:rsidRPr="00E16D3C">
        <w:t xml:space="preserve"> an important part of the world's economy, providing energy and jobs for millions of people. Companies like </w:t>
      </w:r>
      <w:bookmarkStart w:id="1" w:name="_Hlk130321120"/>
      <w:r w:rsidRPr="00E16D3C">
        <w:t xml:space="preserve">PJSC Lukoil and Murphy Oil Corporation </w:t>
      </w:r>
      <w:bookmarkEnd w:id="1"/>
      <w:r w:rsidRPr="00E16D3C">
        <w:t>have to deal with changing oil prices, concerns about the environment, and geopolitical issues. To succeed, they must foster strong relationships with stakeholders and promote workplace achievement. This essay provides a general overview of these companies and their strategies in the oil and gas segment.</w:t>
      </w:r>
    </w:p>
    <w:p w14:paraId="03180726" w14:textId="77777777" w:rsidR="00E16D3C" w:rsidRDefault="00E16D3C" w:rsidP="008A53EB"/>
    <w:p w14:paraId="4BD6E87D" w14:textId="77777777" w:rsidR="00E16D3C" w:rsidRPr="00E16D3C" w:rsidRDefault="00E16D3C" w:rsidP="008A53EB">
      <w:pPr>
        <w:rPr>
          <w:b/>
          <w:bCs/>
          <w:sz w:val="28"/>
          <w:szCs w:val="28"/>
        </w:rPr>
      </w:pPr>
      <w:bookmarkStart w:id="2" w:name="_Hlk130321089"/>
      <w:r w:rsidRPr="00E16D3C">
        <w:rPr>
          <w:b/>
          <w:bCs/>
          <w:sz w:val="28"/>
          <w:szCs w:val="28"/>
        </w:rPr>
        <w:t xml:space="preserve">Overview of the companies </w:t>
      </w:r>
    </w:p>
    <w:bookmarkEnd w:id="2"/>
    <w:p w14:paraId="0EA1D949" w14:textId="77777777" w:rsidR="006057E1" w:rsidRDefault="00E16D3C" w:rsidP="008A53EB">
      <w:r w:rsidRPr="00E16D3C">
        <w:t xml:space="preserve">In 1991, three Soviet oil and gas companies that were owned by the government came together to form </w:t>
      </w:r>
      <w:r w:rsidRPr="00E16D3C">
        <w:rPr>
          <w:b/>
          <w:bCs/>
          <w:i/>
          <w:iCs/>
        </w:rPr>
        <w:t>LUKOIL</w:t>
      </w:r>
      <w:r w:rsidRPr="00E16D3C">
        <w:t xml:space="preserve">. </w:t>
      </w:r>
      <w:r w:rsidR="006057E1" w:rsidRPr="006057E1">
        <w:t>LUKOIL is the second-largest oil producer in Russia, making up 17% of the country's total oil production and having a big share of the global market. It does a lot of different things, like finding oil and gas, making it, refining it, selling it, marketing it, and distributing it. It has more than 100,000 employees all over the world and spends a lot on their training and development. It has to deal with competition from both foreign and domestic companies, and its customers come from many different places</w:t>
      </w:r>
      <w:r w:rsidR="00CB614A">
        <w:t xml:space="preserve"> </w:t>
      </w:r>
      <w:r w:rsidR="00CB614A" w:rsidRPr="00CB614A">
        <w:t xml:space="preserve"> </w:t>
      </w:r>
      <w:r w:rsidR="00CB614A">
        <w:t>(</w:t>
      </w:r>
      <w:r w:rsidR="00CB614A" w:rsidRPr="00CB614A">
        <w:rPr>
          <w:i/>
          <w:iCs/>
        </w:rPr>
        <w:t>lukoil.com, 2021).</w:t>
      </w:r>
    </w:p>
    <w:p w14:paraId="72196FC7" w14:textId="77777777" w:rsidR="00E16D3C" w:rsidRDefault="006057E1" w:rsidP="008A53EB">
      <w:r w:rsidRPr="006057E1">
        <w:rPr>
          <w:b/>
          <w:bCs/>
        </w:rPr>
        <w:t>Murphy Oil Corporation</w:t>
      </w:r>
      <w:r w:rsidRPr="006057E1">
        <w:t xml:space="preserve"> is an international oil and gas company that employs 1,000 people worldwide. It is known for its commitment to fostering a diverse and inclusive work environment, with a strong focus on safety, professional development, and employee engagement. It faces competition from international and regional players but has managed to differentiate itself by focusing on targeted exploration and production strategies, operational efficiency, and strategic partnerships. Customers include refineries, petrochemical plants, and other industrial consumers of oil and gas products</w:t>
      </w:r>
      <w:r w:rsidR="00CB614A">
        <w:t xml:space="preserve"> (</w:t>
      </w:r>
      <w:r w:rsidR="00CB614A" w:rsidRPr="00CB614A">
        <w:rPr>
          <w:i/>
          <w:iCs/>
        </w:rPr>
        <w:t>murphyoilcorp.com, 2020).</w:t>
      </w:r>
    </w:p>
    <w:p w14:paraId="54E21037" w14:textId="77777777" w:rsidR="006057E1" w:rsidRDefault="006057E1" w:rsidP="008A53EB"/>
    <w:p w14:paraId="7F94EF9C" w14:textId="77777777" w:rsidR="00E16D3C" w:rsidRPr="00E16D3C" w:rsidRDefault="00E16D3C" w:rsidP="008A53EB">
      <w:pPr>
        <w:rPr>
          <w:b/>
          <w:bCs/>
          <w:sz w:val="28"/>
          <w:szCs w:val="28"/>
        </w:rPr>
      </w:pPr>
      <w:bookmarkStart w:id="3" w:name="_Hlk130321372"/>
      <w:r w:rsidRPr="00E16D3C">
        <w:rPr>
          <w:b/>
          <w:bCs/>
          <w:sz w:val="28"/>
          <w:szCs w:val="28"/>
        </w:rPr>
        <w:t xml:space="preserve">Section 1: </w:t>
      </w:r>
    </w:p>
    <w:p w14:paraId="0FB92784" w14:textId="77777777" w:rsidR="006057E1" w:rsidRPr="006057E1" w:rsidRDefault="0036659E" w:rsidP="006057E1">
      <w:pPr>
        <w:rPr>
          <w:b/>
          <w:bCs/>
          <w:i/>
          <w:iCs/>
        </w:rPr>
      </w:pPr>
      <w:r>
        <w:rPr>
          <w:b/>
          <w:bCs/>
          <w:i/>
          <w:iCs/>
        </w:rPr>
        <w:t xml:space="preserve">Part. 1: </w:t>
      </w:r>
      <w:r w:rsidR="00E16D3C" w:rsidRPr="009E6934">
        <w:rPr>
          <w:b/>
          <w:bCs/>
          <w:i/>
          <w:iCs/>
        </w:rPr>
        <w:t xml:space="preserve"> Cultural Analysis of Countries </w:t>
      </w:r>
      <w:bookmarkStart w:id="4" w:name="_Hlk130309618"/>
      <w:r w:rsidR="00E16D3C" w:rsidRPr="009E6934">
        <w:rPr>
          <w:b/>
          <w:bCs/>
          <w:i/>
          <w:iCs/>
        </w:rPr>
        <w:t>US and Russia.</w:t>
      </w:r>
      <w:bookmarkEnd w:id="3"/>
      <w:bookmarkEnd w:id="4"/>
    </w:p>
    <w:p w14:paraId="4D2D9F89" w14:textId="77777777" w:rsidR="007E159B" w:rsidRPr="006057E1" w:rsidRDefault="006057E1" w:rsidP="006057E1">
      <w:r w:rsidRPr="006057E1">
        <w:t>Culture is a range of things that are passed down through generations and have an effect on people's behavior and interactions (</w:t>
      </w:r>
      <w:r w:rsidRPr="006057E1">
        <w:rPr>
          <w:i/>
          <w:iCs/>
        </w:rPr>
        <w:t>Junni and Teerikangas, 2019</w:t>
      </w:r>
      <w:r w:rsidRPr="006057E1">
        <w:t>). It is often attributed to a particular region or location. The United States and Russia are two countries with vast cultural differences, shaped by their unique histories, geography, political systems, and societal values. Geert Hofstede's cultural dimensions theory and Fons Trompenaars' model of national cultural differences provide a framework to compare and contrast the cultural aspects of different countries.</w:t>
      </w:r>
    </w:p>
    <w:p w14:paraId="6A4E2787" w14:textId="77777777" w:rsidR="007E159B" w:rsidRPr="007E159B" w:rsidRDefault="007E159B" w:rsidP="007E159B">
      <w:pPr>
        <w:rPr>
          <w:b/>
          <w:bCs/>
          <w:i/>
          <w:iCs/>
        </w:rPr>
      </w:pPr>
      <w:bookmarkStart w:id="5" w:name="_Hlk130321437"/>
      <w:r w:rsidRPr="007E159B">
        <w:rPr>
          <w:b/>
          <w:bCs/>
          <w:i/>
          <w:iCs/>
        </w:rPr>
        <w:lastRenderedPageBreak/>
        <w:t>Hofstede's Cultural Dimensions:</w:t>
      </w:r>
    </w:p>
    <w:bookmarkEnd w:id="5"/>
    <w:p w14:paraId="534F614D" w14:textId="77777777" w:rsidR="007E159B" w:rsidRPr="007E159B" w:rsidRDefault="007E159B" w:rsidP="007E159B">
      <w:r w:rsidRPr="007E159B">
        <w:rPr>
          <w:b/>
          <w:bCs/>
          <w:i/>
          <w:iCs/>
        </w:rPr>
        <w:t>Power Distance Index (PDI):</w:t>
      </w:r>
      <w:r w:rsidRPr="007E159B">
        <w:rPr>
          <w:i/>
          <w:iCs/>
        </w:rPr>
        <w:t xml:space="preserve"> </w:t>
      </w:r>
      <w:r w:rsidRPr="007E159B">
        <w:t>The United States has a low PDI score, which shows that they like equality and a flatter organizational structure. Employees expect to be consulted and involved in decision-making processes</w:t>
      </w:r>
      <w:r w:rsidR="001D474D">
        <w:t xml:space="preserve"> (</w:t>
      </w:r>
      <w:r w:rsidR="001D474D" w:rsidRPr="001D474D">
        <w:rPr>
          <w:i/>
          <w:iCs/>
        </w:rPr>
        <w:t>Minkov and Kaasa, 2021</w:t>
      </w:r>
      <w:r w:rsidR="001D474D" w:rsidRPr="001D474D">
        <w:t>).</w:t>
      </w:r>
      <w:r w:rsidRPr="007E159B">
        <w:t xml:space="preserve"> In contrast, Russia has a high PDI score, reflecting a more hierarchical society where power is centralized, and subordinates expect clear directives from their superiors.</w:t>
      </w:r>
    </w:p>
    <w:p w14:paraId="27549919" w14:textId="77777777" w:rsidR="007E159B" w:rsidRPr="007E159B" w:rsidRDefault="007E159B" w:rsidP="007E159B">
      <w:r w:rsidRPr="007E159B">
        <w:rPr>
          <w:b/>
          <w:bCs/>
          <w:i/>
          <w:iCs/>
        </w:rPr>
        <w:t>Individualism vs. collectivism (IDV):</w:t>
      </w:r>
      <w:r w:rsidRPr="007E159B">
        <w:rPr>
          <w:i/>
          <w:iCs/>
        </w:rPr>
        <w:t xml:space="preserve"> </w:t>
      </w:r>
      <w:r w:rsidRPr="007E159B">
        <w:t>The US scores highly on individualism, which means people are expected to be self-reliant and prioritize their personal goals over group goals. In organizations, this translates to a focus on individual achievements and rewards. Russia, on the other hand, has a more collectivist culture, where group loyalty and shared responsibility are more important than individual accomplishments.</w:t>
      </w:r>
    </w:p>
    <w:p w14:paraId="73820A8D" w14:textId="77777777" w:rsidR="007E159B" w:rsidRPr="007E159B" w:rsidRDefault="007E159B" w:rsidP="007E159B">
      <w:pPr>
        <w:rPr>
          <w:i/>
          <w:iCs/>
        </w:rPr>
      </w:pPr>
      <w:r w:rsidRPr="007E159B">
        <w:rPr>
          <w:b/>
          <w:bCs/>
          <w:i/>
          <w:iCs/>
        </w:rPr>
        <w:t>Uncertainty Avoidance Index (UAI</w:t>
      </w:r>
      <w:r w:rsidRPr="007E159B">
        <w:rPr>
          <w:i/>
          <w:iCs/>
        </w:rPr>
        <w:t xml:space="preserve">): </w:t>
      </w:r>
      <w:r w:rsidRPr="007E159B">
        <w:t>The US has a lower UAI score, which means they are more comfortable with ambiguity and change. Organizations in the US are generally more open to innovation and risk-taking. Russia has a higher UAI score, indicating a preference for stability, predictability, and well-defined rules and procedures in organizational settings</w:t>
      </w:r>
      <w:r w:rsidR="001D474D">
        <w:t xml:space="preserve"> (</w:t>
      </w:r>
      <w:r w:rsidR="001D474D" w:rsidRPr="001D474D">
        <w:rPr>
          <w:i/>
          <w:iCs/>
        </w:rPr>
        <w:t>Sorokin, 2017).</w:t>
      </w:r>
      <w:r w:rsidR="001D474D" w:rsidRPr="001D474D">
        <w:t xml:space="preserve">  </w:t>
      </w:r>
    </w:p>
    <w:p w14:paraId="5EDBC572" w14:textId="77777777" w:rsidR="007E159B" w:rsidRPr="007E159B" w:rsidRDefault="007E159B" w:rsidP="007E159B">
      <w:r w:rsidRPr="007E159B">
        <w:rPr>
          <w:b/>
          <w:bCs/>
          <w:i/>
          <w:iCs/>
        </w:rPr>
        <w:t>Masculinity vs. Femininity (MAS):</w:t>
      </w:r>
      <w:r w:rsidRPr="007E159B">
        <w:rPr>
          <w:i/>
          <w:iCs/>
        </w:rPr>
        <w:t xml:space="preserve"> </w:t>
      </w:r>
      <w:r w:rsidRPr="007E159B">
        <w:t>The US has a fairly high MAS score, which shows that people in the workplace prefer assertiveness, achievement, and material success. Russia also has a pretty high MAS score, which shows that their work culture is based on similar values and preferences.</w:t>
      </w:r>
    </w:p>
    <w:p w14:paraId="30329AEE" w14:textId="77777777" w:rsidR="007E159B" w:rsidRDefault="007E159B" w:rsidP="007E159B">
      <w:r w:rsidRPr="007E159B">
        <w:rPr>
          <w:b/>
          <w:bCs/>
          <w:i/>
          <w:iCs/>
        </w:rPr>
        <w:t>Long-term Orientation vs. Short-term Orientation (LTO):</w:t>
      </w:r>
      <w:r w:rsidRPr="007E159B">
        <w:rPr>
          <w:i/>
          <w:iCs/>
        </w:rPr>
        <w:t xml:space="preserve"> </w:t>
      </w:r>
      <w:r w:rsidRPr="007E159B">
        <w:t>The US has a lower LTO score, reflecting a short-term orientation with a focus on immediate results and quick returns. Russian culture is more focused on the long term, with an emphasis on patience, planning, and adapting to new situations. </w:t>
      </w:r>
    </w:p>
    <w:p w14:paraId="206E613F" w14:textId="77777777" w:rsidR="001D474D" w:rsidRDefault="001D474D" w:rsidP="007E159B"/>
    <w:p w14:paraId="45957DFC" w14:textId="77777777" w:rsidR="001D474D" w:rsidRDefault="001D474D" w:rsidP="007E159B">
      <w:pPr>
        <w:rPr>
          <w:b/>
          <w:bCs/>
        </w:rPr>
      </w:pPr>
      <w:bookmarkStart w:id="6" w:name="_Hlk130321477"/>
      <w:r w:rsidRPr="001D474D">
        <w:rPr>
          <w:b/>
          <w:bCs/>
        </w:rPr>
        <w:t>Trompenaars' Model</w:t>
      </w:r>
    </w:p>
    <w:p w14:paraId="130F0D0F" w14:textId="77777777" w:rsidR="006057E1" w:rsidRPr="006057E1" w:rsidRDefault="006057E1" w:rsidP="007E159B">
      <w:r w:rsidRPr="006057E1">
        <w:t>Trompenaars' Model of National Culture Differences is a framework that helps to understand and compare different cultures by examining the underlying values and preferences that shape people's behaviors and interactions. It identifies seven aspects of culture that can be used to compare and contrast how cultures in different countries are similar or different, such as the United States and Russia.</w:t>
      </w:r>
    </w:p>
    <w:bookmarkEnd w:id="6"/>
    <w:p w14:paraId="4374AA20" w14:textId="77777777" w:rsidR="00803FB0" w:rsidRDefault="00803FB0" w:rsidP="00803FB0">
      <w:r w:rsidRPr="00803FB0">
        <w:rPr>
          <w:b/>
          <w:bCs/>
          <w:i/>
          <w:iCs/>
        </w:rPr>
        <w:t>Universalism vs. Particularism</w:t>
      </w:r>
      <w:r>
        <w:t xml:space="preserve">: Universalism is the idea that general rules and principles should apply to everyone. On the other hand, particularism says that context and relationships are </w:t>
      </w:r>
      <w:r>
        <w:lastRenderedPageBreak/>
        <w:t>important when making decisions. The US tends to lean towards universalism, with a strong belief in rules, laws, and regulations</w:t>
      </w:r>
      <w:r w:rsidR="0036659E">
        <w:t xml:space="preserve"> (</w:t>
      </w:r>
      <w:bookmarkStart w:id="7" w:name="_Hlk130309161"/>
      <w:r w:rsidR="0036659E" w:rsidRPr="0036659E">
        <w:rPr>
          <w:i/>
          <w:iCs/>
        </w:rPr>
        <w:t>Khan and  Panarina, 2017</w:t>
      </w:r>
      <w:bookmarkEnd w:id="7"/>
      <w:r w:rsidR="0036659E" w:rsidRPr="0036659E">
        <w:rPr>
          <w:i/>
          <w:iCs/>
        </w:rPr>
        <w:t>).</w:t>
      </w:r>
      <w:r w:rsidR="0036659E">
        <w:t xml:space="preserve"> </w:t>
      </w:r>
      <w:r>
        <w:t>Russia, on the other hand, is more specific and makes decisions based on personal relationships and loyalty.</w:t>
      </w:r>
    </w:p>
    <w:p w14:paraId="6DAF77DF" w14:textId="77777777" w:rsidR="00803FB0" w:rsidRDefault="00803FB0" w:rsidP="00803FB0">
      <w:r w:rsidRPr="00803FB0">
        <w:rPr>
          <w:b/>
          <w:bCs/>
          <w:i/>
          <w:iCs/>
        </w:rPr>
        <w:t>Individualism vs. collectivism</w:t>
      </w:r>
      <w:r>
        <w:t>: Individualism emphasizes personal freedom and achievement, while collectivism prioritizes group harmony and shared goals. The US is known for its individualistic culture, where personal success and autonomy are highly valued. Russia, on the other hand, has a more collectivist culture, emphasizing group cohesion and loyalty to family, friends, and the nation.</w:t>
      </w:r>
    </w:p>
    <w:p w14:paraId="7F969594" w14:textId="77777777" w:rsidR="00803FB0" w:rsidRDefault="00803FB0" w:rsidP="00803FB0">
      <w:r w:rsidRPr="00803FB0">
        <w:rPr>
          <w:b/>
          <w:bCs/>
          <w:i/>
          <w:iCs/>
        </w:rPr>
        <w:t>Neutral vs. Emotional</w:t>
      </w:r>
      <w:r>
        <w:t>: This dimension addresses how emotions are expressed in a culture. In neutral cultures, people tend to control their emotions, while emotional cultures allow for more expressive displays</w:t>
      </w:r>
      <w:r w:rsidR="0036659E">
        <w:t xml:space="preserve"> (</w:t>
      </w:r>
      <w:r w:rsidR="0036659E" w:rsidRPr="0036659E">
        <w:rPr>
          <w:i/>
          <w:iCs/>
        </w:rPr>
        <w:t>Khan and  Panarina, 2017).</w:t>
      </w:r>
      <w:r w:rsidR="0036659E">
        <w:t xml:space="preserve"> </w:t>
      </w:r>
      <w:r>
        <w:t>The US generally falls in the middle, with people being open with their emotions but also valuing a level of restraint. Russia is considered to be more emotional, with people often expressing their feelings openly and passionately.</w:t>
      </w:r>
    </w:p>
    <w:p w14:paraId="4EF53A70" w14:textId="77777777" w:rsidR="00803FB0" w:rsidRDefault="00803FB0" w:rsidP="00803FB0">
      <w:r w:rsidRPr="00803FB0">
        <w:rPr>
          <w:b/>
          <w:bCs/>
          <w:i/>
          <w:iCs/>
        </w:rPr>
        <w:t>Specific vs. diffuse</w:t>
      </w:r>
      <w:r>
        <w:t>: This dimension refers to the extent to which personal and professional lives are separated. Specific cultures compartmentalize work and personal relationships, while diffuse cultures intertwine them</w:t>
      </w:r>
      <w:r w:rsidR="00C274D5">
        <w:t xml:space="preserve"> (</w:t>
      </w:r>
      <w:r w:rsidR="00C274D5" w:rsidRPr="00C274D5">
        <w:rPr>
          <w:i/>
          <w:iCs/>
        </w:rPr>
        <w:t>Minkov and Kaasa, 2021).</w:t>
      </w:r>
      <w:r w:rsidR="00C274D5" w:rsidRPr="00C274D5">
        <w:t xml:space="preserve"> </w:t>
      </w:r>
      <w:r>
        <w:t xml:space="preserve"> The US tends to be more specific, with clear boundaries between work and personal life. Russia leans towards being diffuse, with personal and professional relationships often overlapping.</w:t>
      </w:r>
    </w:p>
    <w:p w14:paraId="30CFB547" w14:textId="77777777" w:rsidR="00803FB0" w:rsidRDefault="00803FB0" w:rsidP="00803FB0">
      <w:r w:rsidRPr="00803FB0">
        <w:rPr>
          <w:b/>
          <w:bCs/>
          <w:i/>
          <w:iCs/>
        </w:rPr>
        <w:t>Achievement vs. Ascription</w:t>
      </w:r>
      <w:r>
        <w:t>: Achievement cultures value people based on their accomplishments, while ascription cultures focus on status, age, or other attributes. The US is an achievement-oriented culture where people are recognized for their skills and results. In Russia, ascription plays a more significant role, with age, social connections, and authority being important factors.</w:t>
      </w:r>
    </w:p>
    <w:p w14:paraId="2B6A2F6C" w14:textId="77777777" w:rsidR="00803FB0" w:rsidRDefault="00803FB0" w:rsidP="00803FB0">
      <w:r w:rsidRPr="00803FB0">
        <w:rPr>
          <w:b/>
          <w:bCs/>
          <w:i/>
          <w:iCs/>
        </w:rPr>
        <w:t>Sequential vs. synchronic time:</w:t>
      </w:r>
      <w:r>
        <w:t xml:space="preserve"> This dimension relates to how a culture perceives time. Sequential cultures see time as linear and value punctuality, while synchronic cultures view time as more flexible and interconnected</w:t>
      </w:r>
      <w:r w:rsidR="002B67E1">
        <w:t xml:space="preserve"> (</w:t>
      </w:r>
      <w:r w:rsidR="002B67E1" w:rsidRPr="002B67E1">
        <w:rPr>
          <w:i/>
          <w:iCs/>
        </w:rPr>
        <w:t>Farndale and. et. al.,  2023</w:t>
      </w:r>
      <w:r w:rsidR="002B67E1">
        <w:t xml:space="preserve">). </w:t>
      </w:r>
      <w:r>
        <w:t>The US is more sequential, with a strong emphasis on deadlines and schedules. Russia leans towards being synchronic, with a more relaxed attitude towards time and deadlines.</w:t>
      </w:r>
    </w:p>
    <w:p w14:paraId="23AA18C7" w14:textId="77777777" w:rsidR="00803FB0" w:rsidRDefault="00803FB0" w:rsidP="00803FB0">
      <w:r w:rsidRPr="00803FB0">
        <w:rPr>
          <w:b/>
          <w:bCs/>
          <w:i/>
          <w:iCs/>
        </w:rPr>
        <w:t>Internal vs. External Control</w:t>
      </w:r>
      <w:r>
        <w:t xml:space="preserve">: This dimension addresses a culture's relationship with the environment. Internal control cultures believe they can control and shape their environment, while external control cultures see themselves as subject to the environment. The US exhibits a more internal control orientation, with a belief in the power of individuals to shape their destinies. Russia </w:t>
      </w:r>
      <w:r>
        <w:lastRenderedPageBreak/>
        <w:t>tends towards external control, with a stronger belief in the influence of fate and external forces.</w:t>
      </w:r>
      <w:r w:rsidR="0036659E" w:rsidRPr="0036659E">
        <w:t xml:space="preserve"> </w:t>
      </w:r>
      <w:r w:rsidR="0036659E">
        <w:t>(</w:t>
      </w:r>
      <w:r w:rsidR="0036659E" w:rsidRPr="0036659E">
        <w:rPr>
          <w:i/>
          <w:iCs/>
        </w:rPr>
        <w:t>Nardon and  Steers, 2009).</w:t>
      </w:r>
      <w:r w:rsidR="0036659E">
        <w:t xml:space="preserve"> </w:t>
      </w:r>
    </w:p>
    <w:p w14:paraId="4F855C44" w14:textId="77777777" w:rsidR="0036659E" w:rsidRDefault="0036659E" w:rsidP="00803FB0"/>
    <w:p w14:paraId="4A316B9A" w14:textId="77777777" w:rsidR="00A41238" w:rsidRDefault="00BC7C48" w:rsidP="00A41238">
      <w:bookmarkStart w:id="8" w:name="_Hlk130321523"/>
      <w:r>
        <w:rPr>
          <w:b/>
          <w:bCs/>
        </w:rPr>
        <w:t xml:space="preserve">Section 1. </w:t>
      </w:r>
      <w:r w:rsidR="0036659E" w:rsidRPr="00403508">
        <w:rPr>
          <w:b/>
          <w:bCs/>
        </w:rPr>
        <w:t>Part 2.  Institutional analysis of Countries US and Russia.</w:t>
      </w:r>
      <w:r w:rsidR="00A41238">
        <w:rPr>
          <w:b/>
          <w:bCs/>
        </w:rPr>
        <w:t xml:space="preserve"> </w:t>
      </w:r>
      <w:r w:rsidR="00A41238">
        <w:t xml:space="preserve"> </w:t>
      </w:r>
    </w:p>
    <w:p w14:paraId="64F9D70C" w14:textId="77777777" w:rsidR="005211F1" w:rsidRDefault="005211F1" w:rsidP="005211F1">
      <w:r>
        <w:t>Institutional analysis is a way to look at the formal and informal systems that make up a country's political, economic, and social systems. This approach suggests that IHRM practices should be adapted to the local context in order to be effective, since institutions shape the regulatory environment, labor market conditions, and societal expectations, all of which affect HR policies and practices</w:t>
      </w:r>
      <w:r w:rsidR="002B67E1">
        <w:t xml:space="preserve"> (</w:t>
      </w:r>
      <w:r w:rsidR="002B67E1" w:rsidRPr="002B67E1">
        <w:rPr>
          <w:i/>
          <w:iCs/>
        </w:rPr>
        <w:t>Meyer and Rowan, 1977</w:t>
      </w:r>
      <w:r w:rsidR="002B67E1" w:rsidRPr="002B67E1">
        <w:t xml:space="preserve">). </w:t>
      </w:r>
      <w:r>
        <w:t>The most important details in this text are the political implications of HR practices in the United States and Russia. The US has a stable democracy with regular, competitive elections, a strong rule of law that protects property rights, and a market-based economy with moderate rules. Russia's political system is more centralized, and there are worries about election fraud and political repression.</w:t>
      </w:r>
    </w:p>
    <w:p w14:paraId="5FBBDAF9" w14:textId="77777777" w:rsidR="005211F1" w:rsidRPr="005211F1" w:rsidRDefault="005211F1" w:rsidP="005211F1">
      <w:r>
        <w:t>Russia has a more state-controlled economy with heavier regulation in key industries, a less developed financial system, and high-income inequality and disparities in access to healthcare and social welfare. Multinational corporations operating in these countries should be aware of these differences and adapt their HR practices accordingly to ensure success in these diverse environments</w:t>
      </w:r>
      <w:r w:rsidR="002B67E1">
        <w:t xml:space="preserve"> (</w:t>
      </w:r>
      <w:r w:rsidR="002B67E1" w:rsidRPr="002B67E1">
        <w:rPr>
          <w:i/>
          <w:iCs/>
        </w:rPr>
        <w:t>Storey,2023).</w:t>
      </w:r>
    </w:p>
    <w:p w14:paraId="44CC66B6" w14:textId="77777777" w:rsidR="00C64B50" w:rsidRDefault="00C64B50" w:rsidP="00803FB0">
      <w:pPr>
        <w:rPr>
          <w:b/>
          <w:bCs/>
          <w:i/>
          <w:iCs/>
        </w:rPr>
      </w:pPr>
      <w:bookmarkStart w:id="9" w:name="_Hlk130321584"/>
      <w:bookmarkEnd w:id="8"/>
      <w:r w:rsidRPr="00C64B50">
        <w:rPr>
          <w:b/>
          <w:bCs/>
          <w:i/>
          <w:iCs/>
        </w:rPr>
        <w:t>Neo-institutional theory (</w:t>
      </w:r>
      <w:bookmarkStart w:id="10" w:name="_Hlk130311426"/>
      <w:r w:rsidRPr="00C64B50">
        <w:rPr>
          <w:b/>
          <w:bCs/>
          <w:i/>
          <w:iCs/>
        </w:rPr>
        <w:t>Scott, 1995)</w:t>
      </w:r>
    </w:p>
    <w:p w14:paraId="708D2F4D" w14:textId="77777777" w:rsidR="005211F1" w:rsidRDefault="005211F1" w:rsidP="00803FB0">
      <w:r w:rsidRPr="005211F1">
        <w:t>Scott's neo-institutional theory states that three institutional pillars shape the environment in which businesses work: regulative, normative, and cognitive. (</w:t>
      </w:r>
      <w:r w:rsidRPr="00333C7B">
        <w:rPr>
          <w:i/>
          <w:iCs/>
        </w:rPr>
        <w:t>Scott, 1995</w:t>
      </w:r>
      <w:r w:rsidRPr="005211F1">
        <w:t>)</w:t>
      </w:r>
      <w:r>
        <w:t xml:space="preserve">. </w:t>
      </w:r>
      <w:r w:rsidRPr="005211F1">
        <w:t>This institutional analysis of the United States and Russia will use the Varieties of Capitalism framework to understand the differences in their political, economic, and social institutions and their implications for businesses.</w:t>
      </w:r>
    </w:p>
    <w:p w14:paraId="735C9F58" w14:textId="77777777" w:rsidR="00333C7B" w:rsidRDefault="00333C7B" w:rsidP="00333C7B">
      <w:r>
        <w:t>The US and Russia  all have strong individualism, competitiveness, and innovation. The US has a strong rule of law that protects property rights, moderate regulation in the business environment, and strong labor laws and regulations. Russia has weaker regulation overall and more regulation in key industries. HR implications include compliance with labor laws, fair labor practices, and respect for employee rights (</w:t>
      </w:r>
      <w:r w:rsidRPr="00333C7B">
        <w:rPr>
          <w:i/>
          <w:iCs/>
        </w:rPr>
        <w:t>Suddaby, Seidl, and Lê, 2013).</w:t>
      </w:r>
      <w:r>
        <w:t xml:space="preserve"> The United States has a strong education system, a market-oriented economy, and a strong tradition in STEM education.</w:t>
      </w:r>
    </w:p>
    <w:p w14:paraId="4359F545" w14:textId="77777777" w:rsidR="00333C7B" w:rsidRDefault="00333C7B" w:rsidP="00333C7B"/>
    <w:p w14:paraId="6D232D1C" w14:textId="77777777" w:rsidR="005211F1" w:rsidRPr="005211F1" w:rsidRDefault="00333C7B" w:rsidP="00333C7B">
      <w:r>
        <w:lastRenderedPageBreak/>
        <w:t>Russia has a state-controlled economy with more bureaucratic processes. Businesses need to adapt to the local educational and labor market context and be prepared for more bureaucratic processes in HR practices (</w:t>
      </w:r>
      <w:r w:rsidRPr="00333C7B">
        <w:rPr>
          <w:i/>
          <w:iCs/>
        </w:rPr>
        <w:t>Noss and Scott, 1995).</w:t>
      </w:r>
    </w:p>
    <w:p w14:paraId="79866B3A" w14:textId="77777777" w:rsidR="004E3D11" w:rsidRDefault="00636A6E" w:rsidP="00803FB0">
      <w:pPr>
        <w:rPr>
          <w:b/>
          <w:bCs/>
        </w:rPr>
      </w:pPr>
      <w:bookmarkStart w:id="11" w:name="_Hlk130321621"/>
      <w:bookmarkEnd w:id="9"/>
      <w:bookmarkEnd w:id="10"/>
      <w:r w:rsidRPr="00636A6E">
        <w:rPr>
          <w:b/>
          <w:bCs/>
        </w:rPr>
        <w:t>Theory of isomorphism (DiMaggio and Powell 1991</w:t>
      </w:r>
      <w:r w:rsidR="004E3D11">
        <w:rPr>
          <w:b/>
          <w:bCs/>
        </w:rPr>
        <w:t>)</w:t>
      </w:r>
      <w:r w:rsidRPr="00636A6E">
        <w:rPr>
          <w:b/>
          <w:bCs/>
        </w:rPr>
        <w:t xml:space="preserve"> PES  analysis. </w:t>
      </w:r>
    </w:p>
    <w:bookmarkEnd w:id="11"/>
    <w:p w14:paraId="34CC8B2E" w14:textId="77777777" w:rsidR="00803FB0" w:rsidRDefault="00636A6E" w:rsidP="00803FB0">
      <w:r w:rsidRPr="00636A6E">
        <w:t xml:space="preserve">In this institutional analysis of the United States and Russia, will </w:t>
      </w:r>
      <w:r w:rsidR="004E3D11">
        <w:t xml:space="preserve">be applied </w:t>
      </w:r>
      <w:r w:rsidRPr="00636A6E">
        <w:t xml:space="preserve"> the neo-institutional theory of isomorphism (DiMaggio and Powell, 1991) and the PEST (Political, Economic, Social, and Technological) framework to understand how these factors influence the institutional environments in both countries.</w:t>
      </w:r>
    </w:p>
    <w:p w14:paraId="260427F9" w14:textId="77777777" w:rsidR="00333C7B" w:rsidRDefault="00333C7B" w:rsidP="004E3D11">
      <w:r w:rsidRPr="00333C7B">
        <w:t>DiMaggio and Powell's (1991) neo-institutional theory of isomorphism and PEST analysis show that the US and Russia have different institutional environments shaped by their political, economic, social, and technological contexts. Understanding these factors is important for companies to change their practices and strategies to do well in both countries.</w:t>
      </w:r>
    </w:p>
    <w:p w14:paraId="087E4125" w14:textId="77777777" w:rsidR="00333C7B" w:rsidRPr="00C274D5" w:rsidRDefault="00333C7B" w:rsidP="004E3D11">
      <w:pPr>
        <w:rPr>
          <w:i/>
          <w:iCs/>
        </w:rPr>
      </w:pPr>
      <w:r w:rsidRPr="00333C7B">
        <w:t>The most important details in this text are the similarities between the US and Russia in terms of coercive and normative isomorphism, mimicry, normative isomorphism, and PEST analysis. The US has a strong rule of law and protection of property rights, while Russia has a weaker rule of law, centralized political power, a market-oriented economy with moderate regulation and a highly developed financial system, and a state-controlled economy with heavier regulation in key industries and a less developed financial system</w:t>
      </w:r>
      <w:r w:rsidR="00C274D5">
        <w:t xml:space="preserve"> (</w:t>
      </w:r>
      <w:r w:rsidR="00C274D5" w:rsidRPr="00C274D5">
        <w:rPr>
          <w:i/>
          <w:iCs/>
        </w:rPr>
        <w:t>DiMaggio and Powell, 1991</w:t>
      </w:r>
      <w:r w:rsidR="00C274D5">
        <w:t xml:space="preserve">). </w:t>
      </w:r>
      <w:r w:rsidRPr="00333C7B">
        <w:t xml:space="preserve"> The US also has a highly developed education system, high income inequality, and disparities in access to healthcare and social welfare, while the Russian system is characterized by centralized power, concerns about electoral fraud, and political repression. The US is also a world leader in technology and innovation, while Russia is historically strong in science and technology but faces challenges in adapting to the rapidly changing global technological landscape</w:t>
      </w:r>
      <w:r w:rsidR="00C274D5">
        <w:t xml:space="preserve"> (</w:t>
      </w:r>
      <w:r w:rsidR="00C274D5" w:rsidRPr="00C274D5">
        <w:rPr>
          <w:i/>
          <w:iCs/>
        </w:rPr>
        <w:t>Meyer and Rowan, 1977).</w:t>
      </w:r>
    </w:p>
    <w:p w14:paraId="6E95D911" w14:textId="77777777" w:rsidR="00333C7B" w:rsidRDefault="00333C7B" w:rsidP="004E3D11"/>
    <w:p w14:paraId="05B55CF6" w14:textId="77777777" w:rsidR="004E3D11" w:rsidRDefault="00BC7C48" w:rsidP="004E3D11">
      <w:pPr>
        <w:rPr>
          <w:b/>
          <w:bCs/>
        </w:rPr>
      </w:pPr>
      <w:bookmarkStart w:id="12" w:name="_Hlk130321684"/>
      <w:r>
        <w:rPr>
          <w:b/>
          <w:bCs/>
        </w:rPr>
        <w:t xml:space="preserve">Section 2. </w:t>
      </w:r>
      <w:r w:rsidR="004E3D11" w:rsidRPr="00BC7C48">
        <w:rPr>
          <w:b/>
          <w:bCs/>
        </w:rPr>
        <w:t> </w:t>
      </w:r>
      <w:r w:rsidR="00355C07" w:rsidRPr="00BC7C48">
        <w:rPr>
          <w:b/>
          <w:bCs/>
        </w:rPr>
        <w:t>M&amp;A Rationale and Integration  Strategy</w:t>
      </w:r>
    </w:p>
    <w:p w14:paraId="19BBFF8B" w14:textId="77777777" w:rsidR="00C274D5" w:rsidRDefault="00C274D5" w:rsidP="00C274D5"/>
    <w:p w14:paraId="5C47377C" w14:textId="77777777" w:rsidR="00C274D5" w:rsidRPr="00C274D5" w:rsidRDefault="00C274D5" w:rsidP="00C274D5">
      <w:pPr>
        <w:rPr>
          <w:i/>
          <w:iCs/>
        </w:rPr>
      </w:pPr>
      <w:r>
        <w:t>PJSC Lukoil and Murphy Oil Corporation, both operating in the oil and gas industry, may consider a merger or acquisition (M&amp;A) to achieve specific strategic objectives. The primary reasons for this M&amp;A could include overcapacity reduction/global efficiency, acquisition of R&amp;D or knowledge, diversification of assets, and talent acquisition (</w:t>
      </w:r>
      <w:r w:rsidRPr="00C274D5">
        <w:rPr>
          <w:i/>
          <w:iCs/>
        </w:rPr>
        <w:t>Harford, 2005).</w:t>
      </w:r>
      <w:r>
        <w:t xml:space="preserve"> Lukoil can benefit </w:t>
      </w:r>
      <w:r>
        <w:lastRenderedPageBreak/>
        <w:t>from the acquisition of Murphy Oil Corporation's technologies, intellectual property, and knowledge, which can help the combined company innovate faster, improve operational efficiency, and strengthen its market position. Additionally, Murphy Oil Corporation has skilled employees and management teams that Lukoil could buy, giving the combined company an edge in the industry and improving its human resources (</w:t>
      </w:r>
      <w:r w:rsidRPr="00C274D5">
        <w:rPr>
          <w:i/>
          <w:iCs/>
        </w:rPr>
        <w:t>Ahuja and  Katila, 2001).</w:t>
      </w:r>
      <w:r>
        <w:t xml:space="preserve"> Lukoil's decision to buy Murphy Oil Corporation could be based on a number of strategic goals, such as reducing overcapacity, getting more R&amp;D, diversifying assets, or getting better people. Relevant literature and theories support the rationale and strategy proposed in this analysis (</w:t>
      </w:r>
      <w:r w:rsidRPr="00C274D5">
        <w:rPr>
          <w:i/>
          <w:iCs/>
        </w:rPr>
        <w:t>Hitt,  Ireland and  Harrison 2001).</w:t>
      </w:r>
    </w:p>
    <w:p w14:paraId="33286E88" w14:textId="77777777" w:rsidR="00C274D5" w:rsidRDefault="00C274D5" w:rsidP="004E3D11">
      <w:pPr>
        <w:rPr>
          <w:b/>
          <w:bCs/>
        </w:rPr>
      </w:pPr>
    </w:p>
    <w:bookmarkEnd w:id="12"/>
    <w:p w14:paraId="3125331F" w14:textId="77777777" w:rsidR="00C274D5" w:rsidRPr="00C274D5" w:rsidRDefault="00521009" w:rsidP="00C274D5">
      <w:pPr>
        <w:rPr>
          <w:b/>
          <w:bCs/>
        </w:rPr>
      </w:pPr>
      <w:r w:rsidRPr="00521009">
        <w:rPr>
          <w:b/>
          <w:bCs/>
        </w:rPr>
        <w:t>Section 2, Part 2 – Role of IHRM in implementing effective M&amp;A</w:t>
      </w:r>
    </w:p>
    <w:p w14:paraId="7B26EC52" w14:textId="77777777" w:rsidR="000B563C" w:rsidRDefault="00C274D5" w:rsidP="00C274D5">
      <w:r>
        <w:t xml:space="preserve">The pre- and post-merger stages of the M&amp;A between PJSC Lukoil and Murphy Oil Corporation may present HR challenges such as cultural differences, integration of HR systems, talent retention, and employee anxiety and resistance. According to </w:t>
      </w:r>
      <w:r w:rsidRPr="00C274D5">
        <w:rPr>
          <w:i/>
          <w:iCs/>
        </w:rPr>
        <w:t>Adler and Ghadar, (1990)</w:t>
      </w:r>
      <w:r>
        <w:t xml:space="preserve"> HR's role in M&amp;A processes and improving chances of success includes aligning the strategic rationale and integration strategy, facilitating cultural integration, finding and motivating the best people in both companies, and providing change management strategies to help employees adjust to the new work environment (</w:t>
      </w:r>
      <w:r w:rsidRPr="00C274D5">
        <w:rPr>
          <w:i/>
          <w:iCs/>
        </w:rPr>
        <w:t>Haspeslagh and Jemison, 1991).</w:t>
      </w:r>
    </w:p>
    <w:p w14:paraId="1F45119C" w14:textId="77777777" w:rsidR="000B563C" w:rsidRPr="000B563C" w:rsidRDefault="000B563C" w:rsidP="000B563C">
      <w:pPr>
        <w:rPr>
          <w:b/>
          <w:bCs/>
        </w:rPr>
      </w:pPr>
      <w:bookmarkStart w:id="13" w:name="_Hlk130321759"/>
      <w:r w:rsidRPr="000B563C">
        <w:rPr>
          <w:b/>
          <w:bCs/>
        </w:rPr>
        <w:t>Theories and frameworks:</w:t>
      </w:r>
    </w:p>
    <w:bookmarkEnd w:id="13"/>
    <w:p w14:paraId="37C13F0D" w14:textId="77777777" w:rsidR="000B563C" w:rsidRDefault="000B563C" w:rsidP="000B563C">
      <w:r>
        <w:t>Haspeslagh and Jemison’s integration typology (1991) provides a framework for understanding the different approaches to integration, emphasizing the importance of aligning the integration strategy with the strategic rationale for the M&amp;A.</w:t>
      </w:r>
    </w:p>
    <w:p w14:paraId="0B9CA41A" w14:textId="77777777" w:rsidR="000B563C" w:rsidRDefault="000B563C" w:rsidP="000B563C">
      <w:r w:rsidRPr="000B563C">
        <w:rPr>
          <w:i/>
          <w:iCs/>
        </w:rPr>
        <w:t>The model by Adler and Ghadar</w:t>
      </w:r>
      <w:r>
        <w:t xml:space="preserve"> (1990) shows how important it is to take cultural differences into account during M&amp;A integration. Ignoring cultural differences can lead to misunderstandings, conflicts, and less M&amp;A success.</w:t>
      </w:r>
    </w:p>
    <w:p w14:paraId="13502CC6" w14:textId="77777777" w:rsidR="000B563C" w:rsidRDefault="000B563C" w:rsidP="000B563C">
      <w:r w:rsidRPr="000B563C">
        <w:rPr>
          <w:i/>
          <w:iCs/>
        </w:rPr>
        <w:t>Perlmutter's EPRG model</w:t>
      </w:r>
      <w:r>
        <w:t xml:space="preserve"> from 1969 is based on the idea that organizations need to find a balance between global and local perspectives. This can help HR manage talent in multinational companies more effectively.</w:t>
      </w:r>
    </w:p>
    <w:p w14:paraId="05D26BAB" w14:textId="77777777" w:rsidR="000B563C" w:rsidRDefault="000B563C" w:rsidP="000B563C">
      <w:r w:rsidRPr="000B563C">
        <w:rPr>
          <w:i/>
          <w:iCs/>
        </w:rPr>
        <w:t>Hall's theory of cross-cultural communication</w:t>
      </w:r>
      <w:r>
        <w:t xml:space="preserve"> from 1976 stresses how important it is to understand how communication styles vary by culture. This can help HR make sure that people can communicate well during the integration process. </w:t>
      </w:r>
    </w:p>
    <w:p w14:paraId="74793A63" w14:textId="77777777" w:rsidR="0010098C" w:rsidRPr="000B563C" w:rsidRDefault="0010098C" w:rsidP="002F0B56"/>
    <w:p w14:paraId="69C1DBCD" w14:textId="77777777" w:rsidR="002F0B56" w:rsidRPr="0010098C" w:rsidRDefault="002F0B56" w:rsidP="002F0B56">
      <w:pPr>
        <w:rPr>
          <w:b/>
          <w:color w:val="202124"/>
          <w:shd w:val="clear" w:color="auto" w:fill="FFFFFF"/>
        </w:rPr>
      </w:pPr>
      <w:r w:rsidRPr="0010098C">
        <w:rPr>
          <w:b/>
          <w:color w:val="202124"/>
          <w:shd w:val="clear" w:color="auto" w:fill="FFFFFF"/>
        </w:rPr>
        <w:t>CONCLUSION</w:t>
      </w:r>
    </w:p>
    <w:p w14:paraId="4D1A40C8" w14:textId="77777777" w:rsidR="002F0B56" w:rsidRPr="0010098C" w:rsidRDefault="002F0B56" w:rsidP="002F0B56">
      <w:pPr>
        <w:rPr>
          <w:color w:val="202124"/>
          <w:shd w:val="clear" w:color="auto" w:fill="FFFFFF"/>
        </w:rPr>
      </w:pPr>
      <w:r w:rsidRPr="0010098C">
        <w:rPr>
          <w:b/>
          <w:color w:val="202124"/>
          <w:shd w:val="clear" w:color="auto" w:fill="FFFFFF"/>
        </w:rPr>
        <w:tab/>
      </w:r>
      <w:r w:rsidR="0010098C" w:rsidRPr="0010098C">
        <w:rPr>
          <w:b/>
          <w:color w:val="202124"/>
          <w:shd w:val="clear" w:color="auto" w:fill="FFFFFF"/>
        </w:rPr>
        <w:t xml:space="preserve"> </w:t>
      </w:r>
      <w:r w:rsidR="0010098C" w:rsidRPr="0010098C">
        <w:rPr>
          <w:color w:val="202124"/>
          <w:shd w:val="clear" w:color="auto" w:fill="FFFFFF"/>
        </w:rPr>
        <w:t xml:space="preserve"> The above report concludes that mergers and acquisitions are performed by the companies in order to gain increased market share and high profitability in the other countries.  The various reasons why a merger or acquisition occurs are discussed in this essay. This report examines the various cultural similarities and differences that exist between various businesses. The presentation also discusses the institutional approaches of the IHRM and the part that human resources managers play in making mergers and acquisitions successful. In addition, the essay provides a description of the various difficulties that international HR management faces.</w:t>
      </w:r>
      <w:r w:rsidR="00983F41">
        <w:rPr>
          <w:color w:val="202124"/>
          <w:shd w:val="clear" w:color="auto" w:fill="FFFFFF"/>
        </w:rPr>
        <w:t xml:space="preserve"> The different strategies that can be used by the managers, leaders and other people on the key positions of the company are included in this essay.</w:t>
      </w:r>
      <w:r w:rsidR="0010098C" w:rsidRPr="0010098C">
        <w:rPr>
          <w:bCs/>
          <w:szCs w:val="24"/>
        </w:rPr>
        <w:t xml:space="preserve"> </w:t>
      </w:r>
    </w:p>
    <w:p w14:paraId="0334156C" w14:textId="77777777" w:rsidR="002F0B56" w:rsidRPr="0010098C" w:rsidRDefault="002F0B56" w:rsidP="002F0B56">
      <w:pPr>
        <w:rPr>
          <w:color w:val="202124"/>
          <w:shd w:val="clear" w:color="auto" w:fill="FFFFFF"/>
        </w:rPr>
      </w:pPr>
    </w:p>
    <w:p w14:paraId="00267EC5" w14:textId="77777777" w:rsidR="002F0B56" w:rsidRPr="0010098C" w:rsidRDefault="002F0B56" w:rsidP="002F0B56">
      <w:pPr>
        <w:rPr>
          <w:color w:val="202124"/>
          <w:shd w:val="clear" w:color="auto" w:fill="FFFFFF"/>
        </w:rPr>
      </w:pPr>
    </w:p>
    <w:p w14:paraId="5FD9F753" w14:textId="77777777" w:rsidR="002F0B56" w:rsidRPr="0010098C" w:rsidRDefault="002F0B56" w:rsidP="002F0B56">
      <w:pPr>
        <w:rPr>
          <w:color w:val="202124"/>
          <w:shd w:val="clear" w:color="auto" w:fill="FFFFFF"/>
        </w:rPr>
      </w:pPr>
    </w:p>
    <w:p w14:paraId="47F21EFC" w14:textId="77777777" w:rsidR="002F0B56" w:rsidRPr="0010098C" w:rsidRDefault="002F0B56" w:rsidP="002F0B56">
      <w:pPr>
        <w:rPr>
          <w:color w:val="202124"/>
          <w:shd w:val="clear" w:color="auto" w:fill="FFFFFF"/>
        </w:rPr>
      </w:pPr>
    </w:p>
    <w:p w14:paraId="2E9B9273" w14:textId="77777777" w:rsidR="002F0B56" w:rsidRPr="0010098C" w:rsidRDefault="002F0B56" w:rsidP="002F0B56">
      <w:pPr>
        <w:rPr>
          <w:color w:val="202124"/>
          <w:shd w:val="clear" w:color="auto" w:fill="FFFFFF"/>
        </w:rPr>
      </w:pPr>
    </w:p>
    <w:p w14:paraId="214E04A5" w14:textId="77777777" w:rsidR="0010098C" w:rsidRPr="0010098C" w:rsidRDefault="0010098C" w:rsidP="002F0B56">
      <w:pPr>
        <w:rPr>
          <w:color w:val="202124"/>
          <w:shd w:val="clear" w:color="auto" w:fill="FFFFFF"/>
        </w:rPr>
      </w:pPr>
    </w:p>
    <w:p w14:paraId="4914F0A1" w14:textId="77777777" w:rsidR="0010098C" w:rsidRPr="0010098C" w:rsidRDefault="0010098C" w:rsidP="002F0B56">
      <w:pPr>
        <w:rPr>
          <w:color w:val="202124"/>
          <w:shd w:val="clear" w:color="auto" w:fill="FFFFFF"/>
        </w:rPr>
      </w:pPr>
    </w:p>
    <w:p w14:paraId="43601D4A" w14:textId="77777777" w:rsidR="0010098C" w:rsidRPr="0010098C" w:rsidRDefault="0010098C" w:rsidP="002F0B56">
      <w:pPr>
        <w:rPr>
          <w:color w:val="202124"/>
          <w:shd w:val="clear" w:color="auto" w:fill="FFFFFF"/>
        </w:rPr>
      </w:pPr>
    </w:p>
    <w:p w14:paraId="595080B0" w14:textId="77777777" w:rsidR="0010098C" w:rsidRPr="0010098C" w:rsidRDefault="0010098C" w:rsidP="002F0B56">
      <w:pPr>
        <w:rPr>
          <w:color w:val="202124"/>
          <w:shd w:val="clear" w:color="auto" w:fill="FFFFFF"/>
        </w:rPr>
      </w:pPr>
    </w:p>
    <w:p w14:paraId="0065D3DB" w14:textId="77777777" w:rsidR="0010098C" w:rsidRPr="0010098C" w:rsidRDefault="0010098C" w:rsidP="002F0B56">
      <w:pPr>
        <w:rPr>
          <w:color w:val="202124"/>
          <w:shd w:val="clear" w:color="auto" w:fill="FFFFFF"/>
        </w:rPr>
      </w:pPr>
    </w:p>
    <w:p w14:paraId="5D7D2BF5" w14:textId="77777777" w:rsidR="0010098C" w:rsidRPr="0010098C" w:rsidRDefault="0010098C" w:rsidP="002F0B56">
      <w:pPr>
        <w:rPr>
          <w:color w:val="202124"/>
          <w:shd w:val="clear" w:color="auto" w:fill="FFFFFF"/>
        </w:rPr>
      </w:pPr>
    </w:p>
    <w:p w14:paraId="260C4713" w14:textId="77777777" w:rsidR="0010098C" w:rsidRPr="0010098C" w:rsidRDefault="0010098C" w:rsidP="002F0B56">
      <w:pPr>
        <w:rPr>
          <w:color w:val="202124"/>
          <w:shd w:val="clear" w:color="auto" w:fill="FFFFFF"/>
        </w:rPr>
      </w:pPr>
    </w:p>
    <w:p w14:paraId="400F6970" w14:textId="77777777" w:rsidR="0010098C" w:rsidRPr="0010098C" w:rsidRDefault="0010098C" w:rsidP="002F0B56">
      <w:pPr>
        <w:rPr>
          <w:color w:val="202124"/>
          <w:shd w:val="clear" w:color="auto" w:fill="FFFFFF"/>
        </w:rPr>
      </w:pPr>
    </w:p>
    <w:p w14:paraId="2A4CB6BF" w14:textId="77777777" w:rsidR="0010098C" w:rsidRPr="0010098C" w:rsidRDefault="0010098C" w:rsidP="002F0B56">
      <w:pPr>
        <w:rPr>
          <w:color w:val="202124"/>
          <w:shd w:val="clear" w:color="auto" w:fill="FFFFFF"/>
        </w:rPr>
      </w:pPr>
    </w:p>
    <w:p w14:paraId="5C0B74AF" w14:textId="77777777" w:rsidR="0010098C" w:rsidRPr="0010098C" w:rsidRDefault="0010098C" w:rsidP="002F0B56">
      <w:pPr>
        <w:rPr>
          <w:color w:val="202124"/>
          <w:shd w:val="clear" w:color="auto" w:fill="FFFFFF"/>
        </w:rPr>
      </w:pPr>
    </w:p>
    <w:p w14:paraId="3E88395D" w14:textId="77777777" w:rsidR="0010098C" w:rsidRPr="0010098C" w:rsidRDefault="0010098C" w:rsidP="002F0B56">
      <w:pPr>
        <w:rPr>
          <w:color w:val="202124"/>
          <w:shd w:val="clear" w:color="auto" w:fill="FFFFFF"/>
        </w:rPr>
      </w:pPr>
    </w:p>
    <w:p w14:paraId="0B0D6BD2" w14:textId="77777777" w:rsidR="0010098C" w:rsidRPr="0010098C" w:rsidRDefault="0010098C" w:rsidP="002F0B56">
      <w:pPr>
        <w:rPr>
          <w:color w:val="202124"/>
          <w:shd w:val="clear" w:color="auto" w:fill="FFFFFF"/>
        </w:rPr>
      </w:pPr>
    </w:p>
    <w:p w14:paraId="1CEE1243" w14:textId="77777777" w:rsidR="0010098C" w:rsidRPr="0010098C" w:rsidRDefault="0010098C" w:rsidP="002F0B56">
      <w:pPr>
        <w:rPr>
          <w:color w:val="202124"/>
          <w:shd w:val="clear" w:color="auto" w:fill="FFFFFF"/>
        </w:rPr>
      </w:pPr>
    </w:p>
    <w:p w14:paraId="743F45F1" w14:textId="77777777" w:rsidR="0010098C" w:rsidRPr="0010098C" w:rsidRDefault="0010098C" w:rsidP="002F0B56">
      <w:pPr>
        <w:rPr>
          <w:color w:val="202124"/>
          <w:shd w:val="clear" w:color="auto" w:fill="FFFFFF"/>
        </w:rPr>
      </w:pPr>
    </w:p>
    <w:p w14:paraId="3A6B11D5" w14:textId="77777777" w:rsidR="0010098C" w:rsidRDefault="0010098C" w:rsidP="0010098C">
      <w:pPr>
        <w:pStyle w:val="Heading1"/>
      </w:pPr>
      <w:r w:rsidRPr="0010098C">
        <w:lastRenderedPageBreak/>
        <w:t>REFERENCES</w:t>
      </w:r>
    </w:p>
    <w:p w14:paraId="3897E5C8" w14:textId="77777777" w:rsidR="00E25384" w:rsidRDefault="00E25384" w:rsidP="00E25384">
      <w:r w:rsidRPr="00E25384">
        <w:t>Ahuja, G., &amp; Katila, R. (2001). Technological acquisitions and the innovation performance of acquiring firms: A longitudinal study</w:t>
      </w:r>
      <w:r w:rsidRPr="00E25384">
        <w:rPr>
          <w:i/>
          <w:iCs/>
        </w:rPr>
        <w:t>. Strategic Management Journal</w:t>
      </w:r>
      <w:r w:rsidRPr="00E25384">
        <w:t>, 22(3), 197-220.</w:t>
      </w:r>
    </w:p>
    <w:p w14:paraId="3656F57C" w14:textId="77777777" w:rsidR="000B563C" w:rsidRDefault="000B563C" w:rsidP="00E25384"/>
    <w:p w14:paraId="411468FE" w14:textId="77777777" w:rsidR="000B563C" w:rsidRDefault="000B563C" w:rsidP="00E25384">
      <w:r w:rsidRPr="000B563C">
        <w:t>Adler, N. J., &amp; Ghadar, F. (1990). Strategic human resource management: a global perspective. </w:t>
      </w:r>
      <w:r w:rsidRPr="000B563C">
        <w:rPr>
          <w:i/>
          <w:iCs/>
        </w:rPr>
        <w:t>Human resource management: An international comparison</w:t>
      </w:r>
      <w:r w:rsidRPr="000B563C">
        <w:t>, </w:t>
      </w:r>
      <w:r w:rsidRPr="000B563C">
        <w:rPr>
          <w:i/>
          <w:iCs/>
        </w:rPr>
        <w:t>26</w:t>
      </w:r>
      <w:r w:rsidRPr="000B563C">
        <w:t>, 235.</w:t>
      </w:r>
    </w:p>
    <w:p w14:paraId="470CB509" w14:textId="77777777" w:rsidR="00E25384" w:rsidRPr="00E25384" w:rsidRDefault="00E25384" w:rsidP="00E25384"/>
    <w:p w14:paraId="4D89EF2A" w14:textId="77777777" w:rsidR="00355C07" w:rsidRDefault="00355C07" w:rsidP="00355C07">
      <w:r w:rsidRPr="00355C07">
        <w:rPr>
          <w:lang w:val="it-IT"/>
        </w:rPr>
        <w:t xml:space="preserve">DiMaggio, P. J., &amp; Powell, W. W. (1991). </w:t>
      </w:r>
      <w:r w:rsidRPr="00355C07">
        <w:t xml:space="preserve">The Iron Cage Revisited: </w:t>
      </w:r>
      <w:r w:rsidRPr="00355C07">
        <w:rPr>
          <w:i/>
          <w:iCs/>
        </w:rPr>
        <w:t>Institutional Isomorphism and Collective Rationality in Organizational Fields.</w:t>
      </w:r>
      <w:r w:rsidRPr="00355C07">
        <w:t xml:space="preserve"> In W. W. Powell &amp; P. J. DiMaggio (Eds.), The New Institutionalism in Organizational Analysis (pp. 63-82). University of Chicago Press.</w:t>
      </w:r>
    </w:p>
    <w:p w14:paraId="3FA8F061" w14:textId="77777777" w:rsidR="00C274D5" w:rsidRDefault="00C274D5" w:rsidP="00355C07"/>
    <w:p w14:paraId="4F1A9613" w14:textId="77777777" w:rsidR="00C274D5" w:rsidRPr="00C274D5" w:rsidRDefault="00C274D5" w:rsidP="00C274D5">
      <w:r w:rsidRPr="00C274D5">
        <w:rPr>
          <w:lang w:val="it-IT"/>
        </w:rPr>
        <w:t xml:space="preserve">DiMaggio, P. J., &amp; Powell, W. W. (1991). </w:t>
      </w:r>
      <w:r w:rsidRPr="00C274D5">
        <w:t>Introduction. In W. W. Powell &amp; P. J. DiMaggio (Eds.), The New Institutionalism in Organizational Analysis (pp. 1-38). University of Chicago Press.</w:t>
      </w:r>
    </w:p>
    <w:p w14:paraId="49FC32C4" w14:textId="77777777" w:rsidR="00E25384" w:rsidRDefault="00E25384" w:rsidP="00355C07"/>
    <w:p w14:paraId="6B345733" w14:textId="77777777" w:rsidR="00BC7C48" w:rsidRDefault="00BC7C48" w:rsidP="00355C07">
      <w:r w:rsidRPr="00BC7C48">
        <w:t xml:space="preserve">Harford, J. (2005). What drives merger waves? </w:t>
      </w:r>
      <w:r w:rsidRPr="00BC7C48">
        <w:rPr>
          <w:i/>
          <w:iCs/>
        </w:rPr>
        <w:t>Journal of Financial Economics</w:t>
      </w:r>
      <w:r w:rsidRPr="00BC7C48">
        <w:t>, 77(3), 529-560.</w:t>
      </w:r>
    </w:p>
    <w:p w14:paraId="5202431A" w14:textId="77777777" w:rsidR="00E25384" w:rsidRDefault="00E25384" w:rsidP="00355C07"/>
    <w:p w14:paraId="3BD514C9" w14:textId="77777777" w:rsidR="00E25384" w:rsidRDefault="00E25384" w:rsidP="00355C07">
      <w:r w:rsidRPr="00E25384">
        <w:t xml:space="preserve">Hitt, M. A., Ireland, R. D., &amp; Harrison, J. S. (2001). Mergers and acquisitions: </w:t>
      </w:r>
      <w:r w:rsidRPr="00521009">
        <w:rPr>
          <w:i/>
          <w:iCs/>
        </w:rPr>
        <w:t>A guide to creating value for stakeholders</w:t>
      </w:r>
      <w:r w:rsidRPr="00E25384">
        <w:t>. Oxford University Press.</w:t>
      </w:r>
    </w:p>
    <w:p w14:paraId="788B42C6" w14:textId="77777777" w:rsidR="00521009" w:rsidRDefault="00521009" w:rsidP="00355C07"/>
    <w:p w14:paraId="118DAB61" w14:textId="77777777" w:rsidR="00521009" w:rsidRDefault="00521009" w:rsidP="00355C07">
      <w:r w:rsidRPr="00521009">
        <w:t xml:space="preserve">Haspeslagh, P. C., &amp; Jemison, D. B. (1991). Managing acquisitions: </w:t>
      </w:r>
      <w:r w:rsidRPr="00521009">
        <w:rPr>
          <w:i/>
          <w:iCs/>
        </w:rPr>
        <w:t>Creating value through corporate renewal. New York</w:t>
      </w:r>
      <w:r w:rsidRPr="00521009">
        <w:t>: The Free Press.</w:t>
      </w:r>
    </w:p>
    <w:p w14:paraId="02F46F0D" w14:textId="77777777" w:rsidR="000B563C" w:rsidRDefault="000B563C" w:rsidP="00355C07"/>
    <w:p w14:paraId="7654EBC9" w14:textId="77777777" w:rsidR="000B563C" w:rsidRDefault="000B563C" w:rsidP="00355C07">
      <w:pPr>
        <w:rPr>
          <w:i/>
          <w:iCs/>
        </w:rPr>
      </w:pPr>
      <w:r w:rsidRPr="000B563C">
        <w:t xml:space="preserve">Haspeslagh, P. C., &amp; Jemison, D. B. (1991). </w:t>
      </w:r>
      <w:r w:rsidRPr="000B563C">
        <w:rPr>
          <w:i/>
          <w:iCs/>
        </w:rPr>
        <w:t>Making acquisitions work.</w:t>
      </w:r>
    </w:p>
    <w:p w14:paraId="32E6625A" w14:textId="77777777" w:rsidR="000B563C" w:rsidRDefault="000B563C" w:rsidP="00355C07">
      <w:pPr>
        <w:rPr>
          <w:i/>
          <w:iCs/>
        </w:rPr>
      </w:pPr>
    </w:p>
    <w:p w14:paraId="4B57E97E" w14:textId="77777777" w:rsidR="000B563C" w:rsidRDefault="000B563C" w:rsidP="00355C07">
      <w:r w:rsidRPr="000B563C">
        <w:t>Hall, D. J., Threlkeld, S. T., Burns, C. W., &amp; Crowley, P. H. (1976). The size-efficiency hypothesis and the size structure of zooplankton communities. </w:t>
      </w:r>
      <w:r w:rsidRPr="000B563C">
        <w:rPr>
          <w:i/>
          <w:iCs/>
        </w:rPr>
        <w:t>Annual Review of Ecology and Systematics</w:t>
      </w:r>
      <w:r w:rsidRPr="000B563C">
        <w:t>, </w:t>
      </w:r>
      <w:r w:rsidRPr="000B563C">
        <w:rPr>
          <w:i/>
          <w:iCs/>
        </w:rPr>
        <w:t>7</w:t>
      </w:r>
      <w:r w:rsidRPr="000B563C">
        <w:t>(1), 177-208.</w:t>
      </w:r>
    </w:p>
    <w:p w14:paraId="06A5559A" w14:textId="77777777" w:rsidR="002B67E1" w:rsidRDefault="002B67E1" w:rsidP="00355C07"/>
    <w:p w14:paraId="0FD1ABB9" w14:textId="77777777" w:rsidR="002B67E1" w:rsidRPr="002B67E1" w:rsidRDefault="002B67E1" w:rsidP="002B67E1">
      <w:bookmarkStart w:id="14" w:name="_Hlk130326135"/>
      <w:r w:rsidRPr="002B67E1">
        <w:t>Farndale and. et. al.,  (2023</w:t>
      </w:r>
      <w:bookmarkEnd w:id="14"/>
      <w:r w:rsidRPr="002B67E1">
        <w:t>). Positioning context front and center in international human resource management research. </w:t>
      </w:r>
      <w:r w:rsidRPr="002B67E1">
        <w:rPr>
          <w:i/>
        </w:rPr>
        <w:t>Human Resource Management Journal</w:t>
      </w:r>
      <w:r w:rsidRPr="002B67E1">
        <w:t>, </w:t>
      </w:r>
      <w:r w:rsidRPr="002B67E1">
        <w:rPr>
          <w:i/>
        </w:rPr>
        <w:t>33</w:t>
      </w:r>
      <w:r w:rsidRPr="002B67E1">
        <w:t>(1), pp.1-16.</w:t>
      </w:r>
    </w:p>
    <w:p w14:paraId="79B58336" w14:textId="77777777" w:rsidR="002B67E1" w:rsidRPr="000B563C" w:rsidRDefault="002B67E1" w:rsidP="00355C07"/>
    <w:p w14:paraId="4377B8DC" w14:textId="77777777" w:rsidR="00E25384" w:rsidRPr="00355C07" w:rsidRDefault="00E25384" w:rsidP="00355C07"/>
    <w:p w14:paraId="62FBAEB4" w14:textId="77777777" w:rsidR="00144674" w:rsidRDefault="00144674" w:rsidP="0010098C">
      <w:pPr>
        <w:spacing w:line="100" w:lineRule="atLeast"/>
        <w:ind w:left="844" w:hanging="806"/>
        <w:rPr>
          <w:color w:val="222222"/>
          <w:szCs w:val="24"/>
        </w:rPr>
      </w:pPr>
      <w:r w:rsidRPr="002B67E1">
        <w:rPr>
          <w:color w:val="222222"/>
          <w:szCs w:val="24"/>
        </w:rPr>
        <w:t xml:space="preserve">Junni, P. and Teerikangas, S., </w:t>
      </w:r>
      <w:r w:rsidR="002B67E1">
        <w:rPr>
          <w:color w:val="222222"/>
          <w:szCs w:val="24"/>
        </w:rPr>
        <w:t>(</w:t>
      </w:r>
      <w:r w:rsidRPr="002B67E1">
        <w:rPr>
          <w:color w:val="222222"/>
          <w:szCs w:val="24"/>
        </w:rPr>
        <w:t>2019</w:t>
      </w:r>
      <w:r w:rsidR="002B67E1">
        <w:rPr>
          <w:color w:val="222222"/>
          <w:szCs w:val="24"/>
        </w:rPr>
        <w:t>)</w:t>
      </w:r>
      <w:r w:rsidRPr="002B67E1">
        <w:rPr>
          <w:color w:val="222222"/>
          <w:szCs w:val="24"/>
        </w:rPr>
        <w:t>. Mergers and acquisitions. </w:t>
      </w:r>
      <w:r w:rsidRPr="002B67E1">
        <w:rPr>
          <w:i/>
          <w:color w:val="222222"/>
          <w:szCs w:val="24"/>
        </w:rPr>
        <w:t>Oxford Research Encyclopedia of Business and Management</w:t>
      </w:r>
      <w:r w:rsidRPr="002B67E1">
        <w:rPr>
          <w:color w:val="222222"/>
          <w:szCs w:val="24"/>
        </w:rPr>
        <w:t>.</w:t>
      </w:r>
    </w:p>
    <w:p w14:paraId="6C6A26F9" w14:textId="77777777" w:rsidR="00BC7C48" w:rsidRDefault="00BC7C48" w:rsidP="0010098C">
      <w:pPr>
        <w:spacing w:line="100" w:lineRule="atLeast"/>
        <w:ind w:left="844" w:hanging="806"/>
        <w:rPr>
          <w:color w:val="222222"/>
          <w:szCs w:val="24"/>
        </w:rPr>
      </w:pPr>
    </w:p>
    <w:p w14:paraId="3F661AC3" w14:textId="77777777" w:rsidR="0036659E" w:rsidRPr="002B67E1" w:rsidRDefault="0036659E" w:rsidP="0010098C">
      <w:pPr>
        <w:spacing w:line="100" w:lineRule="atLeast"/>
        <w:ind w:left="844" w:hanging="806"/>
        <w:rPr>
          <w:color w:val="222222"/>
          <w:szCs w:val="24"/>
        </w:rPr>
      </w:pPr>
      <w:r w:rsidRPr="002B67E1">
        <w:rPr>
          <w:color w:val="222222"/>
          <w:szCs w:val="24"/>
          <w:lang w:val="it-IT"/>
        </w:rPr>
        <w:t xml:space="preserve">Khan, M. A., &amp; Panarina, E. (2017). </w:t>
      </w:r>
      <w:r w:rsidRPr="002B67E1">
        <w:rPr>
          <w:color w:val="222222"/>
          <w:szCs w:val="24"/>
        </w:rPr>
        <w:t>The role of national cultures in shaping the corporate management cultures: A four countries theoretical analysis. </w:t>
      </w:r>
      <w:r w:rsidRPr="002B67E1">
        <w:rPr>
          <w:i/>
          <w:iCs/>
          <w:color w:val="222222"/>
          <w:szCs w:val="24"/>
        </w:rPr>
        <w:t>Journal of Eastern European and Central Asian Research</w:t>
      </w:r>
      <w:r w:rsidRPr="002B67E1">
        <w:rPr>
          <w:color w:val="222222"/>
          <w:szCs w:val="24"/>
        </w:rPr>
        <w:t>, </w:t>
      </w:r>
      <w:r w:rsidRPr="002B67E1">
        <w:rPr>
          <w:i/>
          <w:iCs/>
          <w:color w:val="222222"/>
          <w:szCs w:val="24"/>
        </w:rPr>
        <w:t>4</w:t>
      </w:r>
      <w:r w:rsidRPr="002B67E1">
        <w:rPr>
          <w:color w:val="222222"/>
          <w:szCs w:val="24"/>
        </w:rPr>
        <w:t>(1).</w:t>
      </w:r>
    </w:p>
    <w:p w14:paraId="4B1D91DE" w14:textId="77777777" w:rsidR="00C274D5" w:rsidRPr="002B67E1" w:rsidRDefault="00C274D5" w:rsidP="0010098C">
      <w:pPr>
        <w:spacing w:line="100" w:lineRule="atLeast"/>
        <w:ind w:left="844" w:hanging="806"/>
        <w:rPr>
          <w:color w:val="222222"/>
          <w:szCs w:val="24"/>
        </w:rPr>
      </w:pPr>
    </w:p>
    <w:p w14:paraId="4871C21F" w14:textId="77777777" w:rsidR="00144674" w:rsidRPr="002B67E1" w:rsidRDefault="00144674" w:rsidP="0010098C">
      <w:pPr>
        <w:spacing w:line="100" w:lineRule="atLeast"/>
        <w:ind w:left="903" w:hanging="869"/>
        <w:rPr>
          <w:color w:val="222222"/>
          <w:szCs w:val="24"/>
        </w:rPr>
      </w:pPr>
      <w:bookmarkStart w:id="15" w:name="_Hlk130324952"/>
      <w:r w:rsidRPr="002B67E1">
        <w:rPr>
          <w:color w:val="222222"/>
          <w:szCs w:val="24"/>
        </w:rPr>
        <w:t xml:space="preserve">Minkov, M. and Kaasa, A., </w:t>
      </w:r>
      <w:r w:rsidR="00C274D5" w:rsidRPr="002B67E1">
        <w:rPr>
          <w:color w:val="222222"/>
          <w:szCs w:val="24"/>
        </w:rPr>
        <w:t>(</w:t>
      </w:r>
      <w:r w:rsidRPr="002B67E1">
        <w:rPr>
          <w:color w:val="222222"/>
          <w:szCs w:val="24"/>
        </w:rPr>
        <w:t>2021</w:t>
      </w:r>
      <w:r w:rsidR="00C274D5" w:rsidRPr="002B67E1">
        <w:rPr>
          <w:color w:val="222222"/>
          <w:szCs w:val="24"/>
        </w:rPr>
        <w:t>)</w:t>
      </w:r>
      <w:r w:rsidRPr="002B67E1">
        <w:rPr>
          <w:color w:val="222222"/>
          <w:szCs w:val="24"/>
        </w:rPr>
        <w:t xml:space="preserve">. </w:t>
      </w:r>
      <w:bookmarkEnd w:id="15"/>
      <w:r w:rsidRPr="002B67E1">
        <w:rPr>
          <w:color w:val="222222"/>
          <w:szCs w:val="24"/>
        </w:rPr>
        <w:t>A test of Hofstede's model of culture following his own approach. </w:t>
      </w:r>
      <w:r w:rsidRPr="002B67E1">
        <w:rPr>
          <w:i/>
          <w:color w:val="222222"/>
          <w:szCs w:val="24"/>
        </w:rPr>
        <w:t>Cross Cultural &amp; Strategic Management</w:t>
      </w:r>
      <w:r w:rsidRPr="002B67E1">
        <w:rPr>
          <w:color w:val="222222"/>
          <w:szCs w:val="24"/>
        </w:rPr>
        <w:t>, </w:t>
      </w:r>
      <w:r w:rsidRPr="002B67E1">
        <w:rPr>
          <w:i/>
          <w:color w:val="222222"/>
          <w:szCs w:val="24"/>
        </w:rPr>
        <w:t>28</w:t>
      </w:r>
      <w:r w:rsidRPr="002B67E1">
        <w:rPr>
          <w:color w:val="222222"/>
          <w:szCs w:val="24"/>
        </w:rPr>
        <w:t>(2), pp.384-406.</w:t>
      </w:r>
    </w:p>
    <w:p w14:paraId="4F30FC3F" w14:textId="77777777" w:rsidR="00C274D5" w:rsidRPr="002B67E1" w:rsidRDefault="00C274D5" w:rsidP="0010098C">
      <w:pPr>
        <w:spacing w:line="100" w:lineRule="atLeast"/>
        <w:ind w:left="903" w:hanging="869"/>
        <w:rPr>
          <w:color w:val="222222"/>
          <w:szCs w:val="24"/>
        </w:rPr>
      </w:pPr>
    </w:p>
    <w:p w14:paraId="2549E6B0" w14:textId="77777777" w:rsidR="00C274D5" w:rsidRPr="00C274D5" w:rsidRDefault="00C274D5" w:rsidP="00C274D5">
      <w:pPr>
        <w:spacing w:line="100" w:lineRule="atLeast"/>
        <w:rPr>
          <w:color w:val="222222"/>
          <w:szCs w:val="24"/>
        </w:rPr>
      </w:pPr>
      <w:bookmarkStart w:id="16" w:name="_Hlk130325948"/>
      <w:r w:rsidRPr="00C274D5">
        <w:rPr>
          <w:color w:val="222222"/>
          <w:szCs w:val="24"/>
        </w:rPr>
        <w:t xml:space="preserve">Meyer, J. W., &amp; Rowan, B. (1977). </w:t>
      </w:r>
      <w:bookmarkEnd w:id="16"/>
      <w:r w:rsidRPr="00C274D5">
        <w:rPr>
          <w:color w:val="222222"/>
          <w:szCs w:val="24"/>
        </w:rPr>
        <w:t>Institutionalized Organizations: Formal Structure as Myth and Ceremony. American Journal of Sociology, 83(2), 340-363.</w:t>
      </w:r>
    </w:p>
    <w:p w14:paraId="1F23B3B3" w14:textId="77777777" w:rsidR="00C274D5" w:rsidRPr="002B67E1" w:rsidRDefault="00C274D5" w:rsidP="0010098C">
      <w:pPr>
        <w:spacing w:line="100" w:lineRule="atLeast"/>
        <w:ind w:left="903" w:hanging="869"/>
        <w:rPr>
          <w:color w:val="222222"/>
          <w:szCs w:val="24"/>
        </w:rPr>
      </w:pPr>
    </w:p>
    <w:p w14:paraId="37B191A0" w14:textId="77777777" w:rsidR="00C274D5" w:rsidRPr="002B67E1" w:rsidRDefault="00C274D5" w:rsidP="0010098C">
      <w:pPr>
        <w:spacing w:line="100" w:lineRule="atLeast"/>
        <w:ind w:left="903" w:hanging="869"/>
        <w:rPr>
          <w:color w:val="222222"/>
          <w:szCs w:val="24"/>
        </w:rPr>
      </w:pPr>
    </w:p>
    <w:p w14:paraId="322C786C" w14:textId="77777777" w:rsidR="0036659E" w:rsidRDefault="0036659E" w:rsidP="0010098C">
      <w:pPr>
        <w:spacing w:line="100" w:lineRule="atLeast"/>
        <w:ind w:left="903" w:hanging="869"/>
        <w:rPr>
          <w:color w:val="222222"/>
          <w:szCs w:val="24"/>
        </w:rPr>
      </w:pPr>
      <w:r w:rsidRPr="002B67E1">
        <w:rPr>
          <w:color w:val="222222"/>
          <w:szCs w:val="24"/>
        </w:rPr>
        <w:t>Nardon, L., &amp; Steers, R. M. (2009). The culture theory jungle: Divergence and convergence in models of national culture. </w:t>
      </w:r>
      <w:r w:rsidRPr="002B67E1">
        <w:rPr>
          <w:i/>
          <w:iCs/>
          <w:color w:val="222222"/>
          <w:szCs w:val="24"/>
        </w:rPr>
        <w:t>Cambridge handbook of culture, organizations, and work</w:t>
      </w:r>
      <w:r w:rsidRPr="002B67E1">
        <w:rPr>
          <w:color w:val="222222"/>
          <w:szCs w:val="24"/>
        </w:rPr>
        <w:t>, 3-22.</w:t>
      </w:r>
    </w:p>
    <w:p w14:paraId="6F14A425" w14:textId="77777777" w:rsidR="002B67E1" w:rsidRDefault="002B67E1" w:rsidP="0010098C">
      <w:pPr>
        <w:spacing w:line="100" w:lineRule="atLeast"/>
        <w:ind w:left="903" w:hanging="869"/>
        <w:rPr>
          <w:color w:val="222222"/>
          <w:szCs w:val="24"/>
        </w:rPr>
      </w:pPr>
    </w:p>
    <w:p w14:paraId="05EA0247" w14:textId="77777777" w:rsidR="00E07F68" w:rsidRDefault="00E07F68" w:rsidP="0010098C">
      <w:pPr>
        <w:spacing w:line="100" w:lineRule="atLeast"/>
        <w:ind w:left="903" w:hanging="869"/>
        <w:rPr>
          <w:color w:val="222222"/>
          <w:szCs w:val="24"/>
        </w:rPr>
      </w:pPr>
      <w:r w:rsidRPr="00E07F68">
        <w:rPr>
          <w:color w:val="222222"/>
          <w:szCs w:val="24"/>
        </w:rPr>
        <w:t>Noss, R. F., &amp; Scott, J. M. (1995). </w:t>
      </w:r>
      <w:r w:rsidRPr="00E07F68">
        <w:rPr>
          <w:i/>
          <w:iCs/>
          <w:color w:val="222222"/>
          <w:szCs w:val="24"/>
        </w:rPr>
        <w:t>Endangered ecosystems of the United States: a preliminary assessment of loss and degradation</w:t>
      </w:r>
      <w:r w:rsidRPr="00E07F68">
        <w:rPr>
          <w:color w:val="222222"/>
          <w:szCs w:val="24"/>
        </w:rPr>
        <w:t> (Vol. 28). US Department of the Interior, National Biological Service.</w:t>
      </w:r>
    </w:p>
    <w:p w14:paraId="7D660161" w14:textId="77777777" w:rsidR="002B67E1" w:rsidRPr="0010098C" w:rsidRDefault="002B67E1" w:rsidP="0010098C">
      <w:pPr>
        <w:spacing w:line="100" w:lineRule="atLeast"/>
        <w:ind w:left="903" w:hanging="869"/>
        <w:rPr>
          <w:color w:val="222222"/>
          <w:szCs w:val="24"/>
        </w:rPr>
      </w:pPr>
    </w:p>
    <w:p w14:paraId="4D4FF128" w14:textId="77777777" w:rsidR="00144674" w:rsidRDefault="00144674" w:rsidP="0010098C">
      <w:pPr>
        <w:spacing w:line="100" w:lineRule="atLeast"/>
        <w:ind w:left="844" w:hanging="806"/>
        <w:rPr>
          <w:color w:val="222222"/>
          <w:szCs w:val="24"/>
          <w:shd w:val="clear" w:color="auto" w:fill="FFFFFF"/>
        </w:rPr>
      </w:pPr>
      <w:r w:rsidRPr="00144674">
        <w:rPr>
          <w:color w:val="222222"/>
          <w:szCs w:val="24"/>
          <w:shd w:val="clear" w:color="auto" w:fill="FFFFFF"/>
        </w:rPr>
        <w:t xml:space="preserve">O’Donovan, D., </w:t>
      </w:r>
      <w:r w:rsidR="00C64B50">
        <w:rPr>
          <w:color w:val="222222"/>
          <w:szCs w:val="24"/>
          <w:shd w:val="clear" w:color="auto" w:fill="FFFFFF"/>
        </w:rPr>
        <w:t>(</w:t>
      </w:r>
      <w:r w:rsidRPr="00144674">
        <w:rPr>
          <w:color w:val="222222"/>
          <w:szCs w:val="24"/>
          <w:shd w:val="clear" w:color="auto" w:fill="FFFFFF"/>
        </w:rPr>
        <w:t>2019</w:t>
      </w:r>
      <w:r w:rsidR="00C64B50">
        <w:rPr>
          <w:color w:val="222222"/>
          <w:szCs w:val="24"/>
          <w:shd w:val="clear" w:color="auto" w:fill="FFFFFF"/>
        </w:rPr>
        <w:t>)</w:t>
      </w:r>
      <w:r w:rsidRPr="00144674">
        <w:rPr>
          <w:color w:val="222222"/>
          <w:szCs w:val="24"/>
          <w:shd w:val="clear" w:color="auto" w:fill="FFFFFF"/>
        </w:rPr>
        <w:t>. HRM in the organization: An overview. </w:t>
      </w:r>
      <w:r w:rsidRPr="00144674">
        <w:rPr>
          <w:i/>
          <w:iCs/>
          <w:color w:val="222222"/>
          <w:szCs w:val="24"/>
          <w:shd w:val="clear" w:color="auto" w:fill="FFFFFF"/>
        </w:rPr>
        <w:t>Management science: Foundations and innovations</w:t>
      </w:r>
      <w:r w:rsidRPr="00144674">
        <w:rPr>
          <w:color w:val="222222"/>
          <w:szCs w:val="24"/>
          <w:shd w:val="clear" w:color="auto" w:fill="FFFFFF"/>
        </w:rPr>
        <w:t>, pp.75-110.</w:t>
      </w:r>
    </w:p>
    <w:p w14:paraId="0EE35C62" w14:textId="77777777" w:rsidR="002B67E1" w:rsidRPr="00144674" w:rsidRDefault="002B67E1" w:rsidP="0010098C">
      <w:pPr>
        <w:spacing w:line="100" w:lineRule="atLeast"/>
        <w:ind w:left="844" w:hanging="806"/>
        <w:rPr>
          <w:color w:val="222222"/>
          <w:szCs w:val="24"/>
          <w:shd w:val="clear" w:color="auto" w:fill="FFFFFF"/>
        </w:rPr>
      </w:pPr>
    </w:p>
    <w:p w14:paraId="435BCEB4" w14:textId="77777777" w:rsidR="00144674" w:rsidRDefault="00144674" w:rsidP="0010098C">
      <w:pPr>
        <w:spacing w:line="100" w:lineRule="atLeast"/>
        <w:ind w:left="844" w:hanging="806"/>
        <w:rPr>
          <w:color w:val="222222"/>
          <w:szCs w:val="24"/>
        </w:rPr>
      </w:pPr>
      <w:r w:rsidRPr="0010098C">
        <w:rPr>
          <w:color w:val="222222"/>
          <w:szCs w:val="24"/>
        </w:rPr>
        <w:t xml:space="preserve">Ozbilgin, M., </w:t>
      </w:r>
      <w:r w:rsidR="00A41238">
        <w:rPr>
          <w:color w:val="222222"/>
          <w:szCs w:val="24"/>
        </w:rPr>
        <w:t>(</w:t>
      </w:r>
      <w:r w:rsidRPr="0010098C">
        <w:rPr>
          <w:color w:val="222222"/>
          <w:szCs w:val="24"/>
        </w:rPr>
        <w:t>2020</w:t>
      </w:r>
      <w:r w:rsidR="00A41238">
        <w:rPr>
          <w:color w:val="222222"/>
          <w:szCs w:val="24"/>
        </w:rPr>
        <w:t>)</w:t>
      </w:r>
      <w:r w:rsidRPr="0010098C">
        <w:rPr>
          <w:color w:val="222222"/>
          <w:szCs w:val="24"/>
        </w:rPr>
        <w:t>. </w:t>
      </w:r>
      <w:r w:rsidRPr="0010098C">
        <w:rPr>
          <w:i/>
          <w:color w:val="222222"/>
          <w:szCs w:val="24"/>
        </w:rPr>
        <w:t>International human resource management: Theory and practice</w:t>
      </w:r>
      <w:r w:rsidRPr="0010098C">
        <w:rPr>
          <w:color w:val="222222"/>
          <w:szCs w:val="24"/>
        </w:rPr>
        <w:t>. Bloomsbury Publishing.</w:t>
      </w:r>
    </w:p>
    <w:p w14:paraId="3415A496" w14:textId="77777777" w:rsidR="002B67E1" w:rsidRDefault="002B67E1" w:rsidP="0010098C">
      <w:pPr>
        <w:spacing w:line="100" w:lineRule="atLeast"/>
        <w:ind w:left="844" w:hanging="806"/>
        <w:rPr>
          <w:color w:val="222222"/>
          <w:szCs w:val="24"/>
          <w:shd w:val="clear" w:color="auto" w:fill="FFFFFF"/>
        </w:rPr>
      </w:pPr>
    </w:p>
    <w:p w14:paraId="3D57D620" w14:textId="77777777" w:rsidR="00E25384" w:rsidRDefault="00E25384" w:rsidP="0010098C">
      <w:pPr>
        <w:spacing w:line="100" w:lineRule="atLeast"/>
        <w:ind w:left="844" w:hanging="806"/>
        <w:rPr>
          <w:szCs w:val="24"/>
        </w:rPr>
      </w:pPr>
      <w:r w:rsidRPr="00E25384">
        <w:rPr>
          <w:szCs w:val="24"/>
        </w:rPr>
        <w:t>Schweizer, L. (2005). Organizational integration of acquired biotechnology companies into pharmaceutical companies: The need for a hybrid approach. Academy of Management Journal, 48(6), 1051-1074.</w:t>
      </w:r>
    </w:p>
    <w:p w14:paraId="6DBE55F9" w14:textId="77777777" w:rsidR="002B67E1" w:rsidRPr="00144674" w:rsidRDefault="002B67E1" w:rsidP="0010098C">
      <w:pPr>
        <w:spacing w:line="100" w:lineRule="atLeast"/>
        <w:ind w:left="844" w:hanging="806"/>
        <w:rPr>
          <w:szCs w:val="24"/>
        </w:rPr>
      </w:pPr>
    </w:p>
    <w:p w14:paraId="39F5352F" w14:textId="77777777" w:rsidR="00144674" w:rsidRPr="002B67E1" w:rsidRDefault="00144674" w:rsidP="0010098C">
      <w:pPr>
        <w:spacing w:line="100" w:lineRule="atLeast"/>
        <w:ind w:left="844" w:hanging="806"/>
        <w:rPr>
          <w:color w:val="222222"/>
          <w:szCs w:val="24"/>
          <w:shd w:val="clear" w:color="auto" w:fill="FFFFFF"/>
        </w:rPr>
      </w:pPr>
      <w:bookmarkStart w:id="17" w:name="_Hlk130326036"/>
      <w:r w:rsidRPr="002B67E1">
        <w:rPr>
          <w:color w:val="222222"/>
          <w:szCs w:val="24"/>
          <w:shd w:val="clear" w:color="auto" w:fill="FFFFFF"/>
        </w:rPr>
        <w:t xml:space="preserve">Storey, J., </w:t>
      </w:r>
      <w:r w:rsidR="002B67E1" w:rsidRPr="002B67E1">
        <w:rPr>
          <w:color w:val="222222"/>
          <w:szCs w:val="24"/>
          <w:shd w:val="clear" w:color="auto" w:fill="FFFFFF"/>
        </w:rPr>
        <w:t>(</w:t>
      </w:r>
      <w:r w:rsidRPr="002B67E1">
        <w:rPr>
          <w:color w:val="222222"/>
          <w:szCs w:val="24"/>
          <w:shd w:val="clear" w:color="auto" w:fill="FFFFFF"/>
        </w:rPr>
        <w:t>2023</w:t>
      </w:r>
      <w:bookmarkEnd w:id="17"/>
      <w:r w:rsidR="002B67E1" w:rsidRPr="002B67E1">
        <w:rPr>
          <w:color w:val="222222"/>
          <w:szCs w:val="24"/>
          <w:shd w:val="clear" w:color="auto" w:fill="FFFFFF"/>
        </w:rPr>
        <w:t>)</w:t>
      </w:r>
      <w:r w:rsidRPr="002B67E1">
        <w:rPr>
          <w:color w:val="222222"/>
          <w:szCs w:val="24"/>
          <w:shd w:val="clear" w:color="auto" w:fill="FFFFFF"/>
        </w:rPr>
        <w:t>. Human resource management. In </w:t>
      </w:r>
      <w:r w:rsidRPr="002B67E1">
        <w:rPr>
          <w:i/>
          <w:iCs/>
          <w:color w:val="222222"/>
          <w:szCs w:val="24"/>
          <w:shd w:val="clear" w:color="auto" w:fill="FFFFFF"/>
        </w:rPr>
        <w:t>Encyclopedia of Human Resource Management</w:t>
      </w:r>
      <w:r w:rsidRPr="002B67E1">
        <w:rPr>
          <w:color w:val="222222"/>
          <w:szCs w:val="24"/>
          <w:shd w:val="clear" w:color="auto" w:fill="FFFFFF"/>
        </w:rPr>
        <w:t> (pp. 182-184). Edward Elgar Publishing.</w:t>
      </w:r>
    </w:p>
    <w:p w14:paraId="0F060C24" w14:textId="77777777" w:rsidR="0010098C" w:rsidRPr="002B67E1" w:rsidRDefault="0010098C" w:rsidP="0010098C">
      <w:pPr>
        <w:spacing w:line="100" w:lineRule="atLeast"/>
        <w:ind w:left="844" w:hanging="806"/>
        <w:rPr>
          <w:szCs w:val="24"/>
        </w:rPr>
      </w:pPr>
    </w:p>
    <w:p w14:paraId="760C802A" w14:textId="77777777" w:rsidR="007E159B" w:rsidRPr="002B67E1" w:rsidRDefault="007E159B" w:rsidP="0010098C">
      <w:pPr>
        <w:spacing w:line="100" w:lineRule="atLeast"/>
        <w:ind w:left="844" w:hanging="806"/>
        <w:rPr>
          <w:szCs w:val="24"/>
        </w:rPr>
      </w:pPr>
      <w:r w:rsidRPr="002B67E1">
        <w:rPr>
          <w:szCs w:val="24"/>
        </w:rPr>
        <w:t>Sorokin, P. (2017). </w:t>
      </w:r>
      <w:r w:rsidRPr="002B67E1">
        <w:rPr>
          <w:i/>
          <w:iCs/>
          <w:szCs w:val="24"/>
        </w:rPr>
        <w:t>Russia and the United States</w:t>
      </w:r>
      <w:r w:rsidRPr="002B67E1">
        <w:rPr>
          <w:szCs w:val="24"/>
        </w:rPr>
        <w:t>. Routledge.</w:t>
      </w:r>
    </w:p>
    <w:p w14:paraId="589DC936" w14:textId="77777777" w:rsidR="00E07F68" w:rsidRPr="002B67E1" w:rsidRDefault="00E07F68" w:rsidP="0010098C">
      <w:pPr>
        <w:spacing w:line="100" w:lineRule="atLeast"/>
        <w:ind w:left="844" w:hanging="806"/>
        <w:rPr>
          <w:szCs w:val="24"/>
        </w:rPr>
      </w:pPr>
    </w:p>
    <w:p w14:paraId="383D037F" w14:textId="77777777" w:rsidR="001D474D" w:rsidRDefault="00E07F68" w:rsidP="0010098C">
      <w:pPr>
        <w:spacing w:line="100" w:lineRule="atLeast"/>
        <w:ind w:left="844" w:hanging="806"/>
        <w:rPr>
          <w:szCs w:val="24"/>
        </w:rPr>
      </w:pPr>
      <w:r w:rsidRPr="002B67E1">
        <w:rPr>
          <w:szCs w:val="24"/>
        </w:rPr>
        <w:t>Suddaby, R., Seidl, D., &amp; Lê, J. K. (2013). Strategy-as-practice meets neo-institutional theory. </w:t>
      </w:r>
      <w:r w:rsidRPr="002B67E1">
        <w:rPr>
          <w:i/>
          <w:iCs/>
          <w:szCs w:val="24"/>
        </w:rPr>
        <w:t>Strategic organization</w:t>
      </w:r>
      <w:r w:rsidRPr="002B67E1">
        <w:rPr>
          <w:szCs w:val="24"/>
        </w:rPr>
        <w:t>, </w:t>
      </w:r>
      <w:r w:rsidRPr="002B67E1">
        <w:rPr>
          <w:i/>
          <w:iCs/>
          <w:szCs w:val="24"/>
        </w:rPr>
        <w:t>11</w:t>
      </w:r>
      <w:r w:rsidRPr="002B67E1">
        <w:rPr>
          <w:szCs w:val="24"/>
        </w:rPr>
        <w:t>(3), 329-344.</w:t>
      </w:r>
    </w:p>
    <w:p w14:paraId="17BBE1AD" w14:textId="77777777" w:rsidR="00355C07" w:rsidRPr="00144674" w:rsidRDefault="00355C07" w:rsidP="0010098C">
      <w:pPr>
        <w:spacing w:line="100" w:lineRule="atLeast"/>
        <w:ind w:left="844" w:hanging="806"/>
        <w:rPr>
          <w:szCs w:val="24"/>
        </w:rPr>
      </w:pPr>
    </w:p>
    <w:p w14:paraId="1DCD68B7" w14:textId="77777777" w:rsidR="0010098C" w:rsidRDefault="00355C07" w:rsidP="0010098C">
      <w:pPr>
        <w:spacing w:line="100" w:lineRule="atLeast"/>
        <w:ind w:left="844" w:hanging="806"/>
        <w:rPr>
          <w:szCs w:val="24"/>
        </w:rPr>
      </w:pPr>
      <w:r w:rsidRPr="00355C07">
        <w:rPr>
          <w:szCs w:val="24"/>
        </w:rPr>
        <w:t>Scott, W. R. (1995). Institutions and Organizations. Thousand Oaks, CA: Sage Publications.</w:t>
      </w:r>
      <w:r w:rsidR="001D474D" w:rsidRPr="001D474D">
        <w:rPr>
          <w:szCs w:val="24"/>
        </w:rPr>
        <w:t>Trompenaars, F. (2012). </w:t>
      </w:r>
      <w:r w:rsidR="001D474D" w:rsidRPr="001D474D">
        <w:rPr>
          <w:i/>
          <w:iCs/>
          <w:szCs w:val="24"/>
        </w:rPr>
        <w:t>Building cultural competence: Innovative activities and models</w:t>
      </w:r>
      <w:r w:rsidR="001D474D" w:rsidRPr="001D474D">
        <w:rPr>
          <w:szCs w:val="24"/>
        </w:rPr>
        <w:t>. Stylus Publishing, LLC.</w:t>
      </w:r>
    </w:p>
    <w:p w14:paraId="6C36F72A" w14:textId="77777777" w:rsidR="002B67E1" w:rsidRDefault="002B67E1" w:rsidP="0010098C">
      <w:pPr>
        <w:spacing w:line="100" w:lineRule="atLeast"/>
        <w:ind w:left="844" w:hanging="806"/>
        <w:rPr>
          <w:szCs w:val="24"/>
        </w:rPr>
      </w:pPr>
    </w:p>
    <w:p w14:paraId="13B4F96D" w14:textId="77777777" w:rsidR="002B67E1" w:rsidRDefault="002B67E1" w:rsidP="0010098C">
      <w:pPr>
        <w:spacing w:line="100" w:lineRule="atLeast"/>
        <w:ind w:left="844" w:hanging="806"/>
        <w:rPr>
          <w:szCs w:val="24"/>
        </w:rPr>
      </w:pPr>
    </w:p>
    <w:p w14:paraId="20D1851E" w14:textId="77777777" w:rsidR="00CB614A" w:rsidRDefault="00CB614A" w:rsidP="0010098C">
      <w:pPr>
        <w:spacing w:line="100" w:lineRule="atLeast"/>
        <w:ind w:left="844" w:hanging="806"/>
        <w:rPr>
          <w:szCs w:val="24"/>
        </w:rPr>
      </w:pPr>
      <w:r w:rsidRPr="00CB614A">
        <w:rPr>
          <w:szCs w:val="24"/>
        </w:rPr>
        <w:lastRenderedPageBreak/>
        <w:t xml:space="preserve">Online: </w:t>
      </w:r>
      <w:hyperlink r:id="rId8" w:history="1">
        <w:r w:rsidRPr="00CB614A">
          <w:rPr>
            <w:rStyle w:val="Hyperlink"/>
            <w:szCs w:val="24"/>
          </w:rPr>
          <w:t>https://www.murphyoilcorp.com/</w:t>
        </w:r>
      </w:hyperlink>
      <w:r w:rsidRPr="00CB614A">
        <w:rPr>
          <w:szCs w:val="24"/>
        </w:rPr>
        <w:t xml:space="preserve"> 2020 (Accessed</w:t>
      </w:r>
      <w:r>
        <w:rPr>
          <w:szCs w:val="24"/>
        </w:rPr>
        <w:t xml:space="preserve"> 20.03.2023)</w:t>
      </w:r>
    </w:p>
    <w:p w14:paraId="20ECA46B" w14:textId="77777777" w:rsidR="00CB614A" w:rsidRDefault="00CB614A" w:rsidP="0010098C">
      <w:pPr>
        <w:spacing w:line="100" w:lineRule="atLeast"/>
        <w:ind w:left="844" w:hanging="806"/>
        <w:rPr>
          <w:szCs w:val="24"/>
        </w:rPr>
      </w:pPr>
    </w:p>
    <w:p w14:paraId="316C7284" w14:textId="77777777" w:rsidR="00CB614A" w:rsidRPr="00CB614A" w:rsidRDefault="00CB614A" w:rsidP="0010098C">
      <w:pPr>
        <w:spacing w:line="100" w:lineRule="atLeast"/>
        <w:ind w:left="844" w:hanging="806"/>
        <w:rPr>
          <w:szCs w:val="24"/>
        </w:rPr>
      </w:pPr>
      <w:r w:rsidRPr="00CB614A">
        <w:rPr>
          <w:szCs w:val="24"/>
        </w:rPr>
        <w:t xml:space="preserve">Online: </w:t>
      </w:r>
      <w:hyperlink r:id="rId9" w:history="1">
        <w:r w:rsidRPr="00CB614A">
          <w:rPr>
            <w:rStyle w:val="Hyperlink"/>
            <w:szCs w:val="24"/>
          </w:rPr>
          <w:t>https://www.lukoil.com/</w:t>
        </w:r>
      </w:hyperlink>
      <w:r w:rsidRPr="00CB614A">
        <w:rPr>
          <w:szCs w:val="24"/>
        </w:rPr>
        <w:t xml:space="preserve"> 2021 (Accessed</w:t>
      </w:r>
      <w:r>
        <w:rPr>
          <w:szCs w:val="24"/>
        </w:rPr>
        <w:t xml:space="preserve"> 20.03.2023)</w:t>
      </w:r>
    </w:p>
    <w:p w14:paraId="2871FD08" w14:textId="77777777" w:rsidR="0010098C" w:rsidRPr="00CB614A" w:rsidRDefault="0010098C" w:rsidP="0010098C">
      <w:pPr>
        <w:spacing w:line="100" w:lineRule="atLeast"/>
        <w:ind w:left="844" w:hanging="806"/>
        <w:rPr>
          <w:szCs w:val="24"/>
        </w:rPr>
      </w:pPr>
    </w:p>
    <w:p w14:paraId="3804F5E5" w14:textId="77777777" w:rsidR="0010098C" w:rsidRPr="00CB614A" w:rsidRDefault="0010098C" w:rsidP="002F0B56">
      <w:pPr>
        <w:rPr>
          <w:color w:val="202124"/>
          <w:shd w:val="clear" w:color="auto" w:fill="FFFFFF"/>
        </w:rPr>
      </w:pPr>
    </w:p>
    <w:p w14:paraId="315A31CD" w14:textId="77777777" w:rsidR="002F0B56" w:rsidRPr="00CB614A" w:rsidRDefault="002F0B56" w:rsidP="002F0B56">
      <w:pPr>
        <w:rPr>
          <w:color w:val="202124"/>
          <w:shd w:val="clear" w:color="auto" w:fill="FFFFFF"/>
        </w:rPr>
      </w:pPr>
    </w:p>
    <w:p w14:paraId="6C35569E" w14:textId="77777777" w:rsidR="002F0B56" w:rsidRPr="00CB614A" w:rsidRDefault="002F0B56" w:rsidP="00EB0914">
      <w:r w:rsidRPr="00CB614A">
        <w:rPr>
          <w:color w:val="202124"/>
          <w:shd w:val="clear" w:color="auto" w:fill="FFFFFF"/>
        </w:rPr>
        <w:tab/>
      </w:r>
    </w:p>
    <w:p w14:paraId="5548E0BC" w14:textId="77777777" w:rsidR="00F101A9" w:rsidRPr="00CB614A" w:rsidRDefault="00F101A9" w:rsidP="00DA1022">
      <w:r w:rsidRPr="00CB614A">
        <w:tab/>
      </w:r>
    </w:p>
    <w:p w14:paraId="67E27784" w14:textId="77777777" w:rsidR="0007063C" w:rsidRPr="00CB614A" w:rsidRDefault="0007063C" w:rsidP="002A3609">
      <w:pPr>
        <w:rPr>
          <w:b/>
        </w:rPr>
      </w:pPr>
    </w:p>
    <w:p w14:paraId="76100061" w14:textId="77777777" w:rsidR="0007063C" w:rsidRPr="00CB614A" w:rsidRDefault="0007063C" w:rsidP="002A3609"/>
    <w:sectPr w:rsidR="0007063C" w:rsidRPr="00CB614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2756E" w14:textId="77777777" w:rsidR="00F66D50" w:rsidRDefault="00F66D50" w:rsidP="00924A93">
      <w:pPr>
        <w:spacing w:line="240" w:lineRule="auto"/>
      </w:pPr>
      <w:r>
        <w:separator/>
      </w:r>
    </w:p>
  </w:endnote>
  <w:endnote w:type="continuationSeparator" w:id="0">
    <w:p w14:paraId="38A5A063" w14:textId="77777777" w:rsidR="00F66D50" w:rsidRDefault="00F66D50" w:rsidP="00924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MS Gothic"/>
    <w:charset w:val="80"/>
    <w:family w:val="roman"/>
    <w:pitch w:val="variable"/>
  </w:font>
  <w:font w:name="DejaVu Sans Mono">
    <w:charset w:val="8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177B" w14:textId="77777777" w:rsidR="00924A93" w:rsidRDefault="00924A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95ED5" w14:textId="77777777" w:rsidR="00924A93" w:rsidRDefault="00924A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11626" w14:textId="77777777" w:rsidR="00924A93" w:rsidRDefault="00924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14678" w14:textId="77777777" w:rsidR="00F66D50" w:rsidRDefault="00F66D50" w:rsidP="00924A93">
      <w:pPr>
        <w:spacing w:line="240" w:lineRule="auto"/>
      </w:pPr>
      <w:r>
        <w:separator/>
      </w:r>
    </w:p>
  </w:footnote>
  <w:footnote w:type="continuationSeparator" w:id="0">
    <w:p w14:paraId="2BFEABF6" w14:textId="77777777" w:rsidR="00F66D50" w:rsidRDefault="00F66D50" w:rsidP="00924A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A8BDF" w14:textId="77777777" w:rsidR="00924A93" w:rsidRDefault="00924A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8165" w14:textId="77777777" w:rsidR="00924A93" w:rsidRDefault="00924A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D2940" w14:textId="77777777" w:rsidR="00924A93" w:rsidRDefault="00924A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960"/>
        </w:tabs>
        <w:ind w:left="960" w:hanging="360"/>
      </w:pPr>
      <w:rPr>
        <w:rFonts w:ascii="Symbol" w:hAnsi="Symbol" w:cs="OpenSymbol"/>
      </w:rPr>
    </w:lvl>
    <w:lvl w:ilvl="1">
      <w:start w:val="1"/>
      <w:numFmt w:val="bullet"/>
      <w:lvlText w:val="◦"/>
      <w:lvlJc w:val="left"/>
      <w:pPr>
        <w:tabs>
          <w:tab w:val="num" w:pos="1320"/>
        </w:tabs>
        <w:ind w:left="1320" w:hanging="360"/>
      </w:pPr>
      <w:rPr>
        <w:rFonts w:ascii="OpenSymbol" w:hAnsi="OpenSymbol" w:cs="OpenSymbol"/>
      </w:rPr>
    </w:lvl>
    <w:lvl w:ilvl="2">
      <w:start w:val="1"/>
      <w:numFmt w:val="bullet"/>
      <w:lvlText w:val="▪"/>
      <w:lvlJc w:val="left"/>
      <w:pPr>
        <w:tabs>
          <w:tab w:val="num" w:pos="1680"/>
        </w:tabs>
        <w:ind w:left="1680" w:hanging="360"/>
      </w:pPr>
      <w:rPr>
        <w:rFonts w:ascii="OpenSymbol" w:hAnsi="OpenSymbol" w:cs="OpenSymbol"/>
      </w:rPr>
    </w:lvl>
    <w:lvl w:ilvl="3">
      <w:start w:val="1"/>
      <w:numFmt w:val="bullet"/>
      <w:lvlText w:val=""/>
      <w:lvlJc w:val="left"/>
      <w:pPr>
        <w:tabs>
          <w:tab w:val="num" w:pos="2040"/>
        </w:tabs>
        <w:ind w:left="2040" w:hanging="360"/>
      </w:pPr>
      <w:rPr>
        <w:rFonts w:ascii="Symbol" w:hAnsi="Symbol" w:cs="OpenSymbol"/>
      </w:rPr>
    </w:lvl>
    <w:lvl w:ilvl="4">
      <w:start w:val="1"/>
      <w:numFmt w:val="bullet"/>
      <w:lvlText w:val="◦"/>
      <w:lvlJc w:val="left"/>
      <w:pPr>
        <w:tabs>
          <w:tab w:val="num" w:pos="2400"/>
        </w:tabs>
        <w:ind w:left="2400" w:hanging="360"/>
      </w:pPr>
      <w:rPr>
        <w:rFonts w:ascii="OpenSymbol" w:hAnsi="OpenSymbol" w:cs="OpenSymbol"/>
      </w:rPr>
    </w:lvl>
    <w:lvl w:ilvl="5">
      <w:start w:val="1"/>
      <w:numFmt w:val="bullet"/>
      <w:lvlText w:val="▪"/>
      <w:lvlJc w:val="left"/>
      <w:pPr>
        <w:tabs>
          <w:tab w:val="num" w:pos="2760"/>
        </w:tabs>
        <w:ind w:left="2760" w:hanging="360"/>
      </w:pPr>
      <w:rPr>
        <w:rFonts w:ascii="OpenSymbol" w:hAnsi="OpenSymbol" w:cs="OpenSymbol"/>
      </w:rPr>
    </w:lvl>
    <w:lvl w:ilvl="6">
      <w:start w:val="1"/>
      <w:numFmt w:val="bullet"/>
      <w:lvlText w:val=""/>
      <w:lvlJc w:val="left"/>
      <w:pPr>
        <w:tabs>
          <w:tab w:val="num" w:pos="3120"/>
        </w:tabs>
        <w:ind w:left="3120" w:hanging="360"/>
      </w:pPr>
      <w:rPr>
        <w:rFonts w:ascii="Symbol" w:hAnsi="Symbol" w:cs="OpenSymbol"/>
      </w:rPr>
    </w:lvl>
    <w:lvl w:ilvl="7">
      <w:start w:val="1"/>
      <w:numFmt w:val="bullet"/>
      <w:lvlText w:val="◦"/>
      <w:lvlJc w:val="left"/>
      <w:pPr>
        <w:tabs>
          <w:tab w:val="num" w:pos="3480"/>
        </w:tabs>
        <w:ind w:left="3480" w:hanging="360"/>
      </w:pPr>
      <w:rPr>
        <w:rFonts w:ascii="OpenSymbol" w:hAnsi="OpenSymbol" w:cs="OpenSymbol"/>
      </w:rPr>
    </w:lvl>
    <w:lvl w:ilvl="8">
      <w:start w:val="1"/>
      <w:numFmt w:val="bullet"/>
      <w:lvlText w:val="▪"/>
      <w:lvlJc w:val="left"/>
      <w:pPr>
        <w:tabs>
          <w:tab w:val="num" w:pos="3840"/>
        </w:tabs>
        <w:ind w:left="384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6" w15:restartNumberingAfterBreak="0">
    <w:nsid w:val="0A465914"/>
    <w:multiLevelType w:val="multilevel"/>
    <w:tmpl w:val="5B600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80A8E"/>
    <w:multiLevelType w:val="multilevel"/>
    <w:tmpl w:val="55724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7114">
    <w:abstractNumId w:val="0"/>
  </w:num>
  <w:num w:numId="2" w16cid:durableId="547646060">
    <w:abstractNumId w:val="1"/>
  </w:num>
  <w:num w:numId="3" w16cid:durableId="2010205267">
    <w:abstractNumId w:val="2"/>
  </w:num>
  <w:num w:numId="4" w16cid:durableId="1211576486">
    <w:abstractNumId w:val="3"/>
  </w:num>
  <w:num w:numId="5" w16cid:durableId="351299790">
    <w:abstractNumId w:val="4"/>
  </w:num>
  <w:num w:numId="6" w16cid:durableId="1946688315">
    <w:abstractNumId w:val="5"/>
  </w:num>
  <w:num w:numId="7" w16cid:durableId="1112629160">
    <w:abstractNumId w:val="6"/>
  </w:num>
  <w:num w:numId="8" w16cid:durableId="4361725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B4A"/>
    <w:rsid w:val="0002079A"/>
    <w:rsid w:val="00061F03"/>
    <w:rsid w:val="0007063C"/>
    <w:rsid w:val="000A2DD9"/>
    <w:rsid w:val="000B563C"/>
    <w:rsid w:val="0010098C"/>
    <w:rsid w:val="00105FEA"/>
    <w:rsid w:val="00144674"/>
    <w:rsid w:val="00147B23"/>
    <w:rsid w:val="001D27F1"/>
    <w:rsid w:val="001D474D"/>
    <w:rsid w:val="00247FBA"/>
    <w:rsid w:val="002A3609"/>
    <w:rsid w:val="002B67E1"/>
    <w:rsid w:val="002E4C45"/>
    <w:rsid w:val="002E7BB6"/>
    <w:rsid w:val="002F0B56"/>
    <w:rsid w:val="00333C7B"/>
    <w:rsid w:val="00355C07"/>
    <w:rsid w:val="0036659E"/>
    <w:rsid w:val="003E4D89"/>
    <w:rsid w:val="00403508"/>
    <w:rsid w:val="00494046"/>
    <w:rsid w:val="004A6395"/>
    <w:rsid w:val="004E3D11"/>
    <w:rsid w:val="004E6565"/>
    <w:rsid w:val="00521009"/>
    <w:rsid w:val="005211F1"/>
    <w:rsid w:val="0056289F"/>
    <w:rsid w:val="00602161"/>
    <w:rsid w:val="006057E1"/>
    <w:rsid w:val="0061705C"/>
    <w:rsid w:val="00636A6E"/>
    <w:rsid w:val="007E159B"/>
    <w:rsid w:val="00803FB0"/>
    <w:rsid w:val="008A53EB"/>
    <w:rsid w:val="008B2BE3"/>
    <w:rsid w:val="008D517E"/>
    <w:rsid w:val="00924A93"/>
    <w:rsid w:val="00983F41"/>
    <w:rsid w:val="009854E9"/>
    <w:rsid w:val="009E6934"/>
    <w:rsid w:val="00A41238"/>
    <w:rsid w:val="00BC7C48"/>
    <w:rsid w:val="00C274D5"/>
    <w:rsid w:val="00C64B50"/>
    <w:rsid w:val="00CB614A"/>
    <w:rsid w:val="00D2279A"/>
    <w:rsid w:val="00D33A52"/>
    <w:rsid w:val="00D47B4A"/>
    <w:rsid w:val="00D76896"/>
    <w:rsid w:val="00DA1022"/>
    <w:rsid w:val="00E07F68"/>
    <w:rsid w:val="00E16D3C"/>
    <w:rsid w:val="00E25384"/>
    <w:rsid w:val="00EB0914"/>
    <w:rsid w:val="00ED1769"/>
    <w:rsid w:val="00F101A9"/>
    <w:rsid w:val="00F53777"/>
    <w:rsid w:val="00F66D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16F3901"/>
  <w15:chartTrackingRefBased/>
  <w15:docId w15:val="{6941AE0E-2686-0848-974A-8DC0916F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sz w:val="24"/>
      <w:szCs w:val="24"/>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WW8Num6z0">
    <w:name w:val="WW8Num6z0"/>
    <w:rPr>
      <w:rFonts w:ascii="Symbol" w:hAnsi="Symbol" w:cs="OpenSymbol"/>
      <w:sz w:val="24"/>
      <w:szCs w:val="24"/>
    </w:rPr>
  </w:style>
  <w:style w:type="character" w:customStyle="1" w:styleId="WW8Num6z1">
    <w:name w:val="WW8Num6z1"/>
    <w:rPr>
      <w:rFonts w:ascii="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Default1LTTitel">
    <w:name w:val="Default 1~LT~Titel"/>
    <w:pPr>
      <w:widowControl w:val="0"/>
      <w:suppressAutoHyphens/>
      <w:autoSpaceDE w:val="0"/>
    </w:pPr>
    <w:rPr>
      <w:rFonts w:ascii="DejaVu Sans" w:eastAsia="DejaVu Sans" w:hAnsi="DejaVu Sans" w:cs="DejaVu Sans"/>
      <w:color w:val="000000"/>
      <w:kern w:val="1"/>
      <w:sz w:val="36"/>
      <w:szCs w:val="36"/>
      <w:lang w:val="en-GB" w:eastAsia="hi-IN" w:bidi="hi-IN"/>
    </w:rPr>
  </w:style>
  <w:style w:type="paragraph" w:customStyle="1" w:styleId="Default1LTGliederung1">
    <w:name w:val="Default 1~LT~Gliederung 1"/>
    <w:pPr>
      <w:widowControl w:val="0"/>
      <w:suppressAutoHyphens/>
      <w:autoSpaceDE w:val="0"/>
      <w:spacing w:after="283"/>
    </w:pPr>
    <w:rPr>
      <w:rFonts w:ascii="DejaVu Sans" w:eastAsia="DejaVu Sans" w:hAnsi="DejaVu Sans" w:cs="DejaVu Sans"/>
      <w:color w:val="404040"/>
      <w:kern w:val="1"/>
      <w:sz w:val="36"/>
      <w:szCs w:val="36"/>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pPr>
      <w:jc w:val="left"/>
    </w:pPr>
  </w:style>
  <w:style w:type="paragraph" w:styleId="BodyTextFirstIndent">
    <w:name w:val="Body Text First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1">
    <w:name w:val="Heading1"/>
    <w:basedOn w:val="Normal"/>
    <w:pPr>
      <w:spacing w:before="238" w:after="119"/>
    </w:pPr>
  </w:style>
  <w:style w:type="paragraph" w:customStyle="1" w:styleId="Heading20">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suppressAutoHyphens/>
      <w:autoSpaceDE w:val="0"/>
      <w:spacing w:after="283"/>
    </w:pPr>
    <w:rPr>
      <w:rFonts w:ascii="DejaVu Sans" w:eastAsia="DejaVu Sans" w:hAnsi="DejaVu Sans" w:cs="DejaVu Sans"/>
      <w:color w:val="FFFFFF"/>
      <w:kern w:val="1"/>
      <w:sz w:val="40"/>
      <w:szCs w:val="40"/>
      <w:lang w:val="en-GB" w:eastAsia="hi-IN" w:bidi="hi-IN"/>
    </w:rPr>
  </w:style>
  <w:style w:type="paragraph" w:customStyle="1" w:styleId="DefaultLTGliederung2">
    <w:name w:val="Default~LT~Gliederung 2"/>
    <w:basedOn w:val="DefaultLTGliederung1"/>
    <w:pPr>
      <w:spacing w:after="227"/>
    </w:pPr>
    <w:rPr>
      <w:sz w:val="32"/>
      <w:szCs w:val="32"/>
    </w:rPr>
  </w:style>
  <w:style w:type="paragraph" w:customStyle="1" w:styleId="DefaultLTGliederung3">
    <w:name w:val="Default~LT~Gliederung 3"/>
    <w:basedOn w:val="DefaultLTGliederung2"/>
    <w:pPr>
      <w:spacing w:after="170"/>
    </w:pPr>
    <w:rPr>
      <w:sz w:val="28"/>
      <w:szCs w:val="28"/>
    </w:rPr>
  </w:style>
  <w:style w:type="paragraph" w:customStyle="1" w:styleId="DefaultLTGliederung4">
    <w:name w:val="Default~LT~Gliederung 4"/>
    <w:basedOn w:val="DefaultLTGliederung3"/>
    <w:pPr>
      <w:spacing w:after="113"/>
    </w:pPr>
  </w:style>
  <w:style w:type="paragraph" w:customStyle="1" w:styleId="DefaultLTGliederung5">
    <w:name w:val="Default~LT~Gliederung 5"/>
    <w:basedOn w:val="DefaultLTGliederung4"/>
    <w:pPr>
      <w:spacing w:after="57"/>
    </w:pPr>
    <w:rPr>
      <w:sz w:val="40"/>
      <w:szCs w:val="40"/>
    </w:r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DefaultLTUntertitel">
    <w:name w:val="Default~LT~Untertitel"/>
    <w:pPr>
      <w:widowControl w:val="0"/>
      <w:suppressAutoHyphens/>
      <w:autoSpaceDE w:val="0"/>
      <w:jc w:val="center"/>
    </w:pPr>
    <w:rPr>
      <w:rFonts w:ascii="DejaVu Sans" w:eastAsia="DejaVu Sans" w:hAnsi="DejaVu Sans" w:cs="DejaVu Sans"/>
      <w:kern w:val="1"/>
      <w:sz w:val="64"/>
      <w:szCs w:val="64"/>
      <w:lang w:val="en-GB" w:eastAsia="hi-IN" w:bidi="hi-IN"/>
    </w:rPr>
  </w:style>
  <w:style w:type="paragraph" w:customStyle="1" w:styleId="DefaultLTNotizen">
    <w:name w:val="Default~LT~Notizen"/>
    <w:pPr>
      <w:widowControl w:val="0"/>
      <w:suppressAutoHyphens/>
      <w:autoSpaceDE w:val="0"/>
      <w:ind w:left="340" w:hanging="340"/>
    </w:pPr>
    <w:rPr>
      <w:rFonts w:ascii="DejaVu Sans" w:eastAsia="DejaVu Sans" w:hAnsi="DejaVu Sans" w:cs="DejaVu Sans"/>
      <w:kern w:val="1"/>
      <w:sz w:val="40"/>
      <w:szCs w:val="40"/>
      <w:lang w:val="en-GB" w:eastAsia="hi-IN" w:bidi="hi-IN"/>
    </w:rPr>
  </w:style>
  <w:style w:type="paragraph" w:customStyle="1" w:styleId="DefaultLTHintergrundobjekte">
    <w:name w:val="Default~LT~Hintergrundobjekte"/>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DefaultLTHintergrund">
    <w:name w:val="Default~LT~Hintergrund"/>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kern w:val="1"/>
      <w:sz w:val="36"/>
      <w:szCs w:val="36"/>
      <w:lang w:val="en-GB" w:eastAsia="hi-I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Backgroundobjects">
    <w:name w:val="Background objects"/>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Background">
    <w:name w:val="Background"/>
    <w:pPr>
      <w:widowControl w:val="0"/>
      <w:suppressAutoHyphens/>
      <w:autoSpaceDE w:val="0"/>
    </w:pPr>
    <w:rPr>
      <w:rFonts w:ascii="Tinos" w:eastAsia="DejaVu Sans Mono" w:hAnsi="Tinos" w:cs="DejaVu Sans"/>
      <w:kern w:val="1"/>
      <w:sz w:val="24"/>
      <w:szCs w:val="24"/>
      <w:lang w:val="en-GB" w:eastAsia="hi-IN" w:bidi="hi-IN"/>
    </w:rPr>
  </w:style>
  <w:style w:type="paragraph" w:customStyle="1" w:styleId="Notes">
    <w:name w:val="Notes"/>
    <w:pPr>
      <w:widowControl w:val="0"/>
      <w:suppressAutoHyphens/>
      <w:autoSpaceDE w:val="0"/>
      <w:ind w:left="340" w:hanging="340"/>
    </w:pPr>
    <w:rPr>
      <w:rFonts w:ascii="DejaVu Sans" w:eastAsia="DejaVu Sans" w:hAnsi="DejaVu Sans" w:cs="DejaVu Sans"/>
      <w:kern w:val="1"/>
      <w:sz w:val="40"/>
      <w:szCs w:val="40"/>
      <w:lang w:val="en-GB" w:eastAsia="hi-IN" w:bidi="hi-IN"/>
    </w:rPr>
  </w:style>
  <w:style w:type="paragraph" w:customStyle="1" w:styleId="Outline1">
    <w:name w:val="Outline 1"/>
    <w:pPr>
      <w:widowControl w:val="0"/>
      <w:suppressAutoHyphens/>
      <w:autoSpaceDE w:val="0"/>
      <w:spacing w:after="283"/>
    </w:pPr>
    <w:rPr>
      <w:rFonts w:ascii="DejaVu Sans" w:eastAsia="DejaVu Sans" w:hAnsi="DejaVu Sans" w:cs="DejaVu Sans"/>
      <w:color w:val="FFFFFF"/>
      <w:kern w:val="1"/>
      <w:sz w:val="40"/>
      <w:szCs w:val="40"/>
      <w:lang w:val="en-GB" w:eastAsia="hi-IN" w:bidi="hi-IN"/>
    </w:rPr>
  </w:style>
  <w:style w:type="paragraph" w:customStyle="1" w:styleId="Outline2">
    <w:name w:val="Outline 2"/>
    <w:basedOn w:val="Outline1"/>
    <w:pPr>
      <w:spacing w:after="227"/>
    </w:pPr>
    <w:rPr>
      <w:sz w:val="32"/>
      <w:szCs w:val="32"/>
    </w:rPr>
  </w:style>
  <w:style w:type="paragraph" w:customStyle="1" w:styleId="Outline3">
    <w:name w:val="Outline 3"/>
    <w:basedOn w:val="Outline2"/>
    <w:pPr>
      <w:spacing w:after="170"/>
    </w:pPr>
    <w:rPr>
      <w:sz w:val="28"/>
      <w:szCs w:val="28"/>
    </w:rPr>
  </w:style>
  <w:style w:type="paragraph" w:customStyle="1" w:styleId="Outline4">
    <w:name w:val="Outline 4"/>
    <w:basedOn w:val="Outline3"/>
    <w:pPr>
      <w:spacing w:after="113"/>
    </w:pPr>
  </w:style>
  <w:style w:type="paragraph" w:customStyle="1" w:styleId="Outline5">
    <w:name w:val="Outline 5"/>
    <w:basedOn w:val="Outline4"/>
    <w:pPr>
      <w:spacing w:after="57"/>
    </w:pPr>
    <w:rPr>
      <w:sz w:val="40"/>
      <w:szCs w:val="40"/>
    </w:r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WW-Title1">
    <w:name w:val="WW-Title1"/>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
    <w:name w:val="WW-Title12"/>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
    <w:name w:val="WW-Title123"/>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4">
    <w:name w:val="WW-Title1234"/>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45">
    <w:name w:val="WW-Title12345"/>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customStyle="1" w:styleId="WW-Title123456">
    <w:name w:val="WW-Title123456"/>
    <w:pPr>
      <w:widowControl w:val="0"/>
      <w:suppressAutoHyphens/>
      <w:autoSpaceDE w:val="0"/>
    </w:pPr>
    <w:rPr>
      <w:rFonts w:ascii="DejaVu Sans" w:eastAsia="DejaVu Sans" w:hAnsi="DejaVu Sans" w:cs="DejaVu Sans"/>
      <w:color w:val="FFFFFF"/>
      <w:kern w:val="1"/>
      <w:sz w:val="36"/>
      <w:szCs w:val="36"/>
      <w:lang w:val="en-GB" w:eastAsia="hi-IN" w:bidi="hi-IN"/>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styleId="UnresolvedMention">
    <w:name w:val="Unresolved Mention"/>
    <w:basedOn w:val="DefaultParagraphFont"/>
    <w:uiPriority w:val="99"/>
    <w:semiHidden/>
    <w:unhideWhenUsed/>
    <w:rsid w:val="00CB6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506135">
      <w:bodyDiv w:val="1"/>
      <w:marLeft w:val="0"/>
      <w:marRight w:val="0"/>
      <w:marTop w:val="0"/>
      <w:marBottom w:val="0"/>
      <w:divBdr>
        <w:top w:val="none" w:sz="0" w:space="0" w:color="auto"/>
        <w:left w:val="none" w:sz="0" w:space="0" w:color="auto"/>
        <w:bottom w:val="none" w:sz="0" w:space="0" w:color="auto"/>
        <w:right w:val="none" w:sz="0" w:space="0" w:color="auto"/>
      </w:divBdr>
    </w:div>
    <w:div w:id="205088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rphyoilcorp.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ukoil.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3155</Words>
  <Characters>17985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dc:creator>
  <cp:keywords/>
  <cp:lastModifiedBy>Vitalie Erhan (2111917)</cp:lastModifiedBy>
  <cp:revision>3</cp:revision>
  <cp:lastPrinted>1900-01-01T00:00:00Z</cp:lastPrinted>
  <dcterms:created xsi:type="dcterms:W3CDTF">2023-03-22T13:13:00Z</dcterms:created>
  <dcterms:modified xsi:type="dcterms:W3CDTF">2023-03-30T14:49:00Z</dcterms:modified>
</cp:coreProperties>
</file>