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3713"/>
        <w:tblW w:w="0" w:type="auto"/>
        <w:tblLook w:val="04A0" w:firstRow="1" w:lastRow="0" w:firstColumn="1" w:lastColumn="0" w:noHBand="0" w:noVBand="1"/>
      </w:tblPr>
      <w:tblGrid>
        <w:gridCol w:w="4819"/>
        <w:gridCol w:w="4320"/>
      </w:tblGrid>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Student Name</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234348" w:rsidP="00DE49B9">
            <w:pPr>
              <w:jc w:val="center"/>
              <w:rPr>
                <w:b/>
                <w:bCs/>
                <w:iCs/>
                <w:color w:val="000000" w:themeColor="text1"/>
                <w:sz w:val="32"/>
                <w:szCs w:val="32"/>
              </w:rPr>
            </w:pPr>
            <w:r w:rsidRPr="00234348">
              <w:rPr>
                <w:b/>
                <w:bCs/>
                <w:iCs/>
                <w:color w:val="000000" w:themeColor="text1"/>
                <w:sz w:val="32"/>
                <w:szCs w:val="32"/>
              </w:rPr>
              <w:t>Syed Md Raihanul Hoque</w:t>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Student ID Number</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234348" w:rsidP="00DE49B9">
            <w:pPr>
              <w:jc w:val="center"/>
              <w:rPr>
                <w:b/>
                <w:bCs/>
                <w:iCs/>
                <w:color w:val="000000" w:themeColor="text1"/>
                <w:sz w:val="32"/>
                <w:szCs w:val="32"/>
              </w:rPr>
            </w:pPr>
            <w:r w:rsidRPr="00234348">
              <w:rPr>
                <w:b/>
                <w:bCs/>
                <w:iCs/>
                <w:color w:val="000000" w:themeColor="text1"/>
                <w:sz w:val="32"/>
                <w:szCs w:val="32"/>
              </w:rPr>
              <w:t>2521856</w:t>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Module Title</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DE49B9" w:rsidP="00DE49B9">
            <w:pPr>
              <w:jc w:val="center"/>
              <w:rPr>
                <w:b/>
                <w:bCs/>
                <w:iCs/>
                <w:color w:val="000000" w:themeColor="text1"/>
                <w:sz w:val="32"/>
                <w:szCs w:val="32"/>
              </w:rPr>
            </w:pPr>
            <w:r w:rsidRPr="00234348">
              <w:rPr>
                <w:rFonts w:cs="Arial"/>
                <w:b/>
                <w:bCs/>
                <w:iCs/>
                <w:color w:val="000000" w:themeColor="text1"/>
                <w:sz w:val="32"/>
                <w:szCs w:val="32"/>
              </w:rPr>
              <w:t xml:space="preserve">Community Care and Management of Longer-term Conditions  </w:t>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Module Code</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DE49B9" w:rsidP="00DE49B9">
            <w:pPr>
              <w:jc w:val="center"/>
              <w:rPr>
                <w:b/>
                <w:bCs/>
                <w:iCs/>
                <w:color w:val="000000" w:themeColor="text1"/>
                <w:sz w:val="32"/>
                <w:szCs w:val="32"/>
              </w:rPr>
            </w:pPr>
            <w:r w:rsidRPr="00234348">
              <w:rPr>
                <w:b/>
                <w:bCs/>
                <w:iCs/>
                <w:color w:val="000000" w:themeColor="text1"/>
                <w:sz w:val="32"/>
                <w:szCs w:val="32"/>
              </w:rPr>
              <w:t>LCHS7003</w:t>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Lecturer’s Name</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DE49B9" w:rsidP="00DE49B9">
            <w:pPr>
              <w:jc w:val="center"/>
              <w:rPr>
                <w:b/>
                <w:bCs/>
                <w:iCs/>
                <w:color w:val="000000" w:themeColor="text1"/>
                <w:sz w:val="32"/>
                <w:szCs w:val="32"/>
              </w:rPr>
            </w:pPr>
            <w:r w:rsidRPr="00234348">
              <w:rPr>
                <w:b/>
                <w:bCs/>
                <w:iCs/>
                <w:color w:val="000000" w:themeColor="text1"/>
                <w:sz w:val="32"/>
                <w:szCs w:val="32"/>
              </w:rPr>
              <w:t xml:space="preserve">Dr </w:t>
            </w:r>
            <w:r w:rsidR="001175AA">
              <w:rPr>
                <w:b/>
                <w:bCs/>
                <w:iCs/>
                <w:color w:val="000000" w:themeColor="text1"/>
                <w:sz w:val="32"/>
                <w:szCs w:val="32"/>
              </w:rPr>
              <w:t>Raheela Sheikh</w:t>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Assignment Title</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DE49B9" w:rsidP="00DE49B9">
            <w:pPr>
              <w:jc w:val="center"/>
              <w:rPr>
                <w:b/>
                <w:bCs/>
                <w:iCs/>
                <w:color w:val="000000" w:themeColor="text1"/>
                <w:sz w:val="32"/>
                <w:szCs w:val="32"/>
              </w:rPr>
            </w:pPr>
            <w:r w:rsidRPr="00234348">
              <w:rPr>
                <w:b/>
                <w:bCs/>
                <w:iCs/>
                <w:color w:val="000000" w:themeColor="text1"/>
                <w:sz w:val="32"/>
                <w:szCs w:val="32"/>
              </w:rPr>
              <w:t>Component 1 Information Booklet of Long-term Condition Management</w:t>
            </w:r>
            <w:r w:rsidRPr="00234348">
              <w:rPr>
                <w:b/>
                <w:bCs/>
                <w:iCs/>
                <w:color w:val="000000" w:themeColor="text1"/>
                <w:sz w:val="32"/>
                <w:szCs w:val="32"/>
              </w:rPr>
              <w:br/>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Submission Date</w:t>
            </w:r>
          </w:p>
        </w:tc>
        <w:tc>
          <w:tcPr>
            <w:tcW w:w="4320" w:type="dxa"/>
            <w:tcBorders>
              <w:top w:val="single" w:sz="4" w:space="0" w:color="auto"/>
              <w:left w:val="single" w:sz="4" w:space="0" w:color="auto"/>
              <w:bottom w:val="single" w:sz="4" w:space="0" w:color="auto"/>
              <w:right w:val="single" w:sz="4" w:space="0" w:color="auto"/>
            </w:tcBorders>
          </w:tcPr>
          <w:p w:rsidR="00DE49B9" w:rsidRPr="00234348" w:rsidRDefault="00234348" w:rsidP="00DE49B9">
            <w:pPr>
              <w:jc w:val="center"/>
              <w:rPr>
                <w:b/>
                <w:bCs/>
                <w:iCs/>
                <w:color w:val="000000" w:themeColor="text1"/>
                <w:sz w:val="32"/>
                <w:szCs w:val="32"/>
              </w:rPr>
            </w:pPr>
            <w:r w:rsidRPr="00234348">
              <w:rPr>
                <w:b/>
                <w:bCs/>
                <w:iCs/>
                <w:color w:val="000000" w:themeColor="text1"/>
                <w:sz w:val="32"/>
                <w:szCs w:val="32"/>
              </w:rPr>
              <w:t>25</w:t>
            </w:r>
            <w:r w:rsidRPr="00234348">
              <w:rPr>
                <w:b/>
                <w:bCs/>
                <w:iCs/>
                <w:color w:val="000000" w:themeColor="text1"/>
                <w:sz w:val="32"/>
                <w:szCs w:val="32"/>
                <w:vertAlign w:val="superscript"/>
              </w:rPr>
              <w:t>th</w:t>
            </w:r>
            <w:r w:rsidRPr="00234348">
              <w:rPr>
                <w:b/>
                <w:bCs/>
                <w:iCs/>
                <w:color w:val="000000" w:themeColor="text1"/>
                <w:sz w:val="32"/>
                <w:szCs w:val="32"/>
              </w:rPr>
              <w:t xml:space="preserve"> February 2026</w:t>
            </w:r>
          </w:p>
        </w:tc>
      </w:tr>
      <w:tr w:rsidR="00DE49B9" w:rsidRPr="00DE49B9" w:rsidTr="00DE49B9">
        <w:tc>
          <w:tcPr>
            <w:tcW w:w="4819" w:type="dxa"/>
            <w:tcBorders>
              <w:top w:val="single" w:sz="4" w:space="0" w:color="auto"/>
              <w:left w:val="single" w:sz="4" w:space="0" w:color="auto"/>
              <w:bottom w:val="single" w:sz="4" w:space="0" w:color="auto"/>
              <w:right w:val="single" w:sz="4" w:space="0" w:color="auto"/>
            </w:tcBorders>
            <w:hideMark/>
          </w:tcPr>
          <w:p w:rsidR="00DE49B9" w:rsidRPr="00DE49B9" w:rsidRDefault="00DE49B9" w:rsidP="00DE49B9">
            <w:pPr>
              <w:jc w:val="center"/>
              <w:rPr>
                <w:b/>
                <w:bCs/>
                <w:iCs/>
                <w:color w:val="000000" w:themeColor="text1"/>
                <w:sz w:val="32"/>
                <w:szCs w:val="32"/>
              </w:rPr>
            </w:pPr>
            <w:r w:rsidRPr="00DE49B9">
              <w:rPr>
                <w:b/>
                <w:bCs/>
                <w:iCs/>
                <w:color w:val="000000" w:themeColor="text1"/>
                <w:sz w:val="32"/>
                <w:szCs w:val="32"/>
              </w:rPr>
              <w:t>Word Count (Actual)</w:t>
            </w:r>
          </w:p>
        </w:tc>
        <w:tc>
          <w:tcPr>
            <w:tcW w:w="4320" w:type="dxa"/>
            <w:tcBorders>
              <w:top w:val="single" w:sz="4" w:space="0" w:color="auto"/>
              <w:left w:val="single" w:sz="4" w:space="0" w:color="auto"/>
              <w:bottom w:val="single" w:sz="4" w:space="0" w:color="auto"/>
              <w:right w:val="single" w:sz="4" w:space="0" w:color="auto"/>
            </w:tcBorders>
            <w:hideMark/>
          </w:tcPr>
          <w:p w:rsidR="00DE49B9" w:rsidRPr="00234348" w:rsidRDefault="00F80C78" w:rsidP="00DE49B9">
            <w:pPr>
              <w:jc w:val="center"/>
              <w:rPr>
                <w:b/>
                <w:bCs/>
                <w:iCs/>
                <w:color w:val="000000" w:themeColor="text1"/>
                <w:sz w:val="32"/>
                <w:szCs w:val="32"/>
              </w:rPr>
            </w:pPr>
            <w:r w:rsidRPr="00234348">
              <w:rPr>
                <w:b/>
                <w:bCs/>
                <w:iCs/>
                <w:color w:val="000000" w:themeColor="text1"/>
                <w:sz w:val="32"/>
                <w:szCs w:val="32"/>
              </w:rPr>
              <w:t>3</w:t>
            </w:r>
            <w:r w:rsidR="00A04453" w:rsidRPr="00234348">
              <w:rPr>
                <w:b/>
                <w:bCs/>
                <w:iCs/>
                <w:color w:val="000000" w:themeColor="text1"/>
                <w:sz w:val="32"/>
                <w:szCs w:val="32"/>
              </w:rPr>
              <w:t>0</w:t>
            </w:r>
            <w:r w:rsidR="005B0DAE" w:rsidRPr="00234348">
              <w:rPr>
                <w:b/>
                <w:bCs/>
                <w:iCs/>
                <w:color w:val="000000" w:themeColor="text1"/>
                <w:sz w:val="32"/>
                <w:szCs w:val="32"/>
              </w:rPr>
              <w:t>3</w:t>
            </w:r>
            <w:r w:rsidR="003F2705" w:rsidRPr="00234348">
              <w:rPr>
                <w:b/>
                <w:bCs/>
                <w:iCs/>
                <w:color w:val="000000" w:themeColor="text1"/>
                <w:sz w:val="32"/>
                <w:szCs w:val="32"/>
              </w:rPr>
              <w:t>6</w:t>
            </w:r>
          </w:p>
        </w:tc>
      </w:tr>
    </w:tbl>
    <w:p w:rsidR="002F351F" w:rsidRDefault="00000000" w:rsidP="00DC3B8D">
      <w:r>
        <w:rPr>
          <w:noProof/>
        </w:rPr>
        <w:drawing>
          <wp:anchor distT="0" distB="0" distL="114300" distR="114300" simplePos="0" relativeHeight="251658240" behindDoc="1" locked="0" layoutInCell="1" allowOverlap="1">
            <wp:simplePos x="0" y="0"/>
            <wp:positionH relativeFrom="column">
              <wp:posOffset>-1156188</wp:posOffset>
            </wp:positionH>
            <wp:positionV relativeFrom="paragraph">
              <wp:posOffset>-860767</wp:posOffset>
            </wp:positionV>
            <wp:extent cx="7988935" cy="10832123"/>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ver_preventing_diabetes.png"/>
                    <pic:cNvPicPr/>
                  </pic:nvPicPr>
                  <pic:blipFill>
                    <a:blip r:embed="rId8">
                      <a:alphaModFix amt="35000"/>
                    </a:blip>
                    <a:stretch>
                      <a:fillRect/>
                    </a:stretch>
                  </pic:blipFill>
                  <pic:spPr>
                    <a:xfrm>
                      <a:off x="0" y="0"/>
                      <a:ext cx="7990601" cy="10834382"/>
                    </a:xfrm>
                    <a:prstGeom prst="rect">
                      <a:avLst/>
                    </a:prstGeom>
                  </pic:spPr>
                </pic:pic>
              </a:graphicData>
            </a:graphic>
            <wp14:sizeRelH relativeFrom="page">
              <wp14:pctWidth>0</wp14:pctWidth>
            </wp14:sizeRelH>
            <wp14:sizeRelV relativeFrom="page">
              <wp14:pctHeight>0</wp14:pctHeight>
            </wp14:sizeRelV>
          </wp:anchor>
        </w:drawing>
      </w:r>
      <w:r>
        <w:rPr>
          <w:b/>
          <w:sz w:val="44"/>
        </w:rPr>
        <w:br/>
      </w:r>
    </w:p>
    <w:p w:rsidR="00DE49B9" w:rsidRPr="00DE49B9" w:rsidRDefault="00DE49B9" w:rsidP="00DE49B9">
      <w:pPr>
        <w:spacing w:before="240"/>
        <w:jc w:val="center"/>
        <w:rPr>
          <w:b/>
          <w:sz w:val="44"/>
        </w:rPr>
      </w:pPr>
      <w:r>
        <w:rPr>
          <w:i/>
        </w:rPr>
        <w:tab/>
      </w:r>
      <w:r w:rsidRPr="00DE49B9">
        <w:rPr>
          <w:b/>
          <w:sz w:val="44"/>
        </w:rPr>
        <w:t>“Preventing Diabetes in Young Adults (18–39)”</w:t>
      </w:r>
    </w:p>
    <w:p w:rsidR="00DC3B8D" w:rsidRDefault="00DC3B8D" w:rsidP="00DE49B9">
      <w:pPr>
        <w:tabs>
          <w:tab w:val="left" w:pos="3124"/>
        </w:tabs>
        <w:rPr>
          <w:i/>
        </w:rPr>
      </w:pPr>
    </w:p>
    <w:p w:rsidR="002F351F" w:rsidRDefault="002F351F">
      <w:pPr>
        <w:jc w:val="center"/>
      </w:pPr>
    </w:p>
    <w:p w:rsidR="002F351F" w:rsidRDefault="00000000">
      <w:r>
        <w:br w:type="page"/>
      </w:r>
    </w:p>
    <w:sdt>
      <w:sdtPr>
        <w:rPr>
          <w:rFonts w:ascii="Arial" w:eastAsia="Arial" w:hAnsi="Arial" w:cstheme="minorBidi"/>
          <w:b w:val="0"/>
          <w:bCs w:val="0"/>
          <w:color w:val="auto"/>
          <w:sz w:val="22"/>
          <w:szCs w:val="22"/>
        </w:rPr>
        <w:id w:val="1356161349"/>
        <w:docPartObj>
          <w:docPartGallery w:val="Table of Contents"/>
          <w:docPartUnique/>
        </w:docPartObj>
      </w:sdtPr>
      <w:sdtEndPr>
        <w:rPr>
          <w:noProof/>
        </w:rPr>
      </w:sdtEndPr>
      <w:sdtContent>
        <w:p w:rsidR="00F80C78" w:rsidRDefault="00F80C78">
          <w:pPr>
            <w:pStyle w:val="TOCHeading"/>
          </w:pPr>
          <w:r>
            <w:t>Table of Contents</w:t>
          </w:r>
        </w:p>
        <w:p w:rsidR="00122F0A" w:rsidRDefault="00F80C78">
          <w:pPr>
            <w:pStyle w:val="TOC1"/>
            <w:tabs>
              <w:tab w:val="right" w:leader="dot" w:pos="9628"/>
            </w:tabs>
            <w:rPr>
              <w:rFonts w:asciiTheme="minorHAnsi" w:eastAsiaTheme="minorEastAsia" w:hAnsiTheme="minorHAnsi"/>
              <w:noProof/>
              <w:kern w:val="2"/>
              <w:sz w:val="24"/>
              <w:szCs w:val="24"/>
              <w14:ligatures w14:val="standardContextual"/>
            </w:rPr>
          </w:pPr>
          <w:r>
            <w:fldChar w:fldCharType="begin"/>
          </w:r>
          <w:r>
            <w:instrText xml:space="preserve"> TOC \o "1-3" \h \z \u </w:instrText>
          </w:r>
          <w:r>
            <w:fldChar w:fldCharType="separate"/>
          </w:r>
          <w:hyperlink w:anchor="_Toc222429409" w:history="1">
            <w:r w:rsidR="00122F0A" w:rsidRPr="00E10582">
              <w:rPr>
                <w:rStyle w:val="Hyperlink"/>
                <w:rFonts w:cs="Arial"/>
                <w:noProof/>
              </w:rPr>
              <w:t>Executive summary</w:t>
            </w:r>
            <w:r w:rsidR="00122F0A">
              <w:rPr>
                <w:noProof/>
                <w:webHidden/>
              </w:rPr>
              <w:tab/>
            </w:r>
            <w:r w:rsidR="00122F0A">
              <w:rPr>
                <w:noProof/>
                <w:webHidden/>
              </w:rPr>
              <w:fldChar w:fldCharType="begin"/>
            </w:r>
            <w:r w:rsidR="00122F0A">
              <w:rPr>
                <w:noProof/>
                <w:webHidden/>
              </w:rPr>
              <w:instrText xml:space="preserve"> PAGEREF _Toc222429409 \h </w:instrText>
            </w:r>
            <w:r w:rsidR="00122F0A">
              <w:rPr>
                <w:noProof/>
                <w:webHidden/>
              </w:rPr>
            </w:r>
            <w:r w:rsidR="00122F0A">
              <w:rPr>
                <w:noProof/>
                <w:webHidden/>
              </w:rPr>
              <w:fldChar w:fldCharType="separate"/>
            </w:r>
            <w:r w:rsidR="00122F0A">
              <w:rPr>
                <w:noProof/>
                <w:webHidden/>
              </w:rPr>
              <w:t>3</w:t>
            </w:r>
            <w:r w:rsidR="00122F0A">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0" w:history="1">
            <w:r w:rsidRPr="00E10582">
              <w:rPr>
                <w:rStyle w:val="Hyperlink"/>
                <w:rFonts w:cs="Arial"/>
                <w:noProof/>
              </w:rPr>
              <w:t>Understanding diabetes and why prevention matters in ages 18–39</w:t>
            </w:r>
            <w:r>
              <w:rPr>
                <w:noProof/>
                <w:webHidden/>
              </w:rPr>
              <w:tab/>
            </w:r>
            <w:r>
              <w:rPr>
                <w:noProof/>
                <w:webHidden/>
              </w:rPr>
              <w:fldChar w:fldCharType="begin"/>
            </w:r>
            <w:r>
              <w:rPr>
                <w:noProof/>
                <w:webHidden/>
              </w:rPr>
              <w:instrText xml:space="preserve"> PAGEREF _Toc222429410 \h </w:instrText>
            </w:r>
            <w:r>
              <w:rPr>
                <w:noProof/>
                <w:webHidden/>
              </w:rPr>
            </w:r>
            <w:r>
              <w:rPr>
                <w:noProof/>
                <w:webHidden/>
              </w:rPr>
              <w:fldChar w:fldCharType="separate"/>
            </w:r>
            <w:r>
              <w:rPr>
                <w:noProof/>
                <w:webHidden/>
              </w:rPr>
              <w:t>3</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1" w:history="1">
            <w:r w:rsidRPr="00E10582">
              <w:rPr>
                <w:rStyle w:val="Hyperlink"/>
                <w:rFonts w:cs="Arial"/>
                <w:noProof/>
              </w:rPr>
              <w:t>Burden and prevalence: global and UK</w:t>
            </w:r>
            <w:r>
              <w:rPr>
                <w:noProof/>
                <w:webHidden/>
              </w:rPr>
              <w:tab/>
            </w:r>
            <w:r>
              <w:rPr>
                <w:noProof/>
                <w:webHidden/>
              </w:rPr>
              <w:fldChar w:fldCharType="begin"/>
            </w:r>
            <w:r>
              <w:rPr>
                <w:noProof/>
                <w:webHidden/>
              </w:rPr>
              <w:instrText xml:space="preserve"> PAGEREF _Toc222429411 \h </w:instrText>
            </w:r>
            <w:r>
              <w:rPr>
                <w:noProof/>
                <w:webHidden/>
              </w:rPr>
            </w:r>
            <w:r>
              <w:rPr>
                <w:noProof/>
                <w:webHidden/>
              </w:rPr>
              <w:fldChar w:fldCharType="separate"/>
            </w:r>
            <w:r>
              <w:rPr>
                <w:noProof/>
                <w:webHidden/>
              </w:rPr>
              <w:t>4</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2" w:history="1">
            <w:r w:rsidRPr="00E10582">
              <w:rPr>
                <w:rStyle w:val="Hyperlink"/>
                <w:rFonts w:cs="Arial"/>
                <w:noProof/>
              </w:rPr>
              <w:t>Risk factors and Aetiology in young adults (18–39)</w:t>
            </w:r>
            <w:r>
              <w:rPr>
                <w:noProof/>
                <w:webHidden/>
              </w:rPr>
              <w:tab/>
            </w:r>
            <w:r>
              <w:rPr>
                <w:noProof/>
                <w:webHidden/>
              </w:rPr>
              <w:fldChar w:fldCharType="begin"/>
            </w:r>
            <w:r>
              <w:rPr>
                <w:noProof/>
                <w:webHidden/>
              </w:rPr>
              <w:instrText xml:space="preserve"> PAGEREF _Toc222429412 \h </w:instrText>
            </w:r>
            <w:r>
              <w:rPr>
                <w:noProof/>
                <w:webHidden/>
              </w:rPr>
            </w:r>
            <w:r>
              <w:rPr>
                <w:noProof/>
                <w:webHidden/>
              </w:rPr>
              <w:fldChar w:fldCharType="separate"/>
            </w:r>
            <w:r>
              <w:rPr>
                <w:noProof/>
                <w:webHidden/>
              </w:rPr>
              <w:t>7</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3" w:history="1">
            <w:r w:rsidRPr="00E10582">
              <w:rPr>
                <w:rStyle w:val="Hyperlink"/>
                <w:rFonts w:cs="Arial"/>
                <w:noProof/>
              </w:rPr>
              <w:t>Impact of diabetes</w:t>
            </w:r>
            <w:r>
              <w:rPr>
                <w:noProof/>
                <w:webHidden/>
              </w:rPr>
              <w:tab/>
            </w:r>
            <w:r>
              <w:rPr>
                <w:noProof/>
                <w:webHidden/>
              </w:rPr>
              <w:fldChar w:fldCharType="begin"/>
            </w:r>
            <w:r>
              <w:rPr>
                <w:noProof/>
                <w:webHidden/>
              </w:rPr>
              <w:instrText xml:space="preserve"> PAGEREF _Toc222429413 \h </w:instrText>
            </w:r>
            <w:r>
              <w:rPr>
                <w:noProof/>
                <w:webHidden/>
              </w:rPr>
            </w:r>
            <w:r>
              <w:rPr>
                <w:noProof/>
                <w:webHidden/>
              </w:rPr>
              <w:fldChar w:fldCharType="separate"/>
            </w:r>
            <w:r>
              <w:rPr>
                <w:noProof/>
                <w:webHidden/>
              </w:rPr>
              <w:t>8</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4" w:history="1">
            <w:r w:rsidRPr="00E10582">
              <w:rPr>
                <w:rStyle w:val="Hyperlink"/>
                <w:rFonts w:cs="Arial"/>
                <w:noProof/>
              </w:rPr>
              <w:t>Evidence-based treatment and support available in the UK (NHS)</w:t>
            </w:r>
            <w:r>
              <w:rPr>
                <w:noProof/>
                <w:webHidden/>
              </w:rPr>
              <w:tab/>
            </w:r>
            <w:r>
              <w:rPr>
                <w:noProof/>
                <w:webHidden/>
              </w:rPr>
              <w:fldChar w:fldCharType="begin"/>
            </w:r>
            <w:r>
              <w:rPr>
                <w:noProof/>
                <w:webHidden/>
              </w:rPr>
              <w:instrText xml:space="preserve"> PAGEREF _Toc222429414 \h </w:instrText>
            </w:r>
            <w:r>
              <w:rPr>
                <w:noProof/>
                <w:webHidden/>
              </w:rPr>
            </w:r>
            <w:r>
              <w:rPr>
                <w:noProof/>
                <w:webHidden/>
              </w:rPr>
              <w:fldChar w:fldCharType="separate"/>
            </w:r>
            <w:r>
              <w:rPr>
                <w:noProof/>
                <w:webHidden/>
              </w:rPr>
              <w:t>10</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5" w:history="1">
            <w:r w:rsidRPr="00E10582">
              <w:rPr>
                <w:rStyle w:val="Hyperlink"/>
                <w:rFonts w:cs="Arial"/>
                <w:noProof/>
              </w:rPr>
              <w:t>Theoretical perspectives and frameworks (UK and international)</w:t>
            </w:r>
            <w:r>
              <w:rPr>
                <w:noProof/>
                <w:webHidden/>
              </w:rPr>
              <w:tab/>
            </w:r>
            <w:r>
              <w:rPr>
                <w:noProof/>
                <w:webHidden/>
              </w:rPr>
              <w:fldChar w:fldCharType="begin"/>
            </w:r>
            <w:r>
              <w:rPr>
                <w:noProof/>
                <w:webHidden/>
              </w:rPr>
              <w:instrText xml:space="preserve"> PAGEREF _Toc222429415 \h </w:instrText>
            </w:r>
            <w:r>
              <w:rPr>
                <w:noProof/>
                <w:webHidden/>
              </w:rPr>
            </w:r>
            <w:r>
              <w:rPr>
                <w:noProof/>
                <w:webHidden/>
              </w:rPr>
              <w:fldChar w:fldCharType="separate"/>
            </w:r>
            <w:r>
              <w:rPr>
                <w:noProof/>
                <w:webHidden/>
              </w:rPr>
              <w:t>11</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6" w:history="1">
            <w:r w:rsidRPr="00E10582">
              <w:rPr>
                <w:rStyle w:val="Hyperlink"/>
                <w:rFonts w:cs="Arial"/>
                <w:noProof/>
              </w:rPr>
              <w:t>Local and national political health and social care agendas</w:t>
            </w:r>
            <w:r>
              <w:rPr>
                <w:noProof/>
                <w:webHidden/>
              </w:rPr>
              <w:tab/>
            </w:r>
            <w:r>
              <w:rPr>
                <w:noProof/>
                <w:webHidden/>
              </w:rPr>
              <w:fldChar w:fldCharType="begin"/>
            </w:r>
            <w:r>
              <w:rPr>
                <w:noProof/>
                <w:webHidden/>
              </w:rPr>
              <w:instrText xml:space="preserve"> PAGEREF _Toc222429416 \h </w:instrText>
            </w:r>
            <w:r>
              <w:rPr>
                <w:noProof/>
                <w:webHidden/>
              </w:rPr>
            </w:r>
            <w:r>
              <w:rPr>
                <w:noProof/>
                <w:webHidden/>
              </w:rPr>
              <w:fldChar w:fldCharType="separate"/>
            </w:r>
            <w:r>
              <w:rPr>
                <w:noProof/>
                <w:webHidden/>
              </w:rPr>
              <w:t>12</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7" w:history="1">
            <w:r w:rsidRPr="00E10582">
              <w:rPr>
                <w:rStyle w:val="Hyperlink"/>
                <w:rFonts w:cs="Arial"/>
                <w:noProof/>
              </w:rPr>
              <w:t>Recommendations for improvement</w:t>
            </w:r>
            <w:r>
              <w:rPr>
                <w:noProof/>
                <w:webHidden/>
              </w:rPr>
              <w:tab/>
            </w:r>
            <w:r>
              <w:rPr>
                <w:noProof/>
                <w:webHidden/>
              </w:rPr>
              <w:fldChar w:fldCharType="begin"/>
            </w:r>
            <w:r>
              <w:rPr>
                <w:noProof/>
                <w:webHidden/>
              </w:rPr>
              <w:instrText xml:space="preserve"> PAGEREF _Toc222429417 \h </w:instrText>
            </w:r>
            <w:r>
              <w:rPr>
                <w:noProof/>
                <w:webHidden/>
              </w:rPr>
            </w:r>
            <w:r>
              <w:rPr>
                <w:noProof/>
                <w:webHidden/>
              </w:rPr>
              <w:fldChar w:fldCharType="separate"/>
            </w:r>
            <w:r>
              <w:rPr>
                <w:noProof/>
                <w:webHidden/>
              </w:rPr>
              <w:t>13</w:t>
            </w:r>
            <w:r>
              <w:rPr>
                <w:noProof/>
                <w:webHidden/>
              </w:rPr>
              <w:fldChar w:fldCharType="end"/>
            </w:r>
          </w:hyperlink>
        </w:p>
        <w:p w:rsidR="00122F0A" w:rsidRDefault="00122F0A">
          <w:pPr>
            <w:pStyle w:val="TOC1"/>
            <w:tabs>
              <w:tab w:val="right" w:leader="dot" w:pos="9628"/>
            </w:tabs>
            <w:rPr>
              <w:rFonts w:asciiTheme="minorHAnsi" w:eastAsiaTheme="minorEastAsia" w:hAnsiTheme="minorHAnsi"/>
              <w:noProof/>
              <w:kern w:val="2"/>
              <w:sz w:val="24"/>
              <w:szCs w:val="24"/>
              <w14:ligatures w14:val="standardContextual"/>
            </w:rPr>
          </w:pPr>
          <w:hyperlink w:anchor="_Toc222429418" w:history="1">
            <w:r w:rsidRPr="00E10582">
              <w:rPr>
                <w:rStyle w:val="Hyperlink"/>
                <w:rFonts w:cs="Arial"/>
                <w:noProof/>
              </w:rPr>
              <w:t>References</w:t>
            </w:r>
            <w:r>
              <w:rPr>
                <w:noProof/>
                <w:webHidden/>
              </w:rPr>
              <w:tab/>
            </w:r>
            <w:r>
              <w:rPr>
                <w:noProof/>
                <w:webHidden/>
              </w:rPr>
              <w:fldChar w:fldCharType="begin"/>
            </w:r>
            <w:r>
              <w:rPr>
                <w:noProof/>
                <w:webHidden/>
              </w:rPr>
              <w:instrText xml:space="preserve"> PAGEREF _Toc222429418 \h </w:instrText>
            </w:r>
            <w:r>
              <w:rPr>
                <w:noProof/>
                <w:webHidden/>
              </w:rPr>
            </w:r>
            <w:r>
              <w:rPr>
                <w:noProof/>
                <w:webHidden/>
              </w:rPr>
              <w:fldChar w:fldCharType="separate"/>
            </w:r>
            <w:r>
              <w:rPr>
                <w:noProof/>
                <w:webHidden/>
              </w:rPr>
              <w:t>15</w:t>
            </w:r>
            <w:r>
              <w:rPr>
                <w:noProof/>
                <w:webHidden/>
              </w:rPr>
              <w:fldChar w:fldCharType="end"/>
            </w:r>
          </w:hyperlink>
        </w:p>
        <w:p w:rsidR="00F80C78" w:rsidRDefault="00F80C78">
          <w:r>
            <w:rPr>
              <w:b/>
              <w:bCs/>
              <w:noProof/>
            </w:rPr>
            <w:fldChar w:fldCharType="end"/>
          </w:r>
        </w:p>
      </w:sdtContent>
    </w:sdt>
    <w:p w:rsidR="002F351F" w:rsidRDefault="00000000">
      <w:r>
        <w:br w:type="page"/>
      </w:r>
    </w:p>
    <w:p w:rsidR="009D42EA" w:rsidRPr="00F80C78" w:rsidRDefault="009B364D" w:rsidP="002B38B9">
      <w:pPr>
        <w:pStyle w:val="Heading1"/>
        <w:rPr>
          <w:rFonts w:ascii="Arial" w:hAnsi="Arial" w:cs="Arial"/>
          <w:color w:val="000000" w:themeColor="text1"/>
        </w:rPr>
      </w:pPr>
      <w:bookmarkStart w:id="0" w:name="_Toc222429409"/>
      <w:r>
        <w:rPr>
          <w:rFonts w:ascii="Arial" w:hAnsi="Arial" w:cs="Arial"/>
          <w:color w:val="000000" w:themeColor="text1"/>
        </w:rPr>
        <w:lastRenderedPageBreak/>
        <w:t>Executive summary</w:t>
      </w:r>
      <w:bookmarkEnd w:id="0"/>
      <w:r>
        <w:rPr>
          <w:rFonts w:ascii="Arial" w:hAnsi="Arial" w:cs="Arial"/>
          <w:color w:val="000000" w:themeColor="text1"/>
        </w:rPr>
        <w:t xml:space="preserve"> </w:t>
      </w:r>
    </w:p>
    <w:p w:rsidR="005958AE" w:rsidRPr="002D6BDA" w:rsidRDefault="005958AE">
      <w:pPr>
        <w:jc w:val="both"/>
        <w:rPr>
          <w:rFonts w:cs="Arial"/>
        </w:rPr>
      </w:pPr>
      <w:r w:rsidRPr="002D6BDA">
        <w:rPr>
          <w:rFonts w:cs="Arial"/>
        </w:rPr>
        <w:t xml:space="preserve">Diabetes is a chronic disorder which is marked by chronically elevated glucose in the blood as a result of lack of insulin production, lack of insulin or lack of insulin action. There is a great deal of preventable or delayable type 2 diabetes, especially when the risk is detected early, as non-diabetic hyperglycemia (prediabetes). The booklet </w:t>
      </w:r>
      <w:r w:rsidR="004F59D4">
        <w:rPr>
          <w:rFonts w:cs="Arial"/>
        </w:rPr>
        <w:t>focuses on the</w:t>
      </w:r>
      <w:r w:rsidRPr="002D6BDA">
        <w:rPr>
          <w:rFonts w:cs="Arial"/>
        </w:rPr>
        <w:t xml:space="preserve"> prevention of young adults between the ages 18-39 in the UK</w:t>
      </w:r>
      <w:r w:rsidR="002D6BDA">
        <w:rPr>
          <w:rFonts w:cs="Arial"/>
        </w:rPr>
        <w:t xml:space="preserve">. </w:t>
      </w:r>
      <w:r w:rsidRPr="002D6BDA">
        <w:rPr>
          <w:rFonts w:cs="Arial"/>
        </w:rPr>
        <w:t xml:space="preserve">The high value of prevention is due to the fact that the onset of type 2 diabetes is rising at an earlier age and is linked to a higher number of vascular complications and a longer lifetime exposure to hyperglycemia (Song, 2024; Luk, 2025). In England, QOF captured an increase in non-diabetic hyperglycemia prevalence of 7.1 (2022-23) to 8.2 (2023-24), with a substantial identifiable prevention population (NHS England Digital, 2024). The diabetes UK estimates that the number of individuals living with diabetes in the UK stands at 5.8 million, with approximately 1.3 million having undiagnosed type 2 diabetes (Diabetes UK, 2026). </w:t>
      </w:r>
    </w:p>
    <w:p w:rsidR="002F351F" w:rsidRPr="002D6BDA" w:rsidRDefault="00000000">
      <w:pPr>
        <w:spacing w:before="240"/>
        <w:rPr>
          <w:rFonts w:cs="Arial"/>
          <w:b/>
        </w:rPr>
      </w:pPr>
      <w:r w:rsidRPr="002D6BDA">
        <w:rPr>
          <w:rFonts w:cs="Arial"/>
          <w:b/>
        </w:rPr>
        <w:t>Key findings</w:t>
      </w:r>
    </w:p>
    <w:p w:rsidR="005958AE" w:rsidRPr="002D6BDA" w:rsidRDefault="005958AE" w:rsidP="002D6BDA">
      <w:pPr>
        <w:pStyle w:val="ListParagraph"/>
        <w:numPr>
          <w:ilvl w:val="0"/>
          <w:numId w:val="11"/>
        </w:numPr>
        <w:spacing w:before="240"/>
        <w:jc w:val="both"/>
        <w:rPr>
          <w:rFonts w:cs="Arial"/>
        </w:rPr>
      </w:pPr>
      <w:r w:rsidRPr="002D6BDA">
        <w:rPr>
          <w:rFonts w:cs="Arial"/>
        </w:rPr>
        <w:t xml:space="preserve">In 2024, 589 million adults (20-79) were living with diabetes worldwide and this number is expected to increase to 853 million by 2050 (IDF, 2025). </w:t>
      </w:r>
    </w:p>
    <w:p w:rsidR="005958AE" w:rsidRPr="002D6BDA" w:rsidRDefault="005958AE" w:rsidP="002D6BDA">
      <w:pPr>
        <w:pStyle w:val="ListParagraph"/>
        <w:numPr>
          <w:ilvl w:val="0"/>
          <w:numId w:val="11"/>
        </w:numPr>
        <w:spacing w:before="240"/>
        <w:jc w:val="both"/>
        <w:rPr>
          <w:rFonts w:cs="Arial"/>
        </w:rPr>
      </w:pPr>
      <w:r w:rsidRPr="002D6BDA">
        <w:rPr>
          <w:rFonts w:cs="Arial"/>
        </w:rPr>
        <w:t>UK: The current population of diabetic people stands at 5.8 million; approximately 1.3 million individuals might be having unnoticed type 2 diabetes (Diabetes UK, 2026).</w:t>
      </w:r>
    </w:p>
    <w:p w:rsidR="005958AE" w:rsidRPr="002D6BDA" w:rsidRDefault="005958AE" w:rsidP="002D6BDA">
      <w:pPr>
        <w:pStyle w:val="ListParagraph"/>
        <w:numPr>
          <w:ilvl w:val="0"/>
          <w:numId w:val="11"/>
        </w:numPr>
        <w:spacing w:before="240"/>
        <w:jc w:val="both"/>
        <w:rPr>
          <w:rFonts w:cs="Arial"/>
        </w:rPr>
      </w:pPr>
      <w:r w:rsidRPr="002D6BDA">
        <w:rPr>
          <w:rFonts w:cs="Arial"/>
        </w:rPr>
        <w:t>England: in 2023-24, the level of recorded non-diabetic hyperglycemia increased to 8.2% (NHS England Digital, 2024).</w:t>
      </w:r>
    </w:p>
    <w:p w:rsidR="005958AE" w:rsidRPr="002D6BDA" w:rsidRDefault="005958AE" w:rsidP="002D6BDA">
      <w:pPr>
        <w:pStyle w:val="ListParagraph"/>
        <w:numPr>
          <w:ilvl w:val="0"/>
          <w:numId w:val="11"/>
        </w:numPr>
        <w:spacing w:before="240"/>
        <w:jc w:val="both"/>
        <w:rPr>
          <w:rFonts w:cs="Arial"/>
        </w:rPr>
      </w:pPr>
      <w:r w:rsidRPr="002D6BDA">
        <w:rPr>
          <w:rFonts w:cs="Arial"/>
        </w:rPr>
        <w:t xml:space="preserve"> When the barriers to engagement are mitigated, the progression to type 2 diabetes can be slowed down by the lifestyle support and structured </w:t>
      </w:r>
      <w:proofErr w:type="spellStart"/>
      <w:r w:rsidRPr="002D6BDA">
        <w:rPr>
          <w:rFonts w:cs="Arial"/>
        </w:rPr>
        <w:t>program</w:t>
      </w:r>
      <w:r w:rsidR="00496DE1">
        <w:rPr>
          <w:rFonts w:cs="Arial"/>
        </w:rPr>
        <w:t>me</w:t>
      </w:r>
      <w:r w:rsidRPr="002D6BDA">
        <w:rPr>
          <w:rFonts w:cs="Arial"/>
        </w:rPr>
        <w:t>s</w:t>
      </w:r>
      <w:proofErr w:type="spellEnd"/>
      <w:r w:rsidRPr="002D6BDA">
        <w:rPr>
          <w:rFonts w:cs="Arial"/>
        </w:rPr>
        <w:t xml:space="preserve"> (Barron et al., 2022; NHS England, 2025). </w:t>
      </w:r>
    </w:p>
    <w:p w:rsidR="005958AE" w:rsidRPr="002D6BDA" w:rsidRDefault="005958AE" w:rsidP="002D6BDA">
      <w:pPr>
        <w:pStyle w:val="ListParagraph"/>
        <w:numPr>
          <w:ilvl w:val="0"/>
          <w:numId w:val="11"/>
        </w:numPr>
        <w:spacing w:before="240"/>
        <w:jc w:val="both"/>
        <w:rPr>
          <w:rFonts w:cs="Arial"/>
        </w:rPr>
      </w:pPr>
      <w:r w:rsidRPr="002D6BDA">
        <w:rPr>
          <w:rFonts w:cs="Arial"/>
        </w:rPr>
        <w:t>Prevention to young adults can fit the work and study schedules and address the factors of inequality (Marmot, 2020; WHO, 2024).</w:t>
      </w:r>
    </w:p>
    <w:p w:rsidR="002F351F" w:rsidRPr="00F80C78" w:rsidRDefault="00000000" w:rsidP="002B38B9">
      <w:pPr>
        <w:pStyle w:val="Heading1"/>
        <w:rPr>
          <w:rFonts w:ascii="Arial" w:hAnsi="Arial" w:cs="Arial"/>
          <w:color w:val="000000" w:themeColor="text1"/>
        </w:rPr>
      </w:pPr>
      <w:bookmarkStart w:id="1" w:name="_Toc222429410"/>
      <w:r w:rsidRPr="00F80C78">
        <w:rPr>
          <w:rFonts w:ascii="Arial" w:hAnsi="Arial" w:cs="Arial"/>
          <w:color w:val="000000" w:themeColor="text1"/>
        </w:rPr>
        <w:t>Understanding diabetes and why prevention matters in ages 18–39</w:t>
      </w:r>
      <w:bookmarkEnd w:id="1"/>
    </w:p>
    <w:p w:rsidR="005958AE" w:rsidRDefault="005958AE">
      <w:pPr>
        <w:jc w:val="both"/>
        <w:rPr>
          <w:rFonts w:cs="Arial"/>
        </w:rPr>
      </w:pPr>
      <w:r w:rsidRPr="002D6BDA">
        <w:rPr>
          <w:rFonts w:cs="Arial"/>
        </w:rPr>
        <w:t>Diabetes mellitus refers to the conditions where the blood glucose is continuously elevated. Type 1 diabetes is caused by an autoimmune destruction of the beta cells and must be treated by insulin throughout life; it cannot be prevented at the moment. Type 2 diabetes is a condition that entails insulin resistance and gradual beta cell failure and is highly affected by the modifiable risk factors (NICE, 2022a; NICE, 2022b). Gestational diabetes is hyperglycemia initially identified during pregnancy and which anticipates the subsequent type 2 diabetes (NICE, 2020).</w:t>
      </w:r>
    </w:p>
    <w:p w:rsidR="00771142" w:rsidRPr="002D6BDA" w:rsidRDefault="00771142">
      <w:pPr>
        <w:jc w:val="both"/>
        <w:rPr>
          <w:rFonts w:cs="Arial"/>
        </w:rPr>
      </w:pPr>
    </w:p>
    <w:p w:rsidR="00771142" w:rsidRPr="002D6BDA" w:rsidRDefault="00771142">
      <w:pPr>
        <w:jc w:val="both"/>
        <w:rPr>
          <w:rFonts w:cs="Arial"/>
        </w:rPr>
      </w:pPr>
      <w:r>
        <w:rPr>
          <w:rFonts w:cs="Arial"/>
          <w:noProof/>
        </w:rPr>
        <w:lastRenderedPageBreak/>
        <w:drawing>
          <wp:anchor distT="0" distB="0" distL="114300" distR="114300" simplePos="0" relativeHeight="251650560" behindDoc="0" locked="0" layoutInCell="1" allowOverlap="1" wp14:anchorId="66CC2DE9">
            <wp:simplePos x="0" y="0"/>
            <wp:positionH relativeFrom="margin">
              <wp:posOffset>10160</wp:posOffset>
            </wp:positionH>
            <wp:positionV relativeFrom="margin">
              <wp:posOffset>837565</wp:posOffset>
            </wp:positionV>
            <wp:extent cx="3251835" cy="5454650"/>
            <wp:effectExtent l="19050" t="19050" r="24765" b="12700"/>
            <wp:wrapSquare wrapText="bothSides"/>
            <wp:docPr id="10155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51835" cy="5454650"/>
                    </a:xfrm>
                    <a:prstGeom prst="rect">
                      <a:avLst/>
                    </a:prstGeom>
                    <a:noFill/>
                    <a:ln>
                      <a:solidFill>
                        <a:schemeClr val="bg1"/>
                      </a:solidFill>
                    </a:ln>
                  </pic:spPr>
                </pic:pic>
              </a:graphicData>
            </a:graphic>
            <wp14:sizeRelH relativeFrom="page">
              <wp14:pctWidth>0</wp14:pctWidth>
            </wp14:sizeRelH>
            <wp14:sizeRelV relativeFrom="page">
              <wp14:pctHeight>0</wp14:pctHeight>
            </wp14:sizeRelV>
          </wp:anchor>
        </w:drawing>
      </w:r>
      <w:r w:rsidR="005958AE" w:rsidRPr="002D6BDA">
        <w:rPr>
          <w:rFonts w:cs="Arial"/>
        </w:rPr>
        <w:t xml:space="preserve"> There are three layers of prevention: primary prevention minimizes the risk of type 2 diabetes; secondary prevention diagnoses and manages non-diabetic hyperglycemia without the progression of the illness; tertiary prevention minimizes complications by managing the risk factors and conducting annual examinations (NICE, 2022b).</w:t>
      </w:r>
    </w:p>
    <w:p w:rsidR="002F351F" w:rsidRPr="002D6BDA" w:rsidRDefault="00000000">
      <w:pPr>
        <w:spacing w:before="240"/>
        <w:rPr>
          <w:rFonts w:cs="Arial"/>
        </w:rPr>
      </w:pPr>
      <w:r w:rsidRPr="002D6BDA">
        <w:rPr>
          <w:rFonts w:cs="Arial"/>
          <w:b/>
        </w:rPr>
        <w:t>Common symptoms and when to seek testing</w:t>
      </w:r>
    </w:p>
    <w:p w:rsidR="002D6F14" w:rsidRDefault="005958AE" w:rsidP="00893FFC">
      <w:pPr>
        <w:jc w:val="both"/>
        <w:rPr>
          <w:rFonts w:cs="Arial"/>
        </w:rPr>
      </w:pPr>
      <w:r w:rsidRPr="002D6BDA">
        <w:rPr>
          <w:rFonts w:cs="Arial"/>
        </w:rPr>
        <w:t xml:space="preserve">Risk-based testing is important in the ages of 18-39 because type 2 diabetes may remain silent over the years. </w:t>
      </w:r>
    </w:p>
    <w:p w:rsidR="002D6F14" w:rsidRDefault="005958AE" w:rsidP="002D6F14">
      <w:pPr>
        <w:pStyle w:val="ListParagraph"/>
        <w:numPr>
          <w:ilvl w:val="0"/>
          <w:numId w:val="19"/>
        </w:numPr>
        <w:jc w:val="both"/>
        <w:rPr>
          <w:rFonts w:cs="Arial"/>
        </w:rPr>
      </w:pPr>
      <w:r w:rsidRPr="002D6F14">
        <w:rPr>
          <w:rFonts w:cs="Arial"/>
        </w:rPr>
        <w:t xml:space="preserve">Consult a GP or NHS services in case of symptoms or numerous risk factors, in particular, family history or high-risk ethnicity (NHS, 2025; NHS England, 2025). </w:t>
      </w:r>
    </w:p>
    <w:p w:rsidR="002D6F14" w:rsidRDefault="005958AE" w:rsidP="002D6F14">
      <w:pPr>
        <w:pStyle w:val="ListParagraph"/>
        <w:numPr>
          <w:ilvl w:val="0"/>
          <w:numId w:val="19"/>
        </w:numPr>
        <w:jc w:val="both"/>
        <w:rPr>
          <w:rFonts w:cs="Arial"/>
        </w:rPr>
      </w:pPr>
      <w:r w:rsidRPr="002D6F14">
        <w:rPr>
          <w:rFonts w:cs="Arial"/>
        </w:rPr>
        <w:t>The symptoms that can be signs of hyperglycemia include excessive thirst, frequent urination, inexplicable fatigue, blurred vision and slow healing wounds (NHS, 2024a).</w:t>
      </w:r>
      <w:r w:rsidR="00893FFC" w:rsidRPr="002D6F14">
        <w:rPr>
          <w:rFonts w:cs="Arial"/>
        </w:rPr>
        <w:t xml:space="preserve"> </w:t>
      </w:r>
    </w:p>
    <w:p w:rsidR="005958AE" w:rsidRPr="002D6F14" w:rsidRDefault="005958AE" w:rsidP="002D6F14">
      <w:pPr>
        <w:pStyle w:val="ListParagraph"/>
        <w:numPr>
          <w:ilvl w:val="0"/>
          <w:numId w:val="19"/>
        </w:numPr>
        <w:jc w:val="both"/>
        <w:rPr>
          <w:rFonts w:cs="Arial"/>
        </w:rPr>
      </w:pPr>
      <w:r w:rsidRPr="002D6F14">
        <w:rPr>
          <w:rFonts w:cs="Arial"/>
        </w:rPr>
        <w:t xml:space="preserve">Such urgent symptoms as vomiting, abdominal pain and rapid breathing can be a symptom of diabetic ketoacidosis (especially in type 1) and it needs immediate medical assistance (NICE, 2022a). </w:t>
      </w:r>
    </w:p>
    <w:p w:rsidR="002F351F" w:rsidRPr="00F80C78" w:rsidRDefault="00000000" w:rsidP="002B38B9">
      <w:pPr>
        <w:pStyle w:val="Heading1"/>
        <w:rPr>
          <w:rFonts w:ascii="Arial" w:hAnsi="Arial" w:cs="Arial"/>
          <w:color w:val="000000" w:themeColor="text1"/>
        </w:rPr>
      </w:pPr>
      <w:bookmarkStart w:id="2" w:name="_Toc222429411"/>
      <w:r w:rsidRPr="00F80C78">
        <w:rPr>
          <w:rFonts w:ascii="Arial" w:hAnsi="Arial" w:cs="Arial"/>
          <w:color w:val="000000" w:themeColor="text1"/>
        </w:rPr>
        <w:t>Burden and prevalence: global and UK</w:t>
      </w:r>
      <w:bookmarkEnd w:id="2"/>
      <w:r w:rsidRPr="00F80C78">
        <w:rPr>
          <w:rFonts w:ascii="Arial" w:hAnsi="Arial" w:cs="Arial"/>
          <w:color w:val="000000" w:themeColor="text1"/>
        </w:rPr>
        <w:t xml:space="preserve"> </w:t>
      </w:r>
    </w:p>
    <w:p w:rsidR="00893FFC" w:rsidRDefault="005958AE" w:rsidP="002B38B9">
      <w:pPr>
        <w:jc w:val="both"/>
        <w:rPr>
          <w:rFonts w:cs="Arial"/>
        </w:rPr>
      </w:pPr>
      <w:r w:rsidRPr="005958AE">
        <w:rPr>
          <w:rFonts w:cs="Arial"/>
        </w:rPr>
        <w:t>Diabetes is one of the significant causes of cardiovascular disease, kidney disease, vision loss, and neuropathy. WHO points out that in 2021 more than 2 million deaths were related to diabetes and diabetic kidney disease, and that elevated blood glucose levels cause cardiovascular mortality above the known diabetes (WHO, 2024).</w:t>
      </w:r>
    </w:p>
    <w:p w:rsidR="002F351F" w:rsidRPr="002D6BDA" w:rsidRDefault="00000000" w:rsidP="00893FFC">
      <w:pPr>
        <w:jc w:val="center"/>
        <w:rPr>
          <w:rFonts w:cs="Arial"/>
        </w:rPr>
      </w:pPr>
      <w:r w:rsidRPr="002D6BDA">
        <w:rPr>
          <w:rFonts w:cs="Arial"/>
          <w:noProof/>
        </w:rPr>
        <w:lastRenderedPageBreak/>
        <w:drawing>
          <wp:inline distT="0" distB="0" distL="0" distR="0">
            <wp:extent cx="3826933" cy="252349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global_diabetes.png"/>
                    <pic:cNvPicPr/>
                  </pic:nvPicPr>
                  <pic:blipFill rotWithShape="1">
                    <a:blip r:embed="rId10"/>
                    <a:srcRect t="8911"/>
                    <a:stretch>
                      <a:fillRect/>
                    </a:stretch>
                  </pic:blipFill>
                  <pic:spPr bwMode="auto">
                    <a:xfrm>
                      <a:off x="0" y="0"/>
                      <a:ext cx="3847601" cy="2537119"/>
                    </a:xfrm>
                    <a:prstGeom prst="rect">
                      <a:avLst/>
                    </a:prstGeom>
                    <a:ln>
                      <a:noFill/>
                    </a:ln>
                    <a:extLst>
                      <a:ext uri="{53640926-AAD7-44D8-BBD7-CCE9431645EC}">
                        <a14:shadowObscured xmlns:a14="http://schemas.microsoft.com/office/drawing/2010/main"/>
                      </a:ext>
                    </a:extLst>
                  </pic:spPr>
                </pic:pic>
              </a:graphicData>
            </a:graphic>
          </wp:inline>
        </w:drawing>
      </w:r>
    </w:p>
    <w:p w:rsidR="002F351F" w:rsidRPr="002D6BDA" w:rsidRDefault="00000000">
      <w:pPr>
        <w:jc w:val="center"/>
        <w:rPr>
          <w:rFonts w:cs="Arial"/>
        </w:rPr>
      </w:pPr>
      <w:r w:rsidRPr="002D6BDA">
        <w:rPr>
          <w:rFonts w:cs="Arial"/>
          <w:i/>
        </w:rPr>
        <w:t>Figure: Adults (20–79) living with diabetes worldwide in 2024 and projected 2050.</w:t>
      </w:r>
    </w:p>
    <w:p w:rsidR="002F351F" w:rsidRPr="002D6BDA" w:rsidRDefault="00000000">
      <w:pPr>
        <w:jc w:val="center"/>
        <w:rPr>
          <w:rFonts w:cs="Arial"/>
        </w:rPr>
      </w:pPr>
      <w:r w:rsidRPr="002D6BDA">
        <w:rPr>
          <w:rFonts w:cs="Arial"/>
          <w:i/>
        </w:rPr>
        <w:t>Source: IDF Diabetes Atlas 11th edition global factsheet (IDF, 2025).</w:t>
      </w:r>
    </w:p>
    <w:p w:rsidR="005958AE" w:rsidRPr="002D6BDA" w:rsidRDefault="005958AE">
      <w:pPr>
        <w:jc w:val="both"/>
        <w:rPr>
          <w:rFonts w:cs="Arial"/>
        </w:rPr>
      </w:pPr>
      <w:r w:rsidRPr="002D6BDA">
        <w:rPr>
          <w:rFonts w:cs="Arial"/>
        </w:rPr>
        <w:t xml:space="preserve">International Diabetes Federation predicts 589 million adults (20-79) with diabetes and 853 million with diabetes in 2024 and 2050 respectively, and enormous health expenditure (IDF, 2025). This scale is significant to young adults since prevention will lower exposure to risk in lifetime and demand to health services in the future. </w:t>
      </w:r>
    </w:p>
    <w:p w:rsidR="00893FFC" w:rsidRDefault="005958AE" w:rsidP="00893FFC">
      <w:pPr>
        <w:jc w:val="both"/>
        <w:rPr>
          <w:rFonts w:cs="Arial"/>
        </w:rPr>
      </w:pPr>
      <w:r w:rsidRPr="002D6BDA">
        <w:rPr>
          <w:rFonts w:cs="Arial"/>
        </w:rPr>
        <w:t>In the UK, Diabetes UK estimates that there are 5.8 million individuals with diabetes (4.6 million with diabetes; approximately 1.3 million with potentially undiagnosed type 2 diabetes) (Diabetes UK, 2026). The number of people with under-40 type 2 diabetes is on the increase, reaching nearly 168,000 in the UK (Diabetes UK, 2024).</w:t>
      </w:r>
    </w:p>
    <w:p w:rsidR="002F351F" w:rsidRPr="002D6BDA" w:rsidRDefault="00000000" w:rsidP="00893FFC">
      <w:pPr>
        <w:jc w:val="center"/>
        <w:rPr>
          <w:rFonts w:cs="Arial"/>
        </w:rPr>
      </w:pPr>
      <w:r w:rsidRPr="002D6BDA">
        <w:rPr>
          <w:rFonts w:cs="Arial"/>
          <w:noProof/>
        </w:rPr>
        <w:drawing>
          <wp:inline distT="0" distB="0" distL="0" distR="0">
            <wp:extent cx="4148667" cy="2620010"/>
            <wp:effectExtent l="0" t="0" r="444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uk_diabetes_stack.png"/>
                    <pic:cNvPicPr/>
                  </pic:nvPicPr>
                  <pic:blipFill rotWithShape="1">
                    <a:blip r:embed="rId11"/>
                    <a:srcRect t="8910"/>
                    <a:stretch>
                      <a:fillRect/>
                    </a:stretch>
                  </pic:blipFill>
                  <pic:spPr bwMode="auto">
                    <a:xfrm>
                      <a:off x="0" y="0"/>
                      <a:ext cx="4157255" cy="2625434"/>
                    </a:xfrm>
                    <a:prstGeom prst="rect">
                      <a:avLst/>
                    </a:prstGeom>
                    <a:ln>
                      <a:noFill/>
                    </a:ln>
                    <a:extLst>
                      <a:ext uri="{53640926-AAD7-44D8-BBD7-CCE9431645EC}">
                        <a14:shadowObscured xmlns:a14="http://schemas.microsoft.com/office/drawing/2010/main"/>
                      </a:ext>
                    </a:extLst>
                  </pic:spPr>
                </pic:pic>
              </a:graphicData>
            </a:graphic>
          </wp:inline>
        </w:drawing>
      </w:r>
    </w:p>
    <w:p w:rsidR="002F351F" w:rsidRPr="002D6BDA" w:rsidRDefault="00000000">
      <w:pPr>
        <w:jc w:val="center"/>
        <w:rPr>
          <w:rFonts w:cs="Arial"/>
        </w:rPr>
      </w:pPr>
      <w:r w:rsidRPr="002D6BDA">
        <w:rPr>
          <w:rFonts w:cs="Arial"/>
          <w:i/>
        </w:rPr>
        <w:t>Figure: UK estimate of diagnosed diabetes and estimated undiagnosed type 2 diabetes (2023–24 registrations).</w:t>
      </w:r>
    </w:p>
    <w:p w:rsidR="002F351F" w:rsidRPr="002D6BDA" w:rsidRDefault="00000000">
      <w:pPr>
        <w:jc w:val="center"/>
        <w:rPr>
          <w:rFonts w:cs="Arial"/>
        </w:rPr>
      </w:pPr>
      <w:r w:rsidRPr="002D6BDA">
        <w:rPr>
          <w:rFonts w:cs="Arial"/>
          <w:i/>
        </w:rPr>
        <w:t>Source: Diabetes UK statistics (Diabetes UK, 2026).</w:t>
      </w:r>
    </w:p>
    <w:p w:rsidR="00893FFC" w:rsidRDefault="005958AE" w:rsidP="00893FFC">
      <w:pPr>
        <w:jc w:val="both"/>
        <w:rPr>
          <w:rFonts w:cs="Arial"/>
        </w:rPr>
      </w:pPr>
      <w:r w:rsidRPr="002D6BDA">
        <w:rPr>
          <w:rFonts w:cs="Arial"/>
        </w:rPr>
        <w:lastRenderedPageBreak/>
        <w:t xml:space="preserve">Non-diabetic hyperglycemia prevalence in England reported by QOF increased to 8.2% (2023-24) compared to 7.1% (2022-23). It is one of the main prevention indicators as it helps to recognize individuals who can get a structured intervention like the NHS Diabetes Prevention </w:t>
      </w:r>
      <w:proofErr w:type="spellStart"/>
      <w:r w:rsidRPr="002D6BDA">
        <w:rPr>
          <w:rFonts w:cs="Arial"/>
        </w:rPr>
        <w:t>Program</w:t>
      </w:r>
      <w:r w:rsidR="004F59D4">
        <w:rPr>
          <w:rFonts w:cs="Arial"/>
        </w:rPr>
        <w:t>me</w:t>
      </w:r>
      <w:proofErr w:type="spellEnd"/>
      <w:r w:rsidRPr="002D6BDA">
        <w:rPr>
          <w:rFonts w:cs="Arial"/>
        </w:rPr>
        <w:t xml:space="preserve"> (NHS England Digital, 2024; NHS England, 2025).</w:t>
      </w:r>
    </w:p>
    <w:p w:rsidR="002F351F" w:rsidRPr="002D6BDA" w:rsidRDefault="00000000" w:rsidP="00893FFC">
      <w:pPr>
        <w:jc w:val="center"/>
        <w:rPr>
          <w:rFonts w:cs="Arial"/>
        </w:rPr>
      </w:pPr>
      <w:r w:rsidRPr="002D6BDA">
        <w:rPr>
          <w:rFonts w:cs="Arial"/>
          <w:noProof/>
        </w:rPr>
        <w:drawing>
          <wp:inline distT="0" distB="0" distL="0" distR="0">
            <wp:extent cx="4579980" cy="22186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ndh_qof.png"/>
                    <pic:cNvPicPr/>
                  </pic:nvPicPr>
                  <pic:blipFill rotWithShape="1">
                    <a:blip r:embed="rId12"/>
                    <a:srcRect t="8694"/>
                    <a:stretch>
                      <a:fillRect/>
                    </a:stretch>
                  </pic:blipFill>
                  <pic:spPr bwMode="auto">
                    <a:xfrm>
                      <a:off x="0" y="0"/>
                      <a:ext cx="4621812" cy="2238926"/>
                    </a:xfrm>
                    <a:prstGeom prst="rect">
                      <a:avLst/>
                    </a:prstGeom>
                    <a:ln>
                      <a:noFill/>
                    </a:ln>
                    <a:extLst>
                      <a:ext uri="{53640926-AAD7-44D8-BBD7-CCE9431645EC}">
                        <a14:shadowObscured xmlns:a14="http://schemas.microsoft.com/office/drawing/2010/main"/>
                      </a:ext>
                    </a:extLst>
                  </pic:spPr>
                </pic:pic>
              </a:graphicData>
            </a:graphic>
          </wp:inline>
        </w:drawing>
      </w:r>
    </w:p>
    <w:p w:rsidR="002F351F" w:rsidRPr="002D6BDA" w:rsidRDefault="00000000">
      <w:pPr>
        <w:jc w:val="center"/>
        <w:rPr>
          <w:rFonts w:cs="Arial"/>
        </w:rPr>
      </w:pPr>
      <w:r w:rsidRPr="002D6BDA">
        <w:rPr>
          <w:rFonts w:cs="Arial"/>
          <w:i/>
        </w:rPr>
        <w:t>Figure: England QOF recorded prevalence of non-diabetic hyperglycaemia (18+), 2022–23 and 2023–24.</w:t>
      </w:r>
    </w:p>
    <w:p w:rsidR="002F351F" w:rsidRPr="002D6BDA" w:rsidRDefault="00000000">
      <w:pPr>
        <w:jc w:val="center"/>
        <w:rPr>
          <w:rFonts w:cs="Arial"/>
        </w:rPr>
      </w:pPr>
      <w:r w:rsidRPr="002D6BDA">
        <w:rPr>
          <w:rFonts w:cs="Arial"/>
          <w:i/>
        </w:rPr>
        <w:t>Source: NHS England Digital QOF main findings (NHS England Digital, 2024).</w:t>
      </w:r>
    </w:p>
    <w:p w:rsidR="002F351F" w:rsidRPr="002D6BDA" w:rsidRDefault="00000000">
      <w:pPr>
        <w:spacing w:before="240"/>
        <w:rPr>
          <w:rFonts w:cs="Arial"/>
        </w:rPr>
      </w:pPr>
      <w:r w:rsidRPr="002D6BDA">
        <w:rPr>
          <w:rFonts w:cs="Arial"/>
          <w:b/>
        </w:rPr>
        <w:t>Table 1. Prevention indicators relevant to ages 18–39</w:t>
      </w:r>
    </w:p>
    <w:tbl>
      <w:tblPr>
        <w:tblStyle w:val="TableGrid"/>
        <w:tblW w:w="0" w:type="auto"/>
        <w:tblLook w:val="04A0" w:firstRow="1" w:lastRow="0" w:firstColumn="1" w:lastColumn="0" w:noHBand="0" w:noVBand="1"/>
      </w:tblPr>
      <w:tblGrid>
        <w:gridCol w:w="2409"/>
        <w:gridCol w:w="2409"/>
        <w:gridCol w:w="2409"/>
        <w:gridCol w:w="2409"/>
      </w:tblGrid>
      <w:tr w:rsidR="002F351F" w:rsidRPr="002D6BDA">
        <w:tc>
          <w:tcPr>
            <w:tcW w:w="2409" w:type="dxa"/>
          </w:tcPr>
          <w:p w:rsidR="002F351F" w:rsidRPr="002D6BDA" w:rsidRDefault="00000000">
            <w:pPr>
              <w:rPr>
                <w:rFonts w:cs="Arial"/>
                <w:b/>
                <w:bCs/>
              </w:rPr>
            </w:pPr>
            <w:r w:rsidRPr="002D6BDA">
              <w:rPr>
                <w:rFonts w:cs="Arial"/>
                <w:b/>
                <w:bCs/>
              </w:rPr>
              <w:t>Indicator</w:t>
            </w:r>
          </w:p>
        </w:tc>
        <w:tc>
          <w:tcPr>
            <w:tcW w:w="2409" w:type="dxa"/>
          </w:tcPr>
          <w:p w:rsidR="002F351F" w:rsidRPr="002D6BDA" w:rsidRDefault="00000000">
            <w:pPr>
              <w:rPr>
                <w:rFonts w:cs="Arial"/>
                <w:b/>
                <w:bCs/>
              </w:rPr>
            </w:pPr>
            <w:r w:rsidRPr="002D6BDA">
              <w:rPr>
                <w:rFonts w:cs="Arial"/>
                <w:b/>
                <w:bCs/>
              </w:rPr>
              <w:t>Global</w:t>
            </w:r>
          </w:p>
        </w:tc>
        <w:tc>
          <w:tcPr>
            <w:tcW w:w="2409" w:type="dxa"/>
          </w:tcPr>
          <w:p w:rsidR="002F351F" w:rsidRPr="002D6BDA" w:rsidRDefault="00000000">
            <w:pPr>
              <w:rPr>
                <w:rFonts w:cs="Arial"/>
                <w:b/>
                <w:bCs/>
              </w:rPr>
            </w:pPr>
            <w:r w:rsidRPr="002D6BDA">
              <w:rPr>
                <w:rFonts w:cs="Arial"/>
                <w:b/>
                <w:bCs/>
              </w:rPr>
              <w:t>UK</w:t>
            </w:r>
          </w:p>
        </w:tc>
        <w:tc>
          <w:tcPr>
            <w:tcW w:w="2409" w:type="dxa"/>
          </w:tcPr>
          <w:p w:rsidR="002F351F" w:rsidRPr="002D6BDA" w:rsidRDefault="00000000">
            <w:pPr>
              <w:rPr>
                <w:rFonts w:cs="Arial"/>
                <w:b/>
                <w:bCs/>
              </w:rPr>
            </w:pPr>
            <w:r w:rsidRPr="002D6BDA">
              <w:rPr>
                <w:rFonts w:cs="Arial"/>
                <w:b/>
                <w:bCs/>
              </w:rPr>
              <w:t>Prevention relevance</w:t>
            </w:r>
          </w:p>
        </w:tc>
      </w:tr>
      <w:tr w:rsidR="002F351F" w:rsidRPr="002D6BDA">
        <w:tc>
          <w:tcPr>
            <w:tcW w:w="2409" w:type="dxa"/>
          </w:tcPr>
          <w:p w:rsidR="002F351F" w:rsidRPr="002D6BDA" w:rsidRDefault="00000000">
            <w:pPr>
              <w:rPr>
                <w:rFonts w:cs="Arial"/>
              </w:rPr>
            </w:pPr>
            <w:r w:rsidRPr="002D6BDA">
              <w:rPr>
                <w:rFonts w:cs="Arial"/>
              </w:rPr>
              <w:t>Adults living with diabetes</w:t>
            </w:r>
          </w:p>
        </w:tc>
        <w:tc>
          <w:tcPr>
            <w:tcW w:w="2409" w:type="dxa"/>
          </w:tcPr>
          <w:p w:rsidR="002F351F" w:rsidRPr="002D6BDA" w:rsidRDefault="00000000">
            <w:pPr>
              <w:rPr>
                <w:rFonts w:cs="Arial"/>
              </w:rPr>
            </w:pPr>
            <w:r w:rsidRPr="002D6BDA">
              <w:rPr>
                <w:rFonts w:cs="Arial"/>
              </w:rPr>
              <w:t>589m in 2024; 853m projected 2050 (IDF, 2025)</w:t>
            </w:r>
          </w:p>
        </w:tc>
        <w:tc>
          <w:tcPr>
            <w:tcW w:w="2409" w:type="dxa"/>
          </w:tcPr>
          <w:p w:rsidR="002F351F" w:rsidRPr="002D6BDA" w:rsidRDefault="00000000">
            <w:pPr>
              <w:rPr>
                <w:rFonts w:cs="Arial"/>
              </w:rPr>
            </w:pPr>
            <w:r w:rsidRPr="002D6BDA">
              <w:rPr>
                <w:rFonts w:cs="Arial"/>
              </w:rPr>
              <w:t>5.8m living with diabetes (Diabetes UK, 2026)</w:t>
            </w:r>
          </w:p>
        </w:tc>
        <w:tc>
          <w:tcPr>
            <w:tcW w:w="2409" w:type="dxa"/>
          </w:tcPr>
          <w:p w:rsidR="002F351F" w:rsidRPr="002D6BDA" w:rsidRDefault="00000000">
            <w:pPr>
              <w:rPr>
                <w:rFonts w:cs="Arial"/>
              </w:rPr>
            </w:pPr>
            <w:r w:rsidRPr="002D6BDA">
              <w:rPr>
                <w:rFonts w:cs="Arial"/>
              </w:rPr>
              <w:t>Earlier onset means longer lifetime exposure and higher cumulative risk.</w:t>
            </w:r>
          </w:p>
        </w:tc>
      </w:tr>
      <w:tr w:rsidR="002F351F" w:rsidRPr="002D6BDA">
        <w:tc>
          <w:tcPr>
            <w:tcW w:w="2409" w:type="dxa"/>
          </w:tcPr>
          <w:p w:rsidR="002F351F" w:rsidRPr="002D6BDA" w:rsidRDefault="00000000">
            <w:pPr>
              <w:rPr>
                <w:rFonts w:cs="Arial"/>
              </w:rPr>
            </w:pPr>
            <w:r w:rsidRPr="002D6BDA">
              <w:rPr>
                <w:rFonts w:cs="Arial"/>
              </w:rPr>
              <w:t>High-risk population</w:t>
            </w:r>
          </w:p>
        </w:tc>
        <w:tc>
          <w:tcPr>
            <w:tcW w:w="2409" w:type="dxa"/>
          </w:tcPr>
          <w:p w:rsidR="002F351F" w:rsidRPr="002D6BDA" w:rsidRDefault="00000000">
            <w:pPr>
              <w:rPr>
                <w:rFonts w:cs="Arial"/>
              </w:rPr>
            </w:pPr>
            <w:r w:rsidRPr="002D6BDA">
              <w:rPr>
                <w:rFonts w:cs="Arial"/>
              </w:rPr>
              <w:t>252m undiagnosed worldwide (IDF, 2025)</w:t>
            </w:r>
          </w:p>
        </w:tc>
        <w:tc>
          <w:tcPr>
            <w:tcW w:w="2409" w:type="dxa"/>
          </w:tcPr>
          <w:p w:rsidR="002F351F" w:rsidRPr="002D6BDA" w:rsidRDefault="00000000">
            <w:pPr>
              <w:rPr>
                <w:rFonts w:cs="Arial"/>
              </w:rPr>
            </w:pPr>
            <w:r w:rsidRPr="002D6BDA">
              <w:rPr>
                <w:rFonts w:cs="Arial"/>
              </w:rPr>
              <w:t xml:space="preserve">NDH 8.2% England; </w:t>
            </w:r>
            <w:r w:rsidR="00893FFC">
              <w:rPr>
                <w:rFonts w:cs="Arial"/>
              </w:rPr>
              <w:t xml:space="preserve">Approximately </w:t>
            </w:r>
            <w:r w:rsidRPr="002D6BDA">
              <w:rPr>
                <w:rFonts w:cs="Arial"/>
              </w:rPr>
              <w:t>1.3m undiagnosed type 2 (NHS England Digital, 2024; Diabetes UK, 2026)</w:t>
            </w:r>
          </w:p>
        </w:tc>
        <w:tc>
          <w:tcPr>
            <w:tcW w:w="2409" w:type="dxa"/>
          </w:tcPr>
          <w:p w:rsidR="002F351F" w:rsidRPr="002D6BDA" w:rsidRDefault="00000000">
            <w:pPr>
              <w:rPr>
                <w:rFonts w:cs="Arial"/>
              </w:rPr>
            </w:pPr>
            <w:r w:rsidRPr="002D6BDA">
              <w:rPr>
                <w:rFonts w:cs="Arial"/>
              </w:rPr>
              <w:t>Early identification enables prevention programmes and follow-up.</w:t>
            </w:r>
          </w:p>
        </w:tc>
      </w:tr>
      <w:tr w:rsidR="002F351F" w:rsidRPr="002D6BDA">
        <w:tc>
          <w:tcPr>
            <w:tcW w:w="2409" w:type="dxa"/>
          </w:tcPr>
          <w:p w:rsidR="002F351F" w:rsidRPr="002D6BDA" w:rsidRDefault="00000000">
            <w:pPr>
              <w:rPr>
                <w:rFonts w:cs="Arial"/>
              </w:rPr>
            </w:pPr>
            <w:r w:rsidRPr="002D6BDA">
              <w:rPr>
                <w:rFonts w:cs="Arial"/>
              </w:rPr>
              <w:t>Young-onset trend</w:t>
            </w:r>
          </w:p>
        </w:tc>
        <w:tc>
          <w:tcPr>
            <w:tcW w:w="2409" w:type="dxa"/>
          </w:tcPr>
          <w:p w:rsidR="002F351F" w:rsidRPr="002D6BDA" w:rsidRDefault="00000000">
            <w:pPr>
              <w:rPr>
                <w:rFonts w:cs="Arial"/>
              </w:rPr>
            </w:pPr>
            <w:r w:rsidRPr="002D6BDA">
              <w:rPr>
                <w:rFonts w:cs="Arial"/>
              </w:rPr>
              <w:t>Rising burden in multiple regions (Luk, 2025)</w:t>
            </w:r>
          </w:p>
        </w:tc>
        <w:tc>
          <w:tcPr>
            <w:tcW w:w="2409" w:type="dxa"/>
          </w:tcPr>
          <w:p w:rsidR="002F351F" w:rsidRPr="002D6BDA" w:rsidRDefault="00000000">
            <w:pPr>
              <w:rPr>
                <w:rFonts w:cs="Arial"/>
              </w:rPr>
            </w:pPr>
            <w:r w:rsidRPr="002D6BDA">
              <w:rPr>
                <w:rFonts w:cs="Arial"/>
              </w:rPr>
              <w:t>Under-40 type 2 rising (Diabetes UK, 2024)</w:t>
            </w:r>
          </w:p>
        </w:tc>
        <w:tc>
          <w:tcPr>
            <w:tcW w:w="2409" w:type="dxa"/>
          </w:tcPr>
          <w:p w:rsidR="002F351F" w:rsidRPr="002D6BDA" w:rsidRDefault="00000000">
            <w:pPr>
              <w:rPr>
                <w:rFonts w:cs="Arial"/>
              </w:rPr>
            </w:pPr>
            <w:r w:rsidRPr="002D6BDA">
              <w:rPr>
                <w:rFonts w:cs="Arial"/>
              </w:rPr>
              <w:t>Tailored prevention for workplaces, universities and digital channels is needed.</w:t>
            </w:r>
          </w:p>
        </w:tc>
      </w:tr>
    </w:tbl>
    <w:p w:rsidR="002F351F" w:rsidRPr="002D6BDA" w:rsidRDefault="00000000">
      <w:pPr>
        <w:rPr>
          <w:rFonts w:cs="Arial"/>
        </w:rPr>
      </w:pPr>
      <w:r w:rsidRPr="002D6BDA">
        <w:rPr>
          <w:rFonts w:cs="Arial"/>
          <w:i/>
        </w:rPr>
        <w:t>Table sources: IDF (2025); Diabetes UK (2024; 2026); NHS England Digital (2024); Luk (2025).</w:t>
      </w:r>
    </w:p>
    <w:p w:rsidR="002F351F" w:rsidRPr="00F80C78" w:rsidRDefault="00000000" w:rsidP="002B38B9">
      <w:pPr>
        <w:pStyle w:val="Heading1"/>
        <w:rPr>
          <w:rFonts w:ascii="Arial" w:hAnsi="Arial" w:cs="Arial"/>
          <w:color w:val="000000" w:themeColor="text1"/>
        </w:rPr>
      </w:pPr>
      <w:bookmarkStart w:id="3" w:name="_Toc222429412"/>
      <w:r w:rsidRPr="00F80C78">
        <w:rPr>
          <w:rFonts w:ascii="Arial" w:hAnsi="Arial" w:cs="Arial"/>
          <w:color w:val="000000" w:themeColor="text1"/>
        </w:rPr>
        <w:lastRenderedPageBreak/>
        <w:t xml:space="preserve">Risk factors and </w:t>
      </w:r>
      <w:r w:rsidR="002B38B9" w:rsidRPr="00F80C78">
        <w:rPr>
          <w:rFonts w:ascii="Arial" w:hAnsi="Arial" w:cs="Arial"/>
          <w:color w:val="000000" w:themeColor="text1"/>
        </w:rPr>
        <w:t>Aetiology</w:t>
      </w:r>
      <w:r w:rsidRPr="00F80C78">
        <w:rPr>
          <w:rFonts w:ascii="Arial" w:hAnsi="Arial" w:cs="Arial"/>
          <w:color w:val="000000" w:themeColor="text1"/>
        </w:rPr>
        <w:t xml:space="preserve"> in young adults (18–39)</w:t>
      </w:r>
      <w:bookmarkEnd w:id="3"/>
    </w:p>
    <w:p w:rsidR="001505A8" w:rsidRPr="002D6BDA" w:rsidRDefault="001505A8">
      <w:pPr>
        <w:jc w:val="both"/>
        <w:rPr>
          <w:rFonts w:cs="Arial"/>
        </w:rPr>
      </w:pPr>
      <w:r w:rsidRPr="002D6BDA">
        <w:rPr>
          <w:rFonts w:cs="Arial"/>
        </w:rPr>
        <w:t xml:space="preserve">Diabetes type 2 occurs when insulin resistance and beta cell malfunction occur to an irreversible point. The central adiposity and inactivity are the strongest determinants of insulin resistance; however, stress, sleep, and the food environment are also contributing to the risk. Notably, risk is patterned socially: food availability, housing, income and discrimination have an impact on behavior and physiology (Marmot, 2020; WHO, 2024). </w:t>
      </w:r>
    </w:p>
    <w:p w:rsidR="001505A8" w:rsidRPr="002D6BDA" w:rsidRDefault="001505A8">
      <w:pPr>
        <w:jc w:val="both"/>
        <w:rPr>
          <w:rFonts w:cs="Arial"/>
        </w:rPr>
      </w:pPr>
      <w:r w:rsidRPr="002D6BDA">
        <w:rPr>
          <w:rFonts w:cs="Arial"/>
        </w:rPr>
        <w:t xml:space="preserve">An important aspect of practice is not to make prevention seem like an individual responsibility. Stigma may diminish screening and </w:t>
      </w:r>
      <w:proofErr w:type="spellStart"/>
      <w:r w:rsidRPr="002D6BDA">
        <w:rPr>
          <w:rFonts w:cs="Arial"/>
        </w:rPr>
        <w:t>program</w:t>
      </w:r>
      <w:r w:rsidR="00496DE1">
        <w:rPr>
          <w:rFonts w:cs="Arial"/>
        </w:rPr>
        <w:t>me</w:t>
      </w:r>
      <w:r w:rsidRPr="002D6BDA">
        <w:rPr>
          <w:rFonts w:cs="Arial"/>
        </w:rPr>
        <w:t>s</w:t>
      </w:r>
      <w:proofErr w:type="spellEnd"/>
      <w:r w:rsidRPr="002D6BDA">
        <w:rPr>
          <w:rFonts w:cs="Arial"/>
        </w:rPr>
        <w:t xml:space="preserve"> interest, and therefore supportive and practical change should be communicated and the environments that influence decisions should be enhanced (Morales-Brown et al., 2024; WHO, 2024).</w:t>
      </w:r>
    </w:p>
    <w:p w:rsidR="002F351F" w:rsidRPr="002D6BDA" w:rsidRDefault="00000000">
      <w:pPr>
        <w:spacing w:before="240"/>
        <w:rPr>
          <w:rFonts w:cs="Arial"/>
        </w:rPr>
      </w:pPr>
      <w:r w:rsidRPr="002D6BDA">
        <w:rPr>
          <w:rFonts w:cs="Arial"/>
          <w:b/>
        </w:rPr>
        <w:t xml:space="preserve"> </w:t>
      </w:r>
      <w:r w:rsidR="001505A8" w:rsidRPr="002D6BDA">
        <w:rPr>
          <w:rFonts w:cs="Arial"/>
          <w:b/>
        </w:rPr>
        <w:t>Non-modifiable</w:t>
      </w:r>
      <w:r w:rsidRPr="002D6BDA">
        <w:rPr>
          <w:rFonts w:cs="Arial"/>
          <w:b/>
        </w:rPr>
        <w:t xml:space="preserve"> risk factors</w:t>
      </w:r>
    </w:p>
    <w:p w:rsidR="002F351F" w:rsidRPr="002D6BDA" w:rsidRDefault="00000000">
      <w:pPr>
        <w:pStyle w:val="ListBullet"/>
        <w:jc w:val="both"/>
        <w:rPr>
          <w:rFonts w:cs="Arial"/>
        </w:rPr>
      </w:pPr>
      <w:r w:rsidRPr="002D6BDA">
        <w:rPr>
          <w:rFonts w:cs="Arial"/>
        </w:rPr>
        <w:t>Family history and genetic susceptibility, including monogenic forms that may need specialist assessment (ADA, 2024).</w:t>
      </w:r>
    </w:p>
    <w:p w:rsidR="002F351F" w:rsidRPr="002D6BDA" w:rsidRDefault="00000000">
      <w:pPr>
        <w:pStyle w:val="ListBullet"/>
        <w:jc w:val="both"/>
        <w:rPr>
          <w:rFonts w:cs="Arial"/>
        </w:rPr>
      </w:pPr>
      <w:r w:rsidRPr="002D6BDA">
        <w:rPr>
          <w:rFonts w:cs="Arial"/>
        </w:rPr>
        <w:t>Ethnicity: risk can occur at lower BMI thresholds for South Asian and some Black ethnic groups (NICE, 2023).</w:t>
      </w:r>
    </w:p>
    <w:p w:rsidR="001505A8" w:rsidRPr="002D6BDA" w:rsidRDefault="001505A8">
      <w:pPr>
        <w:pStyle w:val="ListBullet"/>
        <w:jc w:val="both"/>
        <w:rPr>
          <w:rFonts w:cs="Arial"/>
        </w:rPr>
      </w:pPr>
      <w:r w:rsidRPr="002D6BDA">
        <w:rPr>
          <w:rFonts w:cs="Arial"/>
        </w:rPr>
        <w:t>Past of gestational diabetes or polycystic ovary syndrome (NICE, 2020).</w:t>
      </w:r>
    </w:p>
    <w:p w:rsidR="002F351F" w:rsidRPr="002D6BDA" w:rsidRDefault="00000000">
      <w:pPr>
        <w:spacing w:before="240"/>
        <w:rPr>
          <w:rFonts w:cs="Arial"/>
        </w:rPr>
      </w:pPr>
      <w:r w:rsidRPr="002D6BDA">
        <w:rPr>
          <w:rFonts w:cs="Arial"/>
          <w:b/>
        </w:rPr>
        <w:t>Modifiable risk factors</w:t>
      </w:r>
    </w:p>
    <w:p w:rsidR="001505A8" w:rsidRPr="002D6BDA" w:rsidRDefault="001505A8">
      <w:pPr>
        <w:jc w:val="both"/>
        <w:rPr>
          <w:rFonts w:cs="Arial"/>
        </w:rPr>
      </w:pPr>
      <w:r w:rsidRPr="002D6BDA">
        <w:rPr>
          <w:rFonts w:cs="Arial"/>
        </w:rPr>
        <w:t xml:space="preserve">The landmark prevention studies indicate that sustained lifestyle change prevents the occurrence of diabetes and the present-day programs put this into practice (Knowler et al., 2002; </w:t>
      </w:r>
      <w:proofErr w:type="spellStart"/>
      <w:r w:rsidRPr="002D6BDA">
        <w:rPr>
          <w:rFonts w:cs="Arial"/>
        </w:rPr>
        <w:t>Tuomilehto</w:t>
      </w:r>
      <w:proofErr w:type="spellEnd"/>
      <w:r w:rsidRPr="002D6BDA">
        <w:rPr>
          <w:rFonts w:cs="Arial"/>
        </w:rPr>
        <w:t xml:space="preserve"> et al., 2001; NHS England, 2025). </w:t>
      </w:r>
    </w:p>
    <w:p w:rsidR="001505A8" w:rsidRPr="002D6BDA" w:rsidRDefault="004F59D4" w:rsidP="001505A8">
      <w:pPr>
        <w:pStyle w:val="ListParagraph"/>
        <w:numPr>
          <w:ilvl w:val="0"/>
          <w:numId w:val="13"/>
        </w:numPr>
        <w:jc w:val="both"/>
        <w:rPr>
          <w:rFonts w:cs="Arial"/>
        </w:rPr>
      </w:pPr>
      <w:r w:rsidRPr="004F59D4">
        <w:rPr>
          <w:rFonts w:cs="Arial"/>
        </w:rPr>
        <w:t>P</w:t>
      </w:r>
      <w:r w:rsidR="001505A8" w:rsidRPr="004F59D4">
        <w:rPr>
          <w:rFonts w:cs="Arial"/>
        </w:rPr>
        <w:t>revalence</w:t>
      </w:r>
      <w:r w:rsidR="001505A8" w:rsidRPr="002D6BDA">
        <w:rPr>
          <w:rFonts w:cs="Arial"/>
        </w:rPr>
        <w:t xml:space="preserve"> of obesity over 24 years old in England (NHS England Digital, 2022). </w:t>
      </w:r>
    </w:p>
    <w:p w:rsidR="001505A8" w:rsidRPr="002D6BDA" w:rsidRDefault="004F59D4" w:rsidP="001505A8">
      <w:pPr>
        <w:pStyle w:val="ListParagraph"/>
        <w:numPr>
          <w:ilvl w:val="0"/>
          <w:numId w:val="13"/>
        </w:numPr>
        <w:jc w:val="both"/>
        <w:rPr>
          <w:rFonts w:cs="Arial"/>
        </w:rPr>
      </w:pPr>
      <w:r w:rsidRPr="004F59D4">
        <w:rPr>
          <w:rFonts w:cs="Arial"/>
        </w:rPr>
        <w:t>L</w:t>
      </w:r>
      <w:r w:rsidR="001505A8" w:rsidRPr="004F59D4">
        <w:rPr>
          <w:rFonts w:cs="Arial"/>
        </w:rPr>
        <w:t>ow</w:t>
      </w:r>
      <w:r w:rsidR="001505A8" w:rsidRPr="002D6BDA">
        <w:rPr>
          <w:rFonts w:cs="Arial"/>
        </w:rPr>
        <w:t xml:space="preserve"> fiber and sugar-sweetened beverages raise the risk</w:t>
      </w:r>
      <w:r>
        <w:rPr>
          <w:rFonts w:cs="Arial"/>
        </w:rPr>
        <w:t>. Hi</w:t>
      </w:r>
      <w:r w:rsidR="001505A8" w:rsidRPr="002D6BDA">
        <w:rPr>
          <w:rFonts w:cs="Arial"/>
        </w:rPr>
        <w:t xml:space="preserve">gher </w:t>
      </w:r>
      <w:r w:rsidRPr="002D6BDA">
        <w:rPr>
          <w:rFonts w:cs="Arial"/>
        </w:rPr>
        <w:t>fiber</w:t>
      </w:r>
      <w:r w:rsidR="001505A8" w:rsidRPr="002D6BDA">
        <w:rPr>
          <w:rFonts w:cs="Arial"/>
        </w:rPr>
        <w:t xml:space="preserve"> and dietary reduced ultra-processed foods lower the risk (Diabetes UK, 2026a; WHO, 2024).</w:t>
      </w:r>
    </w:p>
    <w:p w:rsidR="001505A8" w:rsidRPr="002D6BDA" w:rsidRDefault="001505A8" w:rsidP="001505A8">
      <w:pPr>
        <w:pStyle w:val="ListParagraph"/>
        <w:numPr>
          <w:ilvl w:val="0"/>
          <w:numId w:val="13"/>
        </w:numPr>
        <w:jc w:val="both"/>
        <w:rPr>
          <w:rFonts w:cs="Arial"/>
        </w:rPr>
      </w:pPr>
      <w:r w:rsidRPr="004F59D4">
        <w:rPr>
          <w:rFonts w:cs="Arial"/>
        </w:rPr>
        <w:t>Physical inactivity and sitting time</w:t>
      </w:r>
      <w:r w:rsidR="004F59D4" w:rsidRPr="004F59D4">
        <w:rPr>
          <w:rFonts w:cs="Arial"/>
        </w:rPr>
        <w:t xml:space="preserve"> such as</w:t>
      </w:r>
      <w:r w:rsidR="004F59D4">
        <w:rPr>
          <w:rFonts w:cs="Arial"/>
          <w:b/>
          <w:bCs/>
        </w:rPr>
        <w:t xml:space="preserve"> </w:t>
      </w:r>
      <w:r w:rsidR="004F59D4" w:rsidRPr="002D6BDA">
        <w:rPr>
          <w:rFonts w:cs="Arial"/>
        </w:rPr>
        <w:t>desk</w:t>
      </w:r>
      <w:r w:rsidRPr="002D6BDA">
        <w:rPr>
          <w:rFonts w:cs="Arial"/>
        </w:rPr>
        <w:t xml:space="preserve">-based jobs; the target is 150 minutes per week and strength exercises (NHS, 2024). </w:t>
      </w:r>
    </w:p>
    <w:p w:rsidR="001505A8" w:rsidRPr="002D6BDA" w:rsidRDefault="001505A8" w:rsidP="001505A8">
      <w:pPr>
        <w:pStyle w:val="ListParagraph"/>
        <w:numPr>
          <w:ilvl w:val="0"/>
          <w:numId w:val="13"/>
        </w:numPr>
        <w:jc w:val="both"/>
        <w:rPr>
          <w:rFonts w:cs="Arial"/>
        </w:rPr>
      </w:pPr>
      <w:r w:rsidRPr="002D6BDA">
        <w:rPr>
          <w:rFonts w:cs="Arial"/>
        </w:rPr>
        <w:t xml:space="preserve">Smoking, alcohol overconsumption, lack of sleep and chronic stress, which also lower the </w:t>
      </w:r>
      <w:proofErr w:type="spellStart"/>
      <w:r w:rsidRPr="002D6BDA">
        <w:rPr>
          <w:rFonts w:cs="Arial"/>
        </w:rPr>
        <w:t>program</w:t>
      </w:r>
      <w:r w:rsidR="00496DE1">
        <w:rPr>
          <w:rFonts w:cs="Arial"/>
        </w:rPr>
        <w:t>me</w:t>
      </w:r>
      <w:proofErr w:type="spellEnd"/>
      <w:r w:rsidRPr="002D6BDA">
        <w:rPr>
          <w:rFonts w:cs="Arial"/>
        </w:rPr>
        <w:t xml:space="preserve"> engagement (WHO, 2024; Luk, 2025).</w:t>
      </w:r>
    </w:p>
    <w:p w:rsidR="001505A8" w:rsidRPr="002D6BDA" w:rsidRDefault="00000000" w:rsidP="00893FFC">
      <w:pPr>
        <w:spacing w:before="240"/>
        <w:rPr>
          <w:rFonts w:cs="Arial"/>
        </w:rPr>
      </w:pPr>
      <w:r w:rsidRPr="002D6BDA">
        <w:rPr>
          <w:rFonts w:cs="Arial"/>
          <w:b/>
        </w:rPr>
        <w:t>Young adult life-stage drivers</w:t>
      </w:r>
    </w:p>
    <w:p w:rsidR="001505A8" w:rsidRPr="002D6BDA" w:rsidRDefault="001505A8" w:rsidP="001505A8">
      <w:pPr>
        <w:pStyle w:val="ListBullet"/>
        <w:jc w:val="both"/>
        <w:rPr>
          <w:rFonts w:cs="Arial"/>
        </w:rPr>
      </w:pPr>
      <w:r w:rsidRPr="002D6BDA">
        <w:rPr>
          <w:rFonts w:cs="Arial"/>
        </w:rPr>
        <w:t>Leaving home or going to work: time constriction, cooking facilities and budget constraints.</w:t>
      </w:r>
    </w:p>
    <w:p w:rsidR="001505A8" w:rsidRPr="002D6BDA" w:rsidRDefault="001505A8" w:rsidP="001505A8">
      <w:pPr>
        <w:pStyle w:val="ListBullet"/>
        <w:jc w:val="both"/>
        <w:rPr>
          <w:rFonts w:cs="Arial"/>
        </w:rPr>
      </w:pPr>
      <w:r w:rsidRPr="002D6BDA">
        <w:rPr>
          <w:rFonts w:cs="Arial"/>
        </w:rPr>
        <w:t>Change of shift and commuting: sleep loss and loss of the opportunity to have regular meals and exercise.</w:t>
      </w:r>
    </w:p>
    <w:p w:rsidR="001505A8" w:rsidRPr="002D6BDA" w:rsidRDefault="001505A8" w:rsidP="001505A8">
      <w:pPr>
        <w:pStyle w:val="ListBullet"/>
        <w:jc w:val="both"/>
        <w:rPr>
          <w:rFonts w:cs="Arial"/>
        </w:rPr>
      </w:pPr>
      <w:r w:rsidRPr="002D6BDA">
        <w:rPr>
          <w:rFonts w:cs="Arial"/>
        </w:rPr>
        <w:t xml:space="preserve"> The critical prevention points are pregnancy planning and the post-partum following gestational diabetes (NICE, 2020). </w:t>
      </w:r>
    </w:p>
    <w:p w:rsidR="001505A8" w:rsidRPr="002D6BDA" w:rsidRDefault="001505A8" w:rsidP="001505A8">
      <w:pPr>
        <w:pStyle w:val="ListBullet"/>
        <w:jc w:val="both"/>
        <w:rPr>
          <w:rFonts w:cs="Arial"/>
        </w:rPr>
      </w:pPr>
      <w:r w:rsidRPr="002D6BDA">
        <w:rPr>
          <w:rFonts w:cs="Arial"/>
        </w:rPr>
        <w:lastRenderedPageBreak/>
        <w:t xml:space="preserve">The help seeking and adherence may be compromised by mental health and stigma (Morales-Brown et al., 2024). </w:t>
      </w:r>
    </w:p>
    <w:p w:rsidR="001505A8" w:rsidRPr="002D6BDA" w:rsidRDefault="001505A8" w:rsidP="001505A8">
      <w:pPr>
        <w:pStyle w:val="ListBullet"/>
        <w:jc w:val="both"/>
        <w:rPr>
          <w:rFonts w:cs="Arial"/>
        </w:rPr>
      </w:pPr>
      <w:r w:rsidRPr="002D6BDA">
        <w:rPr>
          <w:rFonts w:cs="Arial"/>
        </w:rPr>
        <w:t>Digital-first support has the potential to make things more convenient, but requires alternatives (NHS England, 2025).</w:t>
      </w:r>
    </w:p>
    <w:p w:rsidR="002F351F" w:rsidRPr="002D6BDA" w:rsidRDefault="00000000">
      <w:pPr>
        <w:spacing w:before="240"/>
        <w:rPr>
          <w:rFonts w:cs="Arial"/>
        </w:rPr>
      </w:pPr>
      <w:r w:rsidRPr="002D6BDA">
        <w:rPr>
          <w:rFonts w:cs="Arial"/>
          <w:b/>
        </w:rPr>
        <w:t>At-a-glance prevention checklist</w:t>
      </w:r>
    </w:p>
    <w:p w:rsidR="002F351F" w:rsidRPr="002D6BDA" w:rsidRDefault="00000000">
      <w:pPr>
        <w:jc w:val="both"/>
        <w:rPr>
          <w:rFonts w:cs="Arial"/>
        </w:rPr>
      </w:pPr>
      <w:r w:rsidRPr="002D6BDA">
        <w:rPr>
          <w:rFonts w:cs="Arial"/>
        </w:rPr>
        <w:t>This checklist can be used in brief consultations or self-review to prioritise prevention actions.</w:t>
      </w:r>
    </w:p>
    <w:tbl>
      <w:tblPr>
        <w:tblStyle w:val="TableGrid"/>
        <w:tblW w:w="0" w:type="auto"/>
        <w:tblLook w:val="04A0" w:firstRow="1" w:lastRow="0" w:firstColumn="1" w:lastColumn="0" w:noHBand="0" w:noVBand="1"/>
      </w:tblPr>
      <w:tblGrid>
        <w:gridCol w:w="3213"/>
        <w:gridCol w:w="3213"/>
        <w:gridCol w:w="3213"/>
      </w:tblGrid>
      <w:tr w:rsidR="002F351F" w:rsidRPr="002D6BDA">
        <w:tc>
          <w:tcPr>
            <w:tcW w:w="3213" w:type="dxa"/>
          </w:tcPr>
          <w:p w:rsidR="002F351F" w:rsidRPr="00024638" w:rsidRDefault="00000000">
            <w:pPr>
              <w:rPr>
                <w:rFonts w:cs="Arial"/>
                <w:b/>
                <w:bCs/>
              </w:rPr>
            </w:pPr>
            <w:r w:rsidRPr="00024638">
              <w:rPr>
                <w:rFonts w:cs="Arial"/>
                <w:b/>
                <w:bCs/>
              </w:rPr>
              <w:t>Area</w:t>
            </w:r>
          </w:p>
        </w:tc>
        <w:tc>
          <w:tcPr>
            <w:tcW w:w="3213" w:type="dxa"/>
          </w:tcPr>
          <w:p w:rsidR="002F351F" w:rsidRPr="00024638" w:rsidRDefault="00000000">
            <w:pPr>
              <w:rPr>
                <w:rFonts w:cs="Arial"/>
                <w:b/>
                <w:bCs/>
              </w:rPr>
            </w:pPr>
            <w:r w:rsidRPr="00024638">
              <w:rPr>
                <w:rFonts w:cs="Arial"/>
                <w:b/>
                <w:bCs/>
              </w:rPr>
              <w:t>Simple target</w:t>
            </w:r>
          </w:p>
        </w:tc>
        <w:tc>
          <w:tcPr>
            <w:tcW w:w="3213" w:type="dxa"/>
          </w:tcPr>
          <w:p w:rsidR="002F351F" w:rsidRPr="00024638" w:rsidRDefault="00000000">
            <w:pPr>
              <w:rPr>
                <w:rFonts w:cs="Arial"/>
                <w:b/>
                <w:bCs/>
              </w:rPr>
            </w:pPr>
            <w:r w:rsidRPr="00024638">
              <w:rPr>
                <w:rFonts w:cs="Arial"/>
                <w:b/>
                <w:bCs/>
              </w:rPr>
              <w:t>Example actions</w:t>
            </w:r>
          </w:p>
        </w:tc>
      </w:tr>
      <w:tr w:rsidR="002F351F" w:rsidRPr="002D6BDA">
        <w:tc>
          <w:tcPr>
            <w:tcW w:w="3213" w:type="dxa"/>
          </w:tcPr>
          <w:p w:rsidR="002F351F" w:rsidRPr="002D6BDA" w:rsidRDefault="00000000">
            <w:pPr>
              <w:rPr>
                <w:rFonts w:cs="Arial"/>
              </w:rPr>
            </w:pPr>
            <w:r w:rsidRPr="002D6BDA">
              <w:rPr>
                <w:rFonts w:cs="Arial"/>
              </w:rPr>
              <w:t>Drinks</w:t>
            </w:r>
          </w:p>
        </w:tc>
        <w:tc>
          <w:tcPr>
            <w:tcW w:w="3213" w:type="dxa"/>
          </w:tcPr>
          <w:p w:rsidR="002F351F" w:rsidRPr="002D6BDA" w:rsidRDefault="00000000">
            <w:pPr>
              <w:rPr>
                <w:rFonts w:cs="Arial"/>
              </w:rPr>
            </w:pPr>
            <w:r w:rsidRPr="002D6BDA">
              <w:rPr>
                <w:rFonts w:cs="Arial"/>
              </w:rPr>
              <w:t>Mostly water / sugar-free</w:t>
            </w:r>
          </w:p>
        </w:tc>
        <w:tc>
          <w:tcPr>
            <w:tcW w:w="3213" w:type="dxa"/>
          </w:tcPr>
          <w:p w:rsidR="002F351F" w:rsidRPr="002D6BDA" w:rsidRDefault="00000000">
            <w:pPr>
              <w:rPr>
                <w:rFonts w:cs="Arial"/>
              </w:rPr>
            </w:pPr>
            <w:r w:rsidRPr="002D6BDA">
              <w:rPr>
                <w:rFonts w:cs="Arial"/>
              </w:rPr>
              <w:t>Swap sugary drinks; keep water available (Diabetes UK, 2026a).</w:t>
            </w:r>
          </w:p>
        </w:tc>
      </w:tr>
      <w:tr w:rsidR="002F351F" w:rsidRPr="002D6BDA">
        <w:tc>
          <w:tcPr>
            <w:tcW w:w="3213" w:type="dxa"/>
          </w:tcPr>
          <w:p w:rsidR="002F351F" w:rsidRPr="002D6BDA" w:rsidRDefault="00000000">
            <w:pPr>
              <w:rPr>
                <w:rFonts w:cs="Arial"/>
              </w:rPr>
            </w:pPr>
            <w:r w:rsidRPr="002D6BDA">
              <w:rPr>
                <w:rFonts w:cs="Arial"/>
              </w:rPr>
              <w:t>Movement</w:t>
            </w:r>
          </w:p>
        </w:tc>
        <w:tc>
          <w:tcPr>
            <w:tcW w:w="3213" w:type="dxa"/>
          </w:tcPr>
          <w:p w:rsidR="002F351F" w:rsidRPr="002D6BDA" w:rsidRDefault="00000000">
            <w:pPr>
              <w:rPr>
                <w:rFonts w:cs="Arial"/>
              </w:rPr>
            </w:pPr>
            <w:r w:rsidRPr="002D6BDA">
              <w:rPr>
                <w:rFonts w:cs="Arial"/>
              </w:rPr>
              <w:t>150 minutes per week</w:t>
            </w:r>
          </w:p>
        </w:tc>
        <w:tc>
          <w:tcPr>
            <w:tcW w:w="3213" w:type="dxa"/>
          </w:tcPr>
          <w:p w:rsidR="002F351F" w:rsidRPr="002D6BDA" w:rsidRDefault="00000000">
            <w:pPr>
              <w:rPr>
                <w:rFonts w:cs="Arial"/>
              </w:rPr>
            </w:pPr>
            <w:r w:rsidRPr="002D6BDA">
              <w:rPr>
                <w:rFonts w:cs="Arial"/>
              </w:rPr>
              <w:t>Brisk walks, cycling, gym classes; stand up regularly (NHS, 2024).</w:t>
            </w:r>
          </w:p>
        </w:tc>
      </w:tr>
      <w:tr w:rsidR="002F351F" w:rsidRPr="002D6BDA">
        <w:tc>
          <w:tcPr>
            <w:tcW w:w="3213" w:type="dxa"/>
          </w:tcPr>
          <w:p w:rsidR="002F351F" w:rsidRPr="002D6BDA" w:rsidRDefault="00000000">
            <w:pPr>
              <w:rPr>
                <w:rFonts w:cs="Arial"/>
              </w:rPr>
            </w:pPr>
            <w:r w:rsidRPr="002D6BDA">
              <w:rPr>
                <w:rFonts w:cs="Arial"/>
              </w:rPr>
              <w:t>Weight / waist</w:t>
            </w:r>
          </w:p>
        </w:tc>
        <w:tc>
          <w:tcPr>
            <w:tcW w:w="3213" w:type="dxa"/>
          </w:tcPr>
          <w:p w:rsidR="002F351F" w:rsidRPr="002D6BDA" w:rsidRDefault="00000000">
            <w:pPr>
              <w:rPr>
                <w:rFonts w:cs="Arial"/>
              </w:rPr>
            </w:pPr>
            <w:r w:rsidRPr="002D6BDA">
              <w:rPr>
                <w:rFonts w:cs="Arial"/>
              </w:rPr>
              <w:t>Avoid upward trend</w:t>
            </w:r>
          </w:p>
        </w:tc>
        <w:tc>
          <w:tcPr>
            <w:tcW w:w="3213" w:type="dxa"/>
          </w:tcPr>
          <w:p w:rsidR="002F351F" w:rsidRPr="002D6BDA" w:rsidRDefault="00000000">
            <w:pPr>
              <w:rPr>
                <w:rFonts w:cs="Arial"/>
              </w:rPr>
            </w:pPr>
            <w:r w:rsidRPr="002D6BDA">
              <w:rPr>
                <w:rFonts w:cs="Arial"/>
              </w:rPr>
              <w:t>Monthly check; early support if rising (NICE, 2023).</w:t>
            </w:r>
          </w:p>
        </w:tc>
      </w:tr>
      <w:tr w:rsidR="002F351F" w:rsidRPr="002D6BDA">
        <w:tc>
          <w:tcPr>
            <w:tcW w:w="3213" w:type="dxa"/>
          </w:tcPr>
          <w:p w:rsidR="002F351F" w:rsidRPr="002D6BDA" w:rsidRDefault="00000000">
            <w:pPr>
              <w:rPr>
                <w:rFonts w:cs="Arial"/>
              </w:rPr>
            </w:pPr>
            <w:r w:rsidRPr="002D6BDA">
              <w:rPr>
                <w:rFonts w:cs="Arial"/>
              </w:rPr>
              <w:t>Sleep</w:t>
            </w:r>
          </w:p>
        </w:tc>
        <w:tc>
          <w:tcPr>
            <w:tcW w:w="3213" w:type="dxa"/>
          </w:tcPr>
          <w:p w:rsidR="002F351F" w:rsidRPr="002D6BDA" w:rsidRDefault="00000000">
            <w:pPr>
              <w:rPr>
                <w:rFonts w:cs="Arial"/>
              </w:rPr>
            </w:pPr>
            <w:r w:rsidRPr="002D6BDA">
              <w:rPr>
                <w:rFonts w:cs="Arial"/>
              </w:rPr>
              <w:t>Consistent routine</w:t>
            </w:r>
          </w:p>
        </w:tc>
        <w:tc>
          <w:tcPr>
            <w:tcW w:w="3213" w:type="dxa"/>
          </w:tcPr>
          <w:p w:rsidR="002F351F" w:rsidRPr="002D6BDA" w:rsidRDefault="00000000">
            <w:pPr>
              <w:rPr>
                <w:rFonts w:cs="Arial"/>
              </w:rPr>
            </w:pPr>
            <w:r w:rsidRPr="002D6BDA">
              <w:rPr>
                <w:rFonts w:cs="Arial"/>
              </w:rPr>
              <w:t>Protect sleep window; plan for shift patterns (Luk, 2025).</w:t>
            </w:r>
          </w:p>
        </w:tc>
      </w:tr>
      <w:tr w:rsidR="002F351F" w:rsidRPr="002D6BDA">
        <w:tc>
          <w:tcPr>
            <w:tcW w:w="3213" w:type="dxa"/>
          </w:tcPr>
          <w:p w:rsidR="002F351F" w:rsidRPr="002D6BDA" w:rsidRDefault="00000000">
            <w:pPr>
              <w:rPr>
                <w:rFonts w:cs="Arial"/>
              </w:rPr>
            </w:pPr>
            <w:r w:rsidRPr="002D6BDA">
              <w:rPr>
                <w:rFonts w:cs="Arial"/>
              </w:rPr>
              <w:t>Support</w:t>
            </w:r>
          </w:p>
        </w:tc>
        <w:tc>
          <w:tcPr>
            <w:tcW w:w="3213" w:type="dxa"/>
          </w:tcPr>
          <w:p w:rsidR="002F351F" w:rsidRPr="002D6BDA" w:rsidRDefault="00000000">
            <w:pPr>
              <w:rPr>
                <w:rFonts w:cs="Arial"/>
              </w:rPr>
            </w:pPr>
            <w:r w:rsidRPr="002D6BDA">
              <w:rPr>
                <w:rFonts w:cs="Arial"/>
              </w:rPr>
              <w:t>Use services early</w:t>
            </w:r>
          </w:p>
        </w:tc>
        <w:tc>
          <w:tcPr>
            <w:tcW w:w="3213" w:type="dxa"/>
          </w:tcPr>
          <w:p w:rsidR="002F351F" w:rsidRPr="002D6BDA" w:rsidRDefault="00000000">
            <w:pPr>
              <w:rPr>
                <w:rFonts w:cs="Arial"/>
              </w:rPr>
            </w:pPr>
            <w:r w:rsidRPr="002D6BDA">
              <w:rPr>
                <w:rFonts w:cs="Arial"/>
              </w:rPr>
              <w:t>Ask about NDH testing and NHS DPP referral (NHS England, 2025).</w:t>
            </w:r>
          </w:p>
        </w:tc>
      </w:tr>
    </w:tbl>
    <w:p w:rsidR="002F351F" w:rsidRPr="00F80C78" w:rsidRDefault="00000000" w:rsidP="00F80C78">
      <w:pPr>
        <w:pStyle w:val="Heading1"/>
        <w:rPr>
          <w:rFonts w:ascii="Arial" w:hAnsi="Arial" w:cs="Arial"/>
          <w:color w:val="000000" w:themeColor="text1"/>
        </w:rPr>
      </w:pPr>
      <w:bookmarkStart w:id="4" w:name="_Toc222429413"/>
      <w:r w:rsidRPr="00F80C78">
        <w:rPr>
          <w:rFonts w:ascii="Arial" w:hAnsi="Arial" w:cs="Arial"/>
          <w:color w:val="000000" w:themeColor="text1"/>
        </w:rPr>
        <w:t>Impact of diabetes</w:t>
      </w:r>
      <w:bookmarkEnd w:id="4"/>
    </w:p>
    <w:p w:rsidR="001505A8" w:rsidRPr="002D6BDA" w:rsidRDefault="001505A8">
      <w:pPr>
        <w:jc w:val="both"/>
        <w:rPr>
          <w:rFonts w:cs="Arial"/>
        </w:rPr>
      </w:pPr>
      <w:r w:rsidRPr="002D6BDA">
        <w:rPr>
          <w:rFonts w:cs="Arial"/>
        </w:rPr>
        <w:t>Diabetes has much more than an impact on glucose. It affects physical health, mental health, relations and socioeconomic involvement. It may interfere with education, early career planning and pregnancy planning and therefore early intervention and prevention is paramount at ages 18-39.</w:t>
      </w:r>
    </w:p>
    <w:p w:rsidR="002F351F" w:rsidRPr="002D6BDA" w:rsidRDefault="00000000">
      <w:pPr>
        <w:spacing w:before="240"/>
        <w:rPr>
          <w:rFonts w:cs="Arial"/>
        </w:rPr>
      </w:pPr>
      <w:r w:rsidRPr="002D6BDA">
        <w:rPr>
          <w:rFonts w:cs="Arial"/>
          <w:b/>
        </w:rPr>
        <w:t>Physical implications</w:t>
      </w:r>
    </w:p>
    <w:p w:rsidR="001505A8" w:rsidRPr="002D6BDA" w:rsidRDefault="001505A8">
      <w:pPr>
        <w:jc w:val="both"/>
        <w:rPr>
          <w:rFonts w:cs="Arial"/>
        </w:rPr>
      </w:pPr>
      <w:r w:rsidRPr="002D6BDA">
        <w:rPr>
          <w:rFonts w:cs="Arial"/>
        </w:rPr>
        <w:t xml:space="preserve">Long-term hyperglycemia leads to microvascular disease (eyes, kidneys, nerves) and </w:t>
      </w:r>
      <w:r w:rsidR="004F59D4">
        <w:rPr>
          <w:rFonts w:cs="Arial"/>
        </w:rPr>
        <w:t>increase</w:t>
      </w:r>
      <w:r w:rsidRPr="002D6BDA">
        <w:rPr>
          <w:rFonts w:cs="Arial"/>
        </w:rPr>
        <w:t xml:space="preserve">s macrovascular disease (heart attack, stroke). Type 2 diabetes develops at an accelerated pace in early childhood, and this is associated with worse long-term survival, in part because it may be exposed to hyperglycemia (Song, 2024; Luk, 2025). In the case of type 1 diabetes, acute risks are ketoacidosis and severe hypoglycemia (NICE, 2022a). </w:t>
      </w:r>
    </w:p>
    <w:p w:rsidR="001505A8" w:rsidRPr="002D6BDA" w:rsidRDefault="001505A8" w:rsidP="001505A8">
      <w:pPr>
        <w:pStyle w:val="ListParagraph"/>
        <w:numPr>
          <w:ilvl w:val="0"/>
          <w:numId w:val="14"/>
        </w:numPr>
        <w:jc w:val="both"/>
        <w:rPr>
          <w:rFonts w:cs="Arial"/>
        </w:rPr>
      </w:pPr>
      <w:r w:rsidRPr="002D6BDA">
        <w:rPr>
          <w:rFonts w:cs="Arial"/>
        </w:rPr>
        <w:lastRenderedPageBreak/>
        <w:t xml:space="preserve">The complications may arise in the optimal working age, which influences self-sufficiency and work (WHO, 2024). </w:t>
      </w:r>
    </w:p>
    <w:p w:rsidR="001505A8" w:rsidRPr="002D6BDA" w:rsidRDefault="001505A8" w:rsidP="001505A8">
      <w:pPr>
        <w:pStyle w:val="ListParagraph"/>
        <w:numPr>
          <w:ilvl w:val="0"/>
          <w:numId w:val="14"/>
        </w:numPr>
        <w:jc w:val="both"/>
        <w:rPr>
          <w:rFonts w:cs="Arial"/>
        </w:rPr>
      </w:pPr>
      <w:r w:rsidRPr="002D6BDA">
        <w:rPr>
          <w:rFonts w:cs="Arial"/>
        </w:rPr>
        <w:t xml:space="preserve">Cardiometabolic clustering (hypertension, dyslipidemia, obesity) needs to be prevented and treated together (NICE, 2022b). </w:t>
      </w:r>
    </w:p>
    <w:p w:rsidR="001505A8" w:rsidRPr="002D6BDA" w:rsidRDefault="001505A8" w:rsidP="001505A8">
      <w:pPr>
        <w:pStyle w:val="ListParagraph"/>
        <w:numPr>
          <w:ilvl w:val="0"/>
          <w:numId w:val="14"/>
        </w:numPr>
        <w:jc w:val="both"/>
        <w:rPr>
          <w:rFonts w:cs="Arial"/>
        </w:rPr>
      </w:pPr>
      <w:r w:rsidRPr="002D6BDA">
        <w:rPr>
          <w:rFonts w:cs="Arial"/>
        </w:rPr>
        <w:t>Risks during pregnancy: diabetes exposes the risk during pregnancy and needs specialist care, so preconception counselling holds significance (NICE, 2020).</w:t>
      </w:r>
    </w:p>
    <w:p w:rsidR="002F351F" w:rsidRPr="002D6BDA" w:rsidRDefault="007C074F">
      <w:pPr>
        <w:spacing w:before="240"/>
        <w:rPr>
          <w:rFonts w:cs="Arial"/>
        </w:rPr>
      </w:pPr>
      <w:r>
        <w:rPr>
          <w:rFonts w:cs="Arial"/>
          <w:noProof/>
        </w:rPr>
        <w:drawing>
          <wp:anchor distT="0" distB="0" distL="114300" distR="114300" simplePos="0" relativeHeight="251664896" behindDoc="0" locked="0" layoutInCell="1" allowOverlap="1" wp14:anchorId="43CD255F">
            <wp:simplePos x="0" y="0"/>
            <wp:positionH relativeFrom="column">
              <wp:posOffset>-3810</wp:posOffset>
            </wp:positionH>
            <wp:positionV relativeFrom="paragraph">
              <wp:posOffset>113030</wp:posOffset>
            </wp:positionV>
            <wp:extent cx="3423920" cy="4480560"/>
            <wp:effectExtent l="0" t="0" r="5080" b="0"/>
            <wp:wrapSquare wrapText="bothSides"/>
            <wp:docPr id="5492045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3920" cy="4480560"/>
                    </a:xfrm>
                    <a:prstGeom prst="rect">
                      <a:avLst/>
                    </a:prstGeom>
                    <a:noFill/>
                  </pic:spPr>
                </pic:pic>
              </a:graphicData>
            </a:graphic>
            <wp14:sizeRelH relativeFrom="page">
              <wp14:pctWidth>0</wp14:pctWidth>
            </wp14:sizeRelH>
            <wp14:sizeRelV relativeFrom="page">
              <wp14:pctHeight>0</wp14:pctHeight>
            </wp14:sizeRelV>
          </wp:anchor>
        </w:drawing>
      </w:r>
      <w:r w:rsidRPr="002D6BDA">
        <w:rPr>
          <w:rFonts w:cs="Arial"/>
          <w:b/>
        </w:rPr>
        <w:t>Psychological implications</w:t>
      </w:r>
    </w:p>
    <w:p w:rsidR="001505A8" w:rsidRPr="002D6BDA" w:rsidRDefault="001505A8">
      <w:pPr>
        <w:jc w:val="both"/>
        <w:rPr>
          <w:rFonts w:cs="Arial"/>
        </w:rPr>
      </w:pPr>
      <w:r w:rsidRPr="002D6BDA">
        <w:rPr>
          <w:rFonts w:cs="Arial"/>
        </w:rPr>
        <w:t xml:space="preserve">There are diabetes distress and stigma that is prevalent and can decrease self-management and use of services. The systematic review points out such themes as constant vigilance, fear of complications and blame, especially in the case of type 2 diabetes (Morales-Brown et al., 2024). </w:t>
      </w:r>
    </w:p>
    <w:p w:rsidR="001505A8" w:rsidRPr="002D6BDA" w:rsidRDefault="001505A8" w:rsidP="001505A8">
      <w:pPr>
        <w:pStyle w:val="ListParagraph"/>
        <w:numPr>
          <w:ilvl w:val="0"/>
          <w:numId w:val="15"/>
        </w:numPr>
        <w:jc w:val="both"/>
        <w:rPr>
          <w:rFonts w:cs="Arial"/>
        </w:rPr>
      </w:pPr>
      <w:r w:rsidRPr="002D6BDA">
        <w:rPr>
          <w:rFonts w:cs="Arial"/>
        </w:rPr>
        <w:t xml:space="preserve">The increased risk of anxiety and depressive symptoms and poor quality of life (WHO, 2024). </w:t>
      </w:r>
    </w:p>
    <w:p w:rsidR="001505A8" w:rsidRPr="002D6BDA" w:rsidRDefault="001505A8" w:rsidP="001505A8">
      <w:pPr>
        <w:pStyle w:val="ListParagraph"/>
        <w:numPr>
          <w:ilvl w:val="0"/>
          <w:numId w:val="15"/>
        </w:numPr>
        <w:jc w:val="both"/>
        <w:rPr>
          <w:rFonts w:cs="Arial"/>
        </w:rPr>
      </w:pPr>
      <w:r w:rsidRPr="002D6BDA">
        <w:rPr>
          <w:rFonts w:cs="Arial"/>
        </w:rPr>
        <w:t xml:space="preserve">Burnout in stressful life situations (exams, changes of work, new parenting). </w:t>
      </w:r>
    </w:p>
    <w:p w:rsidR="001505A8" w:rsidRPr="002D6BDA" w:rsidRDefault="001505A8" w:rsidP="001505A8">
      <w:pPr>
        <w:pStyle w:val="ListParagraph"/>
        <w:numPr>
          <w:ilvl w:val="0"/>
          <w:numId w:val="15"/>
        </w:numPr>
        <w:jc w:val="both"/>
        <w:rPr>
          <w:rFonts w:cs="Arial"/>
        </w:rPr>
      </w:pPr>
      <w:r w:rsidRPr="002D6BDA">
        <w:rPr>
          <w:rFonts w:cs="Arial"/>
        </w:rPr>
        <w:t>Positive language and achievable goal-setting may enhance the engagements and decrease the shame.</w:t>
      </w:r>
    </w:p>
    <w:p w:rsidR="002F351F" w:rsidRPr="002D6BDA" w:rsidRDefault="00000000">
      <w:pPr>
        <w:spacing w:before="240"/>
        <w:rPr>
          <w:rFonts w:cs="Arial"/>
        </w:rPr>
      </w:pPr>
      <w:r w:rsidRPr="002D6BDA">
        <w:rPr>
          <w:rFonts w:cs="Arial"/>
          <w:b/>
        </w:rPr>
        <w:t>Social implications</w:t>
      </w:r>
    </w:p>
    <w:p w:rsidR="002D6F14" w:rsidRDefault="005A7925" w:rsidP="002D6F14">
      <w:pPr>
        <w:jc w:val="both"/>
        <w:rPr>
          <w:rFonts w:cs="Arial"/>
        </w:rPr>
      </w:pPr>
      <w:r w:rsidRPr="002D6BDA">
        <w:rPr>
          <w:rFonts w:cs="Arial"/>
        </w:rPr>
        <w:t xml:space="preserve">Some of the social and economic impacts are missed work because of appointments, difficulty in choosing healthy food options at low costs, and the inability to be active in unsafe or overcrowded places. Inequality determines these problems, and the effort must be both individual and upstream-oriented (Marmot, 2020; UK Government, 2023). </w:t>
      </w:r>
    </w:p>
    <w:p w:rsidR="005A7925" w:rsidRPr="002D6F14" w:rsidRDefault="005A7925" w:rsidP="002D6F14">
      <w:pPr>
        <w:pStyle w:val="ListParagraph"/>
        <w:numPr>
          <w:ilvl w:val="0"/>
          <w:numId w:val="20"/>
        </w:numPr>
        <w:jc w:val="both"/>
        <w:rPr>
          <w:rFonts w:cs="Arial"/>
        </w:rPr>
      </w:pPr>
      <w:r w:rsidRPr="002D6F14">
        <w:rPr>
          <w:rFonts w:cs="Arial"/>
        </w:rPr>
        <w:t xml:space="preserve">Implications on the workplace: the timing of medications and meals can be challenging with the shift patterns, and employer support can enhance the results. </w:t>
      </w:r>
    </w:p>
    <w:p w:rsidR="005A7925" w:rsidRPr="002D6BDA" w:rsidRDefault="005A7925" w:rsidP="005A7925">
      <w:pPr>
        <w:pStyle w:val="ListParagraph"/>
        <w:numPr>
          <w:ilvl w:val="0"/>
          <w:numId w:val="16"/>
        </w:numPr>
        <w:jc w:val="both"/>
        <w:rPr>
          <w:rFonts w:cs="Arial"/>
        </w:rPr>
      </w:pPr>
      <w:r w:rsidRPr="002D6BDA">
        <w:rPr>
          <w:rFonts w:cs="Arial"/>
        </w:rPr>
        <w:t xml:space="preserve">Training and education: there may be instances of missed classes or placements either during acute episodes or appointments. </w:t>
      </w:r>
    </w:p>
    <w:p w:rsidR="005A7925" w:rsidRPr="002D6BDA" w:rsidRDefault="005A7925" w:rsidP="005A7925">
      <w:pPr>
        <w:pStyle w:val="ListParagraph"/>
        <w:numPr>
          <w:ilvl w:val="0"/>
          <w:numId w:val="16"/>
        </w:numPr>
        <w:jc w:val="both"/>
        <w:rPr>
          <w:rFonts w:cs="Arial"/>
        </w:rPr>
      </w:pPr>
      <w:r w:rsidRPr="002D6BDA">
        <w:rPr>
          <w:rFonts w:cs="Arial"/>
        </w:rPr>
        <w:t>Social prescribing and community resources can be significant because financial stress may be a determinant of food preference and decrease physical activity.</w:t>
      </w:r>
    </w:p>
    <w:p w:rsidR="002F351F" w:rsidRPr="002D6BDA" w:rsidRDefault="00000000">
      <w:pPr>
        <w:spacing w:before="240"/>
        <w:rPr>
          <w:rFonts w:cs="Arial"/>
        </w:rPr>
      </w:pPr>
      <w:r w:rsidRPr="002D6BDA">
        <w:rPr>
          <w:rFonts w:cs="Arial"/>
          <w:b/>
        </w:rPr>
        <w:lastRenderedPageBreak/>
        <w:t>Families and carers</w:t>
      </w:r>
    </w:p>
    <w:p w:rsidR="002D6F14" w:rsidRDefault="005A7925" w:rsidP="002D6F14">
      <w:pPr>
        <w:pStyle w:val="ListParagraph"/>
        <w:numPr>
          <w:ilvl w:val="0"/>
          <w:numId w:val="21"/>
        </w:numPr>
        <w:jc w:val="both"/>
        <w:rPr>
          <w:rFonts w:cs="Arial"/>
        </w:rPr>
      </w:pPr>
      <w:r w:rsidRPr="002D6F14">
        <w:rPr>
          <w:rFonts w:cs="Arial"/>
        </w:rPr>
        <w:t xml:space="preserve">Meal planning and emotional support are common among couples and families. Incidentally, with their approval, it can enhance the outcomes and </w:t>
      </w:r>
      <w:r w:rsidR="00893FFC" w:rsidRPr="002D6F14">
        <w:rPr>
          <w:rFonts w:cs="Arial"/>
        </w:rPr>
        <w:t>minimize</w:t>
      </w:r>
      <w:r w:rsidRPr="002D6F14">
        <w:rPr>
          <w:rFonts w:cs="Arial"/>
        </w:rPr>
        <w:t xml:space="preserve"> conflict by engaging them in education and care planning (NICE, 2022b). </w:t>
      </w:r>
    </w:p>
    <w:p w:rsidR="005A7925" w:rsidRPr="002D6F14" w:rsidRDefault="005A7925" w:rsidP="002D6F14">
      <w:pPr>
        <w:pStyle w:val="ListParagraph"/>
        <w:numPr>
          <w:ilvl w:val="0"/>
          <w:numId w:val="21"/>
        </w:numPr>
        <w:jc w:val="both"/>
        <w:rPr>
          <w:rFonts w:cs="Arial"/>
        </w:rPr>
      </w:pPr>
      <w:r w:rsidRPr="002D6F14">
        <w:rPr>
          <w:rFonts w:cs="Arial"/>
        </w:rPr>
        <w:t>Family-based prevention is also useful after gestational diabetes, as well as the future pregnancy and well-being of children (NICE, 2020).</w:t>
      </w:r>
    </w:p>
    <w:p w:rsidR="002F351F" w:rsidRPr="00F80C78" w:rsidRDefault="00000000" w:rsidP="00F80C78">
      <w:pPr>
        <w:pStyle w:val="Heading1"/>
        <w:rPr>
          <w:rFonts w:ascii="Arial" w:hAnsi="Arial" w:cs="Arial"/>
          <w:color w:val="000000" w:themeColor="text1"/>
        </w:rPr>
      </w:pPr>
      <w:bookmarkStart w:id="5" w:name="_Toc222429414"/>
      <w:r w:rsidRPr="00F80C78">
        <w:rPr>
          <w:rFonts w:ascii="Arial" w:hAnsi="Arial" w:cs="Arial"/>
          <w:color w:val="000000" w:themeColor="text1"/>
        </w:rPr>
        <w:t>Evidence-based treatment and support available in the UK (NHS)</w:t>
      </w:r>
      <w:bookmarkEnd w:id="5"/>
    </w:p>
    <w:p w:rsidR="005A7925" w:rsidRPr="002D6BDA" w:rsidRDefault="005A7925">
      <w:pPr>
        <w:jc w:val="both"/>
        <w:rPr>
          <w:rFonts w:cs="Arial"/>
        </w:rPr>
      </w:pPr>
      <w:r w:rsidRPr="002D6BDA">
        <w:rPr>
          <w:rFonts w:cs="Arial"/>
        </w:rPr>
        <w:t>NICE guidelines provide evidence-based directions in the diagnosis, lifestyle support, medicines and monitoring. Prevention is also high-quality diabetes care since it is the control of glucose and cardiovascular risk factors that prevent complications (NICE, 2022a; NICE, 2022b).</w:t>
      </w:r>
    </w:p>
    <w:p w:rsidR="002F351F" w:rsidRPr="002D6BDA" w:rsidRDefault="00000000">
      <w:pPr>
        <w:spacing w:before="240"/>
        <w:rPr>
          <w:rFonts w:cs="Arial"/>
        </w:rPr>
      </w:pPr>
      <w:r w:rsidRPr="002D6BDA">
        <w:rPr>
          <w:rFonts w:cs="Arial"/>
          <w:b/>
        </w:rPr>
        <w:t>Identification and follow-up</w:t>
      </w:r>
    </w:p>
    <w:p w:rsidR="002D6F14" w:rsidRDefault="005A7925" w:rsidP="005A7925">
      <w:pPr>
        <w:pStyle w:val="ListParagraph"/>
        <w:numPr>
          <w:ilvl w:val="0"/>
          <w:numId w:val="17"/>
        </w:numPr>
        <w:jc w:val="both"/>
        <w:rPr>
          <w:rFonts w:cs="Arial"/>
        </w:rPr>
      </w:pPr>
      <w:r w:rsidRPr="002D6BDA">
        <w:rPr>
          <w:rFonts w:cs="Arial"/>
        </w:rPr>
        <w:t xml:space="preserve">The testing is normally risk-based instead of in the NHS Health Cheque age range between ages 18 and 39. </w:t>
      </w:r>
    </w:p>
    <w:p w:rsidR="002D6F14" w:rsidRDefault="005A7925" w:rsidP="005A7925">
      <w:pPr>
        <w:pStyle w:val="ListParagraph"/>
        <w:numPr>
          <w:ilvl w:val="0"/>
          <w:numId w:val="17"/>
        </w:numPr>
        <w:jc w:val="both"/>
        <w:rPr>
          <w:rFonts w:cs="Arial"/>
        </w:rPr>
      </w:pPr>
      <w:r w:rsidRPr="002D6BDA">
        <w:rPr>
          <w:rFonts w:cs="Arial"/>
        </w:rPr>
        <w:t>Registers and opportunistic testing and follow-up of risk factors including obesity, history of hypertension or gestational diabetes can be used in primary care (NHS England, 2025).</w:t>
      </w:r>
    </w:p>
    <w:p w:rsidR="005A7925" w:rsidRPr="002D6BDA" w:rsidRDefault="005A7925" w:rsidP="005A7925">
      <w:pPr>
        <w:pStyle w:val="ListParagraph"/>
        <w:numPr>
          <w:ilvl w:val="0"/>
          <w:numId w:val="17"/>
        </w:numPr>
        <w:jc w:val="both"/>
        <w:rPr>
          <w:rFonts w:cs="Arial"/>
        </w:rPr>
      </w:pPr>
      <w:r w:rsidRPr="002D6BDA">
        <w:rPr>
          <w:rFonts w:cs="Arial"/>
        </w:rPr>
        <w:t xml:space="preserve">Testing HbA1c and plasma glucose identify diabetes and non-diabetic hyperglycemia; the outcomes must initiate follow-up (NHS England Digital, 2024). </w:t>
      </w:r>
    </w:p>
    <w:p w:rsidR="005A7925" w:rsidRPr="002D6BDA" w:rsidRDefault="005A7925" w:rsidP="005A7925">
      <w:pPr>
        <w:pStyle w:val="ListParagraph"/>
        <w:numPr>
          <w:ilvl w:val="0"/>
          <w:numId w:val="17"/>
        </w:numPr>
        <w:jc w:val="both"/>
        <w:rPr>
          <w:rFonts w:cs="Arial"/>
        </w:rPr>
      </w:pPr>
      <w:r w:rsidRPr="002D6BDA">
        <w:rPr>
          <w:rFonts w:cs="Arial"/>
        </w:rPr>
        <w:t>Cheques should be</w:t>
      </w:r>
      <w:r w:rsidR="00496DE1">
        <w:rPr>
          <w:rFonts w:cs="Arial"/>
        </w:rPr>
        <w:t xml:space="preserve"> done</w:t>
      </w:r>
      <w:r w:rsidRPr="002D6BDA">
        <w:rPr>
          <w:rFonts w:cs="Arial"/>
        </w:rPr>
        <w:t xml:space="preserve"> annually with diagnosed diabetes including HbA1c, blood pressure, lipids, kidney, feet, and eyes (NICE, 2022b).</w:t>
      </w:r>
    </w:p>
    <w:p w:rsidR="002F351F" w:rsidRPr="002D6BDA" w:rsidRDefault="00000000">
      <w:pPr>
        <w:spacing w:before="240"/>
        <w:rPr>
          <w:rFonts w:cs="Arial"/>
        </w:rPr>
      </w:pPr>
      <w:r w:rsidRPr="002D6BDA">
        <w:rPr>
          <w:rFonts w:cs="Arial"/>
          <w:b/>
        </w:rPr>
        <w:t>Lifestyle support and education</w:t>
      </w:r>
    </w:p>
    <w:p w:rsidR="005A7925" w:rsidRPr="002D6BDA" w:rsidRDefault="005A7925">
      <w:pPr>
        <w:jc w:val="both"/>
        <w:rPr>
          <w:rFonts w:cs="Arial"/>
        </w:rPr>
      </w:pPr>
      <w:r w:rsidRPr="002D6BDA">
        <w:rPr>
          <w:rFonts w:cs="Arial"/>
        </w:rPr>
        <w:t>The most effective lifestyle support is one that is specific and attainable.</w:t>
      </w:r>
      <w:r w:rsidR="00496DE1" w:rsidRPr="00496DE1">
        <w:t xml:space="preserve"> </w:t>
      </w:r>
      <w:r w:rsidR="00496DE1" w:rsidRPr="00496DE1">
        <w:rPr>
          <w:rFonts w:cs="Arial"/>
        </w:rPr>
        <w:t>For example, replacing sugary drinks with water, increasing dietary fiber, and incorporating active commuting are practical changes linked to a reduced risk of diabetes (Diabetes UK, 2026a; NHS, 2024).</w:t>
      </w:r>
      <w:r w:rsidR="00496DE1">
        <w:rPr>
          <w:rFonts w:cs="Arial"/>
        </w:rPr>
        <w:t xml:space="preserve"> </w:t>
      </w:r>
      <w:r w:rsidRPr="002D6BDA">
        <w:rPr>
          <w:rFonts w:cs="Arial"/>
        </w:rPr>
        <w:t>Knowledge is facilitated by structured education, which should be provided in a flexible form (NICE, 2022b).</w:t>
      </w:r>
    </w:p>
    <w:p w:rsidR="005A7925" w:rsidRPr="002D6BDA" w:rsidRDefault="005A7925" w:rsidP="005A7925">
      <w:pPr>
        <w:pStyle w:val="ListParagraph"/>
        <w:numPr>
          <w:ilvl w:val="0"/>
          <w:numId w:val="18"/>
        </w:numPr>
        <w:jc w:val="both"/>
        <w:rPr>
          <w:rFonts w:cs="Arial"/>
        </w:rPr>
      </w:pPr>
      <w:r w:rsidRPr="002D6BDA">
        <w:rPr>
          <w:rFonts w:cs="Arial"/>
        </w:rPr>
        <w:t xml:space="preserve">Diet: eat more fiber and less sugar beverages and ultra-processed foods (Diabetes UK, 2026a). </w:t>
      </w:r>
    </w:p>
    <w:p w:rsidR="005A7925" w:rsidRPr="002D6BDA" w:rsidRDefault="005A7925" w:rsidP="005A7925">
      <w:pPr>
        <w:pStyle w:val="ListParagraph"/>
        <w:numPr>
          <w:ilvl w:val="0"/>
          <w:numId w:val="18"/>
        </w:numPr>
        <w:jc w:val="both"/>
        <w:rPr>
          <w:rFonts w:cs="Arial"/>
        </w:rPr>
      </w:pPr>
      <w:r w:rsidRPr="002D6BDA">
        <w:rPr>
          <w:rFonts w:cs="Arial"/>
        </w:rPr>
        <w:t xml:space="preserve">Activity: at least 150 minutes a week and strength exercise and less sitting time (NHS, 2024). </w:t>
      </w:r>
    </w:p>
    <w:p w:rsidR="005A7925" w:rsidRPr="002D6BDA" w:rsidRDefault="005A7925" w:rsidP="005A7925">
      <w:pPr>
        <w:pStyle w:val="ListParagraph"/>
        <w:numPr>
          <w:ilvl w:val="0"/>
          <w:numId w:val="18"/>
        </w:numPr>
        <w:jc w:val="both"/>
        <w:rPr>
          <w:rFonts w:cs="Arial"/>
        </w:rPr>
      </w:pPr>
      <w:r w:rsidRPr="002D6BDA">
        <w:rPr>
          <w:rFonts w:cs="Arial"/>
        </w:rPr>
        <w:t>Behavior change: apply goal-setting, action planning and follow-up, as advised by NICE behavior change (NICE, 2021).</w:t>
      </w:r>
    </w:p>
    <w:p w:rsidR="002F351F" w:rsidRPr="002D6BDA" w:rsidRDefault="00000000">
      <w:pPr>
        <w:spacing w:before="240"/>
        <w:rPr>
          <w:rFonts w:cs="Arial"/>
        </w:rPr>
      </w:pPr>
      <w:r w:rsidRPr="002D6BDA">
        <w:rPr>
          <w:rFonts w:cs="Arial"/>
          <w:b/>
        </w:rPr>
        <w:t>NHS Diabetes Prevention Program</w:t>
      </w:r>
    </w:p>
    <w:p w:rsidR="009B364D" w:rsidRDefault="005A7925">
      <w:pPr>
        <w:jc w:val="both"/>
        <w:rPr>
          <w:rFonts w:cs="Arial"/>
        </w:rPr>
      </w:pPr>
      <w:r w:rsidRPr="002D6BDA">
        <w:rPr>
          <w:rFonts w:cs="Arial"/>
        </w:rPr>
        <w:t xml:space="preserve">NHS Diabetes Prevention Program provides organized behavior change of non-diabetic hyperglycemia adults. The analysis by peer-reviewed research indicated that those who participate </w:t>
      </w:r>
      <w:r w:rsidRPr="002D6BDA">
        <w:rPr>
          <w:rFonts w:cs="Arial"/>
        </w:rPr>
        <w:lastRenderedPageBreak/>
        <w:t xml:space="preserve">have been improving in terms of HbA1c and weight have minimized the chances of advancing to type 2 diabetes (Barron et al., 2022). </w:t>
      </w:r>
    </w:p>
    <w:p w:rsidR="005A7925" w:rsidRPr="002D6BDA" w:rsidRDefault="005A7925">
      <w:pPr>
        <w:jc w:val="both"/>
        <w:rPr>
          <w:rFonts w:cs="Arial"/>
        </w:rPr>
      </w:pPr>
      <w:r w:rsidRPr="002D6BDA">
        <w:rPr>
          <w:rFonts w:cs="Arial"/>
        </w:rPr>
        <w:t>But practical effect will be determined by implementation: referrals must go to high-risk populations and the program must be accommodating to work and study schedules. This will involve evening classes, online classes, culturally relevant resources and support like childcare or transportation where possible (NHS England, 2025).</w:t>
      </w:r>
    </w:p>
    <w:p w:rsidR="002F351F" w:rsidRPr="002D6BDA" w:rsidRDefault="00000000">
      <w:pPr>
        <w:spacing w:before="240"/>
        <w:rPr>
          <w:rFonts w:cs="Arial"/>
        </w:rPr>
      </w:pPr>
      <w:r w:rsidRPr="002D6BDA">
        <w:rPr>
          <w:rFonts w:cs="Arial"/>
          <w:b/>
        </w:rPr>
        <w:t>Medicines, technology and remission support</w:t>
      </w:r>
    </w:p>
    <w:p w:rsidR="005A7925" w:rsidRPr="002D6BDA" w:rsidRDefault="005A7925">
      <w:pPr>
        <w:jc w:val="both"/>
        <w:rPr>
          <w:rFonts w:cs="Arial"/>
        </w:rPr>
      </w:pPr>
      <w:r w:rsidRPr="002D6BDA">
        <w:rPr>
          <w:rFonts w:cs="Arial"/>
        </w:rPr>
        <w:t xml:space="preserve">In diabetes type 2, metformin is initially recommended, followed by escalation depending on glycemic control and comorbidity, and the use of SGLT2 and GLP-1 receptor agonists upon the need (NICE, 2022b). In the case of type 1 diabetes, insulin and education and monitoring are necessary (NICE, 2022a). The NHS Path to Remission </w:t>
      </w:r>
      <w:proofErr w:type="spellStart"/>
      <w:r w:rsidRPr="002D6BDA">
        <w:rPr>
          <w:rFonts w:cs="Arial"/>
        </w:rPr>
        <w:t>Program</w:t>
      </w:r>
      <w:r w:rsidR="00496DE1">
        <w:rPr>
          <w:rFonts w:cs="Arial"/>
        </w:rPr>
        <w:t>me</w:t>
      </w:r>
      <w:proofErr w:type="spellEnd"/>
      <w:r w:rsidRPr="002D6BDA">
        <w:rPr>
          <w:rFonts w:cs="Arial"/>
        </w:rPr>
        <w:t xml:space="preserve"> offers diet-based support of low calorie to eligible individuals (NHS England, 2024a; Lean et al., 2018). </w:t>
      </w:r>
    </w:p>
    <w:p w:rsidR="002F351F" w:rsidRPr="002D6BDA" w:rsidRDefault="00000000">
      <w:pPr>
        <w:spacing w:before="240"/>
        <w:rPr>
          <w:rFonts w:cs="Arial"/>
        </w:rPr>
      </w:pPr>
      <w:r w:rsidRPr="002D6BDA">
        <w:rPr>
          <w:rFonts w:cs="Arial"/>
          <w:b/>
        </w:rPr>
        <w:t xml:space="preserve">End-of-life care </w:t>
      </w:r>
    </w:p>
    <w:p w:rsidR="005A7925" w:rsidRPr="002D6BDA" w:rsidRDefault="005A7925">
      <w:pPr>
        <w:jc w:val="both"/>
        <w:rPr>
          <w:rFonts w:cs="Arial"/>
        </w:rPr>
      </w:pPr>
      <w:r w:rsidRPr="002D6BDA">
        <w:rPr>
          <w:rFonts w:cs="Arial"/>
        </w:rPr>
        <w:t>End-of-life diabetes care is centered on comfort and preventing symptomatic hypo- or hyperglycemia, as well as decreasing the burden of treatment, and effective communication within teams (TREND-UK, 2022).</w:t>
      </w:r>
    </w:p>
    <w:p w:rsidR="002F351F" w:rsidRPr="00F80C78" w:rsidRDefault="00000000" w:rsidP="00F80C78">
      <w:pPr>
        <w:pStyle w:val="Heading1"/>
        <w:rPr>
          <w:rFonts w:ascii="Arial" w:hAnsi="Arial" w:cs="Arial"/>
        </w:rPr>
      </w:pPr>
      <w:bookmarkStart w:id="6" w:name="_Toc222429415"/>
      <w:r w:rsidRPr="00F80C78">
        <w:rPr>
          <w:rFonts w:ascii="Arial" w:hAnsi="Arial" w:cs="Arial"/>
          <w:color w:val="000000" w:themeColor="text1"/>
        </w:rPr>
        <w:t>Theoretical perspectives and frameworks (UK and international)</w:t>
      </w:r>
      <w:bookmarkEnd w:id="6"/>
    </w:p>
    <w:p w:rsidR="00493839" w:rsidRPr="002D6BDA" w:rsidRDefault="00F63D08" w:rsidP="00F80C78">
      <w:pPr>
        <w:jc w:val="both"/>
        <w:rPr>
          <w:rFonts w:cs="Arial"/>
        </w:rPr>
      </w:pPr>
      <w:r w:rsidRPr="002D6BDA">
        <w:rPr>
          <w:rFonts w:cs="Arial"/>
        </w:rPr>
        <w:t>Frameworks are useful in providing credible long-term condition care by explaining what should be present to succeed. Two of them are the UK House of Care and the international Chronic Care Model.</w:t>
      </w:r>
    </w:p>
    <w:p w:rsidR="002F351F" w:rsidRPr="002D6BDA" w:rsidRDefault="00000000" w:rsidP="007C074F">
      <w:pPr>
        <w:jc w:val="center"/>
        <w:rPr>
          <w:rFonts w:cs="Arial"/>
        </w:rPr>
      </w:pPr>
      <w:r w:rsidRPr="002D6BDA">
        <w:rPr>
          <w:rFonts w:cs="Arial"/>
          <w:noProof/>
        </w:rPr>
        <w:drawing>
          <wp:inline distT="0" distB="0" distL="0" distR="0">
            <wp:extent cx="4838700" cy="1800225"/>
            <wp:effectExtent l="19050" t="19050" r="19050" b="285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_frameworks.png"/>
                    <pic:cNvPicPr/>
                  </pic:nvPicPr>
                  <pic:blipFill rotWithShape="1">
                    <a:blip r:embed="rId14"/>
                    <a:srcRect t="9419" b="12881"/>
                    <a:stretch>
                      <a:fillRect/>
                    </a:stretch>
                  </pic:blipFill>
                  <pic:spPr bwMode="auto">
                    <a:xfrm>
                      <a:off x="0" y="0"/>
                      <a:ext cx="4843646" cy="1802065"/>
                    </a:xfrm>
                    <a:prstGeom prst="rect">
                      <a:avLst/>
                    </a:prstGeom>
                    <a:ln>
                      <a:solidFill>
                        <a:schemeClr val="tx2"/>
                      </a:solidFill>
                    </a:ln>
                    <a:extLst>
                      <a:ext uri="{53640926-AAD7-44D8-BBD7-CCE9431645EC}">
                        <a14:shadowObscured xmlns:a14="http://schemas.microsoft.com/office/drawing/2010/main"/>
                      </a:ext>
                    </a:extLst>
                  </pic:spPr>
                </pic:pic>
              </a:graphicData>
            </a:graphic>
          </wp:inline>
        </w:drawing>
      </w:r>
    </w:p>
    <w:p w:rsidR="002F351F" w:rsidRPr="002D6BDA" w:rsidRDefault="00000000">
      <w:pPr>
        <w:jc w:val="center"/>
        <w:rPr>
          <w:rFonts w:cs="Arial"/>
        </w:rPr>
      </w:pPr>
      <w:r w:rsidRPr="002D6BDA">
        <w:rPr>
          <w:rFonts w:cs="Arial"/>
          <w:i/>
        </w:rPr>
        <w:t>Figure: Summary of the UK House of Care and the international Chronic Care Model.</w:t>
      </w:r>
    </w:p>
    <w:p w:rsidR="002F351F" w:rsidRPr="002D6BDA" w:rsidRDefault="00000000">
      <w:pPr>
        <w:jc w:val="center"/>
        <w:rPr>
          <w:rFonts w:cs="Arial"/>
        </w:rPr>
      </w:pPr>
      <w:r w:rsidRPr="002D6BDA">
        <w:rPr>
          <w:rFonts w:cs="Arial"/>
          <w:i/>
        </w:rPr>
        <w:t>Source: Based on Coulter et al. (2013) and Wagner et al. (2001).</w:t>
      </w:r>
    </w:p>
    <w:p w:rsidR="007B79D5" w:rsidRDefault="007B79D5">
      <w:pPr>
        <w:spacing w:before="240"/>
        <w:rPr>
          <w:rFonts w:cs="Arial"/>
          <w:b/>
        </w:rPr>
      </w:pPr>
    </w:p>
    <w:p w:rsidR="007B79D5" w:rsidRDefault="007B79D5">
      <w:pPr>
        <w:spacing w:before="240"/>
        <w:rPr>
          <w:rFonts w:cs="Arial"/>
          <w:b/>
        </w:rPr>
      </w:pPr>
    </w:p>
    <w:p w:rsidR="002F351F" w:rsidRPr="002D6BDA" w:rsidRDefault="00000000">
      <w:pPr>
        <w:spacing w:before="240"/>
        <w:rPr>
          <w:rFonts w:cs="Arial"/>
        </w:rPr>
      </w:pPr>
      <w:r w:rsidRPr="002D6BDA">
        <w:rPr>
          <w:rFonts w:cs="Arial"/>
          <w:b/>
        </w:rPr>
        <w:lastRenderedPageBreak/>
        <w:t>UK model: House of Care</w:t>
      </w:r>
    </w:p>
    <w:p w:rsidR="00F63D08" w:rsidRPr="002D6BDA" w:rsidRDefault="00F63D08">
      <w:pPr>
        <w:jc w:val="both"/>
        <w:rPr>
          <w:rFonts w:cs="Arial"/>
        </w:rPr>
      </w:pPr>
      <w:r w:rsidRPr="002D6BDA">
        <w:rPr>
          <w:rFonts w:cs="Arial"/>
        </w:rPr>
        <w:t>The House of Care model lays great emphasis on person-</w:t>
      </w:r>
      <w:r w:rsidR="00893FFC" w:rsidRPr="002D6BDA">
        <w:rPr>
          <w:rFonts w:cs="Arial"/>
        </w:rPr>
        <w:t>centered</w:t>
      </w:r>
      <w:r w:rsidRPr="002D6BDA">
        <w:rPr>
          <w:rFonts w:cs="Arial"/>
        </w:rPr>
        <w:t xml:space="preserve"> and joint care planning, facilitated by knowledgeable and engaged individuals, professional practitioners who work together and </w:t>
      </w:r>
      <w:r w:rsidR="00893FFC" w:rsidRPr="002D6BDA">
        <w:rPr>
          <w:rFonts w:cs="Arial"/>
        </w:rPr>
        <w:t>organizational</w:t>
      </w:r>
      <w:r w:rsidRPr="002D6BDA">
        <w:rPr>
          <w:rFonts w:cs="Arial"/>
        </w:rPr>
        <w:t xml:space="preserve"> systems that facilitate high-quality care delivery (Coulter et al., 2013). Applied to the prevention of type 2 diabetes in young adults, this model will lead to the creation of </w:t>
      </w:r>
      <w:r w:rsidR="00893FFC" w:rsidRPr="002D6BDA">
        <w:rPr>
          <w:rFonts w:cs="Arial"/>
        </w:rPr>
        <w:t>individualized</w:t>
      </w:r>
      <w:r w:rsidRPr="002D6BDA">
        <w:rPr>
          <w:rFonts w:cs="Arial"/>
        </w:rPr>
        <w:t xml:space="preserve"> prevention plans that are in accordance with the lifestyle of a person, his/her education or work obligations, culture, and mental health (NICE, 2022a). </w:t>
      </w:r>
    </w:p>
    <w:p w:rsidR="002F351F" w:rsidRPr="002D6BDA" w:rsidRDefault="00000000">
      <w:pPr>
        <w:spacing w:before="240"/>
        <w:rPr>
          <w:rFonts w:cs="Arial"/>
        </w:rPr>
      </w:pPr>
      <w:r w:rsidRPr="002D6BDA">
        <w:rPr>
          <w:rFonts w:cs="Arial"/>
          <w:b/>
        </w:rPr>
        <w:t>International model: Chronic Care Model</w:t>
      </w:r>
    </w:p>
    <w:p w:rsidR="00F63D08" w:rsidRPr="002D6BDA" w:rsidRDefault="00F63D08">
      <w:pPr>
        <w:jc w:val="both"/>
        <w:rPr>
          <w:rFonts w:cs="Arial"/>
        </w:rPr>
      </w:pPr>
      <w:r w:rsidRPr="002D6BDA">
        <w:rPr>
          <w:rFonts w:cs="Arial"/>
        </w:rPr>
        <w:t xml:space="preserve">Chronic Care Model (CCM) is an international model of enhancing the long-term health outcomes by means of proactive and systematic management (Wagner et al., 2001). The model focuses on main points like self-management support, evidence-based decision making and effective clinical information system. Within the framework of diabetes prevention, the arrangement of </w:t>
      </w:r>
      <w:r w:rsidR="00893FFC" w:rsidRPr="002D6BDA">
        <w:rPr>
          <w:rFonts w:cs="Arial"/>
        </w:rPr>
        <w:t>organized</w:t>
      </w:r>
      <w:r w:rsidRPr="002D6BDA">
        <w:rPr>
          <w:rFonts w:cs="Arial"/>
        </w:rPr>
        <w:t xml:space="preserve"> patient registries of subjects with non-diabetic </w:t>
      </w:r>
      <w:r w:rsidR="00893FFC" w:rsidRPr="002D6BDA">
        <w:rPr>
          <w:rFonts w:cs="Arial"/>
        </w:rPr>
        <w:t>hyperglycemia</w:t>
      </w:r>
      <w:r w:rsidRPr="002D6BDA">
        <w:rPr>
          <w:rFonts w:cs="Arial"/>
        </w:rPr>
        <w:t>, automated referral notifications, and regular monitoring mechanisms</w:t>
      </w:r>
      <w:r w:rsidR="00496DE1">
        <w:rPr>
          <w:rFonts w:cs="Arial"/>
        </w:rPr>
        <w:t xml:space="preserve"> </w:t>
      </w:r>
      <w:r w:rsidR="00496DE1" w:rsidRPr="002D6BDA">
        <w:rPr>
          <w:rFonts w:cs="Arial"/>
        </w:rPr>
        <w:t>(NICE, 2022a)</w:t>
      </w:r>
      <w:r w:rsidR="002D6F14">
        <w:rPr>
          <w:rFonts w:cs="Arial"/>
        </w:rPr>
        <w:t>.</w:t>
      </w:r>
      <w:r w:rsidR="00746A59" w:rsidRPr="00746A59">
        <w:t xml:space="preserve"> </w:t>
      </w:r>
      <w:r w:rsidR="00746A59" w:rsidRPr="00746A59">
        <w:rPr>
          <w:rFonts w:cs="Arial"/>
        </w:rPr>
        <w:t>Overall, the Chronic Care Model highlights that diabetes prevention is most effective when healthcare systems move from reactive treatment to proactive</w:t>
      </w:r>
      <w:r w:rsidR="00746A59">
        <w:rPr>
          <w:rFonts w:cs="Arial"/>
        </w:rPr>
        <w:t xml:space="preserve"> and t</w:t>
      </w:r>
      <w:r w:rsidR="00746A59" w:rsidRPr="00746A59">
        <w:rPr>
          <w:rFonts w:cs="Arial"/>
        </w:rPr>
        <w:t>his approach supports continuity of care</w:t>
      </w:r>
      <w:r w:rsidR="00746A59">
        <w:rPr>
          <w:rFonts w:cs="Arial"/>
        </w:rPr>
        <w:t>.</w:t>
      </w:r>
    </w:p>
    <w:p w:rsidR="002F351F" w:rsidRPr="00F80C78" w:rsidRDefault="00000000" w:rsidP="00F80C78">
      <w:pPr>
        <w:pStyle w:val="Heading1"/>
        <w:rPr>
          <w:rFonts w:ascii="Arial" w:hAnsi="Arial" w:cs="Arial"/>
          <w:color w:val="000000" w:themeColor="text1"/>
        </w:rPr>
      </w:pPr>
      <w:bookmarkStart w:id="7" w:name="_Toc222429416"/>
      <w:r w:rsidRPr="00F80C78">
        <w:rPr>
          <w:rFonts w:ascii="Arial" w:hAnsi="Arial" w:cs="Arial"/>
          <w:color w:val="000000" w:themeColor="text1"/>
        </w:rPr>
        <w:t>Local and national political health and social care agendas</w:t>
      </w:r>
      <w:bookmarkEnd w:id="7"/>
    </w:p>
    <w:p w:rsidR="00F63D08" w:rsidRPr="002D6BDA" w:rsidRDefault="00F63D08">
      <w:pPr>
        <w:jc w:val="both"/>
        <w:rPr>
          <w:rFonts w:cs="Arial"/>
        </w:rPr>
      </w:pPr>
      <w:r w:rsidRPr="002D6BDA">
        <w:rPr>
          <w:rFonts w:cs="Arial"/>
        </w:rPr>
        <w:t xml:space="preserve">NHS priorities, NICE guidelines and the public health policy influence the UK diabetes prevention. The NHS Long Term Plan is focused on prevention and long-term conditions improvement, such as the expansion of the NHS Diabetes Prevention </w:t>
      </w:r>
      <w:proofErr w:type="spellStart"/>
      <w:r w:rsidRPr="002D6BDA">
        <w:rPr>
          <w:rFonts w:cs="Arial"/>
        </w:rPr>
        <w:t>Program</w:t>
      </w:r>
      <w:r w:rsidR="00496DE1">
        <w:rPr>
          <w:rFonts w:cs="Arial"/>
        </w:rPr>
        <w:t>me</w:t>
      </w:r>
      <w:proofErr w:type="spellEnd"/>
      <w:r w:rsidRPr="002D6BDA">
        <w:rPr>
          <w:rFonts w:cs="Arial"/>
        </w:rPr>
        <w:t xml:space="preserve"> (NHS, 2019). The standards of evidence are national standards of commissioning and clinical practice established by NICE guidelines (NICE, 2022a; NICE, 2022b).</w:t>
      </w:r>
    </w:p>
    <w:p w:rsidR="002F351F" w:rsidRPr="002D6BDA" w:rsidRDefault="00000000">
      <w:pPr>
        <w:spacing w:before="240"/>
        <w:rPr>
          <w:rFonts w:cs="Arial"/>
        </w:rPr>
      </w:pPr>
      <w:r w:rsidRPr="002D6BDA">
        <w:rPr>
          <w:rFonts w:cs="Arial"/>
          <w:b/>
        </w:rPr>
        <w:t>How policy shapes prevention in practice</w:t>
      </w:r>
    </w:p>
    <w:p w:rsidR="00F63D08" w:rsidRPr="002D6BDA" w:rsidRDefault="00F63D08" w:rsidP="00F63D08">
      <w:pPr>
        <w:pStyle w:val="ListBullet"/>
        <w:jc w:val="both"/>
        <w:rPr>
          <w:rFonts w:cs="Arial"/>
        </w:rPr>
      </w:pPr>
      <w:r w:rsidRPr="002D6BDA">
        <w:rPr>
          <w:rFonts w:cs="Arial"/>
        </w:rPr>
        <w:t xml:space="preserve">Priorities of the service: prevention program investment, digital access and skills in the workforce. </w:t>
      </w:r>
    </w:p>
    <w:p w:rsidR="00F63D08" w:rsidRPr="002D6BDA" w:rsidRDefault="00F63D08" w:rsidP="00F63D08">
      <w:pPr>
        <w:pStyle w:val="ListBullet"/>
        <w:jc w:val="both"/>
        <w:rPr>
          <w:rFonts w:cs="Arial"/>
        </w:rPr>
      </w:pPr>
      <w:r w:rsidRPr="002D6BDA">
        <w:rPr>
          <w:rFonts w:cs="Arial"/>
        </w:rPr>
        <w:t>Regulation of the public health: fiscal and promotional policies that affect diet such as the Soft Drinks Industry Levy (UK Government, 2023).</w:t>
      </w:r>
    </w:p>
    <w:p w:rsidR="00F63D08" w:rsidRPr="002D6BDA" w:rsidRDefault="00F63D08" w:rsidP="00F63D08">
      <w:pPr>
        <w:pStyle w:val="ListBullet"/>
        <w:jc w:val="both"/>
        <w:rPr>
          <w:rFonts w:cs="Arial"/>
        </w:rPr>
      </w:pPr>
      <w:r w:rsidRPr="002D6BDA">
        <w:rPr>
          <w:rFonts w:cs="Arial"/>
        </w:rPr>
        <w:t xml:space="preserve"> Inequality approach: proportionate universalism means that prevention is common, but more intensive where the need is higher (Marmot, 2020).</w:t>
      </w:r>
    </w:p>
    <w:p w:rsidR="002F351F" w:rsidRPr="002D6BDA" w:rsidRDefault="00F63D08" w:rsidP="00893FFC">
      <w:pPr>
        <w:pStyle w:val="ListBullet"/>
        <w:numPr>
          <w:ilvl w:val="0"/>
          <w:numId w:val="0"/>
        </w:numPr>
        <w:jc w:val="both"/>
        <w:rPr>
          <w:rFonts w:cs="Arial"/>
        </w:rPr>
      </w:pPr>
      <w:r w:rsidRPr="002D6BDA">
        <w:rPr>
          <w:rFonts w:cs="Arial"/>
        </w:rPr>
        <w:t xml:space="preserve"> Assessment of the Soft Drinks Industry Levy suggests significant reformulation and decreased sugar bought by soft drinks, which will help to prevent population-wide (UK Government, 2023). In the locality, Integrated Care Systems and local authorities should apply the services in a manner that does not increase inequalities. Evidence indicates that there is inequality in the referral and </w:t>
      </w:r>
      <w:r w:rsidRPr="002D6BDA">
        <w:rPr>
          <w:rFonts w:cs="Arial"/>
        </w:rPr>
        <w:lastRenderedPageBreak/>
        <w:t>completion based on deprivation and ethnicity, thus equity monitoring and outreach activity is necessary (Barron et al., 2022; NHS England, 2025).</w:t>
      </w:r>
    </w:p>
    <w:p w:rsidR="002F351F" w:rsidRPr="00F80C78" w:rsidRDefault="00000000" w:rsidP="00F80C78">
      <w:pPr>
        <w:pStyle w:val="Heading1"/>
        <w:rPr>
          <w:rFonts w:ascii="Arial" w:hAnsi="Arial" w:cs="Arial"/>
          <w:color w:val="000000" w:themeColor="text1"/>
        </w:rPr>
      </w:pPr>
      <w:bookmarkStart w:id="8" w:name="_Toc222429417"/>
      <w:r w:rsidRPr="00F80C78">
        <w:rPr>
          <w:rFonts w:ascii="Arial" w:hAnsi="Arial" w:cs="Arial"/>
          <w:color w:val="000000" w:themeColor="text1"/>
        </w:rPr>
        <w:t>Recommendations for improvement</w:t>
      </w:r>
      <w:bookmarkEnd w:id="8"/>
    </w:p>
    <w:p w:rsidR="002F351F" w:rsidRPr="002D6BDA" w:rsidRDefault="007C074F">
      <w:pPr>
        <w:spacing w:before="240"/>
        <w:rPr>
          <w:rFonts w:cs="Arial"/>
        </w:rPr>
      </w:pPr>
      <w:r>
        <w:rPr>
          <w:rFonts w:cs="Arial"/>
          <w:noProof/>
        </w:rPr>
        <w:drawing>
          <wp:anchor distT="0" distB="0" distL="114300" distR="114300" simplePos="0" relativeHeight="251660800" behindDoc="0" locked="0" layoutInCell="1" allowOverlap="1" wp14:anchorId="544426F0">
            <wp:simplePos x="0" y="0"/>
            <wp:positionH relativeFrom="margin">
              <wp:posOffset>3169920</wp:posOffset>
            </wp:positionH>
            <wp:positionV relativeFrom="margin">
              <wp:posOffset>316230</wp:posOffset>
            </wp:positionV>
            <wp:extent cx="2945765" cy="6802755"/>
            <wp:effectExtent l="19050" t="19050" r="26035" b="17145"/>
            <wp:wrapThrough wrapText="bothSides">
              <wp:wrapPolygon edited="0">
                <wp:start x="-140" y="-60"/>
                <wp:lineTo x="-140" y="21594"/>
                <wp:lineTo x="21651" y="21594"/>
                <wp:lineTo x="21651" y="-60"/>
                <wp:lineTo x="-140" y="-60"/>
              </wp:wrapPolygon>
            </wp:wrapThrough>
            <wp:docPr id="793719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45765" cy="6802755"/>
                    </a:xfrm>
                    <a:prstGeom prst="rect">
                      <a:avLst/>
                    </a:prstGeom>
                    <a:noFill/>
                    <a:ln>
                      <a:solidFill>
                        <a:schemeClr val="bg1"/>
                      </a:solidFill>
                    </a:ln>
                  </pic:spPr>
                </pic:pic>
              </a:graphicData>
            </a:graphic>
            <wp14:sizeRelV relativeFrom="margin">
              <wp14:pctHeight>0</wp14:pctHeight>
            </wp14:sizeRelV>
          </wp:anchor>
        </w:drawing>
      </w:r>
      <w:r w:rsidRPr="002D6BDA">
        <w:rPr>
          <w:rFonts w:cs="Arial"/>
          <w:b/>
        </w:rPr>
        <w:t>Person-</w:t>
      </w:r>
      <w:r w:rsidR="00F80C78" w:rsidRPr="002D6BDA">
        <w:rPr>
          <w:rFonts w:cs="Arial"/>
          <w:b/>
        </w:rPr>
        <w:t>centered</w:t>
      </w:r>
      <w:r w:rsidRPr="002D6BDA">
        <w:rPr>
          <w:rFonts w:cs="Arial"/>
          <w:b/>
        </w:rPr>
        <w:t xml:space="preserve"> care for ages 18–39</w:t>
      </w:r>
    </w:p>
    <w:p w:rsidR="00F63D08" w:rsidRPr="002D6BDA" w:rsidRDefault="00F63D08" w:rsidP="009B364D">
      <w:pPr>
        <w:pStyle w:val="ListNumber"/>
        <w:jc w:val="both"/>
        <w:rPr>
          <w:rFonts w:cs="Arial"/>
        </w:rPr>
      </w:pPr>
      <w:r w:rsidRPr="002D6BDA">
        <w:rPr>
          <w:rFonts w:cs="Arial"/>
        </w:rPr>
        <w:t>Agreement on a small number of goals that are important to the person and their conne</w:t>
      </w:r>
      <w:r w:rsidR="00F80C78">
        <w:rPr>
          <w:rFonts w:cs="Arial"/>
        </w:rPr>
        <w:t>ct</w:t>
      </w:r>
      <w:r w:rsidRPr="002D6BDA">
        <w:rPr>
          <w:rFonts w:cs="Arial"/>
        </w:rPr>
        <w:t>i</w:t>
      </w:r>
      <w:r w:rsidR="00F80C78">
        <w:rPr>
          <w:rFonts w:cs="Arial"/>
        </w:rPr>
        <w:t>on</w:t>
      </w:r>
      <w:r w:rsidRPr="002D6BDA">
        <w:rPr>
          <w:rFonts w:cs="Arial"/>
        </w:rPr>
        <w:t xml:space="preserve"> to quantifiable targets like weight trajectory or HbA1c are achieved using shared decision-making (Coulter et al., 2013).</w:t>
      </w:r>
    </w:p>
    <w:p w:rsidR="00F63D08" w:rsidRPr="002D6BDA" w:rsidRDefault="00F63D08" w:rsidP="009B364D">
      <w:pPr>
        <w:pStyle w:val="ListNumber"/>
        <w:jc w:val="both"/>
        <w:rPr>
          <w:rFonts w:cs="Arial"/>
        </w:rPr>
      </w:pPr>
      <w:r w:rsidRPr="002D6BDA">
        <w:rPr>
          <w:rFonts w:cs="Arial"/>
        </w:rPr>
        <w:t xml:space="preserve"> Provide flexible delivery (evenings, weekends, digital), and eliminate obstacles like transport, childcare and language (NHS England, 2025). </w:t>
      </w:r>
    </w:p>
    <w:p w:rsidR="00F63D08" w:rsidRPr="002D6BDA" w:rsidRDefault="00F63D08" w:rsidP="009B364D">
      <w:pPr>
        <w:pStyle w:val="ListNumber"/>
        <w:jc w:val="both"/>
        <w:rPr>
          <w:rFonts w:cs="Arial"/>
        </w:rPr>
      </w:pPr>
      <w:r w:rsidRPr="002D6BDA">
        <w:rPr>
          <w:rFonts w:cs="Arial"/>
        </w:rPr>
        <w:t>Identify distress and stigma and offer psychological signposting where appropriate (Morales-Brown et al., 2024).</w:t>
      </w:r>
    </w:p>
    <w:p w:rsidR="007C074F" w:rsidRPr="007C074F" w:rsidRDefault="00000000">
      <w:pPr>
        <w:spacing w:before="240"/>
        <w:rPr>
          <w:rFonts w:cs="Arial"/>
          <w:b/>
        </w:rPr>
      </w:pPr>
      <w:r w:rsidRPr="002D6BDA">
        <w:rPr>
          <w:rFonts w:cs="Arial"/>
          <w:b/>
        </w:rPr>
        <w:t>Self-management toolkit</w:t>
      </w:r>
    </w:p>
    <w:p w:rsidR="002D6F14" w:rsidRPr="002D6F14" w:rsidRDefault="002D6BDA" w:rsidP="009B364D">
      <w:pPr>
        <w:pStyle w:val="ListBullet"/>
        <w:jc w:val="both"/>
        <w:rPr>
          <w:rFonts w:cs="Arial"/>
        </w:rPr>
      </w:pPr>
      <w:r w:rsidRPr="002D6BDA">
        <w:rPr>
          <w:rFonts w:cs="Arial"/>
        </w:rPr>
        <w:t>Diabetes prevention requires effective self-management.</w:t>
      </w:r>
      <w:r w:rsidR="002D6F14">
        <w:rPr>
          <w:rFonts w:cs="Arial"/>
        </w:rPr>
        <w:t xml:space="preserve"> People need to s</w:t>
      </w:r>
      <w:r w:rsidR="002D6F14" w:rsidRPr="002D6F14">
        <w:rPr>
          <w:rFonts w:cs="Arial"/>
        </w:rPr>
        <w:t>wap sugary drinks for water; increase fiber; plan affordable meals and snacks (Diabetes UK, 2026a).</w:t>
      </w:r>
    </w:p>
    <w:p w:rsidR="002D6BDA" w:rsidRPr="002D6BDA" w:rsidRDefault="004F59D4" w:rsidP="009B364D">
      <w:pPr>
        <w:pStyle w:val="ListBullet"/>
        <w:jc w:val="both"/>
      </w:pPr>
      <w:r>
        <w:t xml:space="preserve">Aim for </w:t>
      </w:r>
      <w:r w:rsidR="002D6BDA" w:rsidRPr="002D6BDA">
        <w:t xml:space="preserve">150 minutes </w:t>
      </w:r>
      <w:r>
        <w:t>per</w:t>
      </w:r>
      <w:r w:rsidR="002D6BDA" w:rsidRPr="002D6BDA">
        <w:t xml:space="preserve"> week and muscle-strengthening activities are good to maintain the health of the body (NHS, 2024). </w:t>
      </w:r>
    </w:p>
    <w:p w:rsidR="002D6F14" w:rsidRDefault="002D6BDA" w:rsidP="009B364D">
      <w:pPr>
        <w:pStyle w:val="ListBullet"/>
        <w:jc w:val="both"/>
      </w:pPr>
      <w:r w:rsidRPr="002D6BDA">
        <w:t xml:space="preserve">Regular cheque-ups of weight and waist contribute to the prevention of gradual weight gain, and timely support may be required (NICE, 2023). </w:t>
      </w:r>
    </w:p>
    <w:p w:rsidR="002D6F14" w:rsidRDefault="002D6BDA" w:rsidP="009B364D">
      <w:pPr>
        <w:pStyle w:val="ListBullet"/>
        <w:jc w:val="both"/>
      </w:pPr>
      <w:r w:rsidRPr="002D6BDA">
        <w:t xml:space="preserve">At-risk people are advised to request testing and NHS DPP referral in case of non-diabetic hyperglycemia (NHS England, 2025). </w:t>
      </w:r>
    </w:p>
    <w:p w:rsidR="002D6BDA" w:rsidRPr="002D6BDA" w:rsidRDefault="002D6BDA" w:rsidP="009B364D">
      <w:pPr>
        <w:pStyle w:val="ListBullet"/>
        <w:jc w:val="both"/>
      </w:pPr>
      <w:r w:rsidRPr="002D6BDA">
        <w:t>The lifestyle changes can be maintained with the help of peer support, community groups, or digital coaching (NHS England, 2025).</w:t>
      </w:r>
    </w:p>
    <w:p w:rsidR="002F351F" w:rsidRPr="002D6BDA" w:rsidRDefault="00000000">
      <w:pPr>
        <w:spacing w:before="240"/>
        <w:rPr>
          <w:rFonts w:cs="Arial"/>
        </w:rPr>
      </w:pPr>
      <w:r w:rsidRPr="002D6BDA">
        <w:rPr>
          <w:rFonts w:cs="Arial"/>
          <w:b/>
        </w:rPr>
        <w:lastRenderedPageBreak/>
        <w:t>Recommendations for services and systems</w:t>
      </w:r>
    </w:p>
    <w:p w:rsidR="009B364D" w:rsidRDefault="009B364D" w:rsidP="009B364D">
      <w:pPr>
        <w:pStyle w:val="ListBullet"/>
        <w:jc w:val="both"/>
      </w:pPr>
      <w:r w:rsidRPr="009B364D">
        <w:t>Use registers and automated prompts so NDH triggers referral offers and recall testing (Wagner et al., 2001; NHS England Digital, 2024).</w:t>
      </w:r>
      <w:r>
        <w:t xml:space="preserve"> </w:t>
      </w:r>
    </w:p>
    <w:p w:rsidR="009B364D" w:rsidRDefault="002D6BDA" w:rsidP="009B364D">
      <w:pPr>
        <w:pStyle w:val="ListBullet"/>
        <w:jc w:val="both"/>
      </w:pPr>
      <w:r w:rsidRPr="009B364D">
        <w:t xml:space="preserve">Services should be culturally sensitive and equity tracked to reduce the discrepancies in access and completion (Barron et al., 2022; NHS England, 2025). </w:t>
      </w:r>
    </w:p>
    <w:p w:rsidR="009B364D" w:rsidRDefault="002D6BDA" w:rsidP="009B364D">
      <w:pPr>
        <w:pStyle w:val="ListBullet"/>
        <w:jc w:val="both"/>
      </w:pPr>
      <w:r w:rsidRPr="009B364D">
        <w:t>There should be an integration of prevention and community resources, sports programs, workplace health, and social prescribing, which enhance accessibility (NHS England, 2025).</w:t>
      </w:r>
    </w:p>
    <w:p w:rsidR="002D6BDA" w:rsidRPr="009B364D" w:rsidRDefault="002D6BDA" w:rsidP="009B364D">
      <w:pPr>
        <w:pStyle w:val="ListBullet"/>
        <w:jc w:val="both"/>
      </w:pPr>
      <w:r w:rsidRPr="009B364D">
        <w:t>Long-term prevention of the population is reinforced through the support of policies decreasing sugar exposure (UK Government, 2023; WHO, 2024).</w:t>
      </w:r>
    </w:p>
    <w:p w:rsidR="002F351F" w:rsidRPr="002D6BDA" w:rsidRDefault="00000000">
      <w:pPr>
        <w:spacing w:before="240"/>
        <w:rPr>
          <w:rFonts w:cs="Arial"/>
        </w:rPr>
      </w:pPr>
      <w:r w:rsidRPr="002D6BDA">
        <w:rPr>
          <w:rFonts w:cs="Arial"/>
          <w:b/>
        </w:rPr>
        <w:t xml:space="preserve">End-of-life care </w:t>
      </w:r>
    </w:p>
    <w:p w:rsidR="009B364D" w:rsidRDefault="002D6BDA" w:rsidP="00893FFC">
      <w:pPr>
        <w:pStyle w:val="ListBullet"/>
        <w:numPr>
          <w:ilvl w:val="0"/>
          <w:numId w:val="0"/>
        </w:numPr>
        <w:jc w:val="both"/>
        <w:rPr>
          <w:rFonts w:cs="Arial"/>
        </w:rPr>
      </w:pPr>
      <w:r w:rsidRPr="002D6BDA">
        <w:rPr>
          <w:rFonts w:cs="Arial"/>
        </w:rPr>
        <w:t xml:space="preserve">In patients who are nearing end-of-life, intensive prevention is no longer a priority, and instead, comfort and symptom management become the priority. </w:t>
      </w:r>
    </w:p>
    <w:p w:rsidR="009B364D" w:rsidRDefault="002D6BDA" w:rsidP="009B364D">
      <w:pPr>
        <w:pStyle w:val="ListBullet"/>
      </w:pPr>
      <w:r w:rsidRPr="002D6BDA">
        <w:t xml:space="preserve">Prevention of hypo- or hyperglycemia and simplified treatment regimens help to cut costs and guarantee the quality of life (TREND-UK, 2022). </w:t>
      </w:r>
    </w:p>
    <w:p w:rsidR="002F351F" w:rsidRPr="002D6BDA" w:rsidRDefault="002D6BDA" w:rsidP="009B364D">
      <w:pPr>
        <w:pStyle w:val="ListBullet"/>
      </w:pPr>
      <w:r w:rsidRPr="002D6BDA">
        <w:t>There needs to be clear guidance to the carers. Inter-professional communication is vital in ensuring a coherent and person-centered care is delivered by the healthcare teams.</w:t>
      </w:r>
    </w:p>
    <w:p w:rsidR="002F351F" w:rsidRPr="00F80C78" w:rsidRDefault="00F63D08" w:rsidP="00F80C78">
      <w:pPr>
        <w:jc w:val="both"/>
        <w:rPr>
          <w:rFonts w:cs="Arial"/>
        </w:rPr>
      </w:pPr>
      <w:r>
        <w:br w:type="page"/>
      </w:r>
    </w:p>
    <w:p w:rsidR="002F351F" w:rsidRPr="00F80C78" w:rsidRDefault="00000000" w:rsidP="00F80C78">
      <w:pPr>
        <w:pStyle w:val="Heading1"/>
        <w:rPr>
          <w:rFonts w:ascii="Arial" w:hAnsi="Arial" w:cs="Arial"/>
          <w:color w:val="000000" w:themeColor="text1"/>
        </w:rPr>
      </w:pPr>
      <w:bookmarkStart w:id="9" w:name="_Toc222429418"/>
      <w:r w:rsidRPr="00F80C78">
        <w:rPr>
          <w:rFonts w:ascii="Arial" w:hAnsi="Arial" w:cs="Arial"/>
          <w:color w:val="000000" w:themeColor="text1"/>
        </w:rPr>
        <w:lastRenderedPageBreak/>
        <w:t>References</w:t>
      </w:r>
      <w:bookmarkEnd w:id="9"/>
    </w:p>
    <w:p w:rsidR="004E05A5" w:rsidRDefault="00000000" w:rsidP="00885646">
      <w:pPr>
        <w:spacing w:after="0"/>
        <w:ind w:left="720" w:hanging="720"/>
        <w:jc w:val="both"/>
      </w:pPr>
      <w:r>
        <w:t xml:space="preserve">American Diabetes Association (ADA) (2024) Standards of Care in Diabetes—2024. Diabetes Care. Available at: </w:t>
      </w:r>
      <w:hyperlink r:id="rId16" w:history="1">
        <w:r w:rsidR="004E05A5" w:rsidRPr="00361EDE">
          <w:rPr>
            <w:rStyle w:val="Hyperlink"/>
          </w:rPr>
          <w:t>https://diabetesjournals.org/care/issue/47/Supplement_1</w:t>
        </w:r>
      </w:hyperlink>
    </w:p>
    <w:p w:rsidR="004E05A5" w:rsidRDefault="00000000" w:rsidP="00885646">
      <w:pPr>
        <w:spacing w:after="0"/>
        <w:ind w:left="720" w:hanging="720"/>
        <w:jc w:val="both"/>
      </w:pPr>
      <w:r>
        <w:t xml:space="preserve">Barron, E., Clark, R., Hewings, R., Smith, J. and Valabhji, J. (2022) ‘Progression to type 2 diabetes and changes in HbA1c, weight and other cardiometabolic risk factors in people at high risk of type 2 diabetes taking part in the NHS Diabetes Prevention Programme’, PLOS Medicine, 19(2), e1003926. </w:t>
      </w:r>
      <w:hyperlink r:id="rId17" w:history="1">
        <w:r w:rsidR="004E05A5" w:rsidRPr="00361EDE">
          <w:rPr>
            <w:rStyle w:val="Hyperlink"/>
          </w:rPr>
          <w:t>https://doi.org/10.1371/journal.pmed.1003926</w:t>
        </w:r>
      </w:hyperlink>
    </w:p>
    <w:p w:rsidR="004E05A5" w:rsidRDefault="00000000" w:rsidP="00885646">
      <w:pPr>
        <w:spacing w:after="0"/>
        <w:ind w:left="720" w:hanging="720"/>
        <w:jc w:val="both"/>
      </w:pPr>
      <w:r>
        <w:t xml:space="preserve">Coulter, A., Roberts, S. and Dixon, A. (2013) Delivering better services for people with long-term conditions: Building the House of Care. London: The King’s Fund. Available at: </w:t>
      </w:r>
      <w:hyperlink r:id="rId18" w:history="1">
        <w:r w:rsidR="004E05A5" w:rsidRPr="00361EDE">
          <w:rPr>
            <w:rStyle w:val="Hyperlink"/>
          </w:rPr>
          <w:t>https://www.kingsfund.org.uk/insight-and-analysis/reports/delivering-better-services-people-long-term-conditions</w:t>
        </w:r>
      </w:hyperlink>
    </w:p>
    <w:p w:rsidR="004E05A5" w:rsidRDefault="00000000" w:rsidP="00885646">
      <w:pPr>
        <w:spacing w:after="0"/>
        <w:ind w:left="720" w:hanging="720"/>
        <w:jc w:val="both"/>
      </w:pPr>
      <w:r>
        <w:t xml:space="preserve">Diabetes UK (2024) ‘Type 2 Diabetes Prevention Week 2024: Action needed to tackle rising type 2 cases’, Diabetes UK. Available at: </w:t>
      </w:r>
      <w:hyperlink r:id="rId19" w:history="1">
        <w:r w:rsidR="004E05A5" w:rsidRPr="00361EDE">
          <w:rPr>
            <w:rStyle w:val="Hyperlink"/>
          </w:rPr>
          <w:t>https://www.diabetes.org.uk/about-us/news-and-views/diabetes-prevention-week-2024-action-needed-tackle-rising-type-2-cases</w:t>
        </w:r>
      </w:hyperlink>
    </w:p>
    <w:p w:rsidR="004E05A5" w:rsidRDefault="00000000" w:rsidP="00885646">
      <w:pPr>
        <w:spacing w:after="0"/>
        <w:ind w:left="720" w:hanging="720"/>
        <w:jc w:val="both"/>
      </w:pPr>
      <w:r>
        <w:t xml:space="preserve">Diabetes UK (2026) ‘How many people in the UK have diabetes?’, Diabetes UK. Available at: </w:t>
      </w:r>
      <w:hyperlink r:id="rId20" w:history="1">
        <w:r w:rsidR="004E05A5" w:rsidRPr="00361EDE">
          <w:rPr>
            <w:rStyle w:val="Hyperlink"/>
          </w:rPr>
          <w:t>https://www.diabetes.org.uk/about-us/about-the-charity/our-strategy/statistics</w:t>
        </w:r>
      </w:hyperlink>
    </w:p>
    <w:p w:rsidR="004E05A5" w:rsidRDefault="00000000" w:rsidP="00885646">
      <w:pPr>
        <w:spacing w:after="0"/>
        <w:ind w:left="720" w:hanging="720"/>
        <w:jc w:val="both"/>
      </w:pPr>
      <w:r>
        <w:t xml:space="preserve">Diabetes UK (2026a) ‘Healthy eating tips for prediabetes and lowering type 2 risk’, Diabetes UK. Available at: </w:t>
      </w:r>
      <w:hyperlink r:id="rId21" w:history="1">
        <w:r w:rsidR="004E05A5" w:rsidRPr="00361EDE">
          <w:rPr>
            <w:rStyle w:val="Hyperlink"/>
          </w:rPr>
          <w:t>https://www.diabetes.org.uk/about-diabetes/type-2-diabetes/prevention/healthy-eating-tips-to-lower-type-2-risk</w:t>
        </w:r>
      </w:hyperlink>
    </w:p>
    <w:p w:rsidR="004E05A5" w:rsidRDefault="00000000" w:rsidP="00885646">
      <w:pPr>
        <w:spacing w:after="0"/>
        <w:ind w:left="720" w:hanging="720"/>
        <w:jc w:val="both"/>
      </w:pPr>
      <w:r>
        <w:t xml:space="preserve">IDF (International Diabetes Federation) (2025) Diabetes around the world 2024: Global factsheet (IDF Diabetes Atlas 11th edition). Available at: </w:t>
      </w:r>
      <w:hyperlink r:id="rId22" w:history="1">
        <w:r w:rsidR="004E05A5" w:rsidRPr="00361EDE">
          <w:rPr>
            <w:rStyle w:val="Hyperlink"/>
          </w:rPr>
          <w:t>https://diabetesatlas.org/media/uploads/sites/3/2025/04/IDF_Atlas_11th_Edition_2025_Global-Factsheet.pdf</w:t>
        </w:r>
      </w:hyperlink>
    </w:p>
    <w:p w:rsidR="004E05A5" w:rsidRDefault="00000000" w:rsidP="00885646">
      <w:pPr>
        <w:spacing w:after="0"/>
        <w:ind w:left="720" w:hanging="720"/>
        <w:jc w:val="both"/>
      </w:pPr>
      <w:r>
        <w:t xml:space="preserve">Knowler, W.C., Barrett-Connor, E., Fowler, S.E. et al. (2002) ‘Reduction in the incidence of type 2 diabetes with lifestyle intervention or metformin’, New England Journal of Medicine, 346(6), pp. 393–403. </w:t>
      </w:r>
      <w:hyperlink r:id="rId23" w:history="1">
        <w:r w:rsidR="004E05A5" w:rsidRPr="00361EDE">
          <w:rPr>
            <w:rStyle w:val="Hyperlink"/>
          </w:rPr>
          <w:t>https://doi.org/10.1056/NEJMoa012512</w:t>
        </w:r>
      </w:hyperlink>
    </w:p>
    <w:p w:rsidR="004E05A5" w:rsidRDefault="00000000" w:rsidP="00885646">
      <w:pPr>
        <w:spacing w:after="0"/>
        <w:ind w:left="720" w:hanging="720"/>
        <w:jc w:val="both"/>
      </w:pPr>
      <w:r>
        <w:t xml:space="preserve">Lean, M.E.J., Leslie, W.S., Barnes, A.C. et al. (2018) ‘Primary care-led weight management for remission of type 2 diabetes (DiRECT): an open-label, cluster-randomised trial’, The Lancet, 391(10120), pp. 541–551. </w:t>
      </w:r>
      <w:hyperlink r:id="rId24" w:history="1">
        <w:r w:rsidR="004E05A5" w:rsidRPr="00361EDE">
          <w:rPr>
            <w:rStyle w:val="Hyperlink"/>
          </w:rPr>
          <w:t>https://doi.org/10.1016/S0140-6736(17)33102-1</w:t>
        </w:r>
      </w:hyperlink>
      <w:r>
        <w:t>.</w:t>
      </w:r>
    </w:p>
    <w:p w:rsidR="004E05A5" w:rsidRDefault="00000000" w:rsidP="00885646">
      <w:pPr>
        <w:spacing w:after="0"/>
        <w:ind w:left="720" w:hanging="720"/>
        <w:jc w:val="both"/>
      </w:pPr>
      <w:r>
        <w:t xml:space="preserve">Luk, A.O.Y. (2025) ‘Young-onset type 2 diabetes—epidemiology, pathophysiology and complications’, review. Available at: </w:t>
      </w:r>
      <w:hyperlink r:id="rId25" w:history="1">
        <w:r w:rsidR="004E05A5" w:rsidRPr="00361EDE">
          <w:rPr>
            <w:rStyle w:val="Hyperlink"/>
          </w:rPr>
          <w:t>https://pmc.ncbi.nlm.nih.gov/articles/PMC12209521/</w:t>
        </w:r>
      </w:hyperlink>
    </w:p>
    <w:p w:rsidR="004E05A5" w:rsidRDefault="00000000" w:rsidP="00885646">
      <w:pPr>
        <w:spacing w:after="0"/>
        <w:ind w:left="720" w:hanging="720"/>
        <w:jc w:val="both"/>
      </w:pPr>
      <w:r>
        <w:t xml:space="preserve">Marmot, M. et al. (2020) Health equity in England: The Marmot Review 10 Years On. London: Institute of Health Equity. Available at: </w:t>
      </w:r>
      <w:hyperlink r:id="rId26" w:history="1">
        <w:r w:rsidR="004E05A5" w:rsidRPr="00361EDE">
          <w:rPr>
            <w:rStyle w:val="Hyperlink"/>
          </w:rPr>
          <w:t>https://www.instituteofhealthequity.org/resources-reports/marmot-review-10-years-on</w:t>
        </w:r>
      </w:hyperlink>
    </w:p>
    <w:p w:rsidR="004E05A5" w:rsidRDefault="00000000" w:rsidP="00885646">
      <w:pPr>
        <w:spacing w:after="0"/>
        <w:ind w:left="720" w:hanging="720"/>
        <w:jc w:val="both"/>
      </w:pPr>
      <w:r>
        <w:t xml:space="preserve">Morales-Brown, L.A. et al. (2024) ‘Understanding Experiences of Diabetes Distress: A Systematic Review and Thematic Synthesis’, review. Available at: </w:t>
      </w:r>
      <w:hyperlink r:id="rId27" w:history="1">
        <w:r w:rsidR="004E05A5" w:rsidRPr="00361EDE">
          <w:rPr>
            <w:rStyle w:val="Hyperlink"/>
          </w:rPr>
          <w:t>https://pmc.ncbi.nlm.nih.gov/articles/PMC11581805/</w:t>
        </w:r>
      </w:hyperlink>
    </w:p>
    <w:p w:rsidR="004E05A5" w:rsidRDefault="00000000" w:rsidP="00885646">
      <w:pPr>
        <w:spacing w:after="0"/>
        <w:ind w:left="720" w:hanging="720"/>
        <w:jc w:val="both"/>
      </w:pPr>
      <w:r>
        <w:t xml:space="preserve">NHS (2019) The NHS Long Term Plan. Available at: </w:t>
      </w:r>
      <w:hyperlink r:id="rId28" w:history="1">
        <w:r w:rsidR="004E05A5" w:rsidRPr="00361EDE">
          <w:rPr>
            <w:rStyle w:val="Hyperlink"/>
          </w:rPr>
          <w:t>https://www.longtermplan.nhs.uk/</w:t>
        </w:r>
      </w:hyperlink>
    </w:p>
    <w:p w:rsidR="004E05A5" w:rsidRDefault="00000000" w:rsidP="00885646">
      <w:pPr>
        <w:spacing w:after="0"/>
        <w:ind w:left="720" w:hanging="720"/>
        <w:jc w:val="both"/>
      </w:pPr>
      <w:r>
        <w:lastRenderedPageBreak/>
        <w:t xml:space="preserve">NHS (2024) ‘Treatment for type 2 diabetes’, NHS. Available at: </w:t>
      </w:r>
      <w:hyperlink r:id="rId29" w:history="1">
        <w:r w:rsidR="004E05A5" w:rsidRPr="00361EDE">
          <w:rPr>
            <w:rStyle w:val="Hyperlink"/>
          </w:rPr>
          <w:t>https://www.nhs.uk/conditions/type-2-diabetes/treatment/</w:t>
        </w:r>
      </w:hyperlink>
    </w:p>
    <w:p w:rsidR="004E05A5" w:rsidRDefault="00000000" w:rsidP="00885646">
      <w:pPr>
        <w:spacing w:after="0"/>
        <w:ind w:left="720" w:hanging="720"/>
        <w:jc w:val="both"/>
      </w:pPr>
      <w:r>
        <w:t xml:space="preserve">NHS (2024a) ‘High blood sugar (hyperglycaemia)’, NHS. Available at: </w:t>
      </w:r>
      <w:hyperlink r:id="rId30" w:history="1">
        <w:r w:rsidR="004E05A5" w:rsidRPr="00361EDE">
          <w:rPr>
            <w:rStyle w:val="Hyperlink"/>
          </w:rPr>
          <w:t>https://www.nhs.uk/conditions/high-blood-sugar-hyperglycaemia/</w:t>
        </w:r>
      </w:hyperlink>
    </w:p>
    <w:p w:rsidR="004E05A5" w:rsidRDefault="00000000" w:rsidP="00885646">
      <w:pPr>
        <w:spacing w:after="0"/>
        <w:ind w:left="720" w:hanging="720"/>
        <w:jc w:val="both"/>
      </w:pPr>
      <w:r>
        <w:t xml:space="preserve">NHS (2025) ‘Diabetes’, NHS. Available at: </w:t>
      </w:r>
      <w:hyperlink r:id="rId31" w:history="1">
        <w:r w:rsidR="004E05A5" w:rsidRPr="00361EDE">
          <w:rPr>
            <w:rStyle w:val="Hyperlink"/>
          </w:rPr>
          <w:t>https://www.nhs.uk/conditions/diabetes/</w:t>
        </w:r>
      </w:hyperlink>
    </w:p>
    <w:p w:rsidR="004E05A5" w:rsidRDefault="00000000" w:rsidP="00885646">
      <w:pPr>
        <w:spacing w:after="0"/>
        <w:ind w:left="720" w:hanging="720"/>
        <w:jc w:val="both"/>
      </w:pPr>
      <w:r>
        <w:t xml:space="preserve">NHS England (2024a) ‘NHS Type 2 Diabetes Path to Remission Programme’, NHS England. Available at: </w:t>
      </w:r>
      <w:hyperlink r:id="rId32" w:history="1">
        <w:r w:rsidR="004E05A5" w:rsidRPr="00361EDE">
          <w:rPr>
            <w:rStyle w:val="Hyperlink"/>
          </w:rPr>
          <w:t>https://www.england.nhs.uk/diabetes/treatment-care/path-to-remission/</w:t>
        </w:r>
      </w:hyperlink>
    </w:p>
    <w:p w:rsidR="004E05A5" w:rsidRDefault="00000000" w:rsidP="00885646">
      <w:pPr>
        <w:spacing w:after="0"/>
        <w:ind w:left="720" w:hanging="720"/>
        <w:jc w:val="both"/>
      </w:pPr>
      <w:r>
        <w:t xml:space="preserve">NHS England (2025) ‘NHS Diabetes Prevention Programme (NHS DPP)’, NHS England. Available at: </w:t>
      </w:r>
      <w:hyperlink r:id="rId33" w:history="1">
        <w:r w:rsidR="004E05A5" w:rsidRPr="00361EDE">
          <w:rPr>
            <w:rStyle w:val="Hyperlink"/>
          </w:rPr>
          <w:t>https://www.england.nhs.uk/diabetes/diabetes-prevention/</w:t>
        </w:r>
      </w:hyperlink>
    </w:p>
    <w:p w:rsidR="004E05A5" w:rsidRDefault="00000000" w:rsidP="00885646">
      <w:pPr>
        <w:spacing w:after="0"/>
        <w:ind w:left="720" w:hanging="720"/>
        <w:jc w:val="both"/>
      </w:pPr>
      <w:r>
        <w:t xml:space="preserve">NHS England Digital (2022) ‘Health Survey for England 2022: Adult overweight and obesity’, NHS England Digital. Available at: </w:t>
      </w:r>
      <w:hyperlink r:id="rId34" w:history="1">
        <w:r w:rsidR="004E05A5" w:rsidRPr="00361EDE">
          <w:rPr>
            <w:rStyle w:val="Hyperlink"/>
          </w:rPr>
          <w:t>https://digital.nhs.uk/data-and-information/publications/statistical/health-survey-for-england/2022-part-2/adult-overweight-and-obesity</w:t>
        </w:r>
      </w:hyperlink>
    </w:p>
    <w:p w:rsidR="004E05A5" w:rsidRDefault="00000000" w:rsidP="00885646">
      <w:pPr>
        <w:spacing w:after="0"/>
        <w:ind w:left="720" w:hanging="720"/>
        <w:jc w:val="both"/>
      </w:pPr>
      <w:r>
        <w:t xml:space="preserve">NHS England Digital (2024) ‘Quality and Outcomes Framework (QOF) 2023–24: Main findings’, NHS England Digital. Available at: </w:t>
      </w:r>
      <w:hyperlink r:id="rId35" w:history="1">
        <w:r w:rsidR="004E05A5" w:rsidRPr="00361EDE">
          <w:rPr>
            <w:rStyle w:val="Hyperlink"/>
          </w:rPr>
          <w:t>https://digital.nhs.uk/data-and-information/publications/statistical/quality-and-outcomes-framework-achievement-prevalence-and-exceptions-data/2023-24/main-findings</w:t>
        </w:r>
      </w:hyperlink>
    </w:p>
    <w:p w:rsidR="004E05A5" w:rsidRDefault="00000000" w:rsidP="00885646">
      <w:pPr>
        <w:spacing w:after="0"/>
        <w:ind w:left="720" w:hanging="720"/>
        <w:jc w:val="both"/>
      </w:pPr>
      <w:r>
        <w:t xml:space="preserve">NICE (2020) Diabetes in pregnancy: management from preconception to the postnatal period (NG3). Available at: </w:t>
      </w:r>
      <w:hyperlink r:id="rId36" w:history="1">
        <w:r w:rsidR="004E05A5" w:rsidRPr="00361EDE">
          <w:rPr>
            <w:rStyle w:val="Hyperlink"/>
          </w:rPr>
          <w:t>https://www.nice.org.uk/guidance/ng3</w:t>
        </w:r>
      </w:hyperlink>
    </w:p>
    <w:p w:rsidR="004E05A5" w:rsidRDefault="00000000" w:rsidP="00885646">
      <w:pPr>
        <w:spacing w:after="0"/>
        <w:ind w:left="720" w:hanging="720"/>
        <w:jc w:val="both"/>
      </w:pPr>
      <w:r>
        <w:t xml:space="preserve">NICE (2021) </w:t>
      </w:r>
      <w:proofErr w:type="spellStart"/>
      <w:r>
        <w:t>Behaviour</w:t>
      </w:r>
      <w:proofErr w:type="spellEnd"/>
      <w:r>
        <w:t xml:space="preserve"> change: individual approaches (NG134). Available at: </w:t>
      </w:r>
      <w:hyperlink r:id="rId37" w:history="1">
        <w:r w:rsidR="004E05A5" w:rsidRPr="00361EDE">
          <w:rPr>
            <w:rStyle w:val="Hyperlink"/>
          </w:rPr>
          <w:t>https://www.nice.org.uk/guidance/ng134</w:t>
        </w:r>
      </w:hyperlink>
    </w:p>
    <w:p w:rsidR="004E05A5" w:rsidRDefault="00000000" w:rsidP="00885646">
      <w:pPr>
        <w:spacing w:after="0"/>
        <w:ind w:left="720" w:hanging="720"/>
        <w:jc w:val="both"/>
      </w:pPr>
      <w:r>
        <w:t xml:space="preserve">NICE (2022a) Type 1 diabetes in adults: diagnosis and management (NG17). Available at: </w:t>
      </w:r>
      <w:hyperlink r:id="rId38" w:history="1">
        <w:r w:rsidR="004E05A5" w:rsidRPr="00361EDE">
          <w:rPr>
            <w:rStyle w:val="Hyperlink"/>
          </w:rPr>
          <w:t>https://www.nice.org.uk/guidance/ng17</w:t>
        </w:r>
      </w:hyperlink>
    </w:p>
    <w:p w:rsidR="004E05A5" w:rsidRDefault="00000000" w:rsidP="00885646">
      <w:pPr>
        <w:spacing w:after="0"/>
        <w:ind w:left="720" w:hanging="720"/>
        <w:jc w:val="both"/>
      </w:pPr>
      <w:r>
        <w:t xml:space="preserve">NICE (2022b) Type 2 diabetes in adults: management (NG28). Available at: </w:t>
      </w:r>
      <w:hyperlink r:id="rId39" w:history="1">
        <w:r w:rsidR="004E05A5" w:rsidRPr="00361EDE">
          <w:rPr>
            <w:rStyle w:val="Hyperlink"/>
          </w:rPr>
          <w:t>https://www.nice.org.uk/guidance/ng28</w:t>
        </w:r>
      </w:hyperlink>
    </w:p>
    <w:p w:rsidR="004E05A5" w:rsidRDefault="00000000" w:rsidP="00885646">
      <w:pPr>
        <w:spacing w:after="0"/>
        <w:ind w:left="720" w:hanging="720"/>
        <w:jc w:val="both"/>
      </w:pPr>
      <w:r>
        <w:t xml:space="preserve">NICE (2023) Obesity: identification, assessment and management, including waist-to-height ratio guidance. Available at: </w:t>
      </w:r>
      <w:hyperlink r:id="rId40" w:history="1">
        <w:r w:rsidR="004E05A5" w:rsidRPr="00361EDE">
          <w:rPr>
            <w:rStyle w:val="Hyperlink"/>
          </w:rPr>
          <w:t>https://www.nice.org.uk/</w:t>
        </w:r>
      </w:hyperlink>
    </w:p>
    <w:p w:rsidR="004E05A5" w:rsidRDefault="00000000" w:rsidP="00885646">
      <w:pPr>
        <w:spacing w:after="0"/>
        <w:ind w:left="720" w:hanging="720"/>
        <w:jc w:val="both"/>
      </w:pPr>
      <w:r>
        <w:t xml:space="preserve">Song, S.H. (2024) ‘Young adult-onset type 2 diabetes heralds a poor prognosis’, The Lancet Diabetes &amp; Endocrinology, 12, pp. 1–2. </w:t>
      </w:r>
      <w:hyperlink r:id="rId41" w:history="1">
        <w:r w:rsidR="004E05A5" w:rsidRPr="00361EDE">
          <w:rPr>
            <w:rStyle w:val="Hyperlink"/>
          </w:rPr>
          <w:t>https://doi.org/10.1016/S2213-8587(24)00282-1</w:t>
        </w:r>
      </w:hyperlink>
    </w:p>
    <w:p w:rsidR="004E05A5" w:rsidRDefault="00000000" w:rsidP="00885646">
      <w:pPr>
        <w:spacing w:after="0"/>
        <w:ind w:left="720" w:hanging="720"/>
        <w:jc w:val="both"/>
      </w:pPr>
      <w:r>
        <w:t xml:space="preserve">TREND-UK (2022) End of Life Diabetes Care: clinical care recommendations. Available at: </w:t>
      </w:r>
      <w:hyperlink r:id="rId42" w:history="1">
        <w:r w:rsidR="004E05A5" w:rsidRPr="00361EDE">
          <w:rPr>
            <w:rStyle w:val="Hyperlink"/>
          </w:rPr>
          <w:t>https://trenddiabetes.online/resources/</w:t>
        </w:r>
      </w:hyperlink>
    </w:p>
    <w:p w:rsidR="004E05A5" w:rsidRDefault="00000000" w:rsidP="00885646">
      <w:pPr>
        <w:spacing w:after="0"/>
        <w:ind w:left="720" w:hanging="720"/>
        <w:jc w:val="both"/>
      </w:pPr>
      <w:proofErr w:type="spellStart"/>
      <w:r>
        <w:t>Tuomilehto</w:t>
      </w:r>
      <w:proofErr w:type="spellEnd"/>
      <w:r>
        <w:t xml:space="preserve">, J. et al. (2001) ‘Prevention of type 2 diabetes mellitus by changes in lifestyle among subjects with impaired glucose tolerance’, New England Journal of Medicine, 344(18), pp. 1343–1350. </w:t>
      </w:r>
      <w:hyperlink r:id="rId43" w:history="1">
        <w:r w:rsidR="004E05A5" w:rsidRPr="00361EDE">
          <w:rPr>
            <w:rStyle w:val="Hyperlink"/>
          </w:rPr>
          <w:t>https://doi.org/10.1056/NEJM200105033441801</w:t>
        </w:r>
      </w:hyperlink>
    </w:p>
    <w:p w:rsidR="00885646" w:rsidRDefault="00000000" w:rsidP="00885646">
      <w:pPr>
        <w:spacing w:after="0"/>
        <w:ind w:left="720" w:hanging="720"/>
        <w:jc w:val="both"/>
      </w:pPr>
      <w:r>
        <w:t xml:space="preserve">UK Government (2023) Soft Drinks Industry Levy: evaluation report. Available at: </w:t>
      </w:r>
      <w:hyperlink r:id="rId44" w:history="1">
        <w:r w:rsidR="00885646" w:rsidRPr="00361EDE">
          <w:rPr>
            <w:rStyle w:val="Hyperlink"/>
          </w:rPr>
          <w:t>https://www.gov.uk/government/publications/soft-drinks-industry-levy-evaluation-report</w:t>
        </w:r>
      </w:hyperlink>
    </w:p>
    <w:p w:rsidR="00885646" w:rsidRDefault="00000000" w:rsidP="00885646">
      <w:pPr>
        <w:spacing w:after="0"/>
        <w:ind w:left="720" w:hanging="720"/>
        <w:jc w:val="both"/>
      </w:pPr>
      <w:r>
        <w:lastRenderedPageBreak/>
        <w:t xml:space="preserve">Wagner, E.H., Austin, B.T., Davis, C. et al. (2001) ‘Improving chronic illness care: translating evidence into action’, Health Affairs, 20(6), pp. 64–78. </w:t>
      </w:r>
      <w:hyperlink r:id="rId45" w:history="1">
        <w:r w:rsidR="00885646" w:rsidRPr="00361EDE">
          <w:rPr>
            <w:rStyle w:val="Hyperlink"/>
          </w:rPr>
          <w:t>https://doi.org/10.1377/hlthaff.20.6.64</w:t>
        </w:r>
      </w:hyperlink>
      <w:r>
        <w:t>.</w:t>
      </w:r>
    </w:p>
    <w:p w:rsidR="00885646" w:rsidRDefault="00000000" w:rsidP="00885646">
      <w:pPr>
        <w:spacing w:after="0"/>
        <w:ind w:left="720" w:hanging="720"/>
        <w:jc w:val="both"/>
      </w:pPr>
      <w:r>
        <w:t xml:space="preserve">WHO (World Health Organization) (2024) ‘Diabetes: Fact sheet’, WHO. Available at: </w:t>
      </w:r>
      <w:hyperlink r:id="rId46" w:history="1">
        <w:r w:rsidR="00885646" w:rsidRPr="00361EDE">
          <w:rPr>
            <w:rStyle w:val="Hyperlink"/>
          </w:rPr>
          <w:t>https://www.who.int/news-room/fact-sheets/detail/diabetes</w:t>
        </w:r>
      </w:hyperlink>
    </w:p>
    <w:p w:rsidR="00885646" w:rsidRDefault="00000000" w:rsidP="00885646">
      <w:pPr>
        <w:spacing w:after="0"/>
        <w:ind w:left="720" w:hanging="720"/>
        <w:jc w:val="both"/>
      </w:pPr>
      <w:proofErr w:type="spellStart"/>
      <w:r>
        <w:t>Valabhji</w:t>
      </w:r>
      <w:proofErr w:type="spellEnd"/>
      <w:r>
        <w:t xml:space="preserve">, J. et al. (2020) ‘Early outcomes from the English National Health Service Diabetes Prevention Programme’, Diabetic Medicine, 37(9), pp. 1527–1536. </w:t>
      </w:r>
      <w:hyperlink r:id="rId47" w:history="1">
        <w:r w:rsidR="00885646" w:rsidRPr="00361EDE">
          <w:rPr>
            <w:rStyle w:val="Hyperlink"/>
          </w:rPr>
          <w:t>https://doi.org/10.1111/dme.14260</w:t>
        </w:r>
      </w:hyperlink>
    </w:p>
    <w:p w:rsidR="00885646" w:rsidRDefault="00000000" w:rsidP="00885646">
      <w:pPr>
        <w:spacing w:after="0"/>
        <w:ind w:left="720" w:hanging="720"/>
        <w:jc w:val="both"/>
      </w:pPr>
      <w:r>
        <w:t xml:space="preserve">Public Health England (2019) Health matters: preventing type 2 diabetes. Available at: </w:t>
      </w:r>
      <w:hyperlink r:id="rId48" w:history="1">
        <w:r w:rsidR="00885646" w:rsidRPr="00361EDE">
          <w:rPr>
            <w:rStyle w:val="Hyperlink"/>
          </w:rPr>
          <w:t>https://www.gov.uk/government/publications/health-matters-preventing-type-2-diabetes/health-matters-preventing-type-2-diabetes</w:t>
        </w:r>
      </w:hyperlink>
    </w:p>
    <w:p w:rsidR="00885646" w:rsidRDefault="00000000" w:rsidP="00885646">
      <w:pPr>
        <w:spacing w:after="0"/>
        <w:ind w:left="720" w:hanging="720"/>
        <w:jc w:val="both"/>
      </w:pPr>
      <w:r>
        <w:t xml:space="preserve">British Heart Foundation (BHF) (2025) ‘Diabetes explained’, BHF. Available at: </w:t>
      </w:r>
      <w:hyperlink r:id="rId49" w:history="1">
        <w:r w:rsidR="00885646" w:rsidRPr="00361EDE">
          <w:rPr>
            <w:rStyle w:val="Hyperlink"/>
          </w:rPr>
          <w:t>https://www.bhf.org.uk/informationsupport/risk-factors/diabetes</w:t>
        </w:r>
      </w:hyperlink>
    </w:p>
    <w:p w:rsidR="00885646" w:rsidRDefault="00000000" w:rsidP="00885646">
      <w:pPr>
        <w:spacing w:after="0"/>
        <w:ind w:left="720" w:hanging="720"/>
        <w:jc w:val="both"/>
      </w:pPr>
      <w:r>
        <w:t xml:space="preserve">Li, G. et al. (2008) ‘The long-term effect of lifestyle interventions to prevent diabetes in the China </w:t>
      </w:r>
      <w:proofErr w:type="gramStart"/>
      <w:r>
        <w:t>Da</w:t>
      </w:r>
      <w:proofErr w:type="gramEnd"/>
      <w:r>
        <w:t xml:space="preserve"> Qing Diabetes Prevention Study’, The Lancet, 371(9626), pp. 1783–1789. </w:t>
      </w:r>
      <w:hyperlink r:id="rId50" w:history="1">
        <w:r w:rsidR="00885646" w:rsidRPr="00361EDE">
          <w:rPr>
            <w:rStyle w:val="Hyperlink"/>
          </w:rPr>
          <w:t>https://doi.org/10.1016/S0140-6736(08)60766-7</w:t>
        </w:r>
      </w:hyperlink>
    </w:p>
    <w:p w:rsidR="002F351F" w:rsidRDefault="00000000" w:rsidP="00885646">
      <w:pPr>
        <w:spacing w:after="0"/>
        <w:ind w:left="720" w:hanging="720"/>
        <w:jc w:val="both"/>
      </w:pPr>
      <w:r>
        <w:t xml:space="preserve">Diabetes UK (2023) ‘Number of people living with diabetes in the UK tops 5 million for first time’, Diabetes UK. Available at: </w:t>
      </w:r>
      <w:hyperlink r:id="rId51" w:history="1">
        <w:r w:rsidR="00885646" w:rsidRPr="00361EDE">
          <w:rPr>
            <w:rStyle w:val="Hyperlink"/>
          </w:rPr>
          <w:t>https://www.diabetes.org.uk/about-us/news-and-views/number-people-living-diabetes-uk-tops-5-million-first-time</w:t>
        </w:r>
      </w:hyperlink>
    </w:p>
    <w:p w:rsidR="00885646" w:rsidRDefault="00885646">
      <w:pPr>
        <w:spacing w:after="40" w:line="240" w:lineRule="auto"/>
      </w:pPr>
    </w:p>
    <w:sectPr w:rsidR="00885646" w:rsidSect="00034616">
      <w:footerReference w:type="default" r:id="rId52"/>
      <w:pgSz w:w="11906" w:h="16838"/>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958D2" w:rsidRDefault="00F958D2">
      <w:pPr>
        <w:spacing w:after="0" w:line="240" w:lineRule="auto"/>
      </w:pPr>
      <w:r>
        <w:separator/>
      </w:r>
    </w:p>
  </w:endnote>
  <w:endnote w:type="continuationSeparator" w:id="0">
    <w:p w:rsidR="00F958D2" w:rsidRDefault="00F95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4416766"/>
      <w:docPartObj>
        <w:docPartGallery w:val="Page Numbers (Bottom of Page)"/>
        <w:docPartUnique/>
      </w:docPartObj>
    </w:sdtPr>
    <w:sdtEndPr>
      <w:rPr>
        <w:color w:val="7F7F7F" w:themeColor="background1" w:themeShade="7F"/>
        <w:spacing w:val="60"/>
      </w:rPr>
    </w:sdtEndPr>
    <w:sdtContent>
      <w:p w:rsidR="00F80C78" w:rsidRDefault="00F80C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2F351F" w:rsidRDefault="002F351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958D2" w:rsidRDefault="00F958D2">
      <w:pPr>
        <w:spacing w:after="0" w:line="240" w:lineRule="auto"/>
      </w:pPr>
      <w:r>
        <w:separator/>
      </w:r>
    </w:p>
  </w:footnote>
  <w:footnote w:type="continuationSeparator" w:id="0">
    <w:p w:rsidR="00F958D2" w:rsidRDefault="00F958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09DA618E"/>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A04CEE34"/>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A8A12DF"/>
    <w:multiLevelType w:val="hybridMultilevel"/>
    <w:tmpl w:val="5CF69CC2"/>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10" w15:restartNumberingAfterBreak="0">
    <w:nsid w:val="19F50E0A"/>
    <w:multiLevelType w:val="hybridMultilevel"/>
    <w:tmpl w:val="6EA2D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41D2D2C"/>
    <w:multiLevelType w:val="hybridMultilevel"/>
    <w:tmpl w:val="3B266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B5F7D7F"/>
    <w:multiLevelType w:val="hybridMultilevel"/>
    <w:tmpl w:val="6816B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710B58"/>
    <w:multiLevelType w:val="hybridMultilevel"/>
    <w:tmpl w:val="E7240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0B6191B"/>
    <w:multiLevelType w:val="hybridMultilevel"/>
    <w:tmpl w:val="947283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1EC7F0E"/>
    <w:multiLevelType w:val="hybridMultilevel"/>
    <w:tmpl w:val="1256DEA6"/>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16" w15:restartNumberingAfterBreak="0">
    <w:nsid w:val="54A876FD"/>
    <w:multiLevelType w:val="hybridMultilevel"/>
    <w:tmpl w:val="43880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6485D34"/>
    <w:multiLevelType w:val="hybridMultilevel"/>
    <w:tmpl w:val="CCFA19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B423A77"/>
    <w:multiLevelType w:val="hybridMultilevel"/>
    <w:tmpl w:val="310627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C792C9B"/>
    <w:multiLevelType w:val="hybridMultilevel"/>
    <w:tmpl w:val="EC40D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6819682">
    <w:abstractNumId w:val="8"/>
  </w:num>
  <w:num w:numId="2" w16cid:durableId="311444062">
    <w:abstractNumId w:val="6"/>
  </w:num>
  <w:num w:numId="3" w16cid:durableId="1333727237">
    <w:abstractNumId w:val="5"/>
  </w:num>
  <w:num w:numId="4" w16cid:durableId="600185661">
    <w:abstractNumId w:val="4"/>
  </w:num>
  <w:num w:numId="5" w16cid:durableId="1453472235">
    <w:abstractNumId w:val="7"/>
  </w:num>
  <w:num w:numId="6" w16cid:durableId="404955967">
    <w:abstractNumId w:val="3"/>
  </w:num>
  <w:num w:numId="7" w16cid:durableId="2092582600">
    <w:abstractNumId w:val="2"/>
  </w:num>
  <w:num w:numId="8" w16cid:durableId="2050521864">
    <w:abstractNumId w:val="1"/>
  </w:num>
  <w:num w:numId="9" w16cid:durableId="1360813946">
    <w:abstractNumId w:val="0"/>
  </w:num>
  <w:num w:numId="10" w16cid:durableId="1666203364">
    <w:abstractNumId w:val="7"/>
  </w:num>
  <w:num w:numId="11" w16cid:durableId="585573955">
    <w:abstractNumId w:val="11"/>
  </w:num>
  <w:num w:numId="12" w16cid:durableId="144703883">
    <w:abstractNumId w:val="17"/>
  </w:num>
  <w:num w:numId="13" w16cid:durableId="1984772501">
    <w:abstractNumId w:val="18"/>
  </w:num>
  <w:num w:numId="14" w16cid:durableId="899563002">
    <w:abstractNumId w:val="16"/>
  </w:num>
  <w:num w:numId="15" w16cid:durableId="552427930">
    <w:abstractNumId w:val="10"/>
  </w:num>
  <w:num w:numId="16" w16cid:durableId="1306273097">
    <w:abstractNumId w:val="9"/>
  </w:num>
  <w:num w:numId="17" w16cid:durableId="2054693438">
    <w:abstractNumId w:val="14"/>
  </w:num>
  <w:num w:numId="18" w16cid:durableId="245579791">
    <w:abstractNumId w:val="15"/>
  </w:num>
  <w:num w:numId="19" w16cid:durableId="1500806878">
    <w:abstractNumId w:val="19"/>
  </w:num>
  <w:num w:numId="20" w16cid:durableId="1353848374">
    <w:abstractNumId w:val="12"/>
  </w:num>
  <w:num w:numId="21" w16cid:durableId="6449976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4C85"/>
    <w:rsid w:val="00024638"/>
    <w:rsid w:val="00034616"/>
    <w:rsid w:val="0006063C"/>
    <w:rsid w:val="000C77C1"/>
    <w:rsid w:val="001175AA"/>
    <w:rsid w:val="00122F0A"/>
    <w:rsid w:val="001505A8"/>
    <w:rsid w:val="0015074B"/>
    <w:rsid w:val="00214F69"/>
    <w:rsid w:val="00234348"/>
    <w:rsid w:val="0024329B"/>
    <w:rsid w:val="0029639D"/>
    <w:rsid w:val="002B38B9"/>
    <w:rsid w:val="002D6BDA"/>
    <w:rsid w:val="002D6F14"/>
    <w:rsid w:val="002F351F"/>
    <w:rsid w:val="00326F90"/>
    <w:rsid w:val="003F2705"/>
    <w:rsid w:val="00493839"/>
    <w:rsid w:val="00496DE1"/>
    <w:rsid w:val="004E05A5"/>
    <w:rsid w:val="004F59D4"/>
    <w:rsid w:val="005958AE"/>
    <w:rsid w:val="005A7925"/>
    <w:rsid w:val="005B0DAE"/>
    <w:rsid w:val="005E1F12"/>
    <w:rsid w:val="00644223"/>
    <w:rsid w:val="006605FA"/>
    <w:rsid w:val="00746A59"/>
    <w:rsid w:val="00771142"/>
    <w:rsid w:val="007B79D5"/>
    <w:rsid w:val="007C074F"/>
    <w:rsid w:val="00885646"/>
    <w:rsid w:val="00893FFC"/>
    <w:rsid w:val="009B364D"/>
    <w:rsid w:val="009D42EA"/>
    <w:rsid w:val="009D75EC"/>
    <w:rsid w:val="00A04453"/>
    <w:rsid w:val="00AA1D8D"/>
    <w:rsid w:val="00AF1FA7"/>
    <w:rsid w:val="00B343EE"/>
    <w:rsid w:val="00B47730"/>
    <w:rsid w:val="00C80297"/>
    <w:rsid w:val="00C97755"/>
    <w:rsid w:val="00CB0664"/>
    <w:rsid w:val="00D9603E"/>
    <w:rsid w:val="00DA2E98"/>
    <w:rsid w:val="00DC3B8D"/>
    <w:rsid w:val="00DE49B9"/>
    <w:rsid w:val="00E97860"/>
    <w:rsid w:val="00F41A57"/>
    <w:rsid w:val="00F63D08"/>
    <w:rsid w:val="00F80C78"/>
    <w:rsid w:val="00F958D2"/>
    <w:rsid w:val="00FB3B7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F1FA21"/>
  <w14:defaultImageDpi w14:val="300"/>
  <w15:docId w15:val="{ACF93CC3-65D5-4688-B2B4-A926C3CCF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4E05A5"/>
    <w:rPr>
      <w:color w:val="0000FF" w:themeColor="hyperlink"/>
      <w:u w:val="single"/>
    </w:rPr>
  </w:style>
  <w:style w:type="character" w:styleId="UnresolvedMention">
    <w:name w:val="Unresolved Mention"/>
    <w:basedOn w:val="DefaultParagraphFont"/>
    <w:uiPriority w:val="99"/>
    <w:semiHidden/>
    <w:unhideWhenUsed/>
    <w:rsid w:val="004E05A5"/>
    <w:rPr>
      <w:color w:val="605E5C"/>
      <w:shd w:val="clear" w:color="auto" w:fill="E1DFDD"/>
    </w:rPr>
  </w:style>
  <w:style w:type="paragraph" w:styleId="TOC1">
    <w:name w:val="toc 1"/>
    <w:basedOn w:val="Normal"/>
    <w:next w:val="Normal"/>
    <w:autoRedefine/>
    <w:uiPriority w:val="39"/>
    <w:unhideWhenUsed/>
    <w:rsid w:val="00F80C7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kingsfund.org.uk/insight-and-analysis/reports/delivering-better-services-people-long-term-conditions" TargetMode="External"/><Relationship Id="rId26" Type="http://schemas.openxmlformats.org/officeDocument/2006/relationships/hyperlink" Target="https://www.instituteofhealthequity.org/resources-reports/marmot-review-10-years-on" TargetMode="External"/><Relationship Id="rId39" Type="http://schemas.openxmlformats.org/officeDocument/2006/relationships/hyperlink" Target="https://www.nice.org.uk/guidance/ng28" TargetMode="External"/><Relationship Id="rId21" Type="http://schemas.openxmlformats.org/officeDocument/2006/relationships/hyperlink" Target="https://www.diabetes.org.uk/about-diabetes/type-2-diabetes/prevention/healthy-eating-tips-to-lower-type-2-risk" TargetMode="External"/><Relationship Id="rId34" Type="http://schemas.openxmlformats.org/officeDocument/2006/relationships/hyperlink" Target="https://digital.nhs.uk/data-and-information/publications/statistical/health-survey-for-england/2022-part-2/adult-overweight-and-obesity" TargetMode="External"/><Relationship Id="rId42" Type="http://schemas.openxmlformats.org/officeDocument/2006/relationships/hyperlink" Target="https://trenddiabetes.online/resources/" TargetMode="External"/><Relationship Id="rId47" Type="http://schemas.openxmlformats.org/officeDocument/2006/relationships/hyperlink" Target="https://doi.org/10.1111/dme.14260" TargetMode="External"/><Relationship Id="rId50" Type="http://schemas.openxmlformats.org/officeDocument/2006/relationships/hyperlink" Target="https://doi.org/10.1016/S0140-6736(08)60766-7"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abetesjournals.org/care/issue/47/Supplement_1" TargetMode="External"/><Relationship Id="rId29" Type="http://schemas.openxmlformats.org/officeDocument/2006/relationships/hyperlink" Target="https://www.nhs.uk/conditions/type-2-diabetes/treatment/" TargetMode="External"/><Relationship Id="rId11" Type="http://schemas.openxmlformats.org/officeDocument/2006/relationships/image" Target="media/image4.png"/><Relationship Id="rId24" Type="http://schemas.openxmlformats.org/officeDocument/2006/relationships/hyperlink" Target="https://doi.org/10.1016/S0140-6736(17)33102-1" TargetMode="External"/><Relationship Id="rId32" Type="http://schemas.openxmlformats.org/officeDocument/2006/relationships/hyperlink" Target="https://www.england.nhs.uk/diabetes/treatment-care/path-to-remission/" TargetMode="External"/><Relationship Id="rId37" Type="http://schemas.openxmlformats.org/officeDocument/2006/relationships/hyperlink" Target="https://www.nice.org.uk/guidance/ng134" TargetMode="External"/><Relationship Id="rId40" Type="http://schemas.openxmlformats.org/officeDocument/2006/relationships/hyperlink" Target="https://www.nice.org.uk/" TargetMode="External"/><Relationship Id="rId45" Type="http://schemas.openxmlformats.org/officeDocument/2006/relationships/hyperlink" Target="https://doi.org/10.1377/hlthaff.20.6.64"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diabetes.org.uk/about-us/news-and-views/diabetes-prevention-week-2024-action-needed-tackle-rising-type-2-cases" TargetMode="External"/><Relationship Id="rId31" Type="http://schemas.openxmlformats.org/officeDocument/2006/relationships/hyperlink" Target="https://www.nhs.uk/conditions/diabetes/" TargetMode="External"/><Relationship Id="rId44" Type="http://schemas.openxmlformats.org/officeDocument/2006/relationships/hyperlink" Target="https://www.gov.uk/government/publications/soft-drinks-industry-levy-evaluation-report"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iabetesatlas.org/media/uploads/sites/3/2025/04/IDF_Atlas_11th_Edition_2025_Global-Factsheet.pdf" TargetMode="External"/><Relationship Id="rId27" Type="http://schemas.openxmlformats.org/officeDocument/2006/relationships/hyperlink" Target="https://pmc.ncbi.nlm.nih.gov/articles/PMC11581805/" TargetMode="External"/><Relationship Id="rId30" Type="http://schemas.openxmlformats.org/officeDocument/2006/relationships/hyperlink" Target="https://www.nhs.uk/conditions/high-blood-sugar-hyperglycaemia/" TargetMode="External"/><Relationship Id="rId35" Type="http://schemas.openxmlformats.org/officeDocument/2006/relationships/hyperlink" Target="https://digital.nhs.uk/data-and-information/publications/statistical/quality-and-outcomes-framework-achievement-prevalence-and-exceptions-data/2023-24/main-findings" TargetMode="External"/><Relationship Id="rId43" Type="http://schemas.openxmlformats.org/officeDocument/2006/relationships/hyperlink" Target="https://doi.org/10.1056/NEJM200105033441801" TargetMode="External"/><Relationship Id="rId48" Type="http://schemas.openxmlformats.org/officeDocument/2006/relationships/hyperlink" Target="https://www.gov.uk/government/publications/health-matters-preventing-type-2-diabetes/health-matters-preventing-type-2-diabetes" TargetMode="External"/><Relationship Id="rId8" Type="http://schemas.openxmlformats.org/officeDocument/2006/relationships/image" Target="media/image1.png"/><Relationship Id="rId51" Type="http://schemas.openxmlformats.org/officeDocument/2006/relationships/hyperlink" Target="https://www.diabetes.org.uk/about-us/news-and-views/number-people-living-diabetes-uk-tops-5-million-first-tim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371/journal.pmed.1003926" TargetMode="External"/><Relationship Id="rId25" Type="http://schemas.openxmlformats.org/officeDocument/2006/relationships/hyperlink" Target="https://pmc.ncbi.nlm.nih.gov/articles/PMC12209521/" TargetMode="External"/><Relationship Id="rId33" Type="http://schemas.openxmlformats.org/officeDocument/2006/relationships/hyperlink" Target="https://www.england.nhs.uk/diabetes/diabetes-prevention/" TargetMode="External"/><Relationship Id="rId38" Type="http://schemas.openxmlformats.org/officeDocument/2006/relationships/hyperlink" Target="https://www.nice.org.uk/guidance/ng17" TargetMode="External"/><Relationship Id="rId46" Type="http://schemas.openxmlformats.org/officeDocument/2006/relationships/hyperlink" Target="https://www.who.int/news-room/fact-sheets/detail/diabetes" TargetMode="External"/><Relationship Id="rId20" Type="http://schemas.openxmlformats.org/officeDocument/2006/relationships/hyperlink" Target="https://www.diabetes.org.uk/about-us/about-the-charity/our-strategy/statistics" TargetMode="External"/><Relationship Id="rId41" Type="http://schemas.openxmlformats.org/officeDocument/2006/relationships/hyperlink" Target="https://doi.org/10.1016/S2213-8587(24)00282-1"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56/NEJMoa012512" TargetMode="External"/><Relationship Id="rId28" Type="http://schemas.openxmlformats.org/officeDocument/2006/relationships/hyperlink" Target="https://www.longtermplan.nhs.uk/" TargetMode="External"/><Relationship Id="rId36" Type="http://schemas.openxmlformats.org/officeDocument/2006/relationships/hyperlink" Target="https://www.nice.org.uk/guidance/ng3" TargetMode="External"/><Relationship Id="rId49" Type="http://schemas.openxmlformats.org/officeDocument/2006/relationships/hyperlink" Target="https://www.bhf.org.uk/informationsupport/risk-factor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17</Pages>
  <Words>4788</Words>
  <Characters>27292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32016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Ritu Panna Saha</cp:lastModifiedBy>
  <cp:revision>20</cp:revision>
  <dcterms:created xsi:type="dcterms:W3CDTF">2013-12-23T23:15:00Z</dcterms:created>
  <dcterms:modified xsi:type="dcterms:W3CDTF">2026-02-25T10:44:00Z</dcterms:modified>
  <cp:category/>
</cp:coreProperties>
</file>