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127B3F8B" w:rsidR="008375B5" w:rsidRPr="00895E01" w:rsidRDefault="005F5FB6" w:rsidP="00895E01">
      <w:pPr>
        <w:pStyle w:val="NoSpacing"/>
        <w:spacing w:line="360" w:lineRule="auto"/>
        <w:rPr>
          <w:rFonts w:ascii="Arial" w:hAnsi="Arial"/>
          <w:sz w:val="22"/>
          <w:szCs w:val="22"/>
        </w:rPr>
      </w:pPr>
      <w:r>
        <w:rPr>
          <w:rFonts w:ascii="Arial" w:hAnsi="Arial"/>
          <w:sz w:val="22"/>
          <w:szCs w:val="22"/>
        </w:rPr>
        <w:t xml:space="preserve"> </w:t>
      </w:r>
      <w:r w:rsidR="009334D8" w:rsidRPr="00895E01">
        <w:rPr>
          <w:rFonts w:ascii="Arial" w:hAnsi="Arial"/>
          <w:noProof/>
          <w:sz w:val="22"/>
          <w:szCs w:val="22"/>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Pr="00895E01" w:rsidRDefault="008375B5" w:rsidP="00895E01">
      <w:pPr>
        <w:pStyle w:val="NoSpacing"/>
        <w:spacing w:line="360" w:lineRule="auto"/>
        <w:rPr>
          <w:rStyle w:val="Strong"/>
          <w:rFonts w:ascii="Arial" w:hAnsi="Arial"/>
          <w:color w:val="1D2125"/>
          <w:sz w:val="22"/>
          <w:szCs w:val="22"/>
        </w:rPr>
      </w:pPr>
    </w:p>
    <w:p w14:paraId="3D4BDE11" w14:textId="77777777" w:rsidR="008375B5" w:rsidRPr="00895E01" w:rsidRDefault="008375B5" w:rsidP="00895E01">
      <w:pPr>
        <w:pStyle w:val="NoSpacing"/>
        <w:spacing w:line="360" w:lineRule="auto"/>
        <w:rPr>
          <w:rStyle w:val="Strong"/>
          <w:rFonts w:ascii="Arial" w:hAnsi="Arial"/>
          <w:color w:val="1D2125"/>
          <w:sz w:val="22"/>
          <w:szCs w:val="22"/>
        </w:rPr>
      </w:pPr>
    </w:p>
    <w:p w14:paraId="22930AF8" w14:textId="77777777" w:rsidR="008375B5" w:rsidRPr="00895E01" w:rsidRDefault="008375B5" w:rsidP="00895E01">
      <w:pPr>
        <w:pStyle w:val="NoSpacing"/>
        <w:spacing w:line="360" w:lineRule="auto"/>
        <w:rPr>
          <w:rStyle w:val="Strong"/>
          <w:rFonts w:ascii="Arial" w:hAnsi="Arial"/>
          <w:color w:val="1D2125"/>
          <w:sz w:val="22"/>
          <w:szCs w:val="22"/>
        </w:rPr>
      </w:pPr>
    </w:p>
    <w:p w14:paraId="7E1888EF" w14:textId="77777777" w:rsidR="008375B5" w:rsidRPr="00895E01" w:rsidRDefault="008375B5" w:rsidP="00895E01">
      <w:pPr>
        <w:pStyle w:val="NoSpacing"/>
        <w:spacing w:line="360" w:lineRule="auto"/>
        <w:rPr>
          <w:rStyle w:val="Strong"/>
          <w:rFonts w:ascii="Arial" w:hAnsi="Arial"/>
          <w:color w:val="1D2125"/>
          <w:sz w:val="22"/>
          <w:szCs w:val="22"/>
        </w:rPr>
      </w:pPr>
      <w:r w:rsidRPr="00895E01">
        <w:rPr>
          <w:rStyle w:val="Strong"/>
          <w:rFonts w:ascii="Arial" w:hAnsi="Arial"/>
          <w:color w:val="1D2125"/>
          <w:sz w:val="22"/>
          <w:szCs w:val="22"/>
        </w:rPr>
        <w:t>Digital Transformation in the Health and Care Professions (BMHP6026)</w:t>
      </w:r>
    </w:p>
    <w:p w14:paraId="0E4A258C" w14:textId="77777777" w:rsidR="008375B5" w:rsidRPr="00895E01" w:rsidRDefault="008375B5" w:rsidP="00895E01">
      <w:pPr>
        <w:pStyle w:val="NoSpacing"/>
        <w:spacing w:line="360" w:lineRule="auto"/>
        <w:rPr>
          <w:rStyle w:val="Strong"/>
          <w:rFonts w:ascii="Arial" w:hAnsi="Arial"/>
          <w:color w:val="1D2125"/>
          <w:sz w:val="22"/>
          <w:szCs w:val="22"/>
        </w:rPr>
      </w:pPr>
    </w:p>
    <w:p w14:paraId="4D8F34EA" w14:textId="77777777" w:rsidR="008375B5" w:rsidRPr="00895E01" w:rsidRDefault="008375B5" w:rsidP="00895E01">
      <w:pPr>
        <w:pStyle w:val="NoSpacing"/>
        <w:spacing w:line="360" w:lineRule="auto"/>
        <w:rPr>
          <w:rStyle w:val="Strong"/>
          <w:rFonts w:ascii="Arial" w:hAnsi="Arial"/>
          <w:color w:val="1D2125"/>
          <w:sz w:val="22"/>
          <w:szCs w:val="22"/>
        </w:rPr>
      </w:pPr>
    </w:p>
    <w:p w14:paraId="09EDD2AC" w14:textId="77777777" w:rsidR="008375B5" w:rsidRPr="00895E01" w:rsidRDefault="008375B5" w:rsidP="00895E01">
      <w:pPr>
        <w:pStyle w:val="NoSpacing"/>
        <w:spacing w:line="360" w:lineRule="auto"/>
        <w:rPr>
          <w:rStyle w:val="Strong"/>
          <w:rFonts w:ascii="Arial" w:hAnsi="Arial"/>
          <w:b w:val="0"/>
          <w:bCs w:val="0"/>
          <w:color w:val="1D2125"/>
          <w:sz w:val="22"/>
          <w:szCs w:val="22"/>
        </w:rPr>
      </w:pPr>
      <w:r w:rsidRPr="00895E01">
        <w:rPr>
          <w:rFonts w:ascii="Arial" w:hAnsi="Arial"/>
          <w:b/>
          <w:bCs/>
          <w:sz w:val="22"/>
          <w:szCs w:val="22"/>
        </w:rPr>
        <w:t>Component 1: Written Report</w:t>
      </w:r>
    </w:p>
    <w:p w14:paraId="03B7C5EA" w14:textId="77777777" w:rsidR="008375B5" w:rsidRPr="00895E01" w:rsidRDefault="008375B5" w:rsidP="00895E01">
      <w:pPr>
        <w:pStyle w:val="NoSpacing"/>
        <w:spacing w:line="360" w:lineRule="auto"/>
        <w:rPr>
          <w:rStyle w:val="Strong"/>
          <w:rFonts w:ascii="Arial" w:hAnsi="Arial"/>
          <w:color w:val="1D2125"/>
          <w:sz w:val="22"/>
          <w:szCs w:val="22"/>
        </w:rPr>
      </w:pPr>
    </w:p>
    <w:p w14:paraId="3C3042AD" w14:textId="2A25898B" w:rsidR="008375B5" w:rsidRPr="00895E01" w:rsidRDefault="008375B5" w:rsidP="00895E01">
      <w:pPr>
        <w:pStyle w:val="NoSpacing"/>
        <w:spacing w:line="360" w:lineRule="auto"/>
        <w:rPr>
          <w:rStyle w:val="Strong"/>
          <w:rFonts w:ascii="Arial" w:hAnsi="Arial"/>
          <w:color w:val="1D2125"/>
          <w:sz w:val="22"/>
          <w:szCs w:val="22"/>
        </w:rPr>
      </w:pPr>
      <w:r w:rsidRPr="00895E01">
        <w:rPr>
          <w:rStyle w:val="Strong"/>
          <w:rFonts w:ascii="Arial" w:hAnsi="Arial"/>
          <w:color w:val="1D2125"/>
          <w:sz w:val="22"/>
          <w:szCs w:val="22"/>
        </w:rPr>
        <w:t>Student name:</w:t>
      </w:r>
      <w:r w:rsidR="0050279E">
        <w:rPr>
          <w:rStyle w:val="Strong"/>
          <w:rFonts w:ascii="Arial" w:hAnsi="Arial"/>
          <w:color w:val="1D2125"/>
          <w:sz w:val="22"/>
          <w:szCs w:val="22"/>
        </w:rPr>
        <w:t xml:space="preserve"> </w:t>
      </w:r>
      <w:r w:rsidR="007F45D3">
        <w:rPr>
          <w:rStyle w:val="Strong"/>
          <w:rFonts w:ascii="Arial" w:hAnsi="Arial"/>
          <w:color w:val="1D2125"/>
          <w:sz w:val="22"/>
          <w:szCs w:val="22"/>
        </w:rPr>
        <w:t>Charity Amihere</w:t>
      </w:r>
      <w:r w:rsidR="0050279E">
        <w:rPr>
          <w:rStyle w:val="Strong"/>
          <w:rFonts w:ascii="Arial" w:hAnsi="Arial"/>
          <w:color w:val="1D2125"/>
          <w:sz w:val="22"/>
          <w:szCs w:val="22"/>
        </w:rPr>
        <w:t xml:space="preserve"> </w:t>
      </w:r>
    </w:p>
    <w:p w14:paraId="227AC82E" w14:textId="7AC3F8DD" w:rsidR="008375B5" w:rsidRPr="00895E01" w:rsidRDefault="008375B5" w:rsidP="00895E01">
      <w:pPr>
        <w:pStyle w:val="NoSpacing"/>
        <w:spacing w:line="360" w:lineRule="auto"/>
        <w:rPr>
          <w:rStyle w:val="Strong"/>
          <w:rFonts w:ascii="Arial" w:hAnsi="Arial"/>
          <w:color w:val="1D2125"/>
          <w:sz w:val="22"/>
          <w:szCs w:val="22"/>
        </w:rPr>
      </w:pPr>
      <w:r w:rsidRPr="00895E01">
        <w:rPr>
          <w:rStyle w:val="Strong"/>
          <w:rFonts w:ascii="Arial" w:hAnsi="Arial"/>
          <w:color w:val="1D2125"/>
          <w:sz w:val="22"/>
          <w:szCs w:val="22"/>
        </w:rPr>
        <w:t>Student number:</w:t>
      </w:r>
      <w:r w:rsidR="007F45D3">
        <w:rPr>
          <w:rStyle w:val="Strong"/>
          <w:rFonts w:ascii="Arial" w:hAnsi="Arial"/>
          <w:color w:val="1D2125"/>
          <w:sz w:val="22"/>
          <w:szCs w:val="22"/>
        </w:rPr>
        <w:t xml:space="preserve"> 2336795</w:t>
      </w:r>
    </w:p>
    <w:p w14:paraId="5B5E64AD" w14:textId="27C02C1E" w:rsidR="008375B5" w:rsidRPr="00895E01" w:rsidRDefault="008375B5" w:rsidP="00895E01">
      <w:pPr>
        <w:pStyle w:val="NoSpacing"/>
        <w:spacing w:line="360" w:lineRule="auto"/>
        <w:rPr>
          <w:rStyle w:val="Strong"/>
          <w:rFonts w:ascii="Arial" w:hAnsi="Arial"/>
          <w:color w:val="1D2125"/>
          <w:sz w:val="22"/>
          <w:szCs w:val="22"/>
        </w:rPr>
      </w:pPr>
      <w:r w:rsidRPr="00895E01">
        <w:rPr>
          <w:rStyle w:val="Strong"/>
          <w:rFonts w:ascii="Arial" w:hAnsi="Arial"/>
          <w:color w:val="1D2125"/>
          <w:sz w:val="22"/>
          <w:szCs w:val="22"/>
        </w:rPr>
        <w:t>Lecturer’s name:</w:t>
      </w:r>
      <w:r w:rsidR="007F45D3">
        <w:rPr>
          <w:rStyle w:val="Strong"/>
          <w:rFonts w:ascii="Arial" w:hAnsi="Arial"/>
          <w:color w:val="1D2125"/>
          <w:sz w:val="22"/>
          <w:szCs w:val="22"/>
        </w:rPr>
        <w:t xml:space="preserve"> Dr Laila Surani</w:t>
      </w:r>
    </w:p>
    <w:p w14:paraId="4F492421" w14:textId="77777777" w:rsidR="008375B5" w:rsidRPr="00895E01" w:rsidRDefault="008375B5" w:rsidP="00895E01">
      <w:pPr>
        <w:pStyle w:val="NoSpacing"/>
        <w:spacing w:line="360" w:lineRule="auto"/>
        <w:rPr>
          <w:rFonts w:ascii="Arial" w:hAnsi="Arial"/>
          <w:sz w:val="22"/>
          <w:szCs w:val="22"/>
        </w:rPr>
      </w:pPr>
    </w:p>
    <w:p w14:paraId="43FBD350" w14:textId="77777777" w:rsidR="008375B5" w:rsidRPr="00895E01" w:rsidRDefault="008375B5" w:rsidP="00895E01">
      <w:pPr>
        <w:pStyle w:val="NoSpacing"/>
        <w:spacing w:line="360" w:lineRule="auto"/>
        <w:rPr>
          <w:rFonts w:ascii="Arial" w:hAnsi="Arial"/>
          <w:sz w:val="22"/>
          <w:szCs w:val="22"/>
        </w:rPr>
      </w:pPr>
    </w:p>
    <w:p w14:paraId="2EE68F49" w14:textId="77777777" w:rsidR="008375B5" w:rsidRPr="00895E01" w:rsidRDefault="008375B5" w:rsidP="00895E01">
      <w:pPr>
        <w:pStyle w:val="NoSpacing"/>
        <w:spacing w:line="360" w:lineRule="auto"/>
        <w:rPr>
          <w:rFonts w:ascii="Arial" w:hAnsi="Arial"/>
          <w:sz w:val="22"/>
          <w:szCs w:val="22"/>
        </w:rPr>
      </w:pPr>
    </w:p>
    <w:p w14:paraId="5E13BA96" w14:textId="77777777" w:rsidR="008375B5" w:rsidRPr="00895E01" w:rsidRDefault="008375B5" w:rsidP="00895E01">
      <w:pPr>
        <w:pStyle w:val="NoSpacing"/>
        <w:spacing w:line="360" w:lineRule="auto"/>
        <w:rPr>
          <w:rFonts w:ascii="Arial" w:hAnsi="Arial"/>
          <w:sz w:val="22"/>
          <w:szCs w:val="22"/>
        </w:rPr>
      </w:pPr>
    </w:p>
    <w:p w14:paraId="558EAFD9" w14:textId="77777777" w:rsidR="008A19D3" w:rsidRPr="00895E01" w:rsidRDefault="008A19D3" w:rsidP="00895E01">
      <w:pPr>
        <w:pStyle w:val="NoSpacing"/>
        <w:spacing w:line="360" w:lineRule="auto"/>
        <w:rPr>
          <w:rFonts w:ascii="Arial" w:hAnsi="Arial"/>
          <w:sz w:val="22"/>
          <w:szCs w:val="22"/>
        </w:rPr>
      </w:pPr>
    </w:p>
    <w:p w14:paraId="4E3F2CD0" w14:textId="77777777" w:rsidR="008A19D3" w:rsidRPr="00895E01" w:rsidRDefault="008A19D3" w:rsidP="00895E01">
      <w:pPr>
        <w:pStyle w:val="NoSpacing"/>
        <w:spacing w:line="360" w:lineRule="auto"/>
        <w:rPr>
          <w:rFonts w:ascii="Arial" w:eastAsia="Times New Roman" w:hAnsi="Arial"/>
          <w:kern w:val="0"/>
          <w:sz w:val="22"/>
          <w:szCs w:val="22"/>
          <w:lang w:eastAsia="en-GB"/>
        </w:rPr>
      </w:pPr>
      <w:r w:rsidRPr="00895E01">
        <w:rPr>
          <w:rFonts w:ascii="Arial" w:hAnsi="Arial"/>
          <w:sz w:val="22"/>
          <w:szCs w:val="22"/>
        </w:rPr>
        <w:br w:type="page"/>
      </w:r>
    </w:p>
    <w:p w14:paraId="35E9E8E1" w14:textId="1CCBB72E" w:rsidR="008375B5" w:rsidRPr="00895E01" w:rsidRDefault="008375B5" w:rsidP="00895E01">
      <w:pPr>
        <w:pStyle w:val="NoSpacing"/>
        <w:spacing w:line="360" w:lineRule="auto"/>
        <w:rPr>
          <w:rFonts w:ascii="Arial" w:hAnsi="Arial"/>
          <w:b/>
          <w:bCs/>
          <w:sz w:val="22"/>
          <w:szCs w:val="22"/>
        </w:rPr>
      </w:pPr>
      <w:r w:rsidRPr="00895E01">
        <w:rPr>
          <w:rFonts w:ascii="Arial" w:hAnsi="Arial"/>
          <w:b/>
          <w:bCs/>
          <w:sz w:val="22"/>
          <w:szCs w:val="22"/>
        </w:rPr>
        <w:lastRenderedPageBreak/>
        <w:t>Table of contents</w:t>
      </w:r>
    </w:p>
    <w:p w14:paraId="6997D827" w14:textId="77777777" w:rsidR="008375B5" w:rsidRPr="00895E01" w:rsidRDefault="008375B5" w:rsidP="00895E01">
      <w:pPr>
        <w:pStyle w:val="NoSpacing"/>
        <w:spacing w:line="360" w:lineRule="auto"/>
        <w:rPr>
          <w:rFonts w:ascii="Arial" w:hAnsi="Arial"/>
          <w:b/>
          <w:bCs/>
          <w:sz w:val="22"/>
          <w:szCs w:val="22"/>
        </w:rPr>
      </w:pPr>
    </w:p>
    <w:p w14:paraId="6F69F90E" w14:textId="6CFBF408"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1.0 Introduction</w:t>
      </w:r>
      <w:r w:rsidR="00900073">
        <w:rPr>
          <w:rFonts w:ascii="Arial" w:hAnsi="Arial"/>
          <w:sz w:val="22"/>
          <w:szCs w:val="22"/>
        </w:rPr>
        <w:t xml:space="preserve"> </w:t>
      </w:r>
    </w:p>
    <w:p w14:paraId="4F847A0F" w14:textId="490F59FC"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2.0 Impact on Workforce</w:t>
      </w:r>
    </w:p>
    <w:p w14:paraId="284B618D" w14:textId="4EFFDEB3"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2.1 Positive Outcomes</w:t>
      </w:r>
    </w:p>
    <w:p w14:paraId="6EEA185D"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2.2 Challenges and Negative Impacts</w:t>
      </w:r>
    </w:p>
    <w:p w14:paraId="25B5A631"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3.0 Impact on Service Delivery</w:t>
      </w:r>
    </w:p>
    <w:p w14:paraId="44B569C3"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3.1 Positive Outcomes</w:t>
      </w:r>
    </w:p>
    <w:p w14:paraId="7EA72E02"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3.2 Challenges and Negative Impacts</w:t>
      </w:r>
    </w:p>
    <w:p w14:paraId="6E9D1090"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4.0 Impact on Patients</w:t>
      </w:r>
    </w:p>
    <w:p w14:paraId="1A915EAC"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4.1 Positive Outcomes</w:t>
      </w:r>
    </w:p>
    <w:p w14:paraId="55E9B7C9"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4.2 Challenges and Negative Impacts</w:t>
      </w:r>
    </w:p>
    <w:p w14:paraId="023C88EB"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4.0 Impact on Community</w:t>
      </w:r>
    </w:p>
    <w:p w14:paraId="675D4C40"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4.1 Positive Outcomes</w:t>
      </w:r>
    </w:p>
    <w:p w14:paraId="01432BE4"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4.2 Challenges and Negative Impacts</w:t>
      </w:r>
    </w:p>
    <w:p w14:paraId="08F77EE2" w14:textId="77777777" w:rsidR="00632E71" w:rsidRPr="00895E01" w:rsidRDefault="00632E71" w:rsidP="00632E71">
      <w:pPr>
        <w:pStyle w:val="Heading2"/>
        <w:spacing w:line="360" w:lineRule="auto"/>
        <w:rPr>
          <w:rFonts w:ascii="Arial" w:hAnsi="Arial"/>
          <w:sz w:val="22"/>
          <w:szCs w:val="22"/>
        </w:rPr>
      </w:pPr>
      <w:r w:rsidRPr="00895E01">
        <w:rPr>
          <w:rFonts w:ascii="Arial" w:hAnsi="Arial"/>
          <w:sz w:val="22"/>
          <w:szCs w:val="22"/>
        </w:rPr>
        <w:t>5.0 Conclusion</w:t>
      </w:r>
    </w:p>
    <w:p w14:paraId="19CB484C" w14:textId="503D88A4" w:rsidR="00632E71" w:rsidRPr="00895E01" w:rsidRDefault="00900073" w:rsidP="00632E71">
      <w:pPr>
        <w:pStyle w:val="Heading2"/>
      </w:pPr>
      <w:r>
        <w:t xml:space="preserve">6.0 </w:t>
      </w:r>
      <w:r w:rsidR="00632E71" w:rsidRPr="00895E01">
        <w:t>References</w:t>
      </w:r>
    </w:p>
    <w:p w14:paraId="014C36E6" w14:textId="77777777" w:rsidR="008375B5" w:rsidRPr="00895E01" w:rsidRDefault="008375B5" w:rsidP="00895E01">
      <w:pPr>
        <w:pStyle w:val="NoSpacing"/>
        <w:spacing w:line="360" w:lineRule="auto"/>
        <w:rPr>
          <w:rFonts w:ascii="Arial" w:hAnsi="Arial"/>
          <w:b/>
          <w:bCs/>
          <w:sz w:val="22"/>
          <w:szCs w:val="22"/>
        </w:rPr>
      </w:pPr>
    </w:p>
    <w:p w14:paraId="63E2CA27" w14:textId="77777777" w:rsidR="008375B5" w:rsidRPr="00895E01" w:rsidRDefault="008375B5" w:rsidP="00895E01">
      <w:pPr>
        <w:pStyle w:val="NoSpacing"/>
        <w:spacing w:line="360" w:lineRule="auto"/>
        <w:rPr>
          <w:rFonts w:ascii="Arial" w:hAnsi="Arial"/>
          <w:b/>
          <w:bCs/>
          <w:sz w:val="22"/>
          <w:szCs w:val="22"/>
        </w:rPr>
      </w:pPr>
    </w:p>
    <w:p w14:paraId="0E7227A5" w14:textId="77777777" w:rsidR="008375B5" w:rsidRPr="00895E01" w:rsidRDefault="008375B5" w:rsidP="00895E01">
      <w:pPr>
        <w:pStyle w:val="NoSpacing"/>
        <w:spacing w:line="360" w:lineRule="auto"/>
        <w:rPr>
          <w:rFonts w:ascii="Arial" w:hAnsi="Arial"/>
          <w:b/>
          <w:bCs/>
          <w:sz w:val="22"/>
          <w:szCs w:val="22"/>
        </w:rPr>
      </w:pPr>
    </w:p>
    <w:p w14:paraId="4C678BFB" w14:textId="77777777" w:rsidR="008375B5" w:rsidRPr="00895E01" w:rsidRDefault="008375B5" w:rsidP="00895E01">
      <w:pPr>
        <w:pStyle w:val="NoSpacing"/>
        <w:spacing w:line="360" w:lineRule="auto"/>
        <w:rPr>
          <w:rFonts w:ascii="Arial" w:hAnsi="Arial"/>
          <w:b/>
          <w:bCs/>
          <w:sz w:val="22"/>
          <w:szCs w:val="22"/>
        </w:rPr>
      </w:pPr>
    </w:p>
    <w:p w14:paraId="3B71E803" w14:textId="2861E7F2" w:rsidR="008A19D3" w:rsidRPr="00895E01" w:rsidRDefault="008A19D3" w:rsidP="00895E01">
      <w:pPr>
        <w:pStyle w:val="NoSpacing"/>
        <w:spacing w:line="360" w:lineRule="auto"/>
        <w:rPr>
          <w:rFonts w:ascii="Arial" w:eastAsia="Times New Roman" w:hAnsi="Arial"/>
          <w:kern w:val="0"/>
          <w:sz w:val="22"/>
          <w:szCs w:val="22"/>
          <w:lang w:eastAsia="en-GB"/>
        </w:rPr>
      </w:pPr>
      <w:r w:rsidRPr="00895E01">
        <w:rPr>
          <w:rFonts w:ascii="Arial" w:hAnsi="Arial"/>
          <w:sz w:val="22"/>
          <w:szCs w:val="22"/>
        </w:rPr>
        <w:br w:type="page"/>
      </w:r>
    </w:p>
    <w:p w14:paraId="30CBBC2B" w14:textId="77777777" w:rsidR="008A19D3" w:rsidRPr="00895E01" w:rsidRDefault="008A19D3" w:rsidP="00895E01">
      <w:pPr>
        <w:pStyle w:val="Heading2"/>
        <w:spacing w:line="360" w:lineRule="auto"/>
        <w:rPr>
          <w:rFonts w:ascii="Arial" w:hAnsi="Arial"/>
          <w:bCs/>
          <w:kern w:val="36"/>
          <w:sz w:val="22"/>
          <w:szCs w:val="22"/>
          <w:lang w:eastAsia="en-GB"/>
        </w:rPr>
      </w:pPr>
      <w:r w:rsidRPr="00895E01">
        <w:rPr>
          <w:rFonts w:ascii="Arial" w:hAnsi="Arial"/>
          <w:sz w:val="22"/>
          <w:szCs w:val="22"/>
        </w:rPr>
        <w:lastRenderedPageBreak/>
        <w:t>Electronic Health Records (EHRs): A Critical Evaluation of Digital Transformation in the UK Health and Social Care Sector</w:t>
      </w:r>
    </w:p>
    <w:p w14:paraId="49E3341C" w14:textId="20D0C6A8" w:rsidR="008A19D3" w:rsidRPr="00895E01" w:rsidRDefault="008A19D3" w:rsidP="00895E01">
      <w:pPr>
        <w:pStyle w:val="Heading2"/>
        <w:spacing w:line="360" w:lineRule="auto"/>
        <w:rPr>
          <w:rFonts w:ascii="Arial" w:hAnsi="Arial"/>
          <w:sz w:val="22"/>
          <w:szCs w:val="22"/>
        </w:rPr>
      </w:pPr>
      <w:r w:rsidRPr="00895E01">
        <w:rPr>
          <w:rFonts w:ascii="Arial" w:hAnsi="Arial"/>
          <w:sz w:val="22"/>
          <w:szCs w:val="22"/>
        </w:rPr>
        <w:t>1.0 Introduction</w:t>
      </w:r>
    </w:p>
    <w:p w14:paraId="6C2ED51E" w14:textId="50672A6B" w:rsidR="00F166D8" w:rsidRPr="00895E01" w:rsidRDefault="00F166D8"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The </w:t>
      </w:r>
      <w:r w:rsidR="0050279E">
        <w:rPr>
          <w:rFonts w:ascii="Arial" w:hAnsi="Arial"/>
          <w:color w:val="0F1115"/>
          <w:sz w:val="22"/>
          <w:szCs w:val="22"/>
        </w:rPr>
        <w:t xml:space="preserve">digitisation of health records </w:t>
      </w:r>
      <w:r w:rsidRPr="00895E01">
        <w:rPr>
          <w:rFonts w:ascii="Arial" w:hAnsi="Arial"/>
          <w:color w:val="0F1115"/>
          <w:sz w:val="22"/>
          <w:szCs w:val="22"/>
        </w:rPr>
        <w:t xml:space="preserve">has been a significant change in the National Health Service (NHS). EHRs, </w:t>
      </w:r>
      <w:r w:rsidR="0050279E">
        <w:rPr>
          <w:rFonts w:ascii="Arial" w:hAnsi="Arial"/>
          <w:color w:val="0F1115"/>
          <w:sz w:val="22"/>
          <w:szCs w:val="22"/>
        </w:rPr>
        <w:t xml:space="preserve">electronic patient records that replace paper-based records for </w:t>
      </w:r>
      <w:r w:rsidRPr="00895E01">
        <w:rPr>
          <w:rFonts w:ascii="Arial" w:hAnsi="Arial"/>
          <w:color w:val="0F1115"/>
          <w:sz w:val="22"/>
          <w:szCs w:val="22"/>
        </w:rPr>
        <w:t>clinical procedures and data exchange, have become an important element of modern healthcare provision. With the development of the NHS from analogue to digital technologies, EHRs are expected to change the ways patient data are collected, stored, and shared.</w:t>
      </w:r>
    </w:p>
    <w:p w14:paraId="5BB2D409" w14:textId="7F8A31CF" w:rsidR="00F166D8" w:rsidRPr="00895E01" w:rsidRDefault="00F166D8"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The concept that the services should be “digital by default” has been stated in the </w:t>
      </w:r>
      <w:r w:rsidR="00895E01" w:rsidRPr="00895E01">
        <w:rPr>
          <w:rFonts w:ascii="Arial" w:hAnsi="Arial"/>
          <w:color w:val="0F1115"/>
          <w:sz w:val="22"/>
          <w:szCs w:val="22"/>
        </w:rPr>
        <w:t>10-Year</w:t>
      </w:r>
      <w:r w:rsidRPr="00895E01">
        <w:rPr>
          <w:rFonts w:ascii="Arial" w:hAnsi="Arial"/>
          <w:color w:val="0F1115"/>
          <w:sz w:val="22"/>
          <w:szCs w:val="22"/>
        </w:rPr>
        <w:t xml:space="preserve"> Health Plan developed by the UK Government (UK Government, 2025a). Currently, 91% of secondary care trusts in England run Electronic Patient Record (EPR) with the objective that all trusts will reach the core requirements of digitalisation by March 2026 (NHS England, 2025). 75% of care providers who register their activities within adult social care keep digitised care records (it was only 41% at the end of 2021) (UK Government, 2025b).</w:t>
      </w:r>
    </w:p>
    <w:p w14:paraId="16972D07" w14:textId="2646D684" w:rsidR="008A19D3" w:rsidRPr="00895E01" w:rsidRDefault="00F166D8"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This report is an analysis of the EHRs’ implementation in the UK health and social care, focusing on its consequences for the four main areas, including </w:t>
      </w:r>
      <w:r w:rsidR="0050279E">
        <w:rPr>
          <w:rFonts w:ascii="Arial" w:hAnsi="Arial"/>
          <w:color w:val="0F1115"/>
          <w:sz w:val="22"/>
          <w:szCs w:val="22"/>
        </w:rPr>
        <w:t xml:space="preserve">the </w:t>
      </w:r>
      <w:r w:rsidRPr="00895E01">
        <w:rPr>
          <w:rFonts w:ascii="Arial" w:hAnsi="Arial"/>
          <w:color w:val="0F1115"/>
          <w:sz w:val="22"/>
          <w:szCs w:val="22"/>
        </w:rPr>
        <w:t xml:space="preserve">workforce, service provision, patients, and </w:t>
      </w:r>
      <w:r w:rsidR="0050279E">
        <w:rPr>
          <w:rFonts w:ascii="Arial" w:hAnsi="Arial"/>
          <w:color w:val="0F1115"/>
          <w:sz w:val="22"/>
          <w:szCs w:val="22"/>
        </w:rPr>
        <w:t xml:space="preserve">the </w:t>
      </w:r>
      <w:r w:rsidRPr="00895E01">
        <w:rPr>
          <w:rFonts w:ascii="Arial" w:hAnsi="Arial"/>
          <w:color w:val="0F1115"/>
          <w:sz w:val="22"/>
          <w:szCs w:val="22"/>
        </w:rPr>
        <w:t>community. Both advantages and difficulties related to the implementation of this technology are discussed in the report.</w:t>
      </w:r>
    </w:p>
    <w:p w14:paraId="40A7156C" w14:textId="433D3654" w:rsidR="008A19D3" w:rsidRPr="00895E01" w:rsidRDefault="00F166D8" w:rsidP="00895E01">
      <w:pPr>
        <w:pStyle w:val="Heading2"/>
        <w:spacing w:line="360" w:lineRule="auto"/>
        <w:rPr>
          <w:rFonts w:ascii="Arial" w:hAnsi="Arial"/>
          <w:sz w:val="22"/>
          <w:szCs w:val="22"/>
        </w:rPr>
      </w:pPr>
      <w:r w:rsidRPr="00895E01">
        <w:rPr>
          <w:rFonts w:ascii="Arial" w:hAnsi="Arial"/>
          <w:sz w:val="22"/>
          <w:szCs w:val="22"/>
        </w:rPr>
        <w:t xml:space="preserve">2.0 </w:t>
      </w:r>
      <w:r w:rsidR="008A19D3" w:rsidRPr="00895E01">
        <w:rPr>
          <w:rFonts w:ascii="Arial" w:hAnsi="Arial"/>
          <w:sz w:val="22"/>
          <w:szCs w:val="22"/>
        </w:rPr>
        <w:t>Impact on Workforce</w:t>
      </w:r>
    </w:p>
    <w:p w14:paraId="64EDACB2" w14:textId="5C2F32E1" w:rsidR="008A19D3" w:rsidRPr="00895E01" w:rsidRDefault="00F166D8" w:rsidP="00895E01">
      <w:pPr>
        <w:pStyle w:val="Heading2"/>
        <w:spacing w:line="360" w:lineRule="auto"/>
        <w:rPr>
          <w:rFonts w:ascii="Arial" w:hAnsi="Arial"/>
          <w:sz w:val="22"/>
          <w:szCs w:val="22"/>
        </w:rPr>
      </w:pPr>
      <w:r w:rsidRPr="00895E01">
        <w:rPr>
          <w:rFonts w:ascii="Arial" w:hAnsi="Arial"/>
          <w:sz w:val="22"/>
          <w:szCs w:val="22"/>
        </w:rPr>
        <w:t xml:space="preserve">2.1 </w:t>
      </w:r>
      <w:r w:rsidR="008A19D3" w:rsidRPr="00895E01">
        <w:rPr>
          <w:rFonts w:ascii="Arial" w:hAnsi="Arial"/>
          <w:sz w:val="22"/>
          <w:szCs w:val="22"/>
        </w:rPr>
        <w:t>Positive Outcomes</w:t>
      </w:r>
    </w:p>
    <w:p w14:paraId="23BE7275" w14:textId="525455B2" w:rsidR="00F166D8" w:rsidRPr="00895E01" w:rsidRDefault="00F166D8"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EHRs have </w:t>
      </w:r>
      <w:r w:rsidR="0050279E">
        <w:rPr>
          <w:rFonts w:ascii="Arial" w:hAnsi="Arial"/>
          <w:color w:val="0F1115"/>
          <w:sz w:val="22"/>
          <w:szCs w:val="22"/>
        </w:rPr>
        <w:t>revolutionised</w:t>
      </w:r>
      <w:r w:rsidRPr="00895E01">
        <w:rPr>
          <w:rFonts w:ascii="Arial" w:hAnsi="Arial"/>
          <w:color w:val="0F1115"/>
          <w:sz w:val="22"/>
          <w:szCs w:val="22"/>
        </w:rPr>
        <w:t xml:space="preserve"> the roles and workflow, most importantly reducing the administrative burden. Digital Social Care Records (DSCRs) can save up to 30 million administrative hours each year in social care, with at least 20 minutes per care worker per shift being freed up for care (UK Government, 2025b).</w:t>
      </w:r>
    </w:p>
    <w:p w14:paraId="5C39B57D" w14:textId="5638D83C" w:rsidR="00F166D8" w:rsidRPr="00895E01" w:rsidRDefault="00F166D8" w:rsidP="00895E01">
      <w:pPr>
        <w:pStyle w:val="NoSpacing"/>
        <w:spacing w:line="360" w:lineRule="auto"/>
        <w:rPr>
          <w:rFonts w:ascii="Arial" w:hAnsi="Arial"/>
          <w:color w:val="0F1115"/>
          <w:sz w:val="22"/>
          <w:szCs w:val="22"/>
        </w:rPr>
      </w:pPr>
      <w:r w:rsidRPr="00895E01">
        <w:rPr>
          <w:rFonts w:ascii="Arial" w:hAnsi="Arial"/>
          <w:color w:val="0F1115"/>
          <w:sz w:val="22"/>
          <w:szCs w:val="22"/>
        </w:rPr>
        <w:t>The interoperability of clinical EHRs with other non-clinical applications will increase efficiency. At Mersey Care NHS Foundation Trust, 97.2% of clinicians felt more confident dealing with social care, and consultation time spent on social matters decreased by 70% (</w:t>
      </w:r>
      <w:r w:rsidR="0050279E">
        <w:rPr>
          <w:rFonts w:ascii="Arial" w:hAnsi="Arial"/>
          <w:color w:val="222222"/>
          <w:sz w:val="20"/>
          <w:szCs w:val="20"/>
          <w:shd w:val="clear" w:color="auto" w:fill="FFFFFF"/>
        </w:rPr>
        <w:t>Penduko</w:t>
      </w:r>
      <w:r w:rsidR="00664684">
        <w:rPr>
          <w:rFonts w:ascii="Arial" w:hAnsi="Arial"/>
          <w:color w:val="222222"/>
          <w:sz w:val="20"/>
          <w:szCs w:val="20"/>
          <w:shd w:val="clear" w:color="auto" w:fill="FFFFFF"/>
        </w:rPr>
        <w:t xml:space="preserve"> et al., 2026</w:t>
      </w:r>
      <w:r w:rsidRPr="00895E01">
        <w:rPr>
          <w:rFonts w:ascii="Arial" w:hAnsi="Arial"/>
          <w:color w:val="0F1115"/>
          <w:sz w:val="22"/>
          <w:szCs w:val="22"/>
        </w:rPr>
        <w:t>).</w:t>
      </w:r>
    </w:p>
    <w:p w14:paraId="00C85D12" w14:textId="698F6B79" w:rsidR="008A19D3" w:rsidRDefault="00F166D8"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EHRs facilitate evidence-based decision-making. It will enhance the efficiency of the process, increase accuracy, and assist with clinical decision-making (Gallier, 2024). The implementation of CPOE led to sustainable improvements in laboratory and clinical workflows (Li et al., 2024). Consolidated EHRs can potentially save about 140,000 hours per year of NHS staff time by removing multiple applications (UK Government, 2026a). </w:t>
      </w:r>
    </w:p>
    <w:p w14:paraId="3ADBF2B8" w14:textId="77777777" w:rsidR="00895E01" w:rsidRPr="00895E01" w:rsidRDefault="00895E01" w:rsidP="00895E01">
      <w:pPr>
        <w:pStyle w:val="NoSpacing"/>
        <w:spacing w:line="360" w:lineRule="auto"/>
        <w:rPr>
          <w:rFonts w:ascii="Arial" w:hAnsi="Arial"/>
          <w:color w:val="0F1115"/>
          <w:sz w:val="22"/>
          <w:szCs w:val="22"/>
        </w:rPr>
      </w:pPr>
    </w:p>
    <w:p w14:paraId="21A73F20" w14:textId="17101315" w:rsidR="008A19D3" w:rsidRPr="00895E01" w:rsidRDefault="00F166D8" w:rsidP="00895E01">
      <w:pPr>
        <w:pStyle w:val="Heading2"/>
        <w:spacing w:line="360" w:lineRule="auto"/>
        <w:rPr>
          <w:rFonts w:ascii="Arial" w:hAnsi="Arial"/>
          <w:sz w:val="22"/>
          <w:szCs w:val="22"/>
        </w:rPr>
      </w:pPr>
      <w:r w:rsidRPr="00895E01">
        <w:rPr>
          <w:rFonts w:ascii="Arial" w:hAnsi="Arial"/>
          <w:sz w:val="22"/>
          <w:szCs w:val="22"/>
        </w:rPr>
        <w:t xml:space="preserve">2.2 </w:t>
      </w:r>
      <w:r w:rsidR="008A19D3" w:rsidRPr="00895E01">
        <w:rPr>
          <w:rFonts w:ascii="Arial" w:hAnsi="Arial"/>
          <w:sz w:val="22"/>
          <w:szCs w:val="22"/>
        </w:rPr>
        <w:t>Challenges and Negative Impacts</w:t>
      </w:r>
    </w:p>
    <w:p w14:paraId="46452B10" w14:textId="76C0D99A" w:rsidR="003C3F7A" w:rsidRPr="00895E01" w:rsidRDefault="003C3F7A" w:rsidP="00895E01">
      <w:pPr>
        <w:pStyle w:val="NoSpacing"/>
        <w:spacing w:line="360" w:lineRule="auto"/>
        <w:rPr>
          <w:rFonts w:ascii="Arial" w:hAnsi="Arial"/>
          <w:color w:val="0F1115"/>
          <w:sz w:val="22"/>
          <w:szCs w:val="22"/>
        </w:rPr>
      </w:pPr>
      <w:r w:rsidRPr="00895E01">
        <w:rPr>
          <w:rFonts w:ascii="Arial" w:hAnsi="Arial"/>
          <w:color w:val="0F1115"/>
          <w:sz w:val="22"/>
          <w:szCs w:val="22"/>
        </w:rPr>
        <w:lastRenderedPageBreak/>
        <w:t xml:space="preserve">The implementation of EHR systems has posed significant workforce problems despite the advantages associated with EHRs. In a national EPR usability survey in 2024 involving 23,662 participants, the problem persists where only 34% of workers felt that EPR systems helped increase their efficiency </w:t>
      </w:r>
      <w:r w:rsidR="0050279E">
        <w:rPr>
          <w:rFonts w:ascii="Arial" w:hAnsi="Arial"/>
          <w:color w:val="0F1115"/>
          <w:sz w:val="22"/>
          <w:szCs w:val="22"/>
        </w:rPr>
        <w:t>at</w:t>
      </w:r>
      <w:r w:rsidRPr="00895E01">
        <w:rPr>
          <w:rFonts w:ascii="Arial" w:hAnsi="Arial"/>
          <w:color w:val="0F1115"/>
          <w:sz w:val="22"/>
          <w:szCs w:val="22"/>
        </w:rPr>
        <w:t xml:space="preserve"> work (NHS England, 2024). Forty-four </w:t>
      </w:r>
      <w:r w:rsidR="0050279E">
        <w:rPr>
          <w:rFonts w:ascii="Arial" w:hAnsi="Arial"/>
          <w:color w:val="0F1115"/>
          <w:sz w:val="22"/>
          <w:szCs w:val="22"/>
        </w:rPr>
        <w:t>per cent</w:t>
      </w:r>
      <w:r w:rsidRPr="00895E01">
        <w:rPr>
          <w:rFonts w:ascii="Arial" w:hAnsi="Arial"/>
          <w:color w:val="0F1115"/>
          <w:sz w:val="22"/>
          <w:szCs w:val="22"/>
        </w:rPr>
        <w:t xml:space="preserve"> of clinical workers have never had any continuous training sessions following EPR system rollouts, and 37% have spent at least three hours each week working on non-productive </w:t>
      </w:r>
      <w:r w:rsidR="0050279E">
        <w:rPr>
          <w:rFonts w:ascii="Arial" w:hAnsi="Arial"/>
          <w:color w:val="0F1115"/>
          <w:sz w:val="22"/>
          <w:szCs w:val="22"/>
        </w:rPr>
        <w:t>documentation</w:t>
      </w:r>
      <w:r w:rsidRPr="00895E01">
        <w:rPr>
          <w:rFonts w:ascii="Arial" w:hAnsi="Arial"/>
          <w:color w:val="0F1115"/>
          <w:sz w:val="22"/>
          <w:szCs w:val="22"/>
        </w:rPr>
        <w:t xml:space="preserve"> (NHS England, 2024). There is a clear connection between EPR satisfaction and burnout; trusts with the least satisfaction have experienced double the burnout rates </w:t>
      </w:r>
      <w:r w:rsidR="0050279E">
        <w:rPr>
          <w:rFonts w:ascii="Arial" w:hAnsi="Arial"/>
          <w:color w:val="0F1115"/>
          <w:sz w:val="22"/>
          <w:szCs w:val="22"/>
        </w:rPr>
        <w:t>as</w:t>
      </w:r>
      <w:r w:rsidRPr="00895E01">
        <w:rPr>
          <w:rFonts w:ascii="Arial" w:hAnsi="Arial"/>
          <w:color w:val="0F1115"/>
          <w:sz w:val="22"/>
          <w:szCs w:val="22"/>
        </w:rPr>
        <w:t xml:space="preserve"> the </w:t>
      </w:r>
      <w:r w:rsidR="0050279E">
        <w:rPr>
          <w:rFonts w:ascii="Arial" w:hAnsi="Arial"/>
          <w:color w:val="0F1115"/>
          <w:sz w:val="22"/>
          <w:szCs w:val="22"/>
        </w:rPr>
        <w:t>best-performing</w:t>
      </w:r>
      <w:r w:rsidRPr="00895E01">
        <w:rPr>
          <w:rFonts w:ascii="Arial" w:hAnsi="Arial"/>
          <w:color w:val="0F1115"/>
          <w:sz w:val="22"/>
          <w:szCs w:val="22"/>
        </w:rPr>
        <w:t xml:space="preserve"> trusts (NHS England, 2024).</w:t>
      </w:r>
    </w:p>
    <w:p w14:paraId="03F80B47" w14:textId="2BAE1D39" w:rsidR="003C3F7A" w:rsidRPr="00895E01" w:rsidRDefault="003C3F7A"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One of the key barriers is the problem of documentation burden. According to a study of time management for clinical training, doctors who use electronic recordkeeping spend more time on administrative duties than those using traditional paperwork (Gallier, 2024). According to some sources, the solution to the problem might not be technology but the reassignment of discharge lettering and clinical </w:t>
      </w:r>
      <w:r w:rsidR="0050279E">
        <w:rPr>
          <w:rFonts w:ascii="Arial" w:hAnsi="Arial"/>
          <w:color w:val="0F1115"/>
          <w:sz w:val="22"/>
          <w:szCs w:val="22"/>
        </w:rPr>
        <w:t>documentation</w:t>
      </w:r>
      <w:r w:rsidRPr="00895E01">
        <w:rPr>
          <w:rFonts w:ascii="Arial" w:hAnsi="Arial"/>
          <w:color w:val="0F1115"/>
          <w:sz w:val="22"/>
          <w:szCs w:val="22"/>
        </w:rPr>
        <w:t xml:space="preserve"> to other professionals </w:t>
      </w:r>
      <w:r w:rsidR="00664684" w:rsidRPr="00895E01">
        <w:rPr>
          <w:rFonts w:ascii="Arial" w:hAnsi="Arial"/>
          <w:color w:val="0F1115"/>
          <w:sz w:val="22"/>
          <w:szCs w:val="22"/>
        </w:rPr>
        <w:t>(</w:t>
      </w:r>
      <w:r w:rsidR="00664684">
        <w:rPr>
          <w:rFonts w:ascii="Arial" w:hAnsi="Arial"/>
          <w:color w:val="222222"/>
          <w:sz w:val="20"/>
          <w:szCs w:val="20"/>
          <w:shd w:val="clear" w:color="auto" w:fill="FFFFFF"/>
        </w:rPr>
        <w:t>Wise, 2025</w:t>
      </w:r>
      <w:r w:rsidR="00664684" w:rsidRPr="00895E01">
        <w:rPr>
          <w:rFonts w:ascii="Arial" w:hAnsi="Arial"/>
          <w:color w:val="0F1115"/>
          <w:sz w:val="22"/>
          <w:szCs w:val="22"/>
        </w:rPr>
        <w:t>).</w:t>
      </w:r>
      <w:r w:rsidR="00664684">
        <w:rPr>
          <w:rFonts w:ascii="Arial" w:hAnsi="Arial"/>
          <w:color w:val="0F1115"/>
          <w:sz w:val="22"/>
          <w:szCs w:val="22"/>
        </w:rPr>
        <w:t xml:space="preserve"> </w:t>
      </w:r>
    </w:p>
    <w:p w14:paraId="5089AB7A" w14:textId="36F8600D" w:rsidR="008A19D3" w:rsidRPr="00895E01" w:rsidRDefault="003C3F7A"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Workforce and training have been highlighted as the major barriers to providing quality frontline </w:t>
      </w:r>
      <w:r w:rsidR="0050279E">
        <w:rPr>
          <w:rFonts w:ascii="Arial" w:hAnsi="Arial"/>
          <w:color w:val="0F1115"/>
          <w:sz w:val="22"/>
          <w:szCs w:val="22"/>
        </w:rPr>
        <w:t>digitised</w:t>
      </w:r>
      <w:r w:rsidRPr="00895E01">
        <w:rPr>
          <w:rFonts w:ascii="Arial" w:hAnsi="Arial"/>
          <w:color w:val="0F1115"/>
          <w:sz w:val="22"/>
          <w:szCs w:val="22"/>
        </w:rPr>
        <w:t xml:space="preserve"> services, according to a report from NHS Confederation (2024). NHS leaders note that digital plans require proper workforce backing, and the existing funding difference among acute, community, and mental health providers can exacerbate the problem. </w:t>
      </w:r>
    </w:p>
    <w:p w14:paraId="4C8443C8" w14:textId="2069EFAC" w:rsidR="008A19D3" w:rsidRPr="00895E01" w:rsidRDefault="003C3F7A" w:rsidP="00895E01">
      <w:pPr>
        <w:pStyle w:val="Heading2"/>
        <w:spacing w:line="360" w:lineRule="auto"/>
        <w:rPr>
          <w:rFonts w:ascii="Arial" w:hAnsi="Arial"/>
          <w:sz w:val="22"/>
          <w:szCs w:val="22"/>
        </w:rPr>
      </w:pPr>
      <w:r w:rsidRPr="00895E01">
        <w:rPr>
          <w:rFonts w:ascii="Arial" w:hAnsi="Arial"/>
          <w:sz w:val="22"/>
          <w:szCs w:val="22"/>
        </w:rPr>
        <w:t xml:space="preserve">3.0 </w:t>
      </w:r>
      <w:r w:rsidR="008A19D3" w:rsidRPr="00895E01">
        <w:rPr>
          <w:rFonts w:ascii="Arial" w:hAnsi="Arial"/>
          <w:sz w:val="22"/>
          <w:szCs w:val="22"/>
        </w:rPr>
        <w:t>Impact on Service Delivery</w:t>
      </w:r>
    </w:p>
    <w:p w14:paraId="09292F0B" w14:textId="4451314A" w:rsidR="008A19D3" w:rsidRPr="00895E01" w:rsidRDefault="003C3F7A" w:rsidP="00895E01">
      <w:pPr>
        <w:pStyle w:val="Heading2"/>
        <w:spacing w:line="360" w:lineRule="auto"/>
        <w:rPr>
          <w:rFonts w:ascii="Arial" w:hAnsi="Arial"/>
          <w:sz w:val="22"/>
          <w:szCs w:val="22"/>
        </w:rPr>
      </w:pPr>
      <w:r w:rsidRPr="00895E01">
        <w:rPr>
          <w:rFonts w:ascii="Arial" w:hAnsi="Arial"/>
          <w:sz w:val="22"/>
          <w:szCs w:val="22"/>
        </w:rPr>
        <w:t xml:space="preserve">3.1 </w:t>
      </w:r>
      <w:r w:rsidR="008A19D3" w:rsidRPr="00895E01">
        <w:rPr>
          <w:rFonts w:ascii="Arial" w:hAnsi="Arial"/>
          <w:sz w:val="22"/>
          <w:szCs w:val="22"/>
        </w:rPr>
        <w:t>Positive Outcomes</w:t>
      </w:r>
    </w:p>
    <w:p w14:paraId="00DC0011" w14:textId="77777777" w:rsidR="003C3F7A" w:rsidRPr="00895E01" w:rsidRDefault="003C3F7A" w:rsidP="00895E01">
      <w:pPr>
        <w:pStyle w:val="NoSpacing"/>
        <w:spacing w:line="360" w:lineRule="auto"/>
        <w:rPr>
          <w:rFonts w:ascii="Arial" w:hAnsi="Arial"/>
          <w:color w:val="0F1115"/>
          <w:sz w:val="22"/>
          <w:szCs w:val="22"/>
        </w:rPr>
      </w:pPr>
      <w:r w:rsidRPr="00895E01">
        <w:rPr>
          <w:rFonts w:ascii="Arial" w:hAnsi="Arial"/>
          <w:color w:val="0F1115"/>
          <w:sz w:val="22"/>
          <w:szCs w:val="22"/>
        </w:rPr>
        <w:t>The introduction of EHRs has revolutionised service delivery through improved coordination and real-time access to information. With one comprehensive file, healthcare professionals get a holistic view of everyone's health status rather than incomplete IT systems (NHS England, 2025).</w:t>
      </w:r>
    </w:p>
    <w:p w14:paraId="12FB47AD" w14:textId="354142D0" w:rsidR="003C3F7A" w:rsidRPr="00895E01" w:rsidRDefault="003C3F7A"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Real-time access allows recording and accessing the information promptly, monitoring changes in their conditions, and referring them to specialists through the same system (Gallier, 2024). Organisations implementing EPRs display a 4% reduction in length of stay, </w:t>
      </w:r>
      <w:r w:rsidR="0050279E">
        <w:rPr>
          <w:rFonts w:ascii="Arial" w:hAnsi="Arial"/>
          <w:color w:val="0F1115"/>
          <w:sz w:val="22"/>
          <w:szCs w:val="22"/>
        </w:rPr>
        <w:t xml:space="preserve">an </w:t>
      </w:r>
      <w:r w:rsidRPr="00895E01">
        <w:rPr>
          <w:rFonts w:ascii="Arial" w:hAnsi="Arial"/>
          <w:color w:val="0F1115"/>
          <w:sz w:val="22"/>
          <w:szCs w:val="22"/>
        </w:rPr>
        <w:t>8% improvement in meeting 18-week referral-to-treatment standards, and 20-30% better performance in NHS Oversight Framework domains (productivity, access, safety, workforce) (NHS England, 2024).</w:t>
      </w:r>
    </w:p>
    <w:p w14:paraId="4CF96480" w14:textId="02119275" w:rsidR="003C3F7A" w:rsidRPr="00895E01" w:rsidRDefault="003C3F7A"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Interoperable medicines medical records sharing among IT systems without the need for re-entry </w:t>
      </w:r>
      <w:r w:rsidR="00347CCA">
        <w:rPr>
          <w:rFonts w:ascii="Arial" w:hAnsi="Arial"/>
          <w:color w:val="0F1115"/>
          <w:sz w:val="22"/>
          <w:szCs w:val="22"/>
        </w:rPr>
        <w:t>minimises</w:t>
      </w:r>
      <w:r w:rsidRPr="00895E01">
        <w:rPr>
          <w:rFonts w:ascii="Arial" w:hAnsi="Arial"/>
          <w:color w:val="0F1115"/>
          <w:sz w:val="22"/>
          <w:szCs w:val="22"/>
        </w:rPr>
        <w:t xml:space="preserve"> the risks associated with the medication administration process. The country registers 237 million errors annually, which cost the National Health Service £98 million per year (UK Government, 2026b). EHR-supported decision-making, such as allergy and interaction checks, ensures safety and reduces mistakes (Li et al., 2024). The implementation </w:t>
      </w:r>
      <w:r w:rsidRPr="00895E01">
        <w:rPr>
          <w:rFonts w:ascii="Arial" w:hAnsi="Arial"/>
          <w:color w:val="0F1115"/>
          <w:sz w:val="22"/>
          <w:szCs w:val="22"/>
        </w:rPr>
        <w:lastRenderedPageBreak/>
        <w:t>of the Single Patient Record will yield the NHS annual savings of over £20 million due to error prevention, adverse drug reaction, and duplicate prescribing reductions (UK Government, 2026a).</w:t>
      </w:r>
    </w:p>
    <w:p w14:paraId="6C7F89AF" w14:textId="602DFF3C" w:rsidR="008A19D3" w:rsidRPr="00895E01" w:rsidRDefault="003C3F7A" w:rsidP="00895E01">
      <w:pPr>
        <w:pStyle w:val="NoSpacing"/>
        <w:spacing w:line="360" w:lineRule="auto"/>
        <w:rPr>
          <w:rFonts w:ascii="Arial" w:hAnsi="Arial"/>
          <w:color w:val="0F1115"/>
          <w:sz w:val="22"/>
          <w:szCs w:val="22"/>
        </w:rPr>
      </w:pPr>
      <w:r w:rsidRPr="00895E01">
        <w:rPr>
          <w:rFonts w:ascii="Arial" w:hAnsi="Arial"/>
          <w:color w:val="0F1115"/>
          <w:sz w:val="22"/>
          <w:szCs w:val="22"/>
        </w:rPr>
        <w:t>The digital-first care approach moves attention from the hospital to the community settings. The digital transformation connects health care and helps move care out of the hospital setting to the community, which fits the neighbourhood health services that connect the primary, community, and social care (NHS England, 2025; UK Government, 2025a).</w:t>
      </w:r>
    </w:p>
    <w:p w14:paraId="73D1FAA7" w14:textId="46816AAD" w:rsidR="008A19D3" w:rsidRPr="00895E01" w:rsidRDefault="003C3F7A" w:rsidP="00895E01">
      <w:pPr>
        <w:pStyle w:val="Heading2"/>
        <w:spacing w:line="360" w:lineRule="auto"/>
        <w:rPr>
          <w:rFonts w:ascii="Arial" w:hAnsi="Arial"/>
          <w:sz w:val="22"/>
          <w:szCs w:val="22"/>
        </w:rPr>
      </w:pPr>
      <w:r w:rsidRPr="00895E01">
        <w:rPr>
          <w:rFonts w:ascii="Arial" w:hAnsi="Arial"/>
          <w:sz w:val="22"/>
          <w:szCs w:val="22"/>
        </w:rPr>
        <w:t xml:space="preserve">3.2 </w:t>
      </w:r>
      <w:r w:rsidR="008A19D3" w:rsidRPr="00895E01">
        <w:rPr>
          <w:rFonts w:ascii="Arial" w:hAnsi="Arial"/>
          <w:sz w:val="22"/>
          <w:szCs w:val="22"/>
        </w:rPr>
        <w:t>Challenges and Negative Impacts</w:t>
      </w:r>
    </w:p>
    <w:p w14:paraId="19870BDC" w14:textId="54FF411D" w:rsidR="001E1C74" w:rsidRPr="00895E01" w:rsidRDefault="001E1C74" w:rsidP="00895E01">
      <w:pPr>
        <w:pStyle w:val="NoSpacing"/>
        <w:spacing w:line="360" w:lineRule="auto"/>
        <w:rPr>
          <w:rFonts w:ascii="Arial" w:hAnsi="Arial"/>
          <w:color w:val="0F1115"/>
          <w:sz w:val="22"/>
          <w:szCs w:val="22"/>
        </w:rPr>
      </w:pPr>
      <w:r w:rsidRPr="00895E01">
        <w:rPr>
          <w:rFonts w:ascii="Arial" w:hAnsi="Arial"/>
          <w:color w:val="0F1115"/>
          <w:sz w:val="22"/>
          <w:szCs w:val="22"/>
        </w:rPr>
        <w:t>Issues related to service provision persist. The current state of fragmentation of the patient’s records associated with the use of various incompatible systems produces inefficiency and affects the safety and continuity of care (Howard, 2026). Healthcare providers should access different systems to obtain the necessary data about their patients, which results in confusion, misunderstandings, mistakes, and delays.</w:t>
      </w:r>
    </w:p>
    <w:p w14:paraId="125F84C3" w14:textId="5231EAA9" w:rsidR="008A19D3" w:rsidRPr="00895E01" w:rsidRDefault="001E1C74" w:rsidP="00895E01">
      <w:pPr>
        <w:pStyle w:val="NoSpacing"/>
        <w:spacing w:line="360" w:lineRule="auto"/>
        <w:rPr>
          <w:rFonts w:ascii="Arial" w:hAnsi="Arial"/>
          <w:color w:val="0F1115"/>
          <w:sz w:val="22"/>
          <w:szCs w:val="22"/>
        </w:rPr>
      </w:pPr>
      <w:r w:rsidRPr="00895E01">
        <w:rPr>
          <w:rFonts w:ascii="Arial" w:hAnsi="Arial"/>
          <w:color w:val="0F1115"/>
          <w:sz w:val="22"/>
          <w:szCs w:val="22"/>
        </w:rPr>
        <w:t>According to the Health Services Safety Investigations Body, the use of EPR systems poses the risk of serious harm due to missing or inaccurate documentation of patient information (</w:t>
      </w:r>
      <w:r w:rsidR="00664684">
        <w:rPr>
          <w:rFonts w:ascii="Arial" w:hAnsi="Arial"/>
          <w:color w:val="222222"/>
          <w:sz w:val="20"/>
          <w:szCs w:val="20"/>
          <w:shd w:val="clear" w:color="auto" w:fill="FFFFFF"/>
        </w:rPr>
        <w:t>Wise, 2025</w:t>
      </w:r>
      <w:r w:rsidRPr="00895E01">
        <w:rPr>
          <w:rFonts w:ascii="Arial" w:hAnsi="Arial"/>
          <w:color w:val="0F1115"/>
          <w:sz w:val="22"/>
          <w:szCs w:val="22"/>
        </w:rPr>
        <w:t>). Failures in systems can cause delayed diagnosis and mistakes in the delivery of medications among other issues, and the risks are presented as persistent regardless of the national recommendations aimed at preventing them (</w:t>
      </w:r>
      <w:r w:rsidR="00664684">
        <w:rPr>
          <w:rFonts w:ascii="Arial" w:hAnsi="Arial"/>
          <w:color w:val="222222"/>
          <w:sz w:val="20"/>
          <w:szCs w:val="20"/>
          <w:shd w:val="clear" w:color="auto" w:fill="FFFFFF"/>
        </w:rPr>
        <w:t>Wise, 2025</w:t>
      </w:r>
      <w:r w:rsidR="00664684" w:rsidRPr="00895E01">
        <w:rPr>
          <w:rFonts w:ascii="Arial" w:hAnsi="Arial"/>
          <w:color w:val="0F1115"/>
          <w:sz w:val="22"/>
          <w:szCs w:val="22"/>
        </w:rPr>
        <w:t xml:space="preserve">). </w:t>
      </w:r>
      <w:r w:rsidRPr="00895E01">
        <w:rPr>
          <w:rFonts w:ascii="Arial" w:hAnsi="Arial"/>
          <w:color w:val="0F1115"/>
          <w:sz w:val="22"/>
          <w:szCs w:val="22"/>
        </w:rPr>
        <w:t>Implementation difficulties are considerable. According to the estimates provided by the Health Foundation, the digitisation of the NHS and adult social care in the UK will cost nearly £21 billion within five years, £14.75 billion of which will be spent on the NHS in England (Parliamentary Written Question HL7395, 2025). Despite the fact that 86% of NHS organisations have already introduced some EPRs, only 20% of the institutions have achieved digital maturity (NHS Confederation, 2024). A report published by the Health Foundation warns about the possibility of increasing difficulty in obtaining the stakeholders’ support for EPRs the longer they operate without bringing any obvious benefits (NHS Confederation, 2024).</w:t>
      </w:r>
    </w:p>
    <w:p w14:paraId="7574E795" w14:textId="46BF2D75" w:rsidR="008A19D3" w:rsidRPr="00895E01" w:rsidRDefault="003C3F7A" w:rsidP="00895E01">
      <w:pPr>
        <w:pStyle w:val="Heading2"/>
        <w:spacing w:line="360" w:lineRule="auto"/>
        <w:rPr>
          <w:rFonts w:ascii="Arial" w:hAnsi="Arial"/>
          <w:sz w:val="22"/>
          <w:szCs w:val="22"/>
        </w:rPr>
      </w:pPr>
      <w:r w:rsidRPr="00895E01">
        <w:rPr>
          <w:rFonts w:ascii="Arial" w:hAnsi="Arial"/>
          <w:sz w:val="22"/>
          <w:szCs w:val="22"/>
        </w:rPr>
        <w:t xml:space="preserve">4.0 </w:t>
      </w:r>
      <w:r w:rsidR="008A19D3" w:rsidRPr="00895E01">
        <w:rPr>
          <w:rFonts w:ascii="Arial" w:hAnsi="Arial"/>
          <w:sz w:val="22"/>
          <w:szCs w:val="22"/>
        </w:rPr>
        <w:t>Impact on Patients</w:t>
      </w:r>
    </w:p>
    <w:p w14:paraId="20E5288E" w14:textId="5319F072" w:rsidR="008A19D3" w:rsidRPr="00895E01" w:rsidRDefault="003C3F7A" w:rsidP="00895E01">
      <w:pPr>
        <w:pStyle w:val="Heading2"/>
        <w:spacing w:line="360" w:lineRule="auto"/>
        <w:rPr>
          <w:rFonts w:ascii="Arial" w:hAnsi="Arial"/>
          <w:sz w:val="22"/>
          <w:szCs w:val="22"/>
        </w:rPr>
      </w:pPr>
      <w:r w:rsidRPr="00895E01">
        <w:rPr>
          <w:rFonts w:ascii="Arial" w:hAnsi="Arial"/>
          <w:sz w:val="22"/>
          <w:szCs w:val="22"/>
        </w:rPr>
        <w:t xml:space="preserve">4.1 </w:t>
      </w:r>
      <w:r w:rsidR="008A19D3" w:rsidRPr="00895E01">
        <w:rPr>
          <w:rFonts w:ascii="Arial" w:hAnsi="Arial"/>
          <w:sz w:val="22"/>
          <w:szCs w:val="22"/>
        </w:rPr>
        <w:t>Positive Outcomes</w:t>
      </w:r>
    </w:p>
    <w:p w14:paraId="4E3FAB62" w14:textId="6B9748D7" w:rsidR="001E1C74" w:rsidRPr="00895E01" w:rsidRDefault="001E1C74"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There are many advantages of EHRs for patients. Implementation of EHRs means immediate access to patient data that will </w:t>
      </w:r>
      <w:r w:rsidR="00347CCA">
        <w:rPr>
          <w:rFonts w:ascii="Arial" w:hAnsi="Arial"/>
          <w:color w:val="0F1115"/>
          <w:sz w:val="22"/>
          <w:szCs w:val="22"/>
        </w:rPr>
        <w:t>minimise</w:t>
      </w:r>
      <w:r w:rsidRPr="00895E01">
        <w:rPr>
          <w:rFonts w:ascii="Arial" w:hAnsi="Arial"/>
          <w:color w:val="0F1115"/>
          <w:sz w:val="22"/>
          <w:szCs w:val="22"/>
        </w:rPr>
        <w:t xml:space="preserve"> misdiagnoses and delays in treatment</w:t>
      </w:r>
      <w:r w:rsidR="00347CCA">
        <w:rPr>
          <w:rFonts w:ascii="Arial" w:hAnsi="Arial"/>
          <w:color w:val="0F1115"/>
          <w:sz w:val="22"/>
          <w:szCs w:val="22"/>
        </w:rPr>
        <w:t>,</w:t>
      </w:r>
      <w:r w:rsidRPr="00895E01">
        <w:rPr>
          <w:rFonts w:ascii="Arial" w:hAnsi="Arial"/>
          <w:color w:val="0F1115"/>
          <w:sz w:val="22"/>
          <w:szCs w:val="22"/>
        </w:rPr>
        <w:t xml:space="preserve"> thus improving the outcomes for patients (UK Government, 2026a). There will be no need to recount medical history again every time at every visit in other NHS services. Access to the medical records helps clinicians deliver safe treatment (NHS England, 2025).</w:t>
      </w:r>
    </w:p>
    <w:p w14:paraId="103DCDE6" w14:textId="289FA35C" w:rsidR="001E1C74" w:rsidRPr="00895E01" w:rsidRDefault="001E1C74"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Access to the record allows patients to be more active in their healthcare delivery. According to the government, the NHS App will become an important tool in raising awareness of patients </w:t>
      </w:r>
      <w:r w:rsidRPr="00895E01">
        <w:rPr>
          <w:rFonts w:ascii="Arial" w:hAnsi="Arial"/>
          <w:color w:val="0F1115"/>
          <w:sz w:val="22"/>
          <w:szCs w:val="22"/>
        </w:rPr>
        <w:lastRenderedPageBreak/>
        <w:t xml:space="preserve">and increasing their involvement </w:t>
      </w:r>
      <w:r w:rsidR="00347CCA">
        <w:rPr>
          <w:rFonts w:ascii="Arial" w:hAnsi="Arial"/>
          <w:color w:val="0F1115"/>
          <w:sz w:val="22"/>
          <w:szCs w:val="22"/>
        </w:rPr>
        <w:t>in</w:t>
      </w:r>
      <w:r w:rsidRPr="00895E01">
        <w:rPr>
          <w:rFonts w:ascii="Arial" w:hAnsi="Arial"/>
          <w:color w:val="0F1115"/>
          <w:sz w:val="22"/>
          <w:szCs w:val="22"/>
        </w:rPr>
        <w:t xml:space="preserve"> their healthcare (Howard, 2026). Single Patient Record will provide the possibility to view one's own medical record through </w:t>
      </w:r>
      <w:r w:rsidR="00347CCA">
        <w:rPr>
          <w:rFonts w:ascii="Arial" w:hAnsi="Arial"/>
          <w:color w:val="0F1115"/>
          <w:sz w:val="22"/>
          <w:szCs w:val="22"/>
        </w:rPr>
        <w:t xml:space="preserve">the </w:t>
      </w:r>
      <w:r w:rsidRPr="00895E01">
        <w:rPr>
          <w:rFonts w:ascii="Arial" w:hAnsi="Arial"/>
          <w:color w:val="0F1115"/>
          <w:sz w:val="22"/>
          <w:szCs w:val="22"/>
        </w:rPr>
        <w:t>NHS App and make decisions about one's health (UK Government, 2026a).</w:t>
      </w:r>
    </w:p>
    <w:p w14:paraId="46D80C83" w14:textId="5D9D44B5" w:rsidR="008A19D3" w:rsidRPr="00895E01" w:rsidRDefault="001E1C74"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Interoperability of EPRs and social prescribing systems leads to good results for patients. As a result of </w:t>
      </w:r>
      <w:r w:rsidR="00347CCA">
        <w:rPr>
          <w:rFonts w:ascii="Arial" w:hAnsi="Arial"/>
          <w:color w:val="0F1115"/>
          <w:sz w:val="22"/>
          <w:szCs w:val="22"/>
        </w:rPr>
        <w:t xml:space="preserve">the </w:t>
      </w:r>
      <w:r w:rsidRPr="00895E01">
        <w:rPr>
          <w:rFonts w:ascii="Arial" w:hAnsi="Arial"/>
          <w:color w:val="0F1115"/>
          <w:sz w:val="22"/>
          <w:szCs w:val="22"/>
        </w:rPr>
        <w:t>interoperability of EHRs, 92.6% of interviewed respondents experienced improved mental wellbeing after receiving the referral to social prescribing services (</w:t>
      </w:r>
      <w:r w:rsidR="00347CCA">
        <w:rPr>
          <w:rFonts w:ascii="Arial" w:hAnsi="Arial"/>
          <w:color w:val="222222"/>
          <w:sz w:val="20"/>
          <w:szCs w:val="20"/>
          <w:shd w:val="clear" w:color="auto" w:fill="FFFFFF"/>
        </w:rPr>
        <w:t>Penduko</w:t>
      </w:r>
      <w:r w:rsidR="00664684">
        <w:rPr>
          <w:rFonts w:ascii="Arial" w:hAnsi="Arial"/>
          <w:color w:val="222222"/>
          <w:sz w:val="20"/>
          <w:szCs w:val="20"/>
          <w:shd w:val="clear" w:color="auto" w:fill="FFFFFF"/>
        </w:rPr>
        <w:t xml:space="preserve"> et al., 2026</w:t>
      </w:r>
      <w:r w:rsidR="00664684" w:rsidRPr="00895E01">
        <w:rPr>
          <w:rFonts w:ascii="Arial" w:hAnsi="Arial"/>
          <w:color w:val="0F1115"/>
          <w:sz w:val="22"/>
          <w:szCs w:val="22"/>
        </w:rPr>
        <w:t>).</w:t>
      </w:r>
      <w:r w:rsidRPr="00895E01">
        <w:rPr>
          <w:rFonts w:ascii="Arial" w:hAnsi="Arial"/>
          <w:color w:val="0F1115"/>
          <w:sz w:val="22"/>
          <w:szCs w:val="22"/>
        </w:rPr>
        <w:t xml:space="preserve"> Thus, interoperability of EHRs can address the problems connected with social determinants of health.</w:t>
      </w:r>
    </w:p>
    <w:p w14:paraId="6964C61E" w14:textId="5EDCB8D5" w:rsidR="008A19D3" w:rsidRPr="00895E01" w:rsidRDefault="001E1C74" w:rsidP="00895E01">
      <w:pPr>
        <w:pStyle w:val="Heading2"/>
        <w:spacing w:line="360" w:lineRule="auto"/>
        <w:rPr>
          <w:rFonts w:ascii="Arial" w:hAnsi="Arial"/>
          <w:sz w:val="22"/>
          <w:szCs w:val="22"/>
        </w:rPr>
      </w:pPr>
      <w:r w:rsidRPr="00895E01">
        <w:rPr>
          <w:rFonts w:ascii="Arial" w:hAnsi="Arial"/>
          <w:sz w:val="22"/>
          <w:szCs w:val="22"/>
        </w:rPr>
        <w:t xml:space="preserve">4.2 </w:t>
      </w:r>
      <w:r w:rsidR="008A19D3" w:rsidRPr="00895E01">
        <w:rPr>
          <w:rFonts w:ascii="Arial" w:hAnsi="Arial"/>
          <w:sz w:val="22"/>
          <w:szCs w:val="22"/>
        </w:rPr>
        <w:t>Challenges and Negative Impacts</w:t>
      </w:r>
    </w:p>
    <w:p w14:paraId="2FB84660" w14:textId="566C53FE" w:rsidR="005959CF" w:rsidRPr="00895E01" w:rsidRDefault="005959CF" w:rsidP="00895E01">
      <w:pPr>
        <w:pStyle w:val="NoSpacing"/>
        <w:spacing w:line="360" w:lineRule="auto"/>
        <w:rPr>
          <w:rFonts w:ascii="Arial" w:hAnsi="Arial"/>
          <w:color w:val="0F1115"/>
          <w:sz w:val="22"/>
          <w:szCs w:val="22"/>
        </w:rPr>
      </w:pPr>
      <w:r w:rsidRPr="00895E01">
        <w:rPr>
          <w:rFonts w:ascii="Arial" w:hAnsi="Arial"/>
          <w:color w:val="0F1115"/>
          <w:sz w:val="22"/>
          <w:szCs w:val="22"/>
        </w:rPr>
        <w:t>EHR use by patients is not entirely positive. Studies show that the current EHRs fail to meet patients' needs and expectations due to poor interoperability and inaccuracy of records, which results in mistakes and hinders clinical decision-making. Poor interoperability of EHRs causes inconvenience for both patients and practitioners</w:t>
      </w:r>
      <w:r w:rsidR="00347CCA">
        <w:rPr>
          <w:rFonts w:ascii="Arial" w:hAnsi="Arial"/>
          <w:color w:val="0F1115"/>
          <w:sz w:val="22"/>
          <w:szCs w:val="22"/>
        </w:rPr>
        <w:t>,</w:t>
      </w:r>
      <w:r w:rsidRPr="00895E01">
        <w:rPr>
          <w:rFonts w:ascii="Arial" w:hAnsi="Arial"/>
          <w:color w:val="0F1115"/>
          <w:sz w:val="22"/>
          <w:szCs w:val="22"/>
        </w:rPr>
        <w:t xml:space="preserve"> as well as </w:t>
      </w:r>
      <w:r w:rsidR="00347CCA">
        <w:rPr>
          <w:rFonts w:ascii="Arial" w:hAnsi="Arial"/>
          <w:color w:val="0F1115"/>
          <w:sz w:val="22"/>
          <w:szCs w:val="22"/>
        </w:rPr>
        <w:t xml:space="preserve">adversely </w:t>
      </w:r>
      <w:r w:rsidRPr="00895E01">
        <w:rPr>
          <w:rFonts w:ascii="Arial" w:hAnsi="Arial"/>
          <w:color w:val="0F1115"/>
          <w:sz w:val="22"/>
          <w:szCs w:val="22"/>
        </w:rPr>
        <w:t xml:space="preserve">impacts the quality of </w:t>
      </w:r>
      <w:r w:rsidR="00347CCA">
        <w:rPr>
          <w:rFonts w:ascii="Arial" w:hAnsi="Arial"/>
          <w:color w:val="0F1115"/>
          <w:sz w:val="22"/>
          <w:szCs w:val="22"/>
        </w:rPr>
        <w:t xml:space="preserve">the </w:t>
      </w:r>
      <w:r w:rsidRPr="00895E01">
        <w:rPr>
          <w:rFonts w:ascii="Arial" w:hAnsi="Arial"/>
          <w:color w:val="0F1115"/>
          <w:sz w:val="22"/>
          <w:szCs w:val="22"/>
        </w:rPr>
        <w:t>health care experience.</w:t>
      </w:r>
    </w:p>
    <w:p w14:paraId="4AE7BCB0" w14:textId="44426C68" w:rsidR="005959CF" w:rsidRPr="00895E01" w:rsidRDefault="005959CF"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Patient portals create additional problems. In an article published in the BMJ, it is mentioned that </w:t>
      </w:r>
      <w:r w:rsidR="00347CCA">
        <w:rPr>
          <w:rFonts w:ascii="Arial" w:hAnsi="Arial"/>
          <w:color w:val="0F1115"/>
          <w:sz w:val="22"/>
          <w:szCs w:val="22"/>
        </w:rPr>
        <w:t xml:space="preserve">the </w:t>
      </w:r>
      <w:r w:rsidRPr="00895E01">
        <w:rPr>
          <w:rFonts w:ascii="Arial" w:hAnsi="Arial"/>
          <w:color w:val="0F1115"/>
          <w:sz w:val="22"/>
          <w:szCs w:val="22"/>
        </w:rPr>
        <w:t xml:space="preserve">implementation of </w:t>
      </w:r>
      <w:r w:rsidR="00347CCA">
        <w:rPr>
          <w:rFonts w:ascii="Arial" w:hAnsi="Arial"/>
          <w:color w:val="0F1115"/>
          <w:sz w:val="22"/>
          <w:szCs w:val="22"/>
        </w:rPr>
        <w:t xml:space="preserve">the </w:t>
      </w:r>
      <w:r w:rsidRPr="00895E01">
        <w:rPr>
          <w:rFonts w:ascii="Arial" w:hAnsi="Arial"/>
          <w:color w:val="0F1115"/>
          <w:sz w:val="22"/>
          <w:szCs w:val="22"/>
        </w:rPr>
        <w:t xml:space="preserve">Epic MyChart portal by NHS trusts faces problems of poor compatibility </w:t>
      </w:r>
      <w:proofErr w:type="gramStart"/>
      <w:r w:rsidR="007F45D3">
        <w:rPr>
          <w:rFonts w:ascii="Arial" w:hAnsi="Arial"/>
          <w:color w:val="0F1115"/>
          <w:sz w:val="22"/>
          <w:szCs w:val="22"/>
        </w:rPr>
        <w:t>with</w:t>
      </w:r>
      <w:r w:rsidR="0025519D">
        <w:rPr>
          <w:rFonts w:ascii="Arial" w:hAnsi="Arial"/>
          <w:color w:val="0F1115"/>
          <w:sz w:val="22"/>
          <w:szCs w:val="22"/>
        </w:rPr>
        <w:t xml:space="preserve"> </w:t>
      </w:r>
      <w:r w:rsidRPr="00895E01">
        <w:rPr>
          <w:rFonts w:ascii="Arial" w:hAnsi="Arial"/>
          <w:color w:val="0F1115"/>
          <w:sz w:val="22"/>
          <w:szCs w:val="22"/>
        </w:rPr>
        <w:t xml:space="preserve"> the</w:t>
      </w:r>
      <w:proofErr w:type="gramEnd"/>
      <w:r w:rsidRPr="00895E01">
        <w:rPr>
          <w:rFonts w:ascii="Arial" w:hAnsi="Arial"/>
          <w:color w:val="0F1115"/>
          <w:sz w:val="22"/>
          <w:szCs w:val="22"/>
        </w:rPr>
        <w:t xml:space="preserve"> NHS App and low literacy, providing users with more problems than benefits. In particular, one general practitioner noted that patients went crazy over the information available in MyChart and that the patient who saw his test results being abnormal jumped to conclusions. Low literacy is another significant issue related to the EHR use by patients. The EHRs are not designed with the patient in mind</w:t>
      </w:r>
      <w:r w:rsidR="00347CCA">
        <w:rPr>
          <w:rFonts w:ascii="Arial" w:hAnsi="Arial"/>
          <w:color w:val="0F1115"/>
          <w:sz w:val="22"/>
          <w:szCs w:val="22"/>
        </w:rPr>
        <w:t>,</w:t>
      </w:r>
      <w:r w:rsidRPr="00895E01">
        <w:rPr>
          <w:rFonts w:ascii="Arial" w:hAnsi="Arial"/>
          <w:color w:val="0F1115"/>
          <w:sz w:val="22"/>
          <w:szCs w:val="22"/>
        </w:rPr>
        <w:t xml:space="preserve"> and most applications require high digital literacy. </w:t>
      </w:r>
      <w:proofErr w:type="gramStart"/>
      <w:r w:rsidRPr="00895E01">
        <w:rPr>
          <w:rFonts w:ascii="Arial" w:hAnsi="Arial"/>
          <w:color w:val="0F1115"/>
          <w:sz w:val="22"/>
          <w:szCs w:val="22"/>
        </w:rPr>
        <w:t>Despite the fact that</w:t>
      </w:r>
      <w:proofErr w:type="gramEnd"/>
      <w:r w:rsidRPr="00895E01">
        <w:rPr>
          <w:rFonts w:ascii="Arial" w:hAnsi="Arial"/>
          <w:color w:val="0F1115"/>
          <w:sz w:val="22"/>
          <w:szCs w:val="22"/>
        </w:rPr>
        <w:t xml:space="preserve"> nearly all English adults can access their primary care EHR through </w:t>
      </w:r>
      <w:r w:rsidR="00347CCA">
        <w:rPr>
          <w:rFonts w:ascii="Arial" w:hAnsi="Arial"/>
          <w:color w:val="0F1115"/>
          <w:sz w:val="22"/>
          <w:szCs w:val="22"/>
        </w:rPr>
        <w:t xml:space="preserve">the </w:t>
      </w:r>
      <w:r w:rsidRPr="00895E01">
        <w:rPr>
          <w:rFonts w:ascii="Arial" w:hAnsi="Arial"/>
          <w:color w:val="0F1115"/>
          <w:sz w:val="22"/>
          <w:szCs w:val="22"/>
        </w:rPr>
        <w:t>NHS App, almost half of them did not see their record despite its availability.</w:t>
      </w:r>
    </w:p>
    <w:p w14:paraId="0469CE75" w14:textId="2269AA93" w:rsidR="008A19D3" w:rsidRPr="00895E01" w:rsidRDefault="005959CF"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Security issues remain relevant. While electronic medical records help in </w:t>
      </w:r>
      <w:r w:rsidR="00347CCA">
        <w:rPr>
          <w:rFonts w:ascii="Arial" w:hAnsi="Arial"/>
          <w:color w:val="0F1115"/>
          <w:sz w:val="22"/>
          <w:szCs w:val="22"/>
        </w:rPr>
        <w:t>the diagnosis</w:t>
      </w:r>
      <w:r w:rsidRPr="00895E01">
        <w:rPr>
          <w:rFonts w:ascii="Arial" w:hAnsi="Arial"/>
          <w:color w:val="0F1115"/>
          <w:sz w:val="22"/>
          <w:szCs w:val="22"/>
        </w:rPr>
        <w:t xml:space="preserve"> and treatment of conditions, these records are still accessible to practitioners</w:t>
      </w:r>
      <w:r w:rsidR="00347CCA">
        <w:rPr>
          <w:rFonts w:ascii="Arial" w:hAnsi="Arial"/>
          <w:color w:val="0F1115"/>
          <w:sz w:val="22"/>
          <w:szCs w:val="22"/>
        </w:rPr>
        <w:t>,</w:t>
      </w:r>
      <w:r w:rsidRPr="00895E01">
        <w:rPr>
          <w:rFonts w:ascii="Arial" w:hAnsi="Arial"/>
          <w:color w:val="0F1115"/>
          <w:sz w:val="22"/>
          <w:szCs w:val="22"/>
        </w:rPr>
        <w:t xml:space="preserve"> and confidentiality issues </w:t>
      </w:r>
      <w:r w:rsidR="00347CCA">
        <w:rPr>
          <w:rFonts w:ascii="Arial" w:hAnsi="Arial"/>
          <w:color w:val="0F1115"/>
          <w:sz w:val="22"/>
          <w:szCs w:val="22"/>
        </w:rPr>
        <w:t>have arisen</w:t>
      </w:r>
      <w:r w:rsidRPr="00895E01">
        <w:rPr>
          <w:rFonts w:ascii="Arial" w:hAnsi="Arial"/>
          <w:color w:val="0F1115"/>
          <w:sz w:val="22"/>
          <w:szCs w:val="22"/>
        </w:rPr>
        <w:t xml:space="preserve"> before. Several cases involving celebrities became public. Patients demand </w:t>
      </w:r>
      <w:r w:rsidR="00347CCA">
        <w:rPr>
          <w:rFonts w:ascii="Arial" w:hAnsi="Arial"/>
          <w:color w:val="0F1115"/>
          <w:sz w:val="22"/>
          <w:szCs w:val="22"/>
        </w:rPr>
        <w:t xml:space="preserve">a </w:t>
      </w:r>
      <w:r w:rsidRPr="00895E01">
        <w:rPr>
          <w:rFonts w:ascii="Arial" w:hAnsi="Arial"/>
          <w:color w:val="0F1115"/>
          <w:sz w:val="22"/>
          <w:szCs w:val="22"/>
        </w:rPr>
        <w:t>higher level of data security for interoperability purposes.</w:t>
      </w:r>
    </w:p>
    <w:p w14:paraId="6A220E4E" w14:textId="7E8D0A94" w:rsidR="008A19D3" w:rsidRPr="00895E01" w:rsidRDefault="005959CF" w:rsidP="00895E01">
      <w:pPr>
        <w:pStyle w:val="Heading2"/>
        <w:spacing w:line="360" w:lineRule="auto"/>
        <w:rPr>
          <w:rFonts w:ascii="Arial" w:hAnsi="Arial"/>
          <w:sz w:val="22"/>
          <w:szCs w:val="22"/>
        </w:rPr>
      </w:pPr>
      <w:r w:rsidRPr="00895E01">
        <w:rPr>
          <w:rFonts w:ascii="Arial" w:hAnsi="Arial"/>
          <w:sz w:val="22"/>
          <w:szCs w:val="22"/>
        </w:rPr>
        <w:t xml:space="preserve">4.0 </w:t>
      </w:r>
      <w:r w:rsidR="008A19D3" w:rsidRPr="00895E01">
        <w:rPr>
          <w:rFonts w:ascii="Arial" w:hAnsi="Arial"/>
          <w:sz w:val="22"/>
          <w:szCs w:val="22"/>
        </w:rPr>
        <w:t>Impact on Community</w:t>
      </w:r>
    </w:p>
    <w:p w14:paraId="378BC231" w14:textId="529F7533" w:rsidR="008A19D3" w:rsidRPr="00895E01" w:rsidRDefault="005959CF" w:rsidP="00895E01">
      <w:pPr>
        <w:pStyle w:val="Heading2"/>
        <w:spacing w:line="360" w:lineRule="auto"/>
        <w:rPr>
          <w:rFonts w:ascii="Arial" w:hAnsi="Arial"/>
          <w:sz w:val="22"/>
          <w:szCs w:val="22"/>
        </w:rPr>
      </w:pPr>
      <w:r w:rsidRPr="00895E01">
        <w:rPr>
          <w:rFonts w:ascii="Arial" w:hAnsi="Arial"/>
          <w:sz w:val="22"/>
          <w:szCs w:val="22"/>
        </w:rPr>
        <w:t xml:space="preserve">4.1 </w:t>
      </w:r>
      <w:r w:rsidR="008A19D3" w:rsidRPr="00895E01">
        <w:rPr>
          <w:rFonts w:ascii="Arial" w:hAnsi="Arial"/>
          <w:sz w:val="22"/>
          <w:szCs w:val="22"/>
        </w:rPr>
        <w:t>Positive Outcomes</w:t>
      </w:r>
    </w:p>
    <w:p w14:paraId="573C3F40" w14:textId="32EA1D74" w:rsidR="005959CF" w:rsidRPr="00895E01" w:rsidRDefault="005959CF"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EHRs are transforming community care in the United Kingdom. For example, the </w:t>
      </w:r>
      <w:r w:rsidR="00347CCA" w:rsidRPr="00895E01">
        <w:rPr>
          <w:rFonts w:ascii="Arial" w:hAnsi="Arial"/>
          <w:color w:val="0F1115"/>
          <w:sz w:val="22"/>
          <w:szCs w:val="22"/>
        </w:rPr>
        <w:t>health set</w:t>
      </w:r>
      <w:r w:rsidRPr="00895E01">
        <w:rPr>
          <w:rFonts w:ascii="Arial" w:hAnsi="Arial"/>
          <w:color w:val="0F1115"/>
          <w:sz w:val="22"/>
          <w:szCs w:val="22"/>
        </w:rPr>
        <w:t xml:space="preserve"> program, developed by the regions of Dorset and Somerset, aims to develop a single record that will incorporate information about 1.4 million patients and integrate data from acute, community, and mental health services (NHS England, 2025).</w:t>
      </w:r>
    </w:p>
    <w:p w14:paraId="3D535237" w14:textId="77777777" w:rsidR="005959CF" w:rsidRPr="00895E01" w:rsidRDefault="005959CF"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Digital transformation shifts care delivery from hospitals to communities via integration of technology and information for a faster and more secure system (UK Government, 2025a). </w:t>
      </w:r>
      <w:r w:rsidRPr="00895E01">
        <w:rPr>
          <w:rFonts w:ascii="Arial" w:hAnsi="Arial"/>
          <w:color w:val="0F1115"/>
          <w:sz w:val="22"/>
          <w:szCs w:val="22"/>
        </w:rPr>
        <w:lastRenderedPageBreak/>
        <w:t>The City of Nottingham is one of 43 regions implementing a digitally enabled Neighbourhood Health Service, which will use shared data from GPs, hospitals, and mental health services (NHS England, 2025).</w:t>
      </w:r>
    </w:p>
    <w:p w14:paraId="4085EB43" w14:textId="77777777" w:rsidR="005959CF" w:rsidRPr="00895E01" w:rsidRDefault="005959CF" w:rsidP="00895E01">
      <w:pPr>
        <w:pStyle w:val="NoSpacing"/>
        <w:spacing w:line="360" w:lineRule="auto"/>
        <w:rPr>
          <w:rFonts w:ascii="Arial" w:hAnsi="Arial"/>
          <w:color w:val="0F1115"/>
          <w:sz w:val="22"/>
          <w:szCs w:val="22"/>
        </w:rPr>
      </w:pPr>
      <w:r w:rsidRPr="00895E01">
        <w:rPr>
          <w:rFonts w:ascii="Arial" w:hAnsi="Arial"/>
          <w:color w:val="0F1115"/>
          <w:sz w:val="22"/>
          <w:szCs w:val="22"/>
        </w:rPr>
        <w:t>There will be improved access to information with consent through digital social care records. Care plans will take only three days (instead of seven) to be done and signed and 30 minutes (instead of four hours) to be reviewed (UK Government, 2025b).</w:t>
      </w:r>
    </w:p>
    <w:p w14:paraId="3C221FF6" w14:textId="60A3DCEE" w:rsidR="008A19D3" w:rsidRPr="00895E01" w:rsidRDefault="005959CF"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Population health management is supported by EHR data because they give an opportunity to have complete information on patients' </w:t>
      </w:r>
      <w:r w:rsidR="00347CCA">
        <w:rPr>
          <w:rFonts w:ascii="Arial" w:hAnsi="Arial"/>
          <w:color w:val="0F1115"/>
          <w:sz w:val="22"/>
          <w:szCs w:val="22"/>
        </w:rPr>
        <w:t>conditions,</w:t>
      </w:r>
      <w:r w:rsidRPr="00895E01">
        <w:rPr>
          <w:rFonts w:ascii="Arial" w:hAnsi="Arial"/>
          <w:color w:val="0F1115"/>
          <w:sz w:val="22"/>
          <w:szCs w:val="22"/>
        </w:rPr>
        <w:t xml:space="preserve"> make decisions based on evidence and track trends (Gallier, 2024; UK Government, 2026a).</w:t>
      </w:r>
    </w:p>
    <w:p w14:paraId="0430F245" w14:textId="0B2DDFBC" w:rsidR="008A19D3" w:rsidRPr="00895E01" w:rsidRDefault="005959CF" w:rsidP="00895E01">
      <w:pPr>
        <w:pStyle w:val="Heading2"/>
        <w:spacing w:line="360" w:lineRule="auto"/>
        <w:rPr>
          <w:rFonts w:ascii="Arial" w:hAnsi="Arial"/>
          <w:sz w:val="22"/>
          <w:szCs w:val="22"/>
        </w:rPr>
      </w:pPr>
      <w:r w:rsidRPr="00895E01">
        <w:rPr>
          <w:rFonts w:ascii="Arial" w:hAnsi="Arial"/>
          <w:sz w:val="22"/>
          <w:szCs w:val="22"/>
        </w:rPr>
        <w:t xml:space="preserve">4.2 </w:t>
      </w:r>
      <w:r w:rsidR="008A19D3" w:rsidRPr="00895E01">
        <w:rPr>
          <w:rFonts w:ascii="Arial" w:hAnsi="Arial"/>
          <w:sz w:val="22"/>
          <w:szCs w:val="22"/>
        </w:rPr>
        <w:t>Challenges and Negative Impacts</w:t>
      </w:r>
    </w:p>
    <w:p w14:paraId="1AD2CC32" w14:textId="491D5F17" w:rsidR="00895E01" w:rsidRPr="00895E01" w:rsidRDefault="00895E01"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Community effects of digital care may not be all positive and can contribute to inequality and increased disparity if not handled properly. Carers who are younger and more able embrace digital technology </w:t>
      </w:r>
      <w:r w:rsidR="00347CCA">
        <w:rPr>
          <w:rFonts w:ascii="Arial" w:hAnsi="Arial"/>
          <w:color w:val="0F1115"/>
          <w:sz w:val="22"/>
          <w:szCs w:val="22"/>
        </w:rPr>
        <w:t>more quickly</w:t>
      </w:r>
      <w:r w:rsidRPr="00895E01">
        <w:rPr>
          <w:rFonts w:ascii="Arial" w:hAnsi="Arial"/>
          <w:color w:val="0F1115"/>
          <w:sz w:val="22"/>
          <w:szCs w:val="22"/>
        </w:rPr>
        <w:t xml:space="preserve"> than older, isolated, and less advantaged carers, increasing </w:t>
      </w:r>
      <w:r w:rsidR="00347CCA">
        <w:rPr>
          <w:rFonts w:ascii="Arial" w:hAnsi="Arial"/>
          <w:color w:val="0F1115"/>
          <w:sz w:val="22"/>
          <w:szCs w:val="22"/>
        </w:rPr>
        <w:t xml:space="preserve">the </w:t>
      </w:r>
      <w:r w:rsidRPr="00895E01">
        <w:rPr>
          <w:rFonts w:ascii="Arial" w:hAnsi="Arial"/>
          <w:color w:val="0F1115"/>
          <w:sz w:val="22"/>
          <w:szCs w:val="22"/>
        </w:rPr>
        <w:t>chances of growing inequalities in health (UK Parliament, 2024).</w:t>
      </w:r>
    </w:p>
    <w:p w14:paraId="5563984D" w14:textId="1B48808A" w:rsidR="00895E01" w:rsidRPr="00895E01" w:rsidRDefault="00895E01"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The digital divide is one of the key community issues relating to health. </w:t>
      </w:r>
      <w:r w:rsidR="00347CCA">
        <w:rPr>
          <w:rFonts w:ascii="Arial" w:hAnsi="Arial"/>
          <w:color w:val="0F1115"/>
          <w:sz w:val="22"/>
          <w:szCs w:val="22"/>
        </w:rPr>
        <w:t>Organisations need to consider</w:t>
      </w:r>
      <w:r w:rsidRPr="00895E01">
        <w:rPr>
          <w:rFonts w:ascii="Arial" w:hAnsi="Arial"/>
          <w:color w:val="0F1115"/>
          <w:sz w:val="22"/>
          <w:szCs w:val="22"/>
        </w:rPr>
        <w:t xml:space="preserve"> individuals who have </w:t>
      </w:r>
      <w:r w:rsidR="00347CCA">
        <w:rPr>
          <w:rFonts w:ascii="Arial" w:hAnsi="Arial"/>
          <w:color w:val="0F1115"/>
          <w:sz w:val="22"/>
          <w:szCs w:val="22"/>
        </w:rPr>
        <w:t>less</w:t>
      </w:r>
      <w:r w:rsidRPr="00895E01">
        <w:rPr>
          <w:rFonts w:ascii="Arial" w:hAnsi="Arial"/>
          <w:color w:val="0F1115"/>
          <w:sz w:val="22"/>
          <w:szCs w:val="22"/>
        </w:rPr>
        <w:t xml:space="preserve"> ability to use technological advancements </w:t>
      </w:r>
      <w:proofErr w:type="gramStart"/>
      <w:r w:rsidRPr="00895E01">
        <w:rPr>
          <w:rFonts w:ascii="Arial" w:hAnsi="Arial"/>
          <w:color w:val="0F1115"/>
          <w:sz w:val="22"/>
          <w:szCs w:val="22"/>
        </w:rPr>
        <w:t>in order to</w:t>
      </w:r>
      <w:proofErr w:type="gramEnd"/>
      <w:r w:rsidRPr="00895E01">
        <w:rPr>
          <w:rFonts w:ascii="Arial" w:hAnsi="Arial"/>
          <w:color w:val="0F1115"/>
          <w:sz w:val="22"/>
          <w:szCs w:val="22"/>
        </w:rPr>
        <w:t xml:space="preserve"> avoid further discrimination. Digital technologies should decrease, and not increase, health inequalities. Variability of digital maturity in health organisations in the UK requires innovations that will allow avoiding widening of the gap (NHS Confederation, 2024).</w:t>
      </w:r>
    </w:p>
    <w:p w14:paraId="0C694922" w14:textId="6F185B9F" w:rsidR="00895E01" w:rsidRPr="00895E01" w:rsidRDefault="00895E01" w:rsidP="00895E01">
      <w:pPr>
        <w:pStyle w:val="NoSpacing"/>
        <w:spacing w:line="360" w:lineRule="auto"/>
        <w:rPr>
          <w:rFonts w:ascii="Arial" w:hAnsi="Arial"/>
          <w:color w:val="0F1115"/>
          <w:sz w:val="22"/>
          <w:szCs w:val="22"/>
        </w:rPr>
      </w:pPr>
      <w:r w:rsidRPr="00895E01">
        <w:rPr>
          <w:rFonts w:ascii="Arial" w:hAnsi="Arial"/>
          <w:color w:val="0F1115"/>
          <w:sz w:val="22"/>
          <w:szCs w:val="22"/>
        </w:rPr>
        <w:t>Family carers still experience difficulties with navigating complicated health systems. Information has to be repeated by unpaid carers because of crises caused by poor coordination, and because there is no smooth transfer of information from GPs to community nurses, social workers, and voluntary services. Digitisation would facilitate communication process, although challenges during implementation limit benefits.</w:t>
      </w:r>
    </w:p>
    <w:p w14:paraId="5B82B9DA" w14:textId="07B04B88" w:rsidR="008A19D3" w:rsidRDefault="00895E01" w:rsidP="00895E01">
      <w:pPr>
        <w:pStyle w:val="NoSpacing"/>
        <w:spacing w:line="360" w:lineRule="auto"/>
        <w:rPr>
          <w:rFonts w:ascii="Arial" w:hAnsi="Arial"/>
          <w:color w:val="0F1115"/>
          <w:sz w:val="22"/>
          <w:szCs w:val="22"/>
        </w:rPr>
      </w:pPr>
      <w:r w:rsidRPr="00895E01">
        <w:rPr>
          <w:rFonts w:ascii="Arial" w:hAnsi="Arial"/>
          <w:color w:val="0F1115"/>
          <w:sz w:val="22"/>
          <w:szCs w:val="22"/>
        </w:rPr>
        <w:t>Data privacy is another area where the issue of digitisation becomes relevant. Access to confidential information may become easier because of the introduction of digitised records. Anonymising and commercialisation of the data is a privacy issue as well as obtaining patient consent. Patients have to retain control over their data.</w:t>
      </w:r>
    </w:p>
    <w:p w14:paraId="211C3386" w14:textId="77777777" w:rsidR="00895E01" w:rsidRDefault="00895E01" w:rsidP="00895E01">
      <w:pPr>
        <w:pStyle w:val="NoSpacing"/>
        <w:spacing w:line="360" w:lineRule="auto"/>
        <w:rPr>
          <w:rFonts w:ascii="Arial" w:hAnsi="Arial"/>
          <w:color w:val="0F1115"/>
          <w:sz w:val="22"/>
          <w:szCs w:val="22"/>
        </w:rPr>
      </w:pPr>
    </w:p>
    <w:p w14:paraId="31204716" w14:textId="77777777" w:rsidR="00895E01" w:rsidRPr="00895E01" w:rsidRDefault="00895E01" w:rsidP="00895E01">
      <w:pPr>
        <w:pStyle w:val="NoSpacing"/>
        <w:spacing w:line="360" w:lineRule="auto"/>
        <w:rPr>
          <w:rFonts w:ascii="Arial" w:hAnsi="Arial"/>
          <w:color w:val="0F1115"/>
          <w:sz w:val="22"/>
          <w:szCs w:val="22"/>
        </w:rPr>
      </w:pPr>
    </w:p>
    <w:p w14:paraId="22D7F70D" w14:textId="03FED1EC" w:rsidR="008A19D3" w:rsidRPr="00895E01" w:rsidRDefault="00895E01" w:rsidP="00895E01">
      <w:pPr>
        <w:pStyle w:val="Heading2"/>
        <w:spacing w:line="360" w:lineRule="auto"/>
        <w:rPr>
          <w:rFonts w:ascii="Arial" w:hAnsi="Arial"/>
          <w:sz w:val="22"/>
          <w:szCs w:val="22"/>
        </w:rPr>
      </w:pPr>
      <w:r w:rsidRPr="00895E01">
        <w:rPr>
          <w:rFonts w:ascii="Arial" w:hAnsi="Arial"/>
          <w:sz w:val="22"/>
          <w:szCs w:val="22"/>
        </w:rPr>
        <w:t xml:space="preserve">5.0 </w:t>
      </w:r>
      <w:r w:rsidR="008A19D3" w:rsidRPr="00895E01">
        <w:rPr>
          <w:rFonts w:ascii="Arial" w:hAnsi="Arial"/>
          <w:sz w:val="22"/>
          <w:szCs w:val="22"/>
        </w:rPr>
        <w:t>Conclusion</w:t>
      </w:r>
    </w:p>
    <w:p w14:paraId="0AAA3F21" w14:textId="77777777" w:rsidR="00895E01" w:rsidRPr="00895E01" w:rsidRDefault="00895E01" w:rsidP="00895E01">
      <w:pPr>
        <w:pStyle w:val="NoSpacing"/>
        <w:spacing w:line="360" w:lineRule="auto"/>
        <w:rPr>
          <w:rFonts w:ascii="Arial" w:hAnsi="Arial"/>
          <w:color w:val="0F1115"/>
          <w:sz w:val="22"/>
          <w:szCs w:val="22"/>
        </w:rPr>
      </w:pPr>
      <w:r w:rsidRPr="00895E01">
        <w:rPr>
          <w:rFonts w:ascii="Arial" w:hAnsi="Arial"/>
          <w:color w:val="0F1115"/>
          <w:sz w:val="22"/>
          <w:szCs w:val="22"/>
        </w:rPr>
        <w:t>Electronic Health Records (EHRs) are a revolutionary approach for UK health and social care, increasing workforce efficiency, improving service coordination, patient empowerment, and community health. EHRs help to improve processes, reduce medication errors, provide coordinated care and allow staff members to dedicate time to patients (NHS Digital, 2023).</w:t>
      </w:r>
    </w:p>
    <w:p w14:paraId="40448EC2" w14:textId="1221B272" w:rsidR="00895E01" w:rsidRPr="00895E01" w:rsidRDefault="00895E01" w:rsidP="00895E01">
      <w:pPr>
        <w:pStyle w:val="NoSpacing"/>
        <w:spacing w:line="360" w:lineRule="auto"/>
        <w:rPr>
          <w:rFonts w:ascii="Arial" w:hAnsi="Arial"/>
          <w:color w:val="0F1115"/>
          <w:sz w:val="22"/>
          <w:szCs w:val="22"/>
        </w:rPr>
      </w:pPr>
      <w:r w:rsidRPr="00895E01">
        <w:rPr>
          <w:rFonts w:ascii="Arial" w:hAnsi="Arial"/>
          <w:color w:val="0F1115"/>
          <w:sz w:val="22"/>
          <w:szCs w:val="22"/>
        </w:rPr>
        <w:lastRenderedPageBreak/>
        <w:t xml:space="preserve">However, there are still some obstacles to be overcome. In particular, usability issues, insufficient training, and a connection between unsatisfactory EPR experience and burnout must be addressed right now (NHS England, 2024). Patients' experience is varied – digital portals may cause anxiety alongside empowerment (Howard, 2026). Moreover, safety issues identified by the Health Services Safety Investigations Body point out that digitisation alone cannot ensure improvements in care </w:t>
      </w:r>
      <w:r w:rsidR="00664684" w:rsidRPr="00895E01">
        <w:rPr>
          <w:rFonts w:ascii="Arial" w:hAnsi="Arial"/>
          <w:color w:val="0F1115"/>
          <w:sz w:val="22"/>
          <w:szCs w:val="22"/>
        </w:rPr>
        <w:t>(</w:t>
      </w:r>
      <w:r w:rsidR="00664684">
        <w:rPr>
          <w:rFonts w:ascii="Arial" w:hAnsi="Arial"/>
          <w:color w:val="222222"/>
          <w:sz w:val="20"/>
          <w:szCs w:val="20"/>
          <w:shd w:val="clear" w:color="auto" w:fill="FFFFFF"/>
        </w:rPr>
        <w:t>Wise, 2025</w:t>
      </w:r>
      <w:r w:rsidR="00664684" w:rsidRPr="00895E01">
        <w:rPr>
          <w:rFonts w:ascii="Arial" w:hAnsi="Arial"/>
          <w:color w:val="0F1115"/>
          <w:sz w:val="22"/>
          <w:szCs w:val="22"/>
        </w:rPr>
        <w:t>).</w:t>
      </w:r>
      <w:r w:rsidRPr="00895E01">
        <w:rPr>
          <w:rFonts w:ascii="Arial" w:hAnsi="Arial"/>
          <w:color w:val="0F1115"/>
          <w:sz w:val="22"/>
          <w:szCs w:val="22"/>
        </w:rPr>
        <w:t xml:space="preserve"> Social inequalities among communities may become even wider with the unequal use of digitalisation and digital literacy (NHS Confederation, 2024).</w:t>
      </w:r>
    </w:p>
    <w:p w14:paraId="2A9C4E2A" w14:textId="6152FC1E" w:rsidR="008A19D3" w:rsidRPr="00895E01" w:rsidRDefault="00895E01" w:rsidP="00895E01">
      <w:pPr>
        <w:pStyle w:val="NoSpacing"/>
        <w:spacing w:line="360" w:lineRule="auto"/>
        <w:rPr>
          <w:rFonts w:ascii="Arial" w:hAnsi="Arial"/>
          <w:color w:val="0F1115"/>
          <w:sz w:val="22"/>
          <w:szCs w:val="22"/>
        </w:rPr>
      </w:pPr>
      <w:r w:rsidRPr="00895E01">
        <w:rPr>
          <w:rFonts w:ascii="Arial" w:hAnsi="Arial"/>
          <w:color w:val="0F1115"/>
          <w:sz w:val="22"/>
          <w:szCs w:val="22"/>
        </w:rPr>
        <w:t xml:space="preserve">It seems evident that evidence suggests EHRs to be an important strategic tool </w:t>
      </w:r>
      <w:r w:rsidR="00347CCA">
        <w:rPr>
          <w:rFonts w:ascii="Arial" w:hAnsi="Arial"/>
          <w:color w:val="0F1115"/>
          <w:sz w:val="22"/>
          <w:szCs w:val="22"/>
        </w:rPr>
        <w:t>to</w:t>
      </w:r>
      <w:r w:rsidRPr="00895E01">
        <w:rPr>
          <w:rFonts w:ascii="Arial" w:hAnsi="Arial"/>
          <w:color w:val="0F1115"/>
          <w:sz w:val="22"/>
          <w:szCs w:val="22"/>
        </w:rPr>
        <w:t xml:space="preserve"> make the NHS safer and more efficient</w:t>
      </w:r>
      <w:r w:rsidR="00347CCA">
        <w:rPr>
          <w:rFonts w:ascii="Arial" w:hAnsi="Arial"/>
          <w:color w:val="0F1115"/>
          <w:sz w:val="22"/>
          <w:szCs w:val="22"/>
        </w:rPr>
        <w:t>,</w:t>
      </w:r>
      <w:r w:rsidRPr="00895E01">
        <w:rPr>
          <w:rFonts w:ascii="Arial" w:hAnsi="Arial"/>
          <w:color w:val="0F1115"/>
          <w:sz w:val="22"/>
          <w:szCs w:val="22"/>
        </w:rPr>
        <w:t xml:space="preserve"> but the full benefit depends on £21 billion worth of investments in five years and appropriate workforce training, improved usability and consideration of patients' needs (Parliamentary Written Question HL7395, 2025).</w:t>
      </w:r>
    </w:p>
    <w:p w14:paraId="496F5EEC" w14:textId="78D3919B" w:rsidR="008A19D3" w:rsidRPr="00895E01" w:rsidRDefault="008A19D3" w:rsidP="00895E01">
      <w:pPr>
        <w:pStyle w:val="NoSpacing"/>
        <w:spacing w:line="360" w:lineRule="auto"/>
        <w:rPr>
          <w:rFonts w:ascii="Arial" w:hAnsi="Arial"/>
          <w:sz w:val="22"/>
          <w:szCs w:val="22"/>
        </w:rPr>
      </w:pPr>
    </w:p>
    <w:p w14:paraId="136088C2" w14:textId="77777777" w:rsidR="00895E01" w:rsidRPr="00895E01" w:rsidRDefault="00895E01" w:rsidP="00895E01">
      <w:pPr>
        <w:spacing w:after="0"/>
        <w:outlineLvl w:val="9"/>
        <w:rPr>
          <w:b w:val="0"/>
          <w:bCs w:val="0"/>
          <w:color w:val="0F1115"/>
          <w:sz w:val="22"/>
          <w:szCs w:val="22"/>
        </w:rPr>
      </w:pPr>
      <w:r w:rsidRPr="00895E01">
        <w:rPr>
          <w:color w:val="0F1115"/>
          <w:sz w:val="22"/>
          <w:szCs w:val="22"/>
        </w:rPr>
        <w:br w:type="page"/>
      </w:r>
    </w:p>
    <w:p w14:paraId="50997061" w14:textId="6785CEEF" w:rsidR="008A19D3" w:rsidRPr="00895E01" w:rsidRDefault="008A19D3" w:rsidP="00895E01">
      <w:pPr>
        <w:pStyle w:val="Heading2"/>
      </w:pPr>
      <w:r w:rsidRPr="00895E01">
        <w:lastRenderedPageBreak/>
        <w:t>References</w:t>
      </w:r>
    </w:p>
    <w:p w14:paraId="40C8AE7A" w14:textId="03193B63"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Gallier, S., </w:t>
      </w:r>
      <w:r w:rsidR="0025519D">
        <w:rPr>
          <w:rFonts w:ascii="Times New Roman" w:eastAsia="Times New Roman" w:hAnsi="Times New Roman" w:cs="Times New Roman"/>
          <w:b w:val="0"/>
          <w:bCs w:val="0"/>
          <w:color w:val="000000"/>
          <w:kern w:val="0"/>
          <w:sz w:val="22"/>
          <w:szCs w:val="22"/>
          <w:lang w:eastAsia="en-GB"/>
        </w:rPr>
        <w:t>(</w:t>
      </w:r>
      <w:r w:rsidRPr="00632E71">
        <w:rPr>
          <w:rFonts w:ascii="Times New Roman" w:eastAsia="Times New Roman" w:hAnsi="Times New Roman" w:cs="Times New Roman"/>
          <w:b w:val="0"/>
          <w:bCs w:val="0"/>
          <w:color w:val="000000"/>
          <w:kern w:val="0"/>
          <w:sz w:val="22"/>
          <w:szCs w:val="22"/>
          <w:lang w:eastAsia="en-GB"/>
        </w:rPr>
        <w:t>2024</w:t>
      </w:r>
      <w:r w:rsidR="0025519D">
        <w:rPr>
          <w:rFonts w:ascii="Times New Roman" w:eastAsia="Times New Roman" w:hAnsi="Times New Roman" w:cs="Times New Roman"/>
          <w:b w:val="0"/>
          <w:bCs w:val="0"/>
          <w:color w:val="000000"/>
          <w:kern w:val="0"/>
          <w:sz w:val="22"/>
          <w:szCs w:val="22"/>
          <w:lang w:eastAsia="en-GB"/>
        </w:rPr>
        <w:t xml:space="preserve">) </w:t>
      </w:r>
      <w:r w:rsidRPr="0025519D">
        <w:rPr>
          <w:rFonts w:ascii="Times New Roman" w:eastAsia="Times New Roman" w:hAnsi="Times New Roman" w:cs="Times New Roman"/>
          <w:b w:val="0"/>
          <w:bCs w:val="0"/>
          <w:i/>
          <w:iCs/>
          <w:color w:val="000000"/>
          <w:kern w:val="0"/>
          <w:sz w:val="22"/>
          <w:szCs w:val="22"/>
          <w:lang w:eastAsia="en-GB"/>
        </w:rPr>
        <w:t>The impact of electronic health records on healthcare quality</w:t>
      </w:r>
      <w:r w:rsidRPr="00632E71">
        <w:rPr>
          <w:rFonts w:ascii="Times New Roman" w:eastAsia="Times New Roman" w:hAnsi="Times New Roman" w:cs="Times New Roman"/>
          <w:b w:val="0"/>
          <w:bCs w:val="0"/>
          <w:color w:val="000000"/>
          <w:kern w:val="0"/>
          <w:sz w:val="22"/>
          <w:szCs w:val="22"/>
          <w:lang w:eastAsia="en-GB"/>
        </w:rPr>
        <w:t xml:space="preserve"> (Doctoral dissertation, </w:t>
      </w:r>
    </w:p>
    <w:p w14:paraId="33055BA0" w14:textId="4B9C2873" w:rsidR="00632E71" w:rsidRPr="00632E71" w:rsidRDefault="00632E71" w:rsidP="00632E71">
      <w:pPr>
        <w:spacing w:after="0"/>
        <w:ind w:firstLine="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University of Birmingham).</w:t>
      </w:r>
    </w:p>
    <w:p w14:paraId="73C7A8BE" w14:textId="009AFA18"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Howard, S., 2026. MyChart: doctors are left frustrated</w:t>
      </w:r>
      <w:r w:rsidR="00347CCA">
        <w:rPr>
          <w:rFonts w:ascii="Times New Roman" w:eastAsia="Times New Roman" w:hAnsi="Times New Roman" w:cs="Times New Roman"/>
          <w:b w:val="0"/>
          <w:bCs w:val="0"/>
          <w:color w:val="000000"/>
          <w:kern w:val="0"/>
          <w:sz w:val="22"/>
          <w:szCs w:val="22"/>
          <w:lang w:eastAsia="en-GB"/>
        </w:rPr>
        <w:t>,</w:t>
      </w:r>
      <w:r w:rsidRPr="00632E71">
        <w:rPr>
          <w:rFonts w:ascii="Times New Roman" w:eastAsia="Times New Roman" w:hAnsi="Times New Roman" w:cs="Times New Roman"/>
          <w:b w:val="0"/>
          <w:bCs w:val="0"/>
          <w:color w:val="000000"/>
          <w:kern w:val="0"/>
          <w:sz w:val="22"/>
          <w:szCs w:val="22"/>
          <w:lang w:eastAsia="en-GB"/>
        </w:rPr>
        <w:t xml:space="preserve"> and patients panic as NHS trusts roll out hospital </w:t>
      </w:r>
    </w:p>
    <w:p w14:paraId="6F98E00A" w14:textId="1245E5BB" w:rsidR="00632E71" w:rsidRPr="00632E71" w:rsidRDefault="00347CCA" w:rsidP="00632E71">
      <w:pPr>
        <w:spacing w:after="0"/>
        <w:ind w:firstLine="720"/>
        <w:jc w:val="both"/>
        <w:outlineLvl w:val="9"/>
        <w:rPr>
          <w:rFonts w:ascii="Times New Roman" w:eastAsia="Times New Roman" w:hAnsi="Times New Roman" w:cs="Times New Roman"/>
          <w:b w:val="0"/>
          <w:bCs w:val="0"/>
          <w:color w:val="000000"/>
          <w:kern w:val="0"/>
          <w:sz w:val="22"/>
          <w:szCs w:val="22"/>
          <w:lang w:eastAsia="en-GB"/>
        </w:rPr>
      </w:pPr>
      <w:r>
        <w:rPr>
          <w:rFonts w:ascii="Times New Roman" w:eastAsia="Times New Roman" w:hAnsi="Times New Roman" w:cs="Times New Roman"/>
          <w:b w:val="0"/>
          <w:bCs w:val="0"/>
          <w:color w:val="000000"/>
          <w:kern w:val="0"/>
          <w:sz w:val="22"/>
          <w:szCs w:val="22"/>
          <w:lang w:eastAsia="en-GB"/>
        </w:rPr>
        <w:t>Records</w:t>
      </w:r>
      <w:r w:rsidR="00632E71" w:rsidRPr="00632E71">
        <w:rPr>
          <w:rFonts w:ascii="Times New Roman" w:eastAsia="Times New Roman" w:hAnsi="Times New Roman" w:cs="Times New Roman"/>
          <w:b w:val="0"/>
          <w:bCs w:val="0"/>
          <w:color w:val="000000"/>
          <w:kern w:val="0"/>
          <w:sz w:val="22"/>
          <w:szCs w:val="22"/>
          <w:lang w:eastAsia="en-GB"/>
        </w:rPr>
        <w:t xml:space="preserve"> app. </w:t>
      </w:r>
      <w:r w:rsidRPr="00632E71">
        <w:rPr>
          <w:rFonts w:ascii="Times New Roman" w:eastAsia="Times New Roman" w:hAnsi="Times New Roman" w:cs="Times New Roman"/>
          <w:b w:val="0"/>
          <w:bCs w:val="0"/>
          <w:color w:val="000000"/>
          <w:kern w:val="0"/>
          <w:sz w:val="22"/>
          <w:szCs w:val="22"/>
          <w:lang w:eastAsia="en-GB"/>
        </w:rPr>
        <w:t>bomb</w:t>
      </w:r>
      <w:r w:rsidR="00632E71" w:rsidRPr="00632E71">
        <w:rPr>
          <w:rFonts w:ascii="Times New Roman" w:eastAsia="Times New Roman" w:hAnsi="Times New Roman" w:cs="Times New Roman"/>
          <w:b w:val="0"/>
          <w:bCs w:val="0"/>
          <w:color w:val="000000"/>
          <w:kern w:val="0"/>
          <w:sz w:val="22"/>
          <w:szCs w:val="22"/>
          <w:lang w:eastAsia="en-GB"/>
        </w:rPr>
        <w:t>, 392.</w:t>
      </w:r>
    </w:p>
    <w:p w14:paraId="2FC44D2B" w14:textId="257433AD"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Li, E., Lounsbury, O., Clarke, J., </w:t>
      </w:r>
      <w:r w:rsidR="00347CCA" w:rsidRPr="00632E71">
        <w:rPr>
          <w:rFonts w:ascii="Times New Roman" w:eastAsia="Times New Roman" w:hAnsi="Times New Roman" w:cs="Times New Roman"/>
          <w:b w:val="0"/>
          <w:bCs w:val="0"/>
          <w:color w:val="000000"/>
          <w:kern w:val="0"/>
          <w:sz w:val="22"/>
          <w:szCs w:val="22"/>
          <w:lang w:eastAsia="en-GB"/>
        </w:rPr>
        <w:t>Ashrafi</w:t>
      </w:r>
      <w:r w:rsidRPr="00632E71">
        <w:rPr>
          <w:rFonts w:ascii="Times New Roman" w:eastAsia="Times New Roman" w:hAnsi="Times New Roman" w:cs="Times New Roman"/>
          <w:b w:val="0"/>
          <w:bCs w:val="0"/>
          <w:color w:val="000000"/>
          <w:kern w:val="0"/>
          <w:sz w:val="22"/>
          <w:szCs w:val="22"/>
          <w:lang w:eastAsia="en-GB"/>
        </w:rPr>
        <w:t xml:space="preserve">, H., Darzi, A. and Neves, A.L., 2024. Patient and caregiver </w:t>
      </w:r>
    </w:p>
    <w:p w14:paraId="56D7D472" w14:textId="15D98CB3" w:rsidR="00632E71" w:rsidRPr="00632E71" w:rsidRDefault="00347CCA" w:rsidP="00632E71">
      <w:pPr>
        <w:spacing w:after="0"/>
        <w:ind w:left="720"/>
        <w:jc w:val="both"/>
        <w:outlineLvl w:val="9"/>
        <w:rPr>
          <w:rFonts w:ascii="Times New Roman" w:eastAsia="Times New Roman" w:hAnsi="Times New Roman" w:cs="Times New Roman"/>
          <w:b w:val="0"/>
          <w:bCs w:val="0"/>
          <w:color w:val="000000"/>
          <w:kern w:val="0"/>
          <w:sz w:val="22"/>
          <w:szCs w:val="22"/>
          <w:lang w:eastAsia="en-GB"/>
        </w:rPr>
      </w:pPr>
      <w:r>
        <w:rPr>
          <w:rFonts w:ascii="Times New Roman" w:eastAsia="Times New Roman" w:hAnsi="Times New Roman" w:cs="Times New Roman"/>
          <w:b w:val="0"/>
          <w:bCs w:val="0"/>
          <w:color w:val="000000"/>
          <w:kern w:val="0"/>
          <w:sz w:val="22"/>
          <w:szCs w:val="22"/>
          <w:lang w:eastAsia="en-GB"/>
        </w:rPr>
        <w:t>Perceptions</w:t>
      </w:r>
      <w:r w:rsidR="00632E71" w:rsidRPr="00632E71">
        <w:rPr>
          <w:rFonts w:ascii="Times New Roman" w:eastAsia="Times New Roman" w:hAnsi="Times New Roman" w:cs="Times New Roman"/>
          <w:b w:val="0"/>
          <w:bCs w:val="0"/>
          <w:color w:val="000000"/>
          <w:kern w:val="0"/>
          <w:sz w:val="22"/>
          <w:szCs w:val="22"/>
          <w:lang w:eastAsia="en-GB"/>
        </w:rPr>
        <w:t xml:space="preserve"> of electronic health records interoperability in the NHS and its impact on care quality: a focus group study. BMC Medical Informatics and Decision Making, 24(1), p.370.</w:t>
      </w:r>
    </w:p>
    <w:p w14:paraId="5420EF18"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NHS Confederation (2024) Frontline digitisation: creating the conditions for a digital NHS. London: </w:t>
      </w:r>
    </w:p>
    <w:p w14:paraId="30FDFA26" w14:textId="01D143C1" w:rsidR="00632E71" w:rsidRPr="00632E71" w:rsidRDefault="00632E71" w:rsidP="00632E71">
      <w:pPr>
        <w:spacing w:after="0"/>
        <w:ind w:firstLine="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NHS Confederation. Available at: https://www.nhsconfed.org (Accessed: 10 July 2026).</w:t>
      </w:r>
    </w:p>
    <w:p w14:paraId="13EB5E5F"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NHS England (2024) 2024 Electronic Patient Record (EPR) Usability Survey for secondary care – key </w:t>
      </w:r>
    </w:p>
    <w:p w14:paraId="1A724A64" w14:textId="0E815D77" w:rsidR="00632E71" w:rsidRPr="00632E71" w:rsidRDefault="00632E71" w:rsidP="00632E71">
      <w:pPr>
        <w:spacing w:after="0"/>
        <w:ind w:left="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findings. London: NHS England. Available at: https://www.england.nhs.uk (Accessed: 10 July 2026).</w:t>
      </w:r>
    </w:p>
    <w:p w14:paraId="74275BF7"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NHS England (2025) Preparing the NHS for digital-by-default. London: NHS England. Available at: </w:t>
      </w:r>
    </w:p>
    <w:p w14:paraId="2D9C95DA" w14:textId="407F7139" w:rsidR="00632E71" w:rsidRPr="00632E71" w:rsidRDefault="00632E71" w:rsidP="00632E71">
      <w:pPr>
        <w:spacing w:after="0"/>
        <w:ind w:left="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https://www.england.nhs.uk (Accessed: 10 July 2026).</w:t>
      </w:r>
    </w:p>
    <w:p w14:paraId="0BDDEF4A"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Parliamentary Written Question HL7395 (2025) 'Digitising the NHS and adult social care', 16 May. </w:t>
      </w:r>
    </w:p>
    <w:p w14:paraId="6B2D9686" w14:textId="24FFFEC7" w:rsidR="00632E71" w:rsidRPr="00632E71" w:rsidRDefault="00632E71" w:rsidP="00632E71">
      <w:pPr>
        <w:spacing w:after="0"/>
        <w:ind w:firstLine="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Available at: https://questions-statements.parliament.uk (Accessed: 10 July 2026).</w:t>
      </w:r>
    </w:p>
    <w:p w14:paraId="75C50BB9"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Podkujko, A., Tate, R., Byrne-Watts, G. and Townson, N., 2026. Interoperability between clinical </w:t>
      </w:r>
    </w:p>
    <w:p w14:paraId="4EF473B6" w14:textId="17D6647B" w:rsidR="00632E71" w:rsidRPr="00632E71" w:rsidRDefault="00347CCA" w:rsidP="00632E71">
      <w:pPr>
        <w:spacing w:after="0"/>
        <w:ind w:left="720"/>
        <w:jc w:val="both"/>
        <w:outlineLvl w:val="9"/>
        <w:rPr>
          <w:rFonts w:ascii="Times New Roman" w:eastAsia="Times New Roman" w:hAnsi="Times New Roman" w:cs="Times New Roman"/>
          <w:b w:val="0"/>
          <w:bCs w:val="0"/>
          <w:color w:val="000000"/>
          <w:kern w:val="0"/>
          <w:sz w:val="22"/>
          <w:szCs w:val="22"/>
          <w:lang w:eastAsia="en-GB"/>
        </w:rPr>
      </w:pPr>
      <w:r>
        <w:rPr>
          <w:rFonts w:ascii="Times New Roman" w:eastAsia="Times New Roman" w:hAnsi="Times New Roman" w:cs="Times New Roman"/>
          <w:b w:val="0"/>
          <w:bCs w:val="0"/>
          <w:color w:val="000000"/>
          <w:kern w:val="0"/>
          <w:sz w:val="22"/>
          <w:szCs w:val="22"/>
          <w:lang w:eastAsia="en-GB"/>
        </w:rPr>
        <w:t>Electronic</w:t>
      </w:r>
      <w:r w:rsidR="00632E71" w:rsidRPr="00632E71">
        <w:rPr>
          <w:rFonts w:ascii="Times New Roman" w:eastAsia="Times New Roman" w:hAnsi="Times New Roman" w:cs="Times New Roman"/>
          <w:b w:val="0"/>
          <w:bCs w:val="0"/>
          <w:color w:val="000000"/>
          <w:kern w:val="0"/>
          <w:sz w:val="22"/>
          <w:szCs w:val="22"/>
          <w:lang w:eastAsia="en-GB"/>
        </w:rPr>
        <w:t xml:space="preserve"> patient record and social prescribing systems: The Life Rooms service evaluation. BMC Digital Health, 4(1), p.35.</w:t>
      </w:r>
    </w:p>
    <w:p w14:paraId="31C402AE"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UK Government (2025a) 10 Year Health Plan: digital by default. London: Department of Health and </w:t>
      </w:r>
    </w:p>
    <w:p w14:paraId="1307EFA7" w14:textId="512C7652" w:rsidR="00632E71" w:rsidRPr="00632E71" w:rsidRDefault="00632E71" w:rsidP="00632E71">
      <w:pPr>
        <w:spacing w:after="0"/>
        <w:ind w:left="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Social Care. Available at: https://www.gov.uk (Accessed: 10 July 2026).</w:t>
      </w:r>
    </w:p>
    <w:p w14:paraId="3B15B4C4"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UK Government (2025b) 'Digital revolution in care saves millions of admin hours', 2 December. </w:t>
      </w:r>
    </w:p>
    <w:p w14:paraId="328187AD" w14:textId="5501A4A2" w:rsidR="00632E71" w:rsidRPr="00632E71" w:rsidRDefault="00632E71" w:rsidP="00632E71">
      <w:pPr>
        <w:spacing w:after="0"/>
        <w:ind w:left="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Available at: https://www.gov.uk (Accessed: 10 July 2026).</w:t>
      </w:r>
    </w:p>
    <w:p w14:paraId="739B82BC"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UK Government (2026a) 'Better patient care as NHS set to introduce single patient record', 14 May. </w:t>
      </w:r>
    </w:p>
    <w:p w14:paraId="2E3EBF8E" w14:textId="4AC49BD8" w:rsidR="00632E71" w:rsidRPr="00632E71" w:rsidRDefault="00632E71" w:rsidP="00632E71">
      <w:pPr>
        <w:spacing w:after="0"/>
        <w:ind w:firstLine="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Available at: https://www.gov.uk (Accessed: 10 July 2026).</w:t>
      </w:r>
    </w:p>
    <w:p w14:paraId="2600E1A6"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UK Government (2026b) '20,000 fewer A&amp;E visits a year thanks to single patient record', 1 June. </w:t>
      </w:r>
    </w:p>
    <w:p w14:paraId="38477DE8" w14:textId="2FF35B43" w:rsidR="00632E71" w:rsidRPr="00632E71" w:rsidRDefault="00632E71" w:rsidP="00632E71">
      <w:pPr>
        <w:spacing w:after="0"/>
        <w:ind w:firstLine="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Available at: https://www.gov.uk (Accessed: 10 July 2026).</w:t>
      </w:r>
    </w:p>
    <w:p w14:paraId="6911A793" w14:textId="77777777" w:rsid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 xml:space="preserve">UK Parliament (2024) Health Bill: single patient record - equality impact assessment. London: House </w:t>
      </w:r>
    </w:p>
    <w:p w14:paraId="29B60686" w14:textId="0ADD5BA6" w:rsidR="00632E71" w:rsidRPr="00632E71" w:rsidRDefault="00632E71" w:rsidP="00632E71">
      <w:pPr>
        <w:spacing w:after="0"/>
        <w:ind w:firstLine="72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of Commons. Available at: https://www.parliament.uk (Accessed: 10 July 2026).</w:t>
      </w:r>
    </w:p>
    <w:p w14:paraId="472502F8" w14:textId="77777777" w:rsidR="00632E71" w:rsidRPr="00632E71" w:rsidRDefault="00632E71" w:rsidP="00632E71">
      <w:pPr>
        <w:spacing w:after="0"/>
        <w:jc w:val="both"/>
        <w:outlineLvl w:val="9"/>
        <w:rPr>
          <w:rFonts w:ascii="Times New Roman" w:eastAsia="Times New Roman" w:hAnsi="Times New Roman" w:cs="Times New Roman"/>
          <w:b w:val="0"/>
          <w:bCs w:val="0"/>
          <w:color w:val="000000"/>
          <w:kern w:val="0"/>
          <w:sz w:val="22"/>
          <w:szCs w:val="22"/>
          <w:lang w:eastAsia="en-GB"/>
        </w:rPr>
      </w:pPr>
      <w:r w:rsidRPr="00632E71">
        <w:rPr>
          <w:rFonts w:ascii="Times New Roman" w:eastAsia="Times New Roman" w:hAnsi="Times New Roman" w:cs="Times New Roman"/>
          <w:b w:val="0"/>
          <w:bCs w:val="0"/>
          <w:color w:val="000000"/>
          <w:kern w:val="0"/>
          <w:sz w:val="22"/>
          <w:szCs w:val="22"/>
          <w:lang w:eastAsia="en-GB"/>
        </w:rPr>
        <w:t>Wise, J., 2025. Electronic patient records pose “persistent” risk to patient safety, watchdog warns.</w:t>
      </w:r>
    </w:p>
    <w:p w14:paraId="699CFDF6" w14:textId="77777777" w:rsidR="00632E71" w:rsidRPr="00632E71" w:rsidRDefault="00632E71">
      <w:pPr>
        <w:spacing w:before="100" w:beforeAutospacing="1" w:after="100" w:afterAutospacing="1" w:line="240" w:lineRule="auto"/>
        <w:jc w:val="both"/>
        <w:outlineLvl w:val="9"/>
        <w:rPr>
          <w:rFonts w:ascii="Times New Roman" w:eastAsia="Times New Roman" w:hAnsi="Times New Roman" w:cs="Times New Roman"/>
          <w:b w:val="0"/>
          <w:bCs w:val="0"/>
          <w:color w:val="000000"/>
          <w:kern w:val="0"/>
          <w:sz w:val="22"/>
          <w:szCs w:val="22"/>
          <w:lang w:eastAsia="en-GB"/>
        </w:rPr>
      </w:pPr>
    </w:p>
    <w:sectPr w:rsidR="00632E71" w:rsidRPr="00632E71" w:rsidSect="008375B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59018" w14:textId="77777777" w:rsidR="00843F71" w:rsidRDefault="00843F71" w:rsidP="008A19D3">
      <w:r>
        <w:separator/>
      </w:r>
    </w:p>
  </w:endnote>
  <w:endnote w:type="continuationSeparator" w:id="0">
    <w:p w14:paraId="50562FFF" w14:textId="77777777" w:rsidR="00843F71" w:rsidRDefault="00843F71" w:rsidP="008A19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rsidP="008A19D3">
    <w:pPr>
      <w:pStyle w:val="Foo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rsidP="008A1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E0A302" w14:textId="77777777" w:rsidR="00843F71" w:rsidRDefault="00843F71" w:rsidP="008A19D3">
      <w:r>
        <w:separator/>
      </w:r>
    </w:p>
  </w:footnote>
  <w:footnote w:type="continuationSeparator" w:id="0">
    <w:p w14:paraId="7E8A574D" w14:textId="77777777" w:rsidR="00843F71" w:rsidRDefault="00843F71" w:rsidP="008A19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1D13D0"/>
    <w:rsid w:val="001E1C74"/>
    <w:rsid w:val="0025519D"/>
    <w:rsid w:val="00255D51"/>
    <w:rsid w:val="002618F3"/>
    <w:rsid w:val="00347CCA"/>
    <w:rsid w:val="003C3F7A"/>
    <w:rsid w:val="0050279E"/>
    <w:rsid w:val="0058254B"/>
    <w:rsid w:val="005959CF"/>
    <w:rsid w:val="005F5FB6"/>
    <w:rsid w:val="00632E71"/>
    <w:rsid w:val="00661F4F"/>
    <w:rsid w:val="00664684"/>
    <w:rsid w:val="006D40A3"/>
    <w:rsid w:val="007F45D3"/>
    <w:rsid w:val="007F5726"/>
    <w:rsid w:val="008265EC"/>
    <w:rsid w:val="008375B5"/>
    <w:rsid w:val="00843F71"/>
    <w:rsid w:val="00895E01"/>
    <w:rsid w:val="008A19D3"/>
    <w:rsid w:val="008E31E6"/>
    <w:rsid w:val="00900073"/>
    <w:rsid w:val="009334D8"/>
    <w:rsid w:val="00987802"/>
    <w:rsid w:val="00A875D4"/>
    <w:rsid w:val="00A9474F"/>
    <w:rsid w:val="00AC2DCE"/>
    <w:rsid w:val="00AC3FDE"/>
    <w:rsid w:val="00C67617"/>
    <w:rsid w:val="00C80D0F"/>
    <w:rsid w:val="00D40915"/>
    <w:rsid w:val="00E54730"/>
    <w:rsid w:val="00E5516F"/>
    <w:rsid w:val="00F166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9D3"/>
    <w:pPr>
      <w:spacing w:after="160" w:line="360" w:lineRule="auto"/>
      <w:outlineLvl w:val="2"/>
    </w:pPr>
    <w:rPr>
      <w:rFonts w:ascii="Arial" w:hAnsi="Arial" w:cs="Arial"/>
      <w:b/>
      <w:bCs/>
      <w:kern w:val="2"/>
      <w:sz w:val="28"/>
      <w:szCs w:val="28"/>
      <w:lang w:eastAsia="en-US"/>
    </w:rPr>
  </w:style>
  <w:style w:type="paragraph" w:styleId="Heading1">
    <w:name w:val="heading 1"/>
    <w:basedOn w:val="Normal"/>
    <w:next w:val="Normal"/>
    <w:link w:val="Heading1Char"/>
    <w:autoRedefine/>
    <w:uiPriority w:val="9"/>
    <w:qFormat/>
    <w:rsid w:val="008A19D3"/>
    <w:pPr>
      <w:spacing w:after="0" w:line="240" w:lineRule="auto"/>
      <w:jc w:val="center"/>
      <w:outlineLvl w:val="0"/>
    </w:pPr>
    <w:rPr>
      <w:rFonts w:ascii="Times New Roman" w:hAnsi="Times New Roman"/>
      <w:bCs w:val="0"/>
      <w:sz w:val="24"/>
    </w:rPr>
  </w:style>
  <w:style w:type="paragraph" w:styleId="Heading2">
    <w:name w:val="heading 2"/>
    <w:basedOn w:val="Heading1"/>
    <w:next w:val="Normal"/>
    <w:link w:val="Heading2Char"/>
    <w:autoRedefine/>
    <w:uiPriority w:val="9"/>
    <w:unhideWhenUsed/>
    <w:qFormat/>
    <w:rsid w:val="008A19D3"/>
    <w:pPr>
      <w:jc w:val="both"/>
      <w:outlineLvl w:val="1"/>
    </w:pPr>
  </w:style>
  <w:style w:type="paragraph" w:styleId="Heading3">
    <w:name w:val="heading 3"/>
    <w:basedOn w:val="Heading2"/>
    <w:next w:val="Normal"/>
    <w:link w:val="Heading3Char"/>
    <w:uiPriority w:val="9"/>
    <w:unhideWhenUsed/>
    <w:qFormat/>
    <w:rsid w:val="008A19D3"/>
    <w:pPr>
      <w:outlineLvl w:val="2"/>
    </w:pPr>
  </w:style>
  <w:style w:type="paragraph" w:styleId="Heading4">
    <w:name w:val="heading 4"/>
    <w:basedOn w:val="Normal"/>
    <w:next w:val="Normal"/>
    <w:link w:val="Heading4Char"/>
    <w:uiPriority w:val="9"/>
    <w:unhideWhenUsed/>
    <w:qFormat/>
    <w:rsid w:val="008A19D3"/>
    <w:pPr>
      <w:outlineLvl w:val="3"/>
    </w:p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A19D3"/>
    <w:rPr>
      <w:rFonts w:ascii="Times New Roman" w:hAnsi="Times New Roman" w:cs="Arial"/>
      <w:b/>
      <w:kern w:val="2"/>
      <w:sz w:val="24"/>
      <w:szCs w:val="28"/>
      <w:lang w:eastAsia="en-US"/>
    </w:rPr>
  </w:style>
  <w:style w:type="character" w:customStyle="1" w:styleId="Heading2Char">
    <w:name w:val="Heading 2 Char"/>
    <w:link w:val="Heading2"/>
    <w:uiPriority w:val="9"/>
    <w:rsid w:val="008A19D3"/>
    <w:rPr>
      <w:rFonts w:ascii="Times New Roman" w:hAnsi="Times New Roman" w:cs="Arial"/>
      <w:b/>
      <w:kern w:val="2"/>
      <w:sz w:val="24"/>
      <w:szCs w:val="28"/>
      <w:lang w:eastAsia="en-US"/>
    </w:rPr>
  </w:style>
  <w:style w:type="character" w:customStyle="1" w:styleId="Heading3Char">
    <w:name w:val="Heading 3 Char"/>
    <w:link w:val="Heading3"/>
    <w:uiPriority w:val="9"/>
    <w:rsid w:val="008A19D3"/>
    <w:rPr>
      <w:rFonts w:ascii="Arial" w:hAnsi="Arial" w:cs="Arial"/>
      <w:b/>
      <w:bCs/>
      <w:kern w:val="2"/>
      <w:sz w:val="28"/>
      <w:szCs w:val="28"/>
      <w:lang w:eastAsia="en-US"/>
    </w:rPr>
  </w:style>
  <w:style w:type="character" w:customStyle="1" w:styleId="Heading4Char">
    <w:name w:val="Heading 4 Char"/>
    <w:link w:val="Heading4"/>
    <w:uiPriority w:val="9"/>
    <w:rsid w:val="008A19D3"/>
    <w:rPr>
      <w:rFonts w:ascii="Arial" w:hAnsi="Arial" w:cs="Arial"/>
      <w:b/>
      <w:bCs/>
      <w:kern w:val="2"/>
      <w:sz w:val="28"/>
      <w:szCs w:val="28"/>
      <w:lang w:eastAsia="en-US"/>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NoSpacing">
    <w:name w:val="No Spacing"/>
    <w:basedOn w:val="Heading3"/>
    <w:uiPriority w:val="1"/>
    <w:qFormat/>
    <w:rsid w:val="00F166D8"/>
    <w:rPr>
      <w:b w:val="0"/>
    </w:rPr>
  </w:style>
  <w:style w:type="paragraph" w:customStyle="1" w:styleId="ds-markdown-paragraph">
    <w:name w:val="ds-markdown-paragraph"/>
    <w:basedOn w:val="Normal"/>
    <w:rsid w:val="008A19D3"/>
    <w:pPr>
      <w:spacing w:before="100" w:beforeAutospacing="1" w:after="100" w:afterAutospacing="1" w:line="240" w:lineRule="auto"/>
      <w:outlineLvl w:val="9"/>
    </w:pPr>
    <w:rPr>
      <w:rFonts w:ascii="Times New Roman" w:eastAsia="Times New Roman" w:hAnsi="Times New Roman" w:cs="Times New Roman"/>
      <w:b w:val="0"/>
      <w:bCs w:val="0"/>
      <w:kern w:val="0"/>
      <w:sz w:val="24"/>
      <w:szCs w:val="24"/>
      <w:lang w:eastAsia="en-GB"/>
    </w:rPr>
  </w:style>
  <w:style w:type="character" w:styleId="Hyperlink">
    <w:name w:val="Hyperlink"/>
    <w:basedOn w:val="DefaultParagraphFont"/>
    <w:uiPriority w:val="99"/>
    <w:unhideWhenUsed/>
    <w:rsid w:val="008A19D3"/>
    <w:rPr>
      <w:color w:val="0000FF"/>
      <w:u w:val="single"/>
    </w:rPr>
  </w:style>
  <w:style w:type="paragraph" w:customStyle="1" w:styleId="selectable-text">
    <w:name w:val="selectable-text"/>
    <w:basedOn w:val="Normal"/>
    <w:rsid w:val="00664684"/>
    <w:pPr>
      <w:spacing w:before="100" w:beforeAutospacing="1" w:after="100" w:afterAutospacing="1" w:line="240" w:lineRule="auto"/>
      <w:outlineLvl w:val="9"/>
    </w:pPr>
    <w:rPr>
      <w:rFonts w:ascii="Times New Roman" w:eastAsia="Times New Roman" w:hAnsi="Times New Roman" w:cs="Times New Roman"/>
      <w:b w:val="0"/>
      <w:bCs w:val="0"/>
      <w:kern w:val="0"/>
      <w:sz w:val="24"/>
      <w:szCs w:val="24"/>
      <w:lang w:eastAsia="en-GB"/>
    </w:rPr>
  </w:style>
  <w:style w:type="character" w:customStyle="1" w:styleId="selectable-text1">
    <w:name w:val="selectable-text1"/>
    <w:basedOn w:val="DefaultParagraphFont"/>
    <w:rsid w:val="00664684"/>
  </w:style>
  <w:style w:type="paragraph" w:styleId="TOCHeading">
    <w:name w:val="TOC Heading"/>
    <w:basedOn w:val="Heading1"/>
    <w:next w:val="Normal"/>
    <w:uiPriority w:val="39"/>
    <w:unhideWhenUsed/>
    <w:qFormat/>
    <w:rsid w:val="00632E71"/>
    <w:pPr>
      <w:keepNext/>
      <w:keepLines/>
      <w:spacing w:before="480" w:line="276" w:lineRule="auto"/>
      <w:jc w:val="left"/>
      <w:outlineLvl w:val="9"/>
    </w:pPr>
    <w:rPr>
      <w:rFonts w:asciiTheme="majorHAnsi" w:eastAsiaTheme="majorEastAsia" w:hAnsiTheme="majorHAnsi" w:cstheme="majorBidi"/>
      <w:bCs/>
      <w:color w:val="0F4761" w:themeColor="accent1" w:themeShade="BF"/>
      <w:kern w:val="0"/>
      <w:sz w:val="28"/>
      <w:lang w:val="en-US"/>
    </w:rPr>
  </w:style>
  <w:style w:type="paragraph" w:styleId="TOC3">
    <w:name w:val="toc 3"/>
    <w:basedOn w:val="Normal"/>
    <w:next w:val="Normal"/>
    <w:autoRedefine/>
    <w:uiPriority w:val="39"/>
    <w:unhideWhenUsed/>
    <w:rsid w:val="00632E71"/>
    <w:pPr>
      <w:spacing w:after="0"/>
      <w:ind w:left="560"/>
    </w:pPr>
    <w:rPr>
      <w:rFonts w:asciiTheme="minorHAnsi" w:hAnsiTheme="minorHAnsi"/>
      <w:b w:val="0"/>
      <w:bCs w:val="0"/>
      <w:sz w:val="20"/>
      <w:szCs w:val="20"/>
    </w:rPr>
  </w:style>
  <w:style w:type="paragraph" w:styleId="TOC2">
    <w:name w:val="toc 2"/>
    <w:basedOn w:val="Normal"/>
    <w:next w:val="Normal"/>
    <w:autoRedefine/>
    <w:uiPriority w:val="39"/>
    <w:unhideWhenUsed/>
    <w:rsid w:val="00632E71"/>
    <w:pPr>
      <w:spacing w:before="120" w:after="0"/>
      <w:ind w:left="280"/>
    </w:pPr>
    <w:rPr>
      <w:rFonts w:asciiTheme="minorHAnsi" w:hAnsiTheme="minorHAnsi"/>
      <w:sz w:val="22"/>
      <w:szCs w:val="22"/>
    </w:rPr>
  </w:style>
  <w:style w:type="paragraph" w:styleId="TOC1">
    <w:name w:val="toc 1"/>
    <w:basedOn w:val="Normal"/>
    <w:next w:val="Normal"/>
    <w:autoRedefine/>
    <w:uiPriority w:val="39"/>
    <w:semiHidden/>
    <w:unhideWhenUsed/>
    <w:rsid w:val="00632E71"/>
    <w:pPr>
      <w:spacing w:before="120" w:after="0"/>
    </w:pPr>
    <w:rPr>
      <w:rFonts w:asciiTheme="minorHAnsi" w:hAnsiTheme="minorHAnsi"/>
      <w:i/>
      <w:iCs/>
      <w:sz w:val="24"/>
      <w:szCs w:val="24"/>
    </w:rPr>
  </w:style>
  <w:style w:type="paragraph" w:styleId="TOC4">
    <w:name w:val="toc 4"/>
    <w:basedOn w:val="Normal"/>
    <w:next w:val="Normal"/>
    <w:autoRedefine/>
    <w:uiPriority w:val="39"/>
    <w:semiHidden/>
    <w:unhideWhenUsed/>
    <w:rsid w:val="00632E71"/>
    <w:pPr>
      <w:spacing w:after="0"/>
      <w:ind w:left="840"/>
    </w:pPr>
    <w:rPr>
      <w:rFonts w:asciiTheme="minorHAnsi" w:hAnsiTheme="minorHAnsi"/>
      <w:b w:val="0"/>
      <w:bCs w:val="0"/>
      <w:sz w:val="20"/>
      <w:szCs w:val="20"/>
    </w:rPr>
  </w:style>
  <w:style w:type="paragraph" w:styleId="TOC5">
    <w:name w:val="toc 5"/>
    <w:basedOn w:val="Normal"/>
    <w:next w:val="Normal"/>
    <w:autoRedefine/>
    <w:uiPriority w:val="39"/>
    <w:semiHidden/>
    <w:unhideWhenUsed/>
    <w:rsid w:val="00632E71"/>
    <w:pPr>
      <w:spacing w:after="0"/>
      <w:ind w:left="1120"/>
    </w:pPr>
    <w:rPr>
      <w:rFonts w:asciiTheme="minorHAnsi" w:hAnsiTheme="minorHAnsi"/>
      <w:b w:val="0"/>
      <w:bCs w:val="0"/>
      <w:sz w:val="20"/>
      <w:szCs w:val="20"/>
    </w:rPr>
  </w:style>
  <w:style w:type="paragraph" w:styleId="TOC6">
    <w:name w:val="toc 6"/>
    <w:basedOn w:val="Normal"/>
    <w:next w:val="Normal"/>
    <w:autoRedefine/>
    <w:uiPriority w:val="39"/>
    <w:semiHidden/>
    <w:unhideWhenUsed/>
    <w:rsid w:val="00632E71"/>
    <w:pPr>
      <w:spacing w:after="0"/>
      <w:ind w:left="1400"/>
    </w:pPr>
    <w:rPr>
      <w:rFonts w:asciiTheme="minorHAnsi" w:hAnsiTheme="minorHAnsi"/>
      <w:b w:val="0"/>
      <w:bCs w:val="0"/>
      <w:sz w:val="20"/>
      <w:szCs w:val="20"/>
    </w:rPr>
  </w:style>
  <w:style w:type="paragraph" w:styleId="TOC7">
    <w:name w:val="toc 7"/>
    <w:basedOn w:val="Normal"/>
    <w:next w:val="Normal"/>
    <w:autoRedefine/>
    <w:uiPriority w:val="39"/>
    <w:semiHidden/>
    <w:unhideWhenUsed/>
    <w:rsid w:val="00632E71"/>
    <w:pPr>
      <w:spacing w:after="0"/>
      <w:ind w:left="1680"/>
    </w:pPr>
    <w:rPr>
      <w:rFonts w:asciiTheme="minorHAnsi" w:hAnsiTheme="minorHAnsi"/>
      <w:b w:val="0"/>
      <w:bCs w:val="0"/>
      <w:sz w:val="20"/>
      <w:szCs w:val="20"/>
    </w:rPr>
  </w:style>
  <w:style w:type="paragraph" w:styleId="TOC8">
    <w:name w:val="toc 8"/>
    <w:basedOn w:val="Normal"/>
    <w:next w:val="Normal"/>
    <w:autoRedefine/>
    <w:uiPriority w:val="39"/>
    <w:semiHidden/>
    <w:unhideWhenUsed/>
    <w:rsid w:val="00632E71"/>
    <w:pPr>
      <w:spacing w:after="0"/>
      <w:ind w:left="1960"/>
    </w:pPr>
    <w:rPr>
      <w:rFonts w:asciiTheme="minorHAnsi" w:hAnsiTheme="minorHAnsi"/>
      <w:b w:val="0"/>
      <w:bCs w:val="0"/>
      <w:sz w:val="20"/>
      <w:szCs w:val="20"/>
    </w:rPr>
  </w:style>
  <w:style w:type="paragraph" w:styleId="TOC9">
    <w:name w:val="toc 9"/>
    <w:basedOn w:val="Normal"/>
    <w:next w:val="Normal"/>
    <w:autoRedefine/>
    <w:uiPriority w:val="39"/>
    <w:semiHidden/>
    <w:unhideWhenUsed/>
    <w:rsid w:val="00632E71"/>
    <w:pPr>
      <w:spacing w:after="0"/>
      <w:ind w:left="2240"/>
    </w:pPr>
    <w:rPr>
      <w:rFonts w:asciiTheme="minorHAnsi" w:hAnsiTheme="minorHAnsi"/>
      <w:b w:val="0"/>
      <w:bCs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57B7E-9B8A-4545-B4B0-9F68A8E1C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7884</TotalTime>
  <Pages>1</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17608</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Charity Amihere (2336795)</cp:lastModifiedBy>
  <cp:revision>4</cp:revision>
  <dcterms:created xsi:type="dcterms:W3CDTF">2026-07-13T10:51:00Z</dcterms:created>
  <dcterms:modified xsi:type="dcterms:W3CDTF">2026-07-18T22:09:00Z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8007b210-3ea9-45bf-b7d1-b459f1150a74</vt:lpwstr>
  </property>
</Properties>
</file>