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92324" w14:textId="77777777" w:rsidR="001708EA" w:rsidRDefault="001708EA">
      <w:pPr>
        <w:pStyle w:val="p1"/>
        <w:rPr>
          <w:rStyle w:val="s1"/>
        </w:rPr>
      </w:pPr>
    </w:p>
    <w:p w14:paraId="7CA2D347" w14:textId="2FDAF3D6" w:rsidR="001104DB" w:rsidRDefault="001104DB">
      <w:pPr>
        <w:pStyle w:val="p1"/>
        <w:rPr>
          <w:rFonts w:hint="eastAsia"/>
        </w:rPr>
      </w:pPr>
      <w:r>
        <w:rPr>
          <w:rStyle w:val="s1"/>
        </w:rPr>
        <w:t>Exploring Mindfulness and Recreational Therapy in Long-Term Care</w:t>
      </w:r>
    </w:p>
    <w:p w14:paraId="0D903EDC" w14:textId="77777777" w:rsidR="001104DB" w:rsidRDefault="001104DB">
      <w:pPr>
        <w:pStyle w:val="p2"/>
        <w:rPr>
          <w:rFonts w:hint="eastAsia"/>
        </w:rPr>
      </w:pPr>
    </w:p>
    <w:p w14:paraId="71C83F55" w14:textId="77777777" w:rsidR="001104DB" w:rsidRDefault="001104DB">
      <w:pPr>
        <w:pStyle w:val="p1"/>
        <w:rPr>
          <w:rFonts w:hint="eastAsia"/>
        </w:rPr>
      </w:pPr>
      <w:r>
        <w:rPr>
          <w:rStyle w:val="s1"/>
        </w:rPr>
        <w:t>Student Name: Aisha Darame</w:t>
      </w:r>
    </w:p>
    <w:p w14:paraId="430FC175" w14:textId="4A7B0A4E" w:rsidR="001104DB" w:rsidRDefault="001104DB">
      <w:pPr>
        <w:pStyle w:val="p1"/>
        <w:rPr>
          <w:rStyle w:val="s1"/>
        </w:rPr>
      </w:pPr>
      <w:r>
        <w:rPr>
          <w:rStyle w:val="s1"/>
        </w:rPr>
        <w:t>Student Number: 2505439</w:t>
      </w:r>
    </w:p>
    <w:p w14:paraId="615F0A86" w14:textId="77777777" w:rsidR="00DF046C" w:rsidRDefault="00DF046C">
      <w:pPr>
        <w:pStyle w:val="p1"/>
        <w:rPr>
          <w:rStyle w:val="s1"/>
        </w:rPr>
      </w:pPr>
    </w:p>
    <w:p w14:paraId="6E6344DD" w14:textId="77777777" w:rsidR="00DF046C" w:rsidRPr="00DF046C" w:rsidRDefault="00DF046C">
      <w:pPr>
        <w:pStyle w:val="p1"/>
        <w:rPr>
          <w:rFonts w:ascii="UICTFontTextStyleEmphasizedBody" w:hAnsi="UICTFontTextStyleEmphasizedBody"/>
          <w:b/>
          <w:bCs/>
        </w:rPr>
      </w:pPr>
    </w:p>
    <w:p w14:paraId="1BD3CE15" w14:textId="77777777" w:rsidR="00DF046C" w:rsidRDefault="00DF046C">
      <w:pPr>
        <w:pStyle w:val="p1"/>
      </w:pPr>
      <w:r>
        <w:rPr>
          <w:rStyle w:val="s1"/>
        </w:rPr>
        <w:t>Abstract</w:t>
      </w:r>
    </w:p>
    <w:p w14:paraId="2795B148" w14:textId="77777777" w:rsidR="00DF046C" w:rsidRDefault="00DF046C">
      <w:pPr>
        <w:pStyle w:val="p2"/>
      </w:pPr>
    </w:p>
    <w:p w14:paraId="34BECCBB" w14:textId="16B7326B" w:rsidR="00DF046C" w:rsidRDefault="00DF046C">
      <w:pPr>
        <w:pStyle w:val="p1"/>
      </w:pPr>
      <w:r>
        <w:rPr>
          <w:rStyle w:val="s1"/>
        </w:rPr>
        <w:t xml:space="preserve">This research explores how mindfulness and recreational therapy programs can reduce depression and anxiety among residents in long-term care. Many older adults experience emotional challenges such as loneliness, loss of independence, and physical decline. Medication alone often </w:t>
      </w:r>
      <w:r w:rsidR="00CA0B2F">
        <w:rPr>
          <w:rStyle w:val="s1"/>
        </w:rPr>
        <w:t>does not</w:t>
      </w:r>
      <w:r>
        <w:rPr>
          <w:rStyle w:val="s1"/>
        </w:rPr>
        <w:t xml:space="preserve"> address these complex needs. This study highlights how non-pharmacological, person-centred approaches — particularly mindfulness and recreational activities — can enhance emotional well-being and quality of life in care home settings.</w:t>
      </w:r>
    </w:p>
    <w:p w14:paraId="2C078E63" w14:textId="77777777" w:rsidR="006239A1" w:rsidRDefault="006239A1" w:rsidP="00DF046C"/>
    <w:p w14:paraId="567C0144" w14:textId="77777777" w:rsidR="000B49D1" w:rsidRDefault="000B49D1">
      <w:pPr>
        <w:pStyle w:val="p1"/>
      </w:pPr>
      <w:r>
        <w:rPr>
          <w:rStyle w:val="s1"/>
        </w:rPr>
        <w:t>Introduction</w:t>
      </w:r>
    </w:p>
    <w:p w14:paraId="6E497507" w14:textId="77777777" w:rsidR="000B49D1" w:rsidRDefault="000B49D1">
      <w:pPr>
        <w:pStyle w:val="p2"/>
      </w:pPr>
    </w:p>
    <w:p w14:paraId="04A33F55" w14:textId="664876A2" w:rsidR="001708EA" w:rsidRDefault="000B49D1">
      <w:pPr>
        <w:pStyle w:val="p1"/>
      </w:pPr>
      <w:r>
        <w:rPr>
          <w:rStyle w:val="s1"/>
        </w:rPr>
        <w:t xml:space="preserve">Mental health is a crucial part of overall well-being, but it </w:t>
      </w:r>
      <w:bookmarkStart w:id="0" w:name="_Int_iUDq14LM"/>
      <w:r>
        <w:rPr>
          <w:rStyle w:val="s1"/>
        </w:rPr>
        <w:t>is often overlooked</w:t>
      </w:r>
      <w:bookmarkEnd w:id="0"/>
      <w:r>
        <w:rPr>
          <w:rStyle w:val="s1"/>
        </w:rPr>
        <w:t xml:space="preserve"> in long-term care environments. Older adults in residential and nursing homes frequently experience depression and anxiety due to loss of independence, limited social interaction, and chronic illness (World Health </w:t>
      </w:r>
      <w:r w:rsidR="00F67F5D">
        <w:rPr>
          <w:rStyle w:val="s1"/>
        </w:rPr>
        <w:t>Organisation</w:t>
      </w:r>
      <w:r>
        <w:rPr>
          <w:rStyle w:val="s1"/>
        </w:rPr>
        <w:t xml:space="preserve"> [WHO], 2023). While medication is commonly prescribed, it does not always address the emotional or social factors that influence mental health.</w:t>
      </w:r>
      <w:r w:rsidR="001708EA" w:rsidRPr="001708EA">
        <w:rPr>
          <w:rStyle w:val="s1"/>
        </w:rPr>
        <w:t xml:space="preserve"> </w:t>
      </w:r>
      <w:r w:rsidR="001708EA">
        <w:rPr>
          <w:rStyle w:val="s1"/>
        </w:rPr>
        <w:t>This study aims to explore how mindfulness and recreational therapy can act as effective, non-pharmacological interventions to support emotional health in long-term care residents. By focusing on holistic, person-centred care, this research seeks to promote approaches that value individuals as whole people — addressing their emotional, social, and psychological needs (NHS England, 2022).</w:t>
      </w:r>
    </w:p>
    <w:p w14:paraId="131B79E4" w14:textId="05C15E39" w:rsidR="000B49D1" w:rsidRDefault="000B49D1">
      <w:pPr>
        <w:pStyle w:val="p1"/>
      </w:pPr>
    </w:p>
    <w:p w14:paraId="630272DA" w14:textId="77777777" w:rsidR="008D4A08" w:rsidRDefault="008D4A08">
      <w:pPr>
        <w:pStyle w:val="p1"/>
      </w:pPr>
    </w:p>
    <w:p w14:paraId="77A89846" w14:textId="77777777" w:rsidR="00CE31CC" w:rsidRDefault="00CE31CC">
      <w:pPr>
        <w:pStyle w:val="p1"/>
      </w:pPr>
      <w:r>
        <w:rPr>
          <w:rStyle w:val="s1"/>
        </w:rPr>
        <w:t>Research Topic Identification</w:t>
      </w:r>
    </w:p>
    <w:p w14:paraId="19E6BA6E" w14:textId="77777777" w:rsidR="00CE31CC" w:rsidRDefault="00CE31CC">
      <w:pPr>
        <w:pStyle w:val="p2"/>
      </w:pPr>
    </w:p>
    <w:p w14:paraId="438AD152" w14:textId="77777777" w:rsidR="00CE31CC" w:rsidRDefault="00CE31CC">
      <w:pPr>
        <w:pStyle w:val="p1"/>
      </w:pPr>
      <w:r>
        <w:rPr>
          <w:rStyle w:val="s1"/>
        </w:rPr>
        <w:t xml:space="preserve">Mental health problems are highly prevalent in care home settings. Research </w:t>
      </w:r>
      <w:bookmarkStart w:id="1" w:name="_Int_Obb6k8vg"/>
      <w:r>
        <w:rPr>
          <w:rStyle w:val="s1"/>
        </w:rPr>
        <w:t>indicates</w:t>
      </w:r>
      <w:bookmarkEnd w:id="1"/>
      <w:r>
        <w:rPr>
          <w:rStyle w:val="s1"/>
        </w:rPr>
        <w:t xml:space="preserve"> that up to 40% of care home residents experience depressive symptoms (British Geriatrics Society, 2021). Anxiety is also common, often linked to physical illness, cognitive decline, and isolation. Poor mental health can lead to lower participation in daily activities, decreased motivation, and increased mortality rates (Mann, Richards &amp; Shaw, 2019).</w:t>
      </w:r>
    </w:p>
    <w:p w14:paraId="3F8D1BF1" w14:textId="77777777" w:rsidR="00CE31CC" w:rsidRDefault="00CE31CC">
      <w:pPr>
        <w:pStyle w:val="p2"/>
      </w:pPr>
    </w:p>
    <w:p w14:paraId="2375CEA2" w14:textId="33962B11" w:rsidR="00CE31CC" w:rsidRDefault="00CE31CC">
      <w:pPr>
        <w:pStyle w:val="p1"/>
        <w:rPr>
          <w:rStyle w:val="s1"/>
        </w:rPr>
      </w:pPr>
      <w:r>
        <w:rPr>
          <w:rStyle w:val="s1"/>
        </w:rPr>
        <w:t>The environment in care homes can unintentionally worsen emotional health due to rigid routines, lack of meaningful engagement, and limited autonomy. Care staff often prioritise physical health tasks such as hygiene, medication, and nutrition, leaving less time for emotional support. Therefore, effective</w:t>
      </w:r>
      <w:r w:rsidR="00926D29">
        <w:rPr>
          <w:rStyle w:val="s1"/>
        </w:rPr>
        <w:t>,</w:t>
      </w:r>
      <w:r>
        <w:rPr>
          <w:rStyle w:val="s1"/>
        </w:rPr>
        <w:t xml:space="preserve"> and </w:t>
      </w:r>
      <w:bookmarkStart w:id="2" w:name="_Int_YTUi8F4R"/>
      <w:r>
        <w:rPr>
          <w:rStyle w:val="s1"/>
        </w:rPr>
        <w:t>feasible</w:t>
      </w:r>
      <w:bookmarkEnd w:id="2"/>
      <w:r>
        <w:rPr>
          <w:rStyle w:val="s1"/>
        </w:rPr>
        <w:t xml:space="preserve"> interventions that promote psychological well-being </w:t>
      </w:r>
      <w:bookmarkStart w:id="3" w:name="_Int_LE5KbQDN"/>
      <w:r>
        <w:rPr>
          <w:rStyle w:val="s1"/>
        </w:rPr>
        <w:t>are urgently needed</w:t>
      </w:r>
      <w:bookmarkEnd w:id="3"/>
      <w:r>
        <w:rPr>
          <w:rStyle w:val="s1"/>
        </w:rPr>
        <w:t xml:space="preserve"> in these settings.</w:t>
      </w:r>
    </w:p>
    <w:p w14:paraId="20462710" w14:textId="77777777" w:rsidR="00CA0B2F" w:rsidRDefault="00CA0B2F">
      <w:pPr>
        <w:pStyle w:val="p1"/>
        <w:rPr>
          <w:rStyle w:val="s1"/>
        </w:rPr>
      </w:pPr>
    </w:p>
    <w:p w14:paraId="54F9D800" w14:textId="77777777" w:rsidR="00303D14" w:rsidRDefault="00303D14">
      <w:pPr>
        <w:pStyle w:val="p1"/>
      </w:pPr>
      <w:r>
        <w:rPr>
          <w:rStyle w:val="s1"/>
        </w:rPr>
        <w:t>Research Methodologies</w:t>
      </w:r>
    </w:p>
    <w:p w14:paraId="0FE06C4B" w14:textId="77777777" w:rsidR="00303D14" w:rsidRDefault="00303D14">
      <w:pPr>
        <w:pStyle w:val="p2"/>
      </w:pPr>
    </w:p>
    <w:p w14:paraId="2FA72920" w14:textId="318599BB" w:rsidR="00303D14" w:rsidRDefault="00303D14">
      <w:pPr>
        <w:pStyle w:val="p1"/>
      </w:pPr>
      <w:r>
        <w:rPr>
          <w:rStyle w:val="s1"/>
        </w:rPr>
        <w:t xml:space="preserve">A mixed-methods approach would be </w:t>
      </w:r>
      <w:bookmarkStart w:id="4" w:name="_Int_6Vb0UzxZ"/>
      <w:r>
        <w:rPr>
          <w:rStyle w:val="s1"/>
        </w:rPr>
        <w:t>appropriate for</w:t>
      </w:r>
      <w:bookmarkEnd w:id="4"/>
      <w:r>
        <w:rPr>
          <w:rStyle w:val="s1"/>
        </w:rPr>
        <w:t xml:space="preserve"> this study. Quantitative data can </w:t>
      </w:r>
      <w:bookmarkStart w:id="5" w:name="_Int_1zs0XWip"/>
      <w:r>
        <w:rPr>
          <w:rStyle w:val="s1"/>
        </w:rPr>
        <w:t>be collected</w:t>
      </w:r>
      <w:bookmarkEnd w:id="5"/>
      <w:r>
        <w:rPr>
          <w:rStyle w:val="s1"/>
        </w:rPr>
        <w:t xml:space="preserve"> using validated tools such as the </w:t>
      </w:r>
      <w:r>
        <w:rPr>
          <w:rStyle w:val="s2"/>
        </w:rPr>
        <w:t>Geriatric Depression Scale (GDS)</w:t>
      </w:r>
      <w:r>
        <w:rPr>
          <w:rStyle w:val="s1"/>
        </w:rPr>
        <w:t xml:space="preserve"> and the </w:t>
      </w:r>
      <w:r w:rsidR="001A4C37">
        <w:rPr>
          <w:rStyle w:val="s2"/>
        </w:rPr>
        <w:t>Generalised</w:t>
      </w:r>
      <w:r>
        <w:rPr>
          <w:rStyle w:val="s2"/>
        </w:rPr>
        <w:t xml:space="preserve"> Anxiety Disorder-7 (GAD-7)</w:t>
      </w:r>
      <w:r>
        <w:rPr>
          <w:rStyle w:val="s1"/>
        </w:rPr>
        <w:t>. These instruments help measure changes in depression and anxiety levels before and after participation in mindfulness and recreational therapy programs.</w:t>
      </w:r>
    </w:p>
    <w:p w14:paraId="3AE18D16" w14:textId="77777777" w:rsidR="00303D14" w:rsidRDefault="00303D14">
      <w:pPr>
        <w:pStyle w:val="p2"/>
      </w:pPr>
    </w:p>
    <w:p w14:paraId="79EE645F" w14:textId="2245D933" w:rsidR="00303D14" w:rsidRDefault="00303D14">
      <w:pPr>
        <w:pStyle w:val="p1"/>
      </w:pPr>
      <w:r>
        <w:rPr>
          <w:rStyle w:val="s1"/>
        </w:rPr>
        <w:t xml:space="preserve">To complement these findings, qualitative methods such as interviews or observation can explore residents’ </w:t>
      </w:r>
      <w:r w:rsidR="009C6688">
        <w:rPr>
          <w:rStyle w:val="s1"/>
        </w:rPr>
        <w:t>individual</w:t>
      </w:r>
      <w:r>
        <w:rPr>
          <w:rStyle w:val="s1"/>
        </w:rPr>
        <w:t xml:space="preserve"> experiences and emotional responses. This combination provides a deeper understanding of both measurable outcomes and the subjective impact of these interventions. It also aligns with evidence-based practice, ensuring decisions </w:t>
      </w:r>
      <w:bookmarkStart w:id="6" w:name="_Int_ogcPQ289"/>
      <w:r>
        <w:rPr>
          <w:rStyle w:val="s1"/>
        </w:rPr>
        <w:t>are informed</w:t>
      </w:r>
      <w:bookmarkEnd w:id="6"/>
      <w:r>
        <w:rPr>
          <w:rStyle w:val="s1"/>
        </w:rPr>
        <w:t xml:space="preserve"> by both research and lived experience (</w:t>
      </w:r>
      <w:r w:rsidR="009C6688">
        <w:rPr>
          <w:rStyle w:val="s1"/>
        </w:rPr>
        <w:t>Crewel</w:t>
      </w:r>
      <w:r>
        <w:rPr>
          <w:rStyle w:val="s1"/>
        </w:rPr>
        <w:t>, 2017).</w:t>
      </w:r>
    </w:p>
    <w:p w14:paraId="6820FCF1" w14:textId="77777777" w:rsidR="00CA0B2F" w:rsidRDefault="00CA0B2F">
      <w:pPr>
        <w:pStyle w:val="p1"/>
      </w:pPr>
    </w:p>
    <w:p w14:paraId="4C146448" w14:textId="77777777" w:rsidR="00D66DC6" w:rsidRDefault="00D66DC6">
      <w:pPr>
        <w:pStyle w:val="p1"/>
      </w:pPr>
      <w:r>
        <w:rPr>
          <w:rStyle w:val="s1"/>
        </w:rPr>
        <w:t>Data Collection and Context</w:t>
      </w:r>
    </w:p>
    <w:p w14:paraId="4557F35A" w14:textId="77777777" w:rsidR="00D66DC6" w:rsidRDefault="00D66DC6">
      <w:pPr>
        <w:pStyle w:val="p2"/>
      </w:pPr>
    </w:p>
    <w:p w14:paraId="5A1F8B53" w14:textId="77777777" w:rsidR="00D66DC6" w:rsidRDefault="00D66DC6">
      <w:pPr>
        <w:pStyle w:val="p1"/>
      </w:pPr>
      <w:r>
        <w:rPr>
          <w:rStyle w:val="s1"/>
        </w:rPr>
        <w:t>Mindfulness Programs</w:t>
      </w:r>
    </w:p>
    <w:p w14:paraId="0730E1DF" w14:textId="77777777" w:rsidR="00D66DC6" w:rsidRDefault="00D66DC6">
      <w:pPr>
        <w:pStyle w:val="p2"/>
      </w:pPr>
    </w:p>
    <w:p w14:paraId="7955DF02" w14:textId="77777777" w:rsidR="00D66DC6" w:rsidRDefault="00D66DC6">
      <w:pPr>
        <w:pStyle w:val="p1"/>
      </w:pPr>
      <w:r>
        <w:rPr>
          <w:rStyle w:val="s1"/>
        </w:rPr>
        <w:t>Mindfulness is about being aware of the present moment with openness and acceptance. Practices such as meditation, deep breathing, or guided relaxation help individuals regulate emotions and reduce stress. Evidence shows that mindfulness improves mood, reduces anxiety, and enhances quality of life (Keng, Smoski &amp; Robins, 2011).</w:t>
      </w:r>
    </w:p>
    <w:p w14:paraId="6E593600" w14:textId="77777777" w:rsidR="00D66DC6" w:rsidRDefault="00D66DC6">
      <w:pPr>
        <w:pStyle w:val="p2"/>
      </w:pPr>
    </w:p>
    <w:p w14:paraId="6F799BF4" w14:textId="77777777" w:rsidR="00D66DC6" w:rsidRDefault="00D66DC6">
      <w:pPr>
        <w:pStyle w:val="p1"/>
      </w:pPr>
      <w:r>
        <w:rPr>
          <w:rStyle w:val="s1"/>
        </w:rPr>
        <w:t xml:space="preserve">In long-term care, mindfulness can be adapted for older adults who may have mobility or cognitive limitations. For example, short, guided sessions led by trained staff can promote calmness and focus. Chen, </w:t>
      </w:r>
      <w:bookmarkStart w:id="7" w:name="_Int_cldJ838a"/>
      <w:r>
        <w:rPr>
          <w:rStyle w:val="s1"/>
        </w:rPr>
        <w:t>Zhang</w:t>
      </w:r>
      <w:bookmarkEnd w:id="7"/>
      <w:r>
        <w:rPr>
          <w:rStyle w:val="s1"/>
        </w:rPr>
        <w:t xml:space="preserve"> and Lin (2020) found that a six-week mindfulness program significantly reduced depression among elderly nursing home residents, who also reported better sleep and emotional balance. Mindfulness can also </w:t>
      </w:r>
      <w:bookmarkStart w:id="8" w:name="_Int_ebigA66y"/>
      <w:r>
        <w:rPr>
          <w:rStyle w:val="s1"/>
        </w:rPr>
        <w:t>benefit</w:t>
      </w:r>
      <w:bookmarkEnd w:id="8"/>
      <w:r>
        <w:rPr>
          <w:rStyle w:val="s1"/>
        </w:rPr>
        <w:t xml:space="preserve"> care staff by reducing workplace stress and fostering more compassionate interactions with residents (Whitebird et al., 2013).</w:t>
      </w:r>
    </w:p>
    <w:p w14:paraId="13EF5EF9" w14:textId="77777777" w:rsidR="00F373B8" w:rsidRDefault="00F373B8">
      <w:pPr>
        <w:pStyle w:val="p1"/>
      </w:pPr>
      <w:r>
        <w:rPr>
          <w:rStyle w:val="s1"/>
        </w:rPr>
        <w:t>Recreational Therapy Programs</w:t>
      </w:r>
    </w:p>
    <w:p w14:paraId="611B431B" w14:textId="77777777" w:rsidR="00F373B8" w:rsidRDefault="00F373B8">
      <w:pPr>
        <w:pStyle w:val="p2"/>
      </w:pPr>
    </w:p>
    <w:p w14:paraId="6DEA5C0A" w14:textId="61DE0ED1" w:rsidR="00F373B8" w:rsidRDefault="00F373B8">
      <w:pPr>
        <w:pStyle w:val="p1"/>
      </w:pPr>
      <w:r>
        <w:rPr>
          <w:rStyle w:val="s1"/>
        </w:rPr>
        <w:t xml:space="preserve">Recreational therapy includes creative and social activities such as art, music, gardening, or gentle movement. These activities promote enjoyment, social connection, and self-expression — all of which are important for </w:t>
      </w:r>
      <w:r w:rsidR="00D63108">
        <w:rPr>
          <w:rStyle w:val="s1"/>
        </w:rPr>
        <w:t>supporting</w:t>
      </w:r>
      <w:r>
        <w:rPr>
          <w:rStyle w:val="s1"/>
        </w:rPr>
        <w:t xml:space="preserve"> emotional health in later life. Studies show that participation in recreational programs can reduce loneliness and depressive symptoms (Austen &amp; McGrath, 2019).</w:t>
      </w:r>
    </w:p>
    <w:p w14:paraId="52D9E7CA" w14:textId="77777777" w:rsidR="00F373B8" w:rsidRDefault="00F373B8">
      <w:pPr>
        <w:pStyle w:val="p2"/>
      </w:pPr>
    </w:p>
    <w:p w14:paraId="0C9E097A" w14:textId="77777777" w:rsidR="00F373B8" w:rsidRDefault="00F373B8">
      <w:pPr>
        <w:pStyle w:val="p1"/>
      </w:pPr>
      <w:r>
        <w:rPr>
          <w:rStyle w:val="s1"/>
        </w:rPr>
        <w:t xml:space="preserve">A study by Lee, Park and Kim (2021) found that a 10-week recreational therapy program improved mood, social connection, and self-esteem in older adults. Such activities encourage residents to engage in group settings, build friendships, and reconnect with their personal identities — outcomes that can </w:t>
      </w:r>
      <w:bookmarkStart w:id="9" w:name="_Int_UUHJrGBg"/>
      <w:r>
        <w:rPr>
          <w:rStyle w:val="s1"/>
        </w:rPr>
        <w:t>greatly reduce</w:t>
      </w:r>
      <w:bookmarkEnd w:id="9"/>
      <w:r>
        <w:rPr>
          <w:rStyle w:val="s1"/>
        </w:rPr>
        <w:t xml:space="preserve"> feelings of isolation.</w:t>
      </w:r>
    </w:p>
    <w:p w14:paraId="1B78B544" w14:textId="77777777" w:rsidR="000B49D1" w:rsidRDefault="000B49D1" w:rsidP="00DF046C"/>
    <w:p w14:paraId="0A00D40A" w14:textId="77777777" w:rsidR="00E05FBE" w:rsidRDefault="00E05FBE">
      <w:pPr>
        <w:pStyle w:val="p1"/>
      </w:pPr>
      <w:r>
        <w:rPr>
          <w:rStyle w:val="s1"/>
        </w:rPr>
        <w:t>Integrating Both Approaches</w:t>
      </w:r>
    </w:p>
    <w:p w14:paraId="5CD33B01" w14:textId="77777777" w:rsidR="00E05FBE" w:rsidRDefault="00E05FBE">
      <w:pPr>
        <w:pStyle w:val="p2"/>
      </w:pPr>
    </w:p>
    <w:p w14:paraId="2E8B781F" w14:textId="77777777" w:rsidR="00E05FBE" w:rsidRDefault="00E05FBE">
      <w:pPr>
        <w:pStyle w:val="p1"/>
      </w:pPr>
      <w:r>
        <w:rPr>
          <w:rStyle w:val="s1"/>
        </w:rPr>
        <w:t>Combining mindfulness and recreational therapy may create even stronger positive effects. Integrating mindfulness principles into creative or physical activities — such as mindful art, mindful gardening, or mindful movement — can promote focus and relaxation simultaneously.</w:t>
      </w:r>
    </w:p>
    <w:p w14:paraId="378C002C" w14:textId="77777777" w:rsidR="00E05FBE" w:rsidRDefault="00E05FBE">
      <w:pPr>
        <w:pStyle w:val="p2"/>
      </w:pPr>
    </w:p>
    <w:p w14:paraId="10EF79B2" w14:textId="77777777" w:rsidR="00E05FBE" w:rsidRDefault="00E05FBE">
      <w:pPr>
        <w:pStyle w:val="p1"/>
        <w:rPr>
          <w:rStyle w:val="s1"/>
        </w:rPr>
      </w:pPr>
      <w:r>
        <w:rPr>
          <w:rStyle w:val="s1"/>
        </w:rPr>
        <w:t xml:space="preserve">While staff training and organisational support </w:t>
      </w:r>
      <w:bookmarkStart w:id="10" w:name="_Int_LuwLzsMH"/>
      <w:r>
        <w:rPr>
          <w:rStyle w:val="s1"/>
        </w:rPr>
        <w:t>are needed</w:t>
      </w:r>
      <w:bookmarkEnd w:id="10"/>
      <w:r>
        <w:rPr>
          <w:rStyle w:val="s1"/>
        </w:rPr>
        <w:t xml:space="preserve"> for implementation, these interventions are cost-effective and sustainable. They also align with the principles of holistic and person-centred care, focusing on residents’ individuality, dignity, and emotional well-being (Health Education England, 2020).</w:t>
      </w:r>
    </w:p>
    <w:p w14:paraId="4DDB34A5" w14:textId="77777777" w:rsidR="008F7106" w:rsidRDefault="008F7106">
      <w:pPr>
        <w:pStyle w:val="p1"/>
        <w:rPr>
          <w:rStyle w:val="s1"/>
        </w:rPr>
      </w:pPr>
    </w:p>
    <w:p w14:paraId="1152AC9B" w14:textId="77777777" w:rsidR="008F7106" w:rsidRDefault="008F7106">
      <w:pPr>
        <w:pStyle w:val="p1"/>
      </w:pPr>
      <w:r>
        <w:rPr>
          <w:rStyle w:val="s1"/>
        </w:rPr>
        <w:t>Ethical Considerations</w:t>
      </w:r>
    </w:p>
    <w:p w14:paraId="2BB47028" w14:textId="77777777" w:rsidR="008F7106" w:rsidRDefault="008F7106">
      <w:pPr>
        <w:pStyle w:val="p2"/>
      </w:pPr>
    </w:p>
    <w:p w14:paraId="443F6AB3" w14:textId="2367C3CF" w:rsidR="008F7106" w:rsidRDefault="008F7106">
      <w:pPr>
        <w:pStyle w:val="p1"/>
      </w:pPr>
      <w:r>
        <w:rPr>
          <w:rStyle w:val="s1"/>
        </w:rPr>
        <w:t xml:space="preserve">Ethical conduct is essential when working with vulnerable populations such as older adults in care homes. Participants may have physical or cognitive impairments that affect their ability to give informed consent. Researchers must ensure that participation is voluntary and that residents fully understand what is involved. Confidentiality, respect, and dignity must always </w:t>
      </w:r>
      <w:bookmarkStart w:id="11" w:name="_Int_EOVt1z2A"/>
      <w:r>
        <w:rPr>
          <w:rStyle w:val="s1"/>
        </w:rPr>
        <w:t>be protected</w:t>
      </w:r>
      <w:bookmarkEnd w:id="11"/>
      <w:r>
        <w:rPr>
          <w:rStyle w:val="s1"/>
        </w:rPr>
        <w:t xml:space="preserve"> </w:t>
      </w:r>
      <w:r w:rsidR="00076E9B">
        <w:rPr>
          <w:rStyle w:val="s1"/>
        </w:rPr>
        <w:t>under</w:t>
      </w:r>
      <w:r>
        <w:rPr>
          <w:rStyle w:val="s1"/>
        </w:rPr>
        <w:t xml:space="preserve"> the Health and Care Professions Council (HCPC) and the Data Protection Act (2018).</w:t>
      </w:r>
    </w:p>
    <w:p w14:paraId="4FED2965" w14:textId="77777777" w:rsidR="008F7106" w:rsidRDefault="008F7106">
      <w:pPr>
        <w:pStyle w:val="p2"/>
      </w:pPr>
    </w:p>
    <w:p w14:paraId="5859F5C3" w14:textId="77777777" w:rsidR="008F7106" w:rsidRDefault="008F7106">
      <w:pPr>
        <w:pStyle w:val="p1"/>
      </w:pPr>
      <w:r>
        <w:rPr>
          <w:rStyle w:val="s1"/>
        </w:rPr>
        <w:t xml:space="preserve">Activities must also be adapted to </w:t>
      </w:r>
      <w:bookmarkStart w:id="12" w:name="_Int_3NuknXdS"/>
      <w:r>
        <w:rPr>
          <w:rStyle w:val="s1"/>
        </w:rPr>
        <w:t>each individual’s</w:t>
      </w:r>
      <w:bookmarkEnd w:id="12"/>
      <w:r>
        <w:rPr>
          <w:rStyle w:val="s1"/>
        </w:rPr>
        <w:t xml:space="preserve"> physical and cognitive abilities to prevent frustration or discomfort. The ethical principle of </w:t>
      </w:r>
      <w:r>
        <w:rPr>
          <w:rStyle w:val="s2"/>
        </w:rPr>
        <w:t>do no harm</w:t>
      </w:r>
      <w:r>
        <w:rPr>
          <w:rStyle w:val="s1"/>
        </w:rPr>
        <w:t xml:space="preserve"> should guide all aspects of the study design and practice.</w:t>
      </w:r>
    </w:p>
    <w:p w14:paraId="4E2BA4F1" w14:textId="77777777" w:rsidR="008F7106" w:rsidRDefault="008F7106">
      <w:pPr>
        <w:pStyle w:val="p1"/>
      </w:pPr>
    </w:p>
    <w:p w14:paraId="06B31647" w14:textId="77777777" w:rsidR="00B766A5" w:rsidRDefault="00B766A5" w:rsidP="00DF046C"/>
    <w:p w14:paraId="48D1EE33" w14:textId="77777777" w:rsidR="0066598D" w:rsidRDefault="0066598D">
      <w:pPr>
        <w:pStyle w:val="p1"/>
      </w:pPr>
      <w:r>
        <w:rPr>
          <w:rStyle w:val="s1"/>
        </w:rPr>
        <w:t>Conclusion</w:t>
      </w:r>
    </w:p>
    <w:p w14:paraId="38ABFD0F" w14:textId="77777777" w:rsidR="0066598D" w:rsidRDefault="0066598D">
      <w:pPr>
        <w:pStyle w:val="p2"/>
      </w:pPr>
    </w:p>
    <w:p w14:paraId="3917FCD2" w14:textId="77777777" w:rsidR="0066598D" w:rsidRDefault="0066598D">
      <w:pPr>
        <w:pStyle w:val="p1"/>
      </w:pPr>
      <w:r>
        <w:rPr>
          <w:rStyle w:val="s1"/>
        </w:rPr>
        <w:t xml:space="preserve">This research highlights the importance of addressing mental health in long-term care through non-pharmacological, person-centred approaches. Mindfulness and recreational therapy have both </w:t>
      </w:r>
      <w:bookmarkStart w:id="13" w:name="_Int_J8Hvgfni"/>
      <w:r>
        <w:rPr>
          <w:rStyle w:val="s1"/>
        </w:rPr>
        <w:t>been shown</w:t>
      </w:r>
      <w:bookmarkEnd w:id="13"/>
      <w:r>
        <w:rPr>
          <w:rStyle w:val="s1"/>
        </w:rPr>
        <w:t xml:space="preserve"> to reduce symptoms of depression and anxiety, while also promoting relaxation, self-expression, and social interaction.</w:t>
      </w:r>
    </w:p>
    <w:p w14:paraId="684ACBFE" w14:textId="77777777" w:rsidR="0066598D" w:rsidRDefault="0066598D">
      <w:pPr>
        <w:pStyle w:val="p2"/>
      </w:pPr>
    </w:p>
    <w:p w14:paraId="1880C8F6" w14:textId="77777777" w:rsidR="0066598D" w:rsidRDefault="0066598D">
      <w:pPr>
        <w:pStyle w:val="p1"/>
      </w:pPr>
      <w:r>
        <w:rPr>
          <w:rStyle w:val="s1"/>
        </w:rPr>
        <w:t>Integrating these interventions into daily care routines can help residents feel more engaged, valued, and emotionally supported. Moreover, promoting mindfulness among staff can create a calmer, more compassionate care environment.</w:t>
      </w:r>
    </w:p>
    <w:p w14:paraId="1FAA383F" w14:textId="77777777" w:rsidR="0066598D" w:rsidRDefault="0066598D">
      <w:pPr>
        <w:pStyle w:val="p2"/>
      </w:pPr>
    </w:p>
    <w:p w14:paraId="603C892C" w14:textId="77777777" w:rsidR="0066598D" w:rsidRDefault="0066598D">
      <w:pPr>
        <w:pStyle w:val="p1"/>
        <w:rPr>
          <w:rStyle w:val="s1"/>
        </w:rPr>
      </w:pPr>
      <w:bookmarkStart w:id="14" w:name="_Int_YUlw9JdQ"/>
      <w:r>
        <w:rPr>
          <w:rStyle w:val="s1"/>
        </w:rPr>
        <w:t>Ultimately, this</w:t>
      </w:r>
      <w:bookmarkEnd w:id="14"/>
      <w:r>
        <w:rPr>
          <w:rStyle w:val="s1"/>
        </w:rPr>
        <w:t xml:space="preserve"> study contributes to a growing body of evidence that supports holistic, emotionally responsive care for older adults — ensuring that their psychological and emotional needs receive the same attention as their physical health.</w:t>
      </w:r>
    </w:p>
    <w:p w14:paraId="6C29270F" w14:textId="77777777" w:rsidR="00854E80" w:rsidRDefault="00854E80">
      <w:pPr>
        <w:pStyle w:val="p1"/>
        <w:rPr>
          <w:rStyle w:val="s1"/>
        </w:rPr>
      </w:pPr>
    </w:p>
    <w:p w14:paraId="18E828A5" w14:textId="77777777" w:rsidR="00854E80" w:rsidRDefault="00854E80">
      <w:pPr>
        <w:pStyle w:val="p1"/>
        <w:rPr>
          <w:rStyle w:val="s1"/>
        </w:rPr>
      </w:pPr>
    </w:p>
    <w:p w14:paraId="54592F00" w14:textId="77777777" w:rsidR="00854E80" w:rsidRDefault="00854E80">
      <w:pPr>
        <w:pStyle w:val="p1"/>
      </w:pPr>
      <w:r>
        <w:rPr>
          <w:rStyle w:val="s1"/>
        </w:rPr>
        <w:t>References</w:t>
      </w:r>
    </w:p>
    <w:p w14:paraId="51686B4F" w14:textId="77777777" w:rsidR="002C6AA0" w:rsidRDefault="002C6AA0">
      <w:pPr>
        <w:pStyle w:val="p1"/>
      </w:pPr>
      <w:r>
        <w:rPr>
          <w:rStyle w:val="s1"/>
        </w:rPr>
        <w:t>Kendall, T., Lea, L., Radford, M., Brabban, A., Burgess-Dawson, R. and Whittington, A. (2024) Mental Health and Wellbeing Practitioner: Guide to Practice. NHS England. Available at: https://www.england.nhs.uk (Accessed: 17 November 2025).</w:t>
      </w:r>
    </w:p>
    <w:p w14:paraId="2DE99E4D" w14:textId="77777777" w:rsidR="002C6AA0" w:rsidRDefault="002C6AA0">
      <w:pPr>
        <w:pStyle w:val="p2"/>
      </w:pPr>
    </w:p>
    <w:p w14:paraId="766AB953" w14:textId="77777777" w:rsidR="002C6AA0" w:rsidRDefault="002C6AA0">
      <w:pPr>
        <w:pStyle w:val="p1"/>
      </w:pPr>
      <w:r>
        <w:rPr>
          <w:rStyle w:val="s1"/>
        </w:rPr>
        <w:t>Long, J.A. (2014) Exploring how practising mindfulness affects people’s experiences of living with a long-term condition. PhD thesis. University of Leeds. Available at: https://etheses.whiterose.ac.uk/id/eprint/7097/ (Accessed: 17 November 2025)</w:t>
      </w:r>
    </w:p>
    <w:p w14:paraId="77549EAF" w14:textId="77777777" w:rsidR="002C6AA0" w:rsidRDefault="002C6AA0">
      <w:pPr>
        <w:pStyle w:val="p2"/>
      </w:pPr>
    </w:p>
    <w:p w14:paraId="0458913F" w14:textId="77777777" w:rsidR="002C6AA0" w:rsidRDefault="002C6AA0">
      <w:pPr>
        <w:pStyle w:val="p1"/>
      </w:pPr>
      <w:r>
        <w:rPr>
          <w:rStyle w:val="s1"/>
        </w:rPr>
        <w:t xml:space="preserve">Long, J.A. (2014) </w:t>
      </w:r>
      <w:r>
        <w:rPr>
          <w:rStyle w:val="s2"/>
        </w:rPr>
        <w:t>Exploring how practising mindfulness affects people’s experiences of living with a long-term condition</w:t>
      </w:r>
      <w:r>
        <w:rPr>
          <w:rStyle w:val="s1"/>
        </w:rPr>
        <w:t>. PhD thesis. University of Leeds. Available at: https://etheses.whiterose.ac.uk/id/eprint/7097/ (Accessed: 17 November 2025).</w:t>
      </w:r>
    </w:p>
    <w:p w14:paraId="54C8C021" w14:textId="77777777" w:rsidR="002C6AA0" w:rsidRDefault="002C6AA0">
      <w:pPr>
        <w:pStyle w:val="p2"/>
      </w:pPr>
    </w:p>
    <w:p w14:paraId="347F8C34" w14:textId="77777777" w:rsidR="002C6AA0" w:rsidRDefault="002C6AA0">
      <w:pPr>
        <w:pStyle w:val="p1"/>
      </w:pPr>
      <w:r>
        <w:rPr>
          <w:rStyle w:val="s1"/>
        </w:rPr>
        <w:t xml:space="preserve">Miles, G. (2020) ‘Problem-solving: Doing what it says on the tin’, in Farrand, P. (ed.) </w:t>
      </w:r>
      <w:r>
        <w:rPr>
          <w:rStyle w:val="s2"/>
        </w:rPr>
        <w:t>Low-intensity CBT skills and interventions: A practitioner’s manual</w:t>
      </w:r>
      <w:r>
        <w:rPr>
          <w:rStyle w:val="s1"/>
        </w:rPr>
        <w:t>. London: Sage, pp. 255–269. Available at: https://us.sagepub.com/en-us/nam/low-intensity-cbt-skills-and-interventions/book262815 (Accessed: 17 November 2025).</w:t>
      </w:r>
    </w:p>
    <w:p w14:paraId="1C32750B" w14:textId="77777777" w:rsidR="002C6AA0" w:rsidRDefault="002C6AA0">
      <w:pPr>
        <w:pStyle w:val="p2"/>
      </w:pPr>
    </w:p>
    <w:p w14:paraId="56C0EBC7" w14:textId="77777777" w:rsidR="002C6AA0" w:rsidRDefault="002C6AA0">
      <w:pPr>
        <w:pStyle w:val="p1"/>
      </w:pPr>
      <w:r>
        <w:rPr>
          <w:rStyle w:val="s1"/>
        </w:rPr>
        <w:t xml:space="preserve">Mynors-Wallis, L. &amp; Lau, M.A. (2010) ‘Problem-solving as a low-intensity intervention’, in Bennett-Levy, J. </w:t>
      </w:r>
      <w:r>
        <w:rPr>
          <w:rStyle w:val="s2"/>
        </w:rPr>
        <w:t>et al.</w:t>
      </w:r>
      <w:r>
        <w:rPr>
          <w:rStyle w:val="s1"/>
        </w:rPr>
        <w:t xml:space="preserve"> (eds.) </w:t>
      </w:r>
      <w:r>
        <w:rPr>
          <w:rStyle w:val="s2"/>
        </w:rPr>
        <w:t>Low intensity CBT interventions</w:t>
      </w:r>
      <w:r>
        <w:rPr>
          <w:rStyle w:val="s1"/>
        </w:rPr>
        <w:t>. London: Oxford University Press, pp. 151–158. Available at: https://global.oup.com/academic/product/oxford-guide-to-low-intensity-cbt-interventions-9780199590117 (Accessed: 17 November 2025).</w:t>
      </w:r>
    </w:p>
    <w:p w14:paraId="519ED373" w14:textId="77777777" w:rsidR="00854E80" w:rsidRDefault="00854E80">
      <w:pPr>
        <w:pStyle w:val="p1"/>
      </w:pPr>
    </w:p>
    <w:p w14:paraId="6673E658" w14:textId="77777777" w:rsidR="005E6FCF" w:rsidRDefault="005E6FCF" w:rsidP="00DF046C"/>
    <w:p w14:paraId="7CF0D974" w14:textId="7709098D" w:rsidR="006239A1" w:rsidRDefault="006239A1"/>
    <w:sectPr w:rsidR="006239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EmphasizedBody">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085F06"/>
    <w:rsid w:val="00037812"/>
    <w:rsid w:val="00076E9B"/>
    <w:rsid w:val="000B49D1"/>
    <w:rsid w:val="001104DB"/>
    <w:rsid w:val="001360F7"/>
    <w:rsid w:val="001708EA"/>
    <w:rsid w:val="001938FE"/>
    <w:rsid w:val="001A4C37"/>
    <w:rsid w:val="00220962"/>
    <w:rsid w:val="0022681D"/>
    <w:rsid w:val="00233FA7"/>
    <w:rsid w:val="002C6AA0"/>
    <w:rsid w:val="002F25B8"/>
    <w:rsid w:val="00303D14"/>
    <w:rsid w:val="00334022"/>
    <w:rsid w:val="003B787D"/>
    <w:rsid w:val="003C63F1"/>
    <w:rsid w:val="004673CB"/>
    <w:rsid w:val="005448B5"/>
    <w:rsid w:val="005B2336"/>
    <w:rsid w:val="005B26C5"/>
    <w:rsid w:val="005E6FCF"/>
    <w:rsid w:val="006239A1"/>
    <w:rsid w:val="0066598D"/>
    <w:rsid w:val="007115B7"/>
    <w:rsid w:val="0084078C"/>
    <w:rsid w:val="008446F1"/>
    <w:rsid w:val="00854E80"/>
    <w:rsid w:val="008A45ED"/>
    <w:rsid w:val="008D4A08"/>
    <w:rsid w:val="008F6123"/>
    <w:rsid w:val="008F7106"/>
    <w:rsid w:val="00925337"/>
    <w:rsid w:val="00926D29"/>
    <w:rsid w:val="009C6688"/>
    <w:rsid w:val="00B766A5"/>
    <w:rsid w:val="00CA0B2F"/>
    <w:rsid w:val="00CE31CC"/>
    <w:rsid w:val="00D63108"/>
    <w:rsid w:val="00D66DC6"/>
    <w:rsid w:val="00DA50F3"/>
    <w:rsid w:val="00DF046C"/>
    <w:rsid w:val="00E05FBE"/>
    <w:rsid w:val="00E307FE"/>
    <w:rsid w:val="00E56BBA"/>
    <w:rsid w:val="00EC2180"/>
    <w:rsid w:val="00F116EC"/>
    <w:rsid w:val="00F373B8"/>
    <w:rsid w:val="00F67F5D"/>
    <w:rsid w:val="49424EA9"/>
    <w:rsid w:val="5EBEB91C"/>
    <w:rsid w:val="73085F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3085F06"/>
  <w15:chartTrackingRefBased/>
  <w15:docId w15:val="{3B7D2FB3-AA18-4377-9F17-D6150EB9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1104DB"/>
    <w:pPr>
      <w:spacing w:after="0" w:line="240" w:lineRule="auto"/>
    </w:pPr>
    <w:rPr>
      <w:rFonts w:ascii=".AppleSystemUIFont" w:hAnsi=".AppleSystemUIFont" w:cs="Times New Roman"/>
      <w:sz w:val="26"/>
      <w:szCs w:val="26"/>
      <w:lang w:val="en-GB" w:eastAsia="en-GB"/>
    </w:rPr>
  </w:style>
  <w:style w:type="paragraph" w:customStyle="1" w:styleId="p2">
    <w:name w:val="p2"/>
    <w:basedOn w:val="Normal"/>
    <w:rsid w:val="001104DB"/>
    <w:pPr>
      <w:spacing w:after="0" w:line="240" w:lineRule="auto"/>
    </w:pPr>
    <w:rPr>
      <w:rFonts w:ascii=".AppleSystemUIFont" w:hAnsi=".AppleSystemUIFont" w:cs="Times New Roman"/>
      <w:sz w:val="26"/>
      <w:szCs w:val="26"/>
      <w:lang w:val="en-GB" w:eastAsia="en-GB"/>
    </w:rPr>
  </w:style>
  <w:style w:type="character" w:customStyle="1" w:styleId="s1">
    <w:name w:val="s1"/>
    <w:basedOn w:val="DefaultParagraphFont"/>
    <w:rsid w:val="001104DB"/>
    <w:rPr>
      <w:rFonts w:ascii="UICTFontTextStyleEmphasizedBody" w:hAnsi="UICTFontTextStyleEmphasizedBody" w:hint="default"/>
      <w:b/>
      <w:bCs/>
      <w:i w:val="0"/>
      <w:iCs w:val="0"/>
      <w:sz w:val="26"/>
      <w:szCs w:val="26"/>
    </w:rPr>
  </w:style>
  <w:style w:type="character" w:customStyle="1" w:styleId="s2">
    <w:name w:val="s2"/>
    <w:basedOn w:val="DefaultParagraphFont"/>
    <w:rsid w:val="00334022"/>
    <w:rPr>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Darame (2505439)</dc:creator>
  <cp:keywords/>
  <dc:description/>
  <cp:lastModifiedBy>Aisha Darame (2505439)</cp:lastModifiedBy>
  <cp:revision>5</cp:revision>
  <dcterms:created xsi:type="dcterms:W3CDTF">2025-11-17T20:31:00Z</dcterms:created>
  <dcterms:modified xsi:type="dcterms:W3CDTF">2025-11-17T21:30:00Z</dcterms:modified>
</cp:coreProperties>
</file>