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88923" w14:textId="45810896" w:rsidR="004A5FD7" w:rsidRDefault="0060317B" w:rsidP="0060317B">
      <w:pPr>
        <w:spacing w:line="360" w:lineRule="auto"/>
        <w:jc w:val="center"/>
        <w:rPr>
          <w:b/>
          <w:i/>
          <w:u w:val="single"/>
        </w:rPr>
      </w:pPr>
      <w:r>
        <w:rPr>
          <w:b/>
          <w:i/>
          <w:u w:val="single"/>
        </w:rPr>
        <w:t xml:space="preserve">Scholarly Reply- </w:t>
      </w:r>
      <w:r w:rsidR="0080679B">
        <w:rPr>
          <w:b/>
          <w:i/>
          <w:u w:val="single"/>
        </w:rPr>
        <w:t>‘</w:t>
      </w:r>
      <w:r>
        <w:rPr>
          <w:b/>
          <w:i/>
          <w:u w:val="single"/>
        </w:rPr>
        <w:t>No Woma</w:t>
      </w:r>
      <w:r w:rsidR="00D400AE">
        <w:rPr>
          <w:b/>
          <w:i/>
          <w:u w:val="single"/>
        </w:rPr>
        <w:t>n No War</w:t>
      </w:r>
      <w:r w:rsidR="0080679B">
        <w:rPr>
          <w:b/>
          <w:i/>
          <w:u w:val="single"/>
        </w:rPr>
        <w:t>’</w:t>
      </w:r>
      <w:r w:rsidR="00D400AE">
        <w:rPr>
          <w:b/>
          <w:i/>
          <w:u w:val="single"/>
        </w:rPr>
        <w:t xml:space="preserve"> by </w:t>
      </w:r>
      <w:proofErr w:type="spellStart"/>
      <w:r w:rsidR="00D400AE">
        <w:rPr>
          <w:b/>
          <w:i/>
          <w:u w:val="single"/>
        </w:rPr>
        <w:t>Pasi</w:t>
      </w:r>
      <w:proofErr w:type="spellEnd"/>
      <w:r w:rsidR="00D400AE">
        <w:rPr>
          <w:b/>
          <w:i/>
          <w:u w:val="single"/>
        </w:rPr>
        <w:t xml:space="preserve"> Loman</w:t>
      </w:r>
    </w:p>
    <w:p w14:paraId="6281AE6C" w14:textId="77777777" w:rsidR="00D400AE" w:rsidRDefault="00D400AE" w:rsidP="0060317B">
      <w:pPr>
        <w:spacing w:line="360" w:lineRule="auto"/>
        <w:jc w:val="center"/>
        <w:rPr>
          <w:b/>
          <w:i/>
          <w:u w:val="single"/>
        </w:rPr>
      </w:pPr>
    </w:p>
    <w:p w14:paraId="3CED0C35" w14:textId="7B4AC016" w:rsidR="00D03E29" w:rsidRPr="000B3714" w:rsidRDefault="00184FC4" w:rsidP="00D03E29">
      <w:pPr>
        <w:spacing w:line="480" w:lineRule="auto"/>
        <w:ind w:firstLine="720"/>
      </w:pPr>
      <w:proofErr w:type="spellStart"/>
      <w:r>
        <w:t>Pasi</w:t>
      </w:r>
      <w:proofErr w:type="spellEnd"/>
      <w:r w:rsidR="0060317B">
        <w:t xml:space="preserve"> Loman wrote his article </w:t>
      </w:r>
      <w:r w:rsidR="00D54E7F">
        <w:t>‘</w:t>
      </w:r>
      <w:r w:rsidR="0060317B">
        <w:rPr>
          <w:i/>
        </w:rPr>
        <w:t>No Woman No War: Women</w:t>
      </w:r>
      <w:r w:rsidR="00470788">
        <w:rPr>
          <w:i/>
        </w:rPr>
        <w:t>’s Participation in Ancient Greek Warfare</w:t>
      </w:r>
      <w:r w:rsidR="00D54E7F">
        <w:rPr>
          <w:i/>
        </w:rPr>
        <w:t>’</w:t>
      </w:r>
      <w:r w:rsidR="00470788">
        <w:t xml:space="preserve"> in 2004</w:t>
      </w:r>
      <w:r w:rsidR="00091580">
        <w:t>, with the aim of</w:t>
      </w:r>
      <w:r w:rsidR="00D54E7F">
        <w:t xml:space="preserve"> show</w:t>
      </w:r>
      <w:r w:rsidR="00091580">
        <w:t>ing</w:t>
      </w:r>
      <w:r w:rsidR="00D54E7F">
        <w:t xml:space="preserve"> that women participated more in warfare in the Greek world then they were given credit for</w:t>
      </w:r>
      <w:r w:rsidR="00470788">
        <w:t xml:space="preserve">. </w:t>
      </w:r>
      <w:r w:rsidR="00D54E7F">
        <w:t xml:space="preserve">In order to go about this, </w:t>
      </w:r>
      <w:proofErr w:type="spellStart"/>
      <w:r w:rsidR="00D54E7F">
        <w:t>Pasi</w:t>
      </w:r>
      <w:proofErr w:type="spellEnd"/>
      <w:r w:rsidR="00D54E7F">
        <w:t xml:space="preserve"> Loman </w:t>
      </w:r>
      <w:r w:rsidR="00470788">
        <w:t xml:space="preserve">looks at their importance in different scenarios. </w:t>
      </w:r>
      <w:r w:rsidR="00D03E29">
        <w:t xml:space="preserve">Loman split is work into two sections, the first being </w:t>
      </w:r>
      <w:r w:rsidR="00D03E29">
        <w:rPr>
          <w:i/>
        </w:rPr>
        <w:t>Women at Home</w:t>
      </w:r>
      <w:r w:rsidR="00D03E29">
        <w:t xml:space="preserve"> and the second titled </w:t>
      </w:r>
      <w:r w:rsidR="00D03E29">
        <w:rPr>
          <w:i/>
        </w:rPr>
        <w:t>Women on Foreign Campaigns</w:t>
      </w:r>
      <w:r w:rsidR="00D03E29">
        <w:t xml:space="preserve">. </w:t>
      </w:r>
      <w:r w:rsidR="00D03E29">
        <w:t xml:space="preserve">In his first </w:t>
      </w:r>
      <w:proofErr w:type="gramStart"/>
      <w:r w:rsidR="00D03E29">
        <w:t>section</w:t>
      </w:r>
      <w:proofErr w:type="gramEnd"/>
      <w:r w:rsidR="00D03E29">
        <w:t xml:space="preserve"> he looks at the importance women had in defending their home</w:t>
      </w:r>
      <w:r w:rsidR="00F53F5F">
        <w:t>,</w:t>
      </w:r>
      <w:r w:rsidR="00D03E29">
        <w:t xml:space="preserve"> whilst i</w:t>
      </w:r>
      <w:r w:rsidR="00D03E29">
        <w:t>n this second section, Loman looks at royal women on the battlefield as he comments on the lack of evidence found on</w:t>
      </w:r>
      <w:r w:rsidR="00D03E29">
        <w:t xml:space="preserve"> average</w:t>
      </w:r>
      <w:r w:rsidR="00D03E29">
        <w:t xml:space="preserve"> women in wars</w:t>
      </w:r>
      <w:r w:rsidR="00D03E29">
        <w:rPr>
          <w:rStyle w:val="FootnoteReference"/>
        </w:rPr>
        <w:footnoteReference w:id="1"/>
      </w:r>
      <w:r w:rsidR="00D03E29">
        <w:t xml:space="preserve">. </w:t>
      </w:r>
      <w:r w:rsidR="00F858E4">
        <w:t xml:space="preserve">In this scholarly </w:t>
      </w:r>
      <w:r w:rsidR="009164B8">
        <w:t>reply,</w:t>
      </w:r>
      <w:r w:rsidR="00F858E4">
        <w:t xml:space="preserve"> I will first be concentrating on his lack of chronology and his habit of jumping to and from eras. Secondly</w:t>
      </w:r>
      <w:r w:rsidR="009164B8">
        <w:t>,</w:t>
      </w:r>
      <w:r w:rsidR="00F858E4">
        <w:t xml:space="preserve"> I will be looking at his overuse of Spartan women as examples of everyday women</w:t>
      </w:r>
      <w:r w:rsidR="00F53F5F">
        <w:t xml:space="preserve"> and the problems this causes. This will lead onto his lack of evidence surrounding women who fail to help out</w:t>
      </w:r>
      <w:r w:rsidR="00007136">
        <w:t>,</w:t>
      </w:r>
      <w:r w:rsidR="00F53F5F">
        <w:t xml:space="preserve"> and the uniqueness of siege warfare.</w:t>
      </w:r>
    </w:p>
    <w:p w14:paraId="240D539B" w14:textId="23F8BC64" w:rsidR="00D400AE" w:rsidRDefault="00D54E7F" w:rsidP="00D54E7F">
      <w:pPr>
        <w:spacing w:line="480" w:lineRule="auto"/>
        <w:ind w:firstLine="720"/>
      </w:pPr>
      <w:r>
        <w:t xml:space="preserve">Logically, </w:t>
      </w:r>
      <w:r w:rsidR="00470788">
        <w:t xml:space="preserve">Loman first </w:t>
      </w:r>
      <w:r>
        <w:t>concentrates on</w:t>
      </w:r>
      <w:r w:rsidR="00470788">
        <w:t xml:space="preserve"> two women authors</w:t>
      </w:r>
      <w:r w:rsidR="00F53F5F">
        <w:t xml:space="preserve">, </w:t>
      </w:r>
      <w:proofErr w:type="spellStart"/>
      <w:r w:rsidR="00F53F5F">
        <w:t>Anyte</w:t>
      </w:r>
      <w:proofErr w:type="spellEnd"/>
      <w:r w:rsidR="00F53F5F">
        <w:t xml:space="preserve"> and </w:t>
      </w:r>
      <w:proofErr w:type="spellStart"/>
      <w:r w:rsidR="00F53F5F">
        <w:t>Nossis</w:t>
      </w:r>
      <w:proofErr w:type="spellEnd"/>
      <w:r w:rsidR="00F53F5F">
        <w:t>,</w:t>
      </w:r>
      <w:r w:rsidR="00470788">
        <w:t xml:space="preserve"> and their opinion</w:t>
      </w:r>
      <w:r>
        <w:t xml:space="preserve"> on wars</w:t>
      </w:r>
      <w:r w:rsidR="00F53F5F">
        <w:rPr>
          <w:rStyle w:val="FootnoteReference"/>
        </w:rPr>
        <w:footnoteReference w:id="2"/>
      </w:r>
      <w:r w:rsidR="00470788">
        <w:t xml:space="preserve"> before moving on</w:t>
      </w:r>
      <w:r w:rsidR="00091580">
        <w:t xml:space="preserve"> </w:t>
      </w:r>
      <w:r w:rsidR="00470788">
        <w:t xml:space="preserve">to the idea that the Amazons would not be </w:t>
      </w:r>
      <w:r>
        <w:t xml:space="preserve">a </w:t>
      </w:r>
      <w:r w:rsidR="00470788">
        <w:t>useful</w:t>
      </w:r>
      <w:r>
        <w:t xml:space="preserve"> people</w:t>
      </w:r>
      <w:r w:rsidR="00470788">
        <w:t xml:space="preserve"> to look at in </w:t>
      </w:r>
      <w:r>
        <w:t>t</w:t>
      </w:r>
      <w:r w:rsidR="00470788">
        <w:t>his argument because “they belong to the realm of legends and fiction”</w:t>
      </w:r>
      <w:r w:rsidR="00470788">
        <w:rPr>
          <w:rStyle w:val="FootnoteReference"/>
        </w:rPr>
        <w:footnoteReference w:id="3"/>
      </w:r>
      <w:r w:rsidR="00470788">
        <w:t>.</w:t>
      </w:r>
      <w:r w:rsidR="00B901ED">
        <w:t xml:space="preserve"> </w:t>
      </w:r>
      <w:r w:rsidR="009C39F6">
        <w:t xml:space="preserve">He </w:t>
      </w:r>
      <w:r w:rsidR="00F53F5F">
        <w:t xml:space="preserve">then </w:t>
      </w:r>
      <w:r w:rsidR="009C39F6">
        <w:t>talks about women helping with religious a</w:t>
      </w:r>
      <w:r w:rsidR="00364A6A">
        <w:t>cts, such as burials, as well as women donating money for the army</w:t>
      </w:r>
      <w:r w:rsidR="00364A6A">
        <w:rPr>
          <w:rStyle w:val="FootnoteReference"/>
        </w:rPr>
        <w:footnoteReference w:id="4"/>
      </w:r>
      <w:r w:rsidR="00364A6A">
        <w:t>.</w:t>
      </w:r>
      <w:r w:rsidR="00F53F5F">
        <w:t xml:space="preserve"> Loman</w:t>
      </w:r>
      <w:r w:rsidR="00364A6A">
        <w:t xml:space="preserve"> </w:t>
      </w:r>
      <w:r>
        <w:t>focuses</w:t>
      </w:r>
      <w:r w:rsidR="00364A6A">
        <w:t xml:space="preserve"> on the art of tile throwing, and the way in which women helped to defend their cities from attack. In his second section on ‘Women on Foreign Campaigns’ Loman concentrates on queens and their role</w:t>
      </w:r>
      <w:r w:rsidR="00F53F5F">
        <w:t>s</w:t>
      </w:r>
      <w:r w:rsidR="00364A6A">
        <w:t xml:space="preserve"> in battle.</w:t>
      </w:r>
    </w:p>
    <w:p w14:paraId="40114247" w14:textId="276D237A" w:rsidR="00364A6A" w:rsidRDefault="0014553A" w:rsidP="00D54E7F">
      <w:pPr>
        <w:spacing w:line="480" w:lineRule="auto"/>
        <w:ind w:firstLine="720"/>
      </w:pPr>
      <w:r>
        <w:lastRenderedPageBreak/>
        <w:t xml:space="preserve">Although </w:t>
      </w:r>
      <w:proofErr w:type="spellStart"/>
      <w:r>
        <w:t>Pasi</w:t>
      </w:r>
      <w:proofErr w:type="spellEnd"/>
      <w:r>
        <w:t xml:space="preserve"> Loman makes some very in</w:t>
      </w:r>
      <w:r w:rsidR="00D54E7F">
        <w:t>-</w:t>
      </w:r>
      <w:r>
        <w:t>depth arguments</w:t>
      </w:r>
      <w:r w:rsidR="00F53F5F">
        <w:t xml:space="preserve"> regarding </w:t>
      </w:r>
      <w:proofErr w:type="spellStart"/>
      <w:r w:rsidR="00F53F5F">
        <w:t>womens</w:t>
      </w:r>
      <w:proofErr w:type="spellEnd"/>
      <w:r w:rsidR="00F53F5F">
        <w:t xml:space="preserve"> importance in war</w:t>
      </w:r>
      <w:r>
        <w:t xml:space="preserve">, there are a few issues that can be picked up on. In his </w:t>
      </w:r>
      <w:r w:rsidR="00024006">
        <w:t>introduction,</w:t>
      </w:r>
      <w:r>
        <w:t xml:space="preserve"> he points out that “</w:t>
      </w:r>
      <w:r w:rsidR="00635464">
        <w:t>women’s participation in warfare… has received surprisingly little attention”</w:t>
      </w:r>
      <w:r w:rsidR="00635464">
        <w:rPr>
          <w:rStyle w:val="FootnoteReference"/>
        </w:rPr>
        <w:footnoteReference w:id="5"/>
      </w:r>
      <w:r w:rsidR="00635464">
        <w:t>.</w:t>
      </w:r>
      <w:r w:rsidR="00DA6066">
        <w:t xml:space="preserve"> </w:t>
      </w:r>
      <w:r w:rsidR="00092774">
        <w:t xml:space="preserve">Although the article may have been right to have stated this in 2004, in more recent years, women in warfare has become a well-argued subject and many books and articles have been published on this matter. An example of this being an edited volume titled </w:t>
      </w:r>
      <w:r w:rsidR="00092774">
        <w:rPr>
          <w:i/>
        </w:rPr>
        <w:t>Women and War in Antiquity</w:t>
      </w:r>
      <w:r w:rsidR="00092774">
        <w:t>, which was published in 2015, more than ten years after this article. This edited volume also contains at least sixteen different authors all analysing women in war from different perspectives. This change in scholarship needs to be kept in mind when reading this slightly older article.</w:t>
      </w:r>
    </w:p>
    <w:p w14:paraId="27AB75BB" w14:textId="24CEA1FF" w:rsidR="00A63205" w:rsidRDefault="00A63205" w:rsidP="00D54E7F">
      <w:pPr>
        <w:spacing w:line="480" w:lineRule="auto"/>
        <w:ind w:firstLine="720"/>
      </w:pPr>
      <w:r>
        <w:t xml:space="preserve">Another </w:t>
      </w:r>
      <w:r w:rsidR="005D201E">
        <w:t>issue with this piece</w:t>
      </w:r>
      <w:r w:rsidR="00A010A8">
        <w:t xml:space="preserve"> is that instead of concentrating on a certain</w:t>
      </w:r>
      <w:r w:rsidR="005D201E">
        <w:t xml:space="preserve"> time period, </w:t>
      </w:r>
      <w:proofErr w:type="spellStart"/>
      <w:r w:rsidR="005D201E">
        <w:t>Pasi</w:t>
      </w:r>
      <w:proofErr w:type="spellEnd"/>
      <w:r w:rsidR="005D201E">
        <w:t xml:space="preserve"> Loman has a t</w:t>
      </w:r>
      <w:r w:rsidR="00A010A8">
        <w:t>endency to jump around, going from</w:t>
      </w:r>
      <w:r w:rsidR="001824EE">
        <w:t xml:space="preserve"> the Hellenistic</w:t>
      </w:r>
      <w:r w:rsidR="00A010A8">
        <w:t xml:space="preserve"> period</w:t>
      </w:r>
      <w:r w:rsidR="001824EE">
        <w:t xml:space="preserve">, such as the mentioning of </w:t>
      </w:r>
      <w:proofErr w:type="spellStart"/>
      <w:r w:rsidR="001824EE">
        <w:t>Lyciscus</w:t>
      </w:r>
      <w:proofErr w:type="spellEnd"/>
      <w:r w:rsidR="001824EE">
        <w:t xml:space="preserve"> in Sparta in 211 BCE</w:t>
      </w:r>
      <w:r w:rsidR="001824EE">
        <w:rPr>
          <w:rStyle w:val="FootnoteReference"/>
        </w:rPr>
        <w:footnoteReference w:id="6"/>
      </w:r>
      <w:r w:rsidR="001824EE">
        <w:t xml:space="preserve">, to mentioning a speech made by </w:t>
      </w:r>
      <w:proofErr w:type="spellStart"/>
      <w:r w:rsidR="001824EE">
        <w:t>Archidamus</w:t>
      </w:r>
      <w:proofErr w:type="spellEnd"/>
      <w:r w:rsidR="001824EE">
        <w:t xml:space="preserve"> around 368 BCE</w:t>
      </w:r>
      <w:r w:rsidR="001824EE">
        <w:rPr>
          <w:rStyle w:val="FootnoteReference"/>
        </w:rPr>
        <w:footnoteReference w:id="7"/>
      </w:r>
      <w:r w:rsidR="001824EE">
        <w:t xml:space="preserve"> which supposedly happened in the Classical period, according to </w:t>
      </w:r>
      <w:r w:rsidR="00134306">
        <w:t xml:space="preserve">the words of </w:t>
      </w:r>
      <w:r w:rsidR="001824EE">
        <w:t>Xenophon</w:t>
      </w:r>
      <w:r w:rsidR="001824EE">
        <w:rPr>
          <w:rStyle w:val="FootnoteReference"/>
        </w:rPr>
        <w:footnoteReference w:id="8"/>
      </w:r>
      <w:r w:rsidR="001824EE">
        <w:t>.</w:t>
      </w:r>
      <w:r w:rsidR="001E236C">
        <w:t xml:space="preserve"> This all takes place in one paragraph, and happens throughout the piece, jumping back and forth with no thought to chronology, which can make this article confusing at times</w:t>
      </w:r>
      <w:r w:rsidR="00F53F5F">
        <w:t>. T</w:t>
      </w:r>
      <w:r w:rsidR="001E236C">
        <w:t>his problem</w:t>
      </w:r>
      <w:r w:rsidR="00F53F5F">
        <w:t xml:space="preserve"> with time</w:t>
      </w:r>
      <w:r w:rsidR="001E236C">
        <w:t xml:space="preserve"> also shows that </w:t>
      </w:r>
      <w:proofErr w:type="spellStart"/>
      <w:r w:rsidR="001E236C">
        <w:t>Pasi</w:t>
      </w:r>
      <w:proofErr w:type="spellEnd"/>
      <w:r w:rsidR="001E236C">
        <w:t xml:space="preserve"> Loman may have done this because he picked out examples that suited his argument rather then look at their circumstances and how this may have affected the way in which women acted.</w:t>
      </w:r>
      <w:r w:rsidR="00174DEB">
        <w:t xml:space="preserve"> </w:t>
      </w:r>
    </w:p>
    <w:p w14:paraId="214A0161" w14:textId="77777777" w:rsidR="00067A97" w:rsidRDefault="00067A97" w:rsidP="00D54E7F">
      <w:pPr>
        <w:spacing w:line="480" w:lineRule="auto"/>
        <w:ind w:firstLine="720"/>
      </w:pPr>
    </w:p>
    <w:p w14:paraId="76B33E20" w14:textId="39FED7E7" w:rsidR="00512688" w:rsidRDefault="00512688" w:rsidP="00D54E7F">
      <w:pPr>
        <w:spacing w:line="480" w:lineRule="auto"/>
        <w:ind w:firstLine="720"/>
      </w:pPr>
      <w:r>
        <w:t>A good reason why timing is also important in an article such as this, is that Loman does not look at the struggles women had endured or continued to endure in their time. This too changed over time, as early on in Greek history women were only seen as having one role which was to give birth to the soldiers which would defend their polis</w:t>
      </w:r>
      <w:r>
        <w:rPr>
          <w:rStyle w:val="FootnoteReference"/>
        </w:rPr>
        <w:footnoteReference w:id="9"/>
      </w:r>
      <w:r>
        <w:t xml:space="preserve">. </w:t>
      </w:r>
      <w:r w:rsidR="00754C02">
        <w:t>Furthermore, as we shall see below, it is also necessary to look at how Poleis treated their women individually, because it is possible, as seen from Sparta and Athens</w:t>
      </w:r>
      <w:r w:rsidR="00BD015C">
        <w:rPr>
          <w:rStyle w:val="FootnoteReference"/>
        </w:rPr>
        <w:footnoteReference w:id="10"/>
      </w:r>
      <w:r w:rsidR="00067A97">
        <w:t xml:space="preserve">, </w:t>
      </w:r>
      <w:r w:rsidR="00754C02">
        <w:t xml:space="preserve">that women were given different treatments as a whole, which could easily affect the way in which </w:t>
      </w:r>
      <w:r w:rsidR="00BD015C">
        <w:t>writers would write about them but also what their roles would have been in warlike c</w:t>
      </w:r>
      <w:r w:rsidR="00067A97">
        <w:t>onditions. In the example of</w:t>
      </w:r>
      <w:r w:rsidR="00067A97">
        <w:t xml:space="preserve"> Sparta</w:t>
      </w:r>
      <w:r w:rsidR="00067A97">
        <w:t xml:space="preserve"> and Athens it has been found that Sparta</w:t>
      </w:r>
      <w:r w:rsidR="00067A97">
        <w:t>n women</w:t>
      </w:r>
      <w:r w:rsidR="00067A97">
        <w:t xml:space="preserve"> </w:t>
      </w:r>
      <w:r w:rsidR="00067A97">
        <w:t xml:space="preserve">had considerably more freedom then </w:t>
      </w:r>
      <w:r w:rsidR="00067A97">
        <w:t>the women who lived</w:t>
      </w:r>
      <w:r w:rsidR="00067A97">
        <w:t xml:space="preserve"> in Athens</w:t>
      </w:r>
      <w:r w:rsidR="00067A97">
        <w:rPr>
          <w:rStyle w:val="FootnoteReference"/>
        </w:rPr>
        <w:footnoteReference w:id="11"/>
      </w:r>
      <w:r w:rsidR="00067A97">
        <w:t>.</w:t>
      </w:r>
    </w:p>
    <w:p w14:paraId="3ECC0F90" w14:textId="7909FB5D" w:rsidR="00BD015C" w:rsidRDefault="00EF723A" w:rsidP="00BD015C">
      <w:pPr>
        <w:spacing w:line="480" w:lineRule="auto"/>
        <w:ind w:firstLine="720"/>
      </w:pPr>
      <w:r>
        <w:t xml:space="preserve">Another instance that Loman </w:t>
      </w:r>
      <w:r w:rsidR="00BD015C">
        <w:t>picked out evidence to suit his needs without looking at circumstances,</w:t>
      </w:r>
      <w:r w:rsidR="00765FED">
        <w:t xml:space="preserve"> i</w:t>
      </w:r>
      <w:r w:rsidR="00512688">
        <w:t xml:space="preserve">s in relation to </w:t>
      </w:r>
      <w:r w:rsidR="00BD015C">
        <w:t xml:space="preserve">Sparta and </w:t>
      </w:r>
      <w:r w:rsidR="00512688">
        <w:t xml:space="preserve">Spartan women. </w:t>
      </w:r>
      <w:r w:rsidR="00765FED">
        <w:t xml:space="preserve">Understandably, we do have more </w:t>
      </w:r>
      <w:r w:rsidR="002E113D">
        <w:t>evidence for Sparta then most Greek poleis, something that Loman also fails to mention</w:t>
      </w:r>
      <w:r w:rsidR="00130A50">
        <w:t>,</w:t>
      </w:r>
      <w:r w:rsidR="006952C4">
        <w:t xml:space="preserve"> even though he uses the Spartan model in a lot of his examples</w:t>
      </w:r>
      <w:r w:rsidR="00996284">
        <w:rPr>
          <w:rStyle w:val="FootnoteReference"/>
        </w:rPr>
        <w:footnoteReference w:id="12"/>
      </w:r>
      <w:r w:rsidR="006952C4">
        <w:t xml:space="preserve">, </w:t>
      </w:r>
      <w:r w:rsidR="00BD015C">
        <w:t>an example being</w:t>
      </w:r>
      <w:r w:rsidR="006952C4">
        <w:t xml:space="preserve"> the incident in the early third century</w:t>
      </w:r>
      <w:r w:rsidR="00BD015C">
        <w:t xml:space="preserve"> BCE</w:t>
      </w:r>
      <w:r w:rsidR="006952C4">
        <w:t xml:space="preserve"> when Pyrrhus was trying to take over Sparta</w:t>
      </w:r>
      <w:r w:rsidR="00996284">
        <w:rPr>
          <w:rStyle w:val="FootnoteReference"/>
        </w:rPr>
        <w:footnoteReference w:id="13"/>
      </w:r>
      <w:r w:rsidR="006952C4">
        <w:t>.</w:t>
      </w:r>
      <w:r w:rsidR="00B64EE4">
        <w:t xml:space="preserve"> This is particularly important because Sparta is such a unique Polis, geared towards war, that in order for Loman to use them as examples for tile throwing and women defending their city, it is necessary to look at other Poleis in order to get a better picture of a more normal situation. Not only this, but Loman should have also looked at time frames to see if women participation like this changed at all in the different eras</w:t>
      </w:r>
      <w:r w:rsidR="00BD015C">
        <w:t>, as mentioned above</w:t>
      </w:r>
      <w:r w:rsidR="00B64EE4">
        <w:t xml:space="preserve">. </w:t>
      </w:r>
      <w:r w:rsidR="0078593E">
        <w:t>Another example that Loman could have used in this instance</w:t>
      </w:r>
      <w:r w:rsidR="00BD015C">
        <w:t>, for example,</w:t>
      </w:r>
      <w:r w:rsidR="0078593E">
        <w:t xml:space="preserve"> could have been </w:t>
      </w:r>
      <w:r w:rsidR="005733F6">
        <w:t xml:space="preserve">the story of </w:t>
      </w:r>
      <w:proofErr w:type="spellStart"/>
      <w:r w:rsidR="005733F6">
        <w:t>Telesilla</w:t>
      </w:r>
      <w:proofErr w:type="spellEnd"/>
      <w:r w:rsidR="005733F6">
        <w:rPr>
          <w:rStyle w:val="FootnoteReference"/>
        </w:rPr>
        <w:footnoteReference w:id="14"/>
      </w:r>
      <w:r w:rsidR="005733F6">
        <w:t xml:space="preserve">, who, along with the young and old helped to defeat the attacking Spartan King </w:t>
      </w:r>
      <w:proofErr w:type="spellStart"/>
      <w:r w:rsidR="005733F6">
        <w:t>Cleomenes</w:t>
      </w:r>
      <w:proofErr w:type="spellEnd"/>
      <w:r w:rsidR="005733F6">
        <w:rPr>
          <w:rStyle w:val="FootnoteReference"/>
        </w:rPr>
        <w:footnoteReference w:id="15"/>
      </w:r>
      <w:r w:rsidR="005733F6">
        <w:t xml:space="preserve">. </w:t>
      </w:r>
      <w:r w:rsidR="00B175A4">
        <w:t xml:space="preserve"> This not only helps prove that it was more common for other women to do this but also that </w:t>
      </w:r>
      <w:r w:rsidR="00073D04">
        <w:t xml:space="preserve">women tended to be </w:t>
      </w:r>
      <w:r w:rsidR="00067A97">
        <w:t>braver</w:t>
      </w:r>
      <w:r w:rsidR="00073D04">
        <w:t xml:space="preserve"> then a lot of people gave them credit for, something that Loman briefly touches</w:t>
      </w:r>
      <w:r w:rsidR="00067A97">
        <w:t xml:space="preserve"> on</w:t>
      </w:r>
      <w:r w:rsidR="00073D04">
        <w:rPr>
          <w:rStyle w:val="FootnoteReference"/>
        </w:rPr>
        <w:footnoteReference w:id="16"/>
      </w:r>
      <w:r w:rsidR="00073D04">
        <w:t>.</w:t>
      </w:r>
    </w:p>
    <w:p w14:paraId="7D4F4322" w14:textId="0711456F" w:rsidR="00EF723A" w:rsidRDefault="00073D04" w:rsidP="00BD015C">
      <w:pPr>
        <w:spacing w:line="480" w:lineRule="auto"/>
        <w:ind w:firstLine="720"/>
      </w:pPr>
      <w:r>
        <w:t xml:space="preserve"> </w:t>
      </w:r>
      <w:r w:rsidR="0012646F">
        <w:t>However, Loman does mention a</w:t>
      </w:r>
      <w:r>
        <w:t>nother example</w:t>
      </w:r>
      <w:r w:rsidR="00BD015C">
        <w:t xml:space="preserve"> of women being used to defend their town</w:t>
      </w:r>
      <w:r>
        <w:t xml:space="preserve"> </w:t>
      </w:r>
      <w:r w:rsidR="0012646F">
        <w:t>that is not from Sparta</w:t>
      </w:r>
      <w:r>
        <w:t xml:space="preserve"> </w:t>
      </w:r>
      <w:r w:rsidR="0012646F">
        <w:t>and</w:t>
      </w:r>
      <w:r>
        <w:t xml:space="preserve"> </w:t>
      </w:r>
      <w:r w:rsidR="0012646F">
        <w:t>that is of the Messenians in the seventh century BCE</w:t>
      </w:r>
      <w:r w:rsidR="0012646F">
        <w:rPr>
          <w:rStyle w:val="FootnoteReference"/>
        </w:rPr>
        <w:footnoteReference w:id="17"/>
      </w:r>
      <w:r w:rsidR="0012646F">
        <w:t>, in which women also flung roof tiles at the enemy</w:t>
      </w:r>
      <w:r w:rsidR="0012646F">
        <w:rPr>
          <w:rStyle w:val="FootnoteReference"/>
        </w:rPr>
        <w:footnoteReference w:id="18"/>
      </w:r>
      <w:r w:rsidR="0012646F">
        <w:t xml:space="preserve">. </w:t>
      </w:r>
      <w:proofErr w:type="gramStart"/>
      <w:r w:rsidR="0012646F">
        <w:t>However</w:t>
      </w:r>
      <w:proofErr w:type="gramEnd"/>
      <w:r w:rsidR="0012646F">
        <w:t xml:space="preserve"> Loman does not go into too much detail of this revolt, which he could have</w:t>
      </w:r>
      <w:r w:rsidR="00BD015C">
        <w:t>,</w:t>
      </w:r>
      <w:r w:rsidR="0012646F">
        <w:t xml:space="preserve"> as </w:t>
      </w:r>
      <w:proofErr w:type="spellStart"/>
      <w:r w:rsidR="0012646F">
        <w:t>Pausanius</w:t>
      </w:r>
      <w:proofErr w:type="spellEnd"/>
      <w:r w:rsidR="0012646F">
        <w:t xml:space="preserve">, in his works on the </w:t>
      </w:r>
      <w:r w:rsidR="00BD015C">
        <w:rPr>
          <w:i/>
        </w:rPr>
        <w:t>D</w:t>
      </w:r>
      <w:r w:rsidR="0012646F">
        <w:rPr>
          <w:i/>
        </w:rPr>
        <w:t>escription of Greece,</w:t>
      </w:r>
      <w:r w:rsidR="0012646F">
        <w:t xml:space="preserve"> goes on to suggest that they “were eager”</w:t>
      </w:r>
      <w:r w:rsidR="0012646F">
        <w:rPr>
          <w:rStyle w:val="FootnoteReference"/>
        </w:rPr>
        <w:footnoteReference w:id="19"/>
      </w:r>
      <w:r w:rsidR="00BD015C">
        <w:t>. This quote alone</w:t>
      </w:r>
      <w:r w:rsidR="0012646F">
        <w:t xml:space="preserve"> </w:t>
      </w:r>
      <w:r w:rsidR="00BD015C">
        <w:t>c</w:t>
      </w:r>
      <w:r w:rsidR="0012646F">
        <w:t>ould have furthered his argument that the women were willing participants in defending their towns from invaders.</w:t>
      </w:r>
    </w:p>
    <w:p w14:paraId="3CA16873" w14:textId="7B8DFF0D" w:rsidR="00BD015C" w:rsidRDefault="00BD015C" w:rsidP="00BD015C">
      <w:pPr>
        <w:spacing w:line="480" w:lineRule="auto"/>
        <w:ind w:firstLine="720"/>
      </w:pPr>
      <w:r>
        <w:t xml:space="preserve">Loman also fails to mention </w:t>
      </w:r>
      <w:r w:rsidR="00277EC1">
        <w:t xml:space="preserve">multiple </w:t>
      </w:r>
      <w:r>
        <w:t xml:space="preserve">examples of women </w:t>
      </w:r>
      <w:r w:rsidR="00EA1580">
        <w:t xml:space="preserve">not being able to defend their towns. This is important because it brings up the question as to whether or not these particular instances were so unique that they rarely happened, or that the ancient authors decided to </w:t>
      </w:r>
      <w:r w:rsidR="00CF4AE8">
        <w:t xml:space="preserve">create stories in order to try and encourage </w:t>
      </w:r>
      <w:r w:rsidR="00067A97">
        <w:t xml:space="preserve">the women and men to have </w:t>
      </w:r>
      <w:r w:rsidR="00CF4AE8">
        <w:t>courage during sieges</w:t>
      </w:r>
      <w:r w:rsidR="00CF4AE8">
        <w:rPr>
          <w:rStyle w:val="FootnoteReference"/>
        </w:rPr>
        <w:footnoteReference w:id="20"/>
      </w:r>
      <w:r w:rsidR="00CF4AE8">
        <w:t xml:space="preserve">.  A prime example that could have been used is that </w:t>
      </w:r>
      <w:r w:rsidR="008A3ACB">
        <w:t>stated by van Wees</w:t>
      </w:r>
      <w:r w:rsidR="00B347A9">
        <w:t xml:space="preserve"> in which he quotes Aeschylus saying that women were running around in panic and screaming whilst their city was under attack</w:t>
      </w:r>
      <w:r w:rsidR="00B347A9">
        <w:rPr>
          <w:rStyle w:val="FootnoteReference"/>
        </w:rPr>
        <w:footnoteReference w:id="21"/>
      </w:r>
      <w:r w:rsidR="00B347A9">
        <w:t>.</w:t>
      </w:r>
      <w:r w:rsidR="00CD49D7">
        <w:t xml:space="preserve"> Aristotle himself is also a good example that Loman</w:t>
      </w:r>
      <w:r w:rsidR="00277EC1">
        <w:rPr>
          <w:rStyle w:val="FootnoteReference"/>
        </w:rPr>
        <w:footnoteReference w:id="22"/>
      </w:r>
      <w:r w:rsidR="00CD49D7">
        <w:t xml:space="preserve"> </w:t>
      </w:r>
      <w:r w:rsidR="00277EC1">
        <w:t>did use</w:t>
      </w:r>
      <w:r w:rsidR="00067A97">
        <w:t>. In this particular example</w:t>
      </w:r>
      <w:r w:rsidR="00CD49D7">
        <w:t xml:space="preserve"> </w:t>
      </w:r>
      <w:r w:rsidR="00086864">
        <w:t xml:space="preserve">Aristotle states </w:t>
      </w:r>
      <w:r w:rsidR="00CD49D7">
        <w:t>“</w:t>
      </w:r>
      <w:r w:rsidR="00CD49D7" w:rsidRPr="00CD49D7">
        <w:t>they</w:t>
      </w:r>
      <w:r w:rsidR="00086864">
        <w:t xml:space="preserve"> (the women)</w:t>
      </w:r>
      <w:r w:rsidR="00CD49D7" w:rsidRPr="00CD49D7">
        <w:t xml:space="preserve"> rendered no useful service, as the women do in other states, while they cause</w:t>
      </w:r>
      <w:r w:rsidR="00CD49D7">
        <w:t>d more confusion than the enemy”</w:t>
      </w:r>
      <w:r w:rsidR="00CD49D7">
        <w:rPr>
          <w:rStyle w:val="FootnoteReference"/>
        </w:rPr>
        <w:footnoteReference w:id="23"/>
      </w:r>
      <w:r w:rsidR="00CD49D7">
        <w:t xml:space="preserve">. Aristotle even comments on the </w:t>
      </w:r>
      <w:r w:rsidR="00277EC1">
        <w:t>helpfulness of women in other states</w:t>
      </w:r>
      <w:r w:rsidR="00086864">
        <w:t xml:space="preserve"> in comparison</w:t>
      </w:r>
      <w:r w:rsidR="00067A97">
        <w:t xml:space="preserve"> to the Spartan women during this siege</w:t>
      </w:r>
      <w:r w:rsidR="00CD49D7">
        <w:t>.</w:t>
      </w:r>
    </w:p>
    <w:p w14:paraId="5687014A" w14:textId="6DECF50A" w:rsidR="00CD49D7" w:rsidRDefault="00CD49D7" w:rsidP="00BD015C">
      <w:pPr>
        <w:spacing w:line="480" w:lineRule="auto"/>
        <w:ind w:firstLine="720"/>
      </w:pPr>
      <w:r>
        <w:t>Loman is very good at backing up his arguments with ancient authors, but he does not mention anywhere about the idea of being wary of them.</w:t>
      </w:r>
      <w:r w:rsidR="00611E14">
        <w:t xml:space="preserve"> It is well known to most historians that you should not take </w:t>
      </w:r>
      <w:r w:rsidR="00660492">
        <w:t xml:space="preserve">what </w:t>
      </w:r>
      <w:proofErr w:type="gramStart"/>
      <w:r w:rsidR="00660492">
        <w:t>an ancient author</w:t>
      </w:r>
      <w:r w:rsidR="00611E14">
        <w:t xml:space="preserve"> states</w:t>
      </w:r>
      <w:proofErr w:type="gramEnd"/>
      <w:r w:rsidR="00611E14">
        <w:t xml:space="preserve"> to be true as fact unless backed up by evidence. Not only this but it is also necessary to be wary of different translations</w:t>
      </w:r>
      <w:r w:rsidR="00067A97">
        <w:t xml:space="preserve"> of the same source</w:t>
      </w:r>
      <w:r w:rsidR="00611E14">
        <w:t>. Once again Loman does not mention this when using quotes to back up his evidence</w:t>
      </w:r>
      <w:r w:rsidR="00611E14">
        <w:rPr>
          <w:rStyle w:val="FootnoteReference"/>
        </w:rPr>
        <w:footnoteReference w:id="24"/>
      </w:r>
      <w:r w:rsidR="00611E14">
        <w:t>.</w:t>
      </w:r>
      <w:r w:rsidR="00A445EA">
        <w:t xml:space="preserve"> Aristotle</w:t>
      </w:r>
      <w:r w:rsidR="00660492">
        <w:t>’</w:t>
      </w:r>
      <w:r w:rsidR="00A445EA">
        <w:t xml:space="preserve">s quote above could be a prime example of this </w:t>
      </w:r>
      <w:r w:rsidR="00D8080D">
        <w:t xml:space="preserve">as it is unclear as to whether or not </w:t>
      </w:r>
      <w:r w:rsidR="003C4A2F">
        <w:t xml:space="preserve">he meant that all women were useless in warlike situations or whether </w:t>
      </w:r>
      <w:r w:rsidR="00660492">
        <w:t>it is meant in the way that these women</w:t>
      </w:r>
      <w:r w:rsidR="00067A97">
        <w:t xml:space="preserve"> in particular were</w:t>
      </w:r>
      <w:r w:rsidR="00660492">
        <w:t xml:space="preserve"> useless when compared to the useful women </w:t>
      </w:r>
      <w:r w:rsidR="00067A97">
        <w:t>found in other Greek polies. This is</w:t>
      </w:r>
      <w:r w:rsidR="00660492">
        <w:t xml:space="preserve"> something that </w:t>
      </w:r>
      <w:r w:rsidR="00582C6C">
        <w:t>has long been debated by historians</w:t>
      </w:r>
      <w:r w:rsidR="00582C6C">
        <w:rPr>
          <w:rStyle w:val="FootnoteReference"/>
        </w:rPr>
        <w:footnoteReference w:id="25"/>
      </w:r>
      <w:r w:rsidR="00582C6C">
        <w:t xml:space="preserve">. </w:t>
      </w:r>
      <w:proofErr w:type="gramStart"/>
      <w:r w:rsidR="00582C6C">
        <w:t>So</w:t>
      </w:r>
      <w:proofErr w:type="gramEnd"/>
      <w:r w:rsidR="00582C6C">
        <w:t xml:space="preserve"> as we can see from this example, one word translated in a certain way can change the entire meaning of </w:t>
      </w:r>
      <w:r w:rsidR="00277EC1">
        <w:t>the s</w:t>
      </w:r>
      <w:r w:rsidR="00C63D8C">
        <w:t xml:space="preserve">ituation, as </w:t>
      </w:r>
      <w:proofErr w:type="spellStart"/>
      <w:r w:rsidR="00C63D8C">
        <w:t>Pasi</w:t>
      </w:r>
      <w:proofErr w:type="spellEnd"/>
      <w:r w:rsidR="00C63D8C">
        <w:t xml:space="preserve"> Loman uses this quote</w:t>
      </w:r>
      <w:r w:rsidR="00277EC1">
        <w:t xml:space="preserve"> to mean that </w:t>
      </w:r>
      <w:r w:rsidR="00F0418A">
        <w:t>these Spartan women were especially useless in this instance</w:t>
      </w:r>
      <w:r w:rsidR="00F0418A">
        <w:rPr>
          <w:rStyle w:val="FootnoteReference"/>
        </w:rPr>
        <w:footnoteReference w:id="26"/>
      </w:r>
      <w:r w:rsidR="00067A97">
        <w:t>, which suited his argument more than the second translation of all Greek women being useless in Aristotle’s eyes.</w:t>
      </w:r>
    </w:p>
    <w:p w14:paraId="2247B186" w14:textId="77777777" w:rsidR="0080679B" w:rsidRDefault="00663459" w:rsidP="0080679B">
      <w:pPr>
        <w:spacing w:line="480" w:lineRule="auto"/>
        <w:ind w:firstLine="720"/>
      </w:pPr>
      <w:r>
        <w:t xml:space="preserve">All the instances </w:t>
      </w:r>
      <w:r w:rsidR="00C63D8C">
        <w:t xml:space="preserve">of women defending their polis </w:t>
      </w:r>
      <w:r>
        <w:t xml:space="preserve">that </w:t>
      </w:r>
      <w:proofErr w:type="spellStart"/>
      <w:r>
        <w:t>Pasi</w:t>
      </w:r>
      <w:proofErr w:type="spellEnd"/>
      <w:r>
        <w:t xml:space="preserve"> Loman mentions in his article</w:t>
      </w:r>
      <w:r w:rsidR="00C63D8C">
        <w:t>,</w:t>
      </w:r>
      <w:r>
        <w:t xml:space="preserve"> relate to siege warfare and not to actual confrontations between two armies away from towns and cities. This is important because siege warfare was such a different type of warfare that it was almost impossible for women to not get involved with defending their homes. This is because sieges could last for years on end</w:t>
      </w:r>
      <w:r>
        <w:rPr>
          <w:rStyle w:val="FootnoteReference"/>
        </w:rPr>
        <w:footnoteReference w:id="27"/>
      </w:r>
      <w:r w:rsidR="00B0467A">
        <w:t xml:space="preserve"> and it was therefore necessary for all the town or cities inhabitants to pull their weight in order to help the town</w:t>
      </w:r>
      <w:r w:rsidR="00FA02D2">
        <w:rPr>
          <w:rStyle w:val="FootnoteReference"/>
        </w:rPr>
        <w:footnoteReference w:id="28"/>
      </w:r>
      <w:r w:rsidR="00B0467A">
        <w:t>, whether this be helping with food or clothes, or helping the town defences</w:t>
      </w:r>
      <w:r w:rsidR="00B0467A">
        <w:rPr>
          <w:rStyle w:val="FootnoteReference"/>
        </w:rPr>
        <w:footnoteReference w:id="29"/>
      </w:r>
      <w:r w:rsidR="00B0467A">
        <w:t xml:space="preserve">. </w:t>
      </w:r>
    </w:p>
    <w:p w14:paraId="65E62DBD" w14:textId="3A5CCAB3" w:rsidR="00663459" w:rsidRDefault="00B0467A" w:rsidP="0080679B">
      <w:pPr>
        <w:spacing w:line="480" w:lineRule="auto"/>
        <w:ind w:firstLine="720"/>
      </w:pPr>
      <w:r>
        <w:t>A perfect example</w:t>
      </w:r>
      <w:r w:rsidR="00867F4A">
        <w:t xml:space="preserve"> of this is mentioned in van Wees </w:t>
      </w:r>
      <w:r>
        <w:t xml:space="preserve">book on Greek warfare </w:t>
      </w:r>
      <w:r w:rsidR="00867F4A">
        <w:t>and that is the siege</w:t>
      </w:r>
      <w:r>
        <w:t xml:space="preserve"> of Sinope</w:t>
      </w:r>
      <w:r>
        <w:rPr>
          <w:rStyle w:val="FootnoteReference"/>
        </w:rPr>
        <w:footnoteReference w:id="30"/>
      </w:r>
      <w:r>
        <w:t>. Loman frequently comments on women attacking the invaders with roof tiles, but he fails to m</w:t>
      </w:r>
      <w:bookmarkStart w:id="0" w:name="_GoBack"/>
      <w:bookmarkEnd w:id="0"/>
      <w:r>
        <w:t>ention other ways in which women helped defend their city. In this particular siege, the women were ordered to dress up in armour in order to appear like extra men from afar</w:t>
      </w:r>
      <w:r w:rsidR="004C59CE">
        <w:rPr>
          <w:rStyle w:val="FootnoteReference"/>
        </w:rPr>
        <w:footnoteReference w:id="31"/>
      </w:r>
      <w:r>
        <w:t>.</w:t>
      </w:r>
      <w:r w:rsidR="004C59CE">
        <w:t xml:space="preserve"> This particular piece is also important because it shows that not all of the male historians that Loman uses are </w:t>
      </w:r>
      <w:r w:rsidR="00AF6C39">
        <w:t>complimentary to the female help as he states that “</w:t>
      </w:r>
      <w:r w:rsidR="00AF6C39" w:rsidRPr="00AF6C39">
        <w:t>they did not allow them to throw missiles, for even a long way off a woman betrays her sex when she tries to throw</w:t>
      </w:r>
      <w:r w:rsidR="00AF6C39">
        <w:t>”</w:t>
      </w:r>
      <w:r w:rsidR="00AF6C39">
        <w:rPr>
          <w:rStyle w:val="FootnoteReference"/>
        </w:rPr>
        <w:footnoteReference w:id="32"/>
      </w:r>
      <w:r w:rsidR="00AF6C39" w:rsidRPr="00AF6C39">
        <w:t>.</w:t>
      </w:r>
      <w:r w:rsidR="00C013E2">
        <w:t xml:space="preserve"> </w:t>
      </w:r>
      <w:r w:rsidR="009A0C45">
        <w:t xml:space="preserve"> Loman does however, show that women were a lot more powerful then Aeneas </w:t>
      </w:r>
      <w:proofErr w:type="spellStart"/>
      <w:r w:rsidR="009A0C45">
        <w:t>Tacticus</w:t>
      </w:r>
      <w:proofErr w:type="spellEnd"/>
      <w:r w:rsidR="009A0C45">
        <w:t xml:space="preserve"> believed as he uses the example of the death of King Pyrrhus</w:t>
      </w:r>
      <w:r w:rsidR="009A0C45">
        <w:rPr>
          <w:rStyle w:val="FootnoteReference"/>
        </w:rPr>
        <w:footnoteReference w:id="33"/>
      </w:r>
      <w:r w:rsidR="009A0C45">
        <w:t>.</w:t>
      </w:r>
      <w:r w:rsidR="002F64D3">
        <w:t xml:space="preserve"> This is an important example because it shows that </w:t>
      </w:r>
      <w:r w:rsidR="00C63D8C">
        <w:t>a woman</w:t>
      </w:r>
      <w:r w:rsidR="000B3714">
        <w:t xml:space="preserve"> could kill a king with just a</w:t>
      </w:r>
      <w:r w:rsidR="00C63D8C">
        <w:t xml:space="preserve"> roof</w:t>
      </w:r>
      <w:r w:rsidR="000B3714">
        <w:t xml:space="preserve"> tile</w:t>
      </w:r>
      <w:r w:rsidR="000B3714">
        <w:rPr>
          <w:rStyle w:val="FootnoteReference"/>
        </w:rPr>
        <w:footnoteReference w:id="34"/>
      </w:r>
      <w:r w:rsidR="000B3714">
        <w:t xml:space="preserve"> but if this is fiction or not we do not know.</w:t>
      </w:r>
    </w:p>
    <w:p w14:paraId="51216406" w14:textId="3E50FC84" w:rsidR="000B3714" w:rsidRDefault="00D03E29" w:rsidP="00BD015C">
      <w:pPr>
        <w:spacing w:line="480" w:lineRule="auto"/>
        <w:ind w:firstLine="720"/>
      </w:pPr>
      <w:r>
        <w:t>In con</w:t>
      </w:r>
      <w:r w:rsidR="00EC7A25">
        <w:t>c</w:t>
      </w:r>
      <w:r>
        <w:t xml:space="preserve">lusion, </w:t>
      </w:r>
      <w:proofErr w:type="spellStart"/>
      <w:r>
        <w:t>Pasi</w:t>
      </w:r>
      <w:proofErr w:type="spellEnd"/>
      <w:r>
        <w:t xml:space="preserve"> Loman’s article </w:t>
      </w:r>
      <w:r>
        <w:t>‘</w:t>
      </w:r>
      <w:r>
        <w:rPr>
          <w:i/>
        </w:rPr>
        <w:t>No Woman No War: Women’s Participation in Ancient Greek Warfare’</w:t>
      </w:r>
      <w:r>
        <w:rPr>
          <w:i/>
        </w:rPr>
        <w:t xml:space="preserve"> </w:t>
      </w:r>
      <w:r>
        <w:t xml:space="preserve">provides a very detailed look into how women affected </w:t>
      </w:r>
      <w:r w:rsidR="00EC7A25">
        <w:t>warfare in both the home cities and out on the battlefield and Loman comes to the conclusion that without women there could have been no war</w:t>
      </w:r>
      <w:r w:rsidR="00EC7A25">
        <w:rPr>
          <w:rStyle w:val="FootnoteReference"/>
        </w:rPr>
        <w:footnoteReference w:id="35"/>
      </w:r>
      <w:r w:rsidR="00EC7A25">
        <w:t>. Loman gives us lots of examples, with evidence to back up his argument, both in ancient authors and in modern scholarship. However, one of the first issues is that with the article being more than ten years old, he does not have up to date information, especially when he states that women in war has not been looked at a lot</w:t>
      </w:r>
      <w:r w:rsidR="00EC7A25">
        <w:rPr>
          <w:rStyle w:val="FootnoteReference"/>
        </w:rPr>
        <w:footnoteReference w:id="36"/>
      </w:r>
      <w:r w:rsidR="00EC7A25">
        <w:t xml:space="preserve">. </w:t>
      </w:r>
      <w:r w:rsidR="00C63D8C">
        <w:t>Secondly,</w:t>
      </w:r>
      <w:r w:rsidR="00EC7A25">
        <w:t xml:space="preserve"> he does not look at the evidence in chronological order and the circumstances surrounding the different times, instead he enjoys jumping between eras constantly to fit his argument. Thirdly Loman has a habit of concentrating of Spartan women for a lot of his arguments, instead of finding evidence in other Poleis. This is important as Sparta was a polis dedicated towards warfare and could therefore mean that their circumstances involving women did not translate t</w:t>
      </w:r>
      <w:r w:rsidR="00CA2CE4">
        <w:t xml:space="preserve">o other poleis around this time and leaves out prime examples that could have backed up his </w:t>
      </w:r>
      <w:r w:rsidR="00C63D8C">
        <w:t>arguments</w:t>
      </w:r>
      <w:r w:rsidR="00CA2CE4">
        <w:t xml:space="preserve"> to make them stronger. </w:t>
      </w:r>
    </w:p>
    <w:p w14:paraId="4FE6F3BF" w14:textId="09C78DBD" w:rsidR="00CA2CE4" w:rsidRDefault="00CA2CE4" w:rsidP="00BD015C">
      <w:pPr>
        <w:spacing w:line="480" w:lineRule="auto"/>
        <w:ind w:firstLine="720"/>
      </w:pPr>
      <w:r>
        <w:t xml:space="preserve">This leads on to the lack of concentration of women failing to fight an enemy during an attack on their home town or city. This could be important because it would show that these particular instances involving women could be unique and uncommon or that once again Spartan women were expected to be as brave as men. </w:t>
      </w:r>
      <w:r w:rsidR="002937EC">
        <w:t xml:space="preserve">In </w:t>
      </w:r>
      <w:r w:rsidR="00C63D8C">
        <w:t>addition,</w:t>
      </w:r>
      <w:r w:rsidR="002937EC">
        <w:t xml:space="preserve"> this can lead to another problem that Loman fails to bring up which is the idea that different translators can cause certain phrases stated by ancient authors, to completely change their meaning, as can be seen by the example of Aristotle</w:t>
      </w:r>
      <w:r w:rsidR="002937EC">
        <w:rPr>
          <w:rStyle w:val="FootnoteReference"/>
        </w:rPr>
        <w:footnoteReference w:id="37"/>
      </w:r>
      <w:r w:rsidR="002937EC">
        <w:t>.</w:t>
      </w:r>
      <w:r w:rsidR="000A6177">
        <w:t xml:space="preserve"> And </w:t>
      </w:r>
      <w:r w:rsidR="00C63D8C">
        <w:t>finally,</w:t>
      </w:r>
      <w:r w:rsidR="000A6177">
        <w:t xml:space="preserve"> he spends a lot of time talking about siege warfare which is altogether a unique type of warfare due to its long lasting and harsh conditions</w:t>
      </w:r>
      <w:r w:rsidR="000A6177">
        <w:rPr>
          <w:rStyle w:val="FootnoteReference"/>
        </w:rPr>
        <w:footnoteReference w:id="38"/>
      </w:r>
      <w:r w:rsidR="000A6177">
        <w:t xml:space="preserve">. This could therefore mean to show that what Loman is mentioning were indeed unique situations and not part of everyday incursions. From this we can see that although </w:t>
      </w:r>
      <w:proofErr w:type="spellStart"/>
      <w:r w:rsidR="000A6177">
        <w:t>Pasi</w:t>
      </w:r>
      <w:proofErr w:type="spellEnd"/>
      <w:r w:rsidR="000A6177">
        <w:t xml:space="preserve"> Loman is clear on his argument in his article there are still a few issues that he did not address or make clear to the reader.</w:t>
      </w:r>
    </w:p>
    <w:p w14:paraId="1D11ED55" w14:textId="77777777" w:rsidR="00FB0D55" w:rsidRDefault="00FB0D55" w:rsidP="00BD015C">
      <w:pPr>
        <w:spacing w:line="480" w:lineRule="auto"/>
        <w:ind w:firstLine="720"/>
      </w:pPr>
    </w:p>
    <w:p w14:paraId="53CA986A" w14:textId="77777777" w:rsidR="00FB0D55" w:rsidRDefault="00FB0D55" w:rsidP="00BD015C">
      <w:pPr>
        <w:spacing w:line="480" w:lineRule="auto"/>
        <w:ind w:firstLine="720"/>
      </w:pPr>
    </w:p>
    <w:p w14:paraId="1E45FFBD" w14:textId="77777777" w:rsidR="00FB0D55" w:rsidRDefault="00FB0D55" w:rsidP="00BD015C">
      <w:pPr>
        <w:spacing w:line="480" w:lineRule="auto"/>
        <w:ind w:firstLine="720"/>
      </w:pPr>
    </w:p>
    <w:p w14:paraId="7E70B858" w14:textId="77777777" w:rsidR="00FB0D55" w:rsidRDefault="00FB0D55" w:rsidP="00BD015C">
      <w:pPr>
        <w:spacing w:line="480" w:lineRule="auto"/>
        <w:ind w:firstLine="720"/>
      </w:pPr>
    </w:p>
    <w:p w14:paraId="455CFB22" w14:textId="77777777" w:rsidR="00FB0D55" w:rsidRDefault="00FB0D55" w:rsidP="00BD015C">
      <w:pPr>
        <w:spacing w:line="480" w:lineRule="auto"/>
        <w:ind w:firstLine="720"/>
      </w:pPr>
    </w:p>
    <w:p w14:paraId="1B1B283D" w14:textId="77777777" w:rsidR="00FB0D55" w:rsidRDefault="00FB0D55" w:rsidP="00BD015C">
      <w:pPr>
        <w:spacing w:line="480" w:lineRule="auto"/>
        <w:ind w:firstLine="720"/>
      </w:pPr>
    </w:p>
    <w:p w14:paraId="7BE35A50" w14:textId="77777777" w:rsidR="00FB0D55" w:rsidRDefault="00FB0D55" w:rsidP="00BD015C">
      <w:pPr>
        <w:spacing w:line="480" w:lineRule="auto"/>
        <w:ind w:firstLine="720"/>
      </w:pPr>
    </w:p>
    <w:p w14:paraId="5C0CAB11" w14:textId="77777777" w:rsidR="00FB0D55" w:rsidRDefault="00FB0D55" w:rsidP="00BD015C">
      <w:pPr>
        <w:spacing w:line="480" w:lineRule="auto"/>
        <w:ind w:firstLine="720"/>
      </w:pPr>
    </w:p>
    <w:p w14:paraId="6D0B9CB1" w14:textId="77777777" w:rsidR="00FB0D55" w:rsidRDefault="00FB0D55" w:rsidP="00BD015C">
      <w:pPr>
        <w:spacing w:line="480" w:lineRule="auto"/>
        <w:ind w:firstLine="720"/>
      </w:pPr>
    </w:p>
    <w:p w14:paraId="71871341" w14:textId="77777777" w:rsidR="00FB0D55" w:rsidRDefault="00FB0D55" w:rsidP="00BD015C">
      <w:pPr>
        <w:spacing w:line="480" w:lineRule="auto"/>
        <w:ind w:firstLine="720"/>
      </w:pPr>
    </w:p>
    <w:p w14:paraId="65FAA69D" w14:textId="77777777" w:rsidR="00FB0D55" w:rsidRDefault="00FB0D55" w:rsidP="00BD015C">
      <w:pPr>
        <w:spacing w:line="480" w:lineRule="auto"/>
        <w:ind w:firstLine="720"/>
      </w:pPr>
    </w:p>
    <w:p w14:paraId="5BD6B491" w14:textId="77777777" w:rsidR="00FB0D55" w:rsidRDefault="00FB0D55" w:rsidP="00BD015C">
      <w:pPr>
        <w:spacing w:line="480" w:lineRule="auto"/>
        <w:ind w:firstLine="720"/>
      </w:pPr>
    </w:p>
    <w:p w14:paraId="56DA0F38" w14:textId="77777777" w:rsidR="00FB0D55" w:rsidRDefault="00FB0D55" w:rsidP="00BD015C">
      <w:pPr>
        <w:spacing w:line="480" w:lineRule="auto"/>
        <w:ind w:firstLine="720"/>
      </w:pPr>
    </w:p>
    <w:p w14:paraId="0686AA71" w14:textId="77777777" w:rsidR="00FB0D55" w:rsidRDefault="00FB0D55" w:rsidP="00BD015C">
      <w:pPr>
        <w:spacing w:line="480" w:lineRule="auto"/>
        <w:ind w:firstLine="720"/>
      </w:pPr>
    </w:p>
    <w:p w14:paraId="77457562" w14:textId="77777777" w:rsidR="00FB0D55" w:rsidRDefault="00FB0D55" w:rsidP="00BD015C">
      <w:pPr>
        <w:spacing w:line="480" w:lineRule="auto"/>
        <w:ind w:firstLine="720"/>
      </w:pPr>
    </w:p>
    <w:p w14:paraId="3EB5239E" w14:textId="77777777" w:rsidR="00FB0D55" w:rsidRDefault="00FB0D55" w:rsidP="00BD015C">
      <w:pPr>
        <w:spacing w:line="480" w:lineRule="auto"/>
        <w:ind w:firstLine="720"/>
      </w:pPr>
    </w:p>
    <w:p w14:paraId="46243758" w14:textId="77777777" w:rsidR="00FB0D55" w:rsidRDefault="00FB0D55" w:rsidP="00BD015C">
      <w:pPr>
        <w:spacing w:line="480" w:lineRule="auto"/>
        <w:ind w:firstLine="720"/>
      </w:pPr>
    </w:p>
    <w:p w14:paraId="766C07BA" w14:textId="77777777" w:rsidR="00FB0D55" w:rsidRDefault="00FB0D55" w:rsidP="00BD015C">
      <w:pPr>
        <w:spacing w:line="480" w:lineRule="auto"/>
        <w:ind w:firstLine="720"/>
      </w:pPr>
    </w:p>
    <w:p w14:paraId="297165D4" w14:textId="77777777" w:rsidR="00FB0D55" w:rsidRDefault="00FB0D55" w:rsidP="00BD015C">
      <w:pPr>
        <w:spacing w:line="480" w:lineRule="auto"/>
        <w:ind w:firstLine="720"/>
      </w:pPr>
    </w:p>
    <w:p w14:paraId="7E5C4835" w14:textId="77777777" w:rsidR="00FB0D55" w:rsidRDefault="00FB0D55" w:rsidP="00BD015C">
      <w:pPr>
        <w:spacing w:line="480" w:lineRule="auto"/>
        <w:ind w:firstLine="720"/>
      </w:pPr>
    </w:p>
    <w:p w14:paraId="354B236C" w14:textId="77777777" w:rsidR="00FB0D55" w:rsidRDefault="00FB0D55" w:rsidP="00BD015C">
      <w:pPr>
        <w:spacing w:line="480" w:lineRule="auto"/>
        <w:ind w:firstLine="720"/>
      </w:pPr>
    </w:p>
    <w:p w14:paraId="1E9ABDFA" w14:textId="77777777" w:rsidR="00FB0D55" w:rsidRDefault="00FB0D55" w:rsidP="00BD015C">
      <w:pPr>
        <w:spacing w:line="480" w:lineRule="auto"/>
        <w:ind w:firstLine="720"/>
      </w:pPr>
    </w:p>
    <w:p w14:paraId="3176EE32" w14:textId="6F650D65" w:rsidR="00FB0D55" w:rsidRDefault="00CA5F63" w:rsidP="00CA5F63">
      <w:pPr>
        <w:spacing w:line="480" w:lineRule="auto"/>
        <w:jc w:val="center"/>
        <w:rPr>
          <w:b/>
          <w:i/>
          <w:u w:val="single"/>
        </w:rPr>
      </w:pPr>
      <w:r>
        <w:rPr>
          <w:b/>
          <w:i/>
          <w:u w:val="single"/>
        </w:rPr>
        <w:t>Bibliography</w:t>
      </w:r>
    </w:p>
    <w:p w14:paraId="1CDD4321" w14:textId="64751C98" w:rsidR="00CA5F63" w:rsidRDefault="00CA5F63" w:rsidP="00CA5F63">
      <w:pPr>
        <w:spacing w:line="480" w:lineRule="auto"/>
        <w:rPr>
          <w:b/>
          <w:i/>
          <w:u w:val="single"/>
        </w:rPr>
      </w:pPr>
      <w:r>
        <w:rPr>
          <w:b/>
          <w:i/>
          <w:u w:val="single"/>
        </w:rPr>
        <w:t>Ancient Authors</w:t>
      </w:r>
    </w:p>
    <w:p w14:paraId="5E3B39E6" w14:textId="00D64A64" w:rsidR="00EB79C9" w:rsidRPr="00EB79C9" w:rsidRDefault="00EB79C9" w:rsidP="00CA5F63">
      <w:pPr>
        <w:spacing w:line="480" w:lineRule="auto"/>
      </w:pPr>
      <w:r>
        <w:t xml:space="preserve">Aeneas </w:t>
      </w:r>
      <w:proofErr w:type="spellStart"/>
      <w:r>
        <w:t>Tacticus</w:t>
      </w:r>
      <w:proofErr w:type="spellEnd"/>
      <w:r>
        <w:t xml:space="preserve">, </w:t>
      </w:r>
      <w:r>
        <w:rPr>
          <w:i/>
        </w:rPr>
        <w:t>On the Defence of Fortified Positions</w:t>
      </w:r>
      <w:r>
        <w:t xml:space="preserve">. </w:t>
      </w:r>
      <w:r w:rsidRPr="00EB79C9">
        <w:t>Illinois Greek Club</w:t>
      </w:r>
      <w:r>
        <w:t xml:space="preserve"> (trans). 1923. Harvard: Harvard University Press (Loeb).</w:t>
      </w:r>
    </w:p>
    <w:p w14:paraId="3FF7E2B8" w14:textId="6D9F5026" w:rsidR="00CA5F63" w:rsidRDefault="00CA5F63" w:rsidP="00CA5F63">
      <w:pPr>
        <w:spacing w:line="480" w:lineRule="auto"/>
      </w:pPr>
      <w:r w:rsidRPr="00CA5F63">
        <w:t xml:space="preserve">Aristotle, </w:t>
      </w:r>
      <w:r w:rsidRPr="00CA5F63">
        <w:rPr>
          <w:i/>
        </w:rPr>
        <w:t>Politics</w:t>
      </w:r>
      <w:r>
        <w:rPr>
          <w:i/>
        </w:rPr>
        <w:t>.</w:t>
      </w:r>
      <w:r>
        <w:t xml:space="preserve"> </w:t>
      </w:r>
      <w:r w:rsidRPr="00CA5F63">
        <w:t>Rackham</w:t>
      </w:r>
      <w:r>
        <w:t>, H (trans). 1944. London:</w:t>
      </w:r>
      <w:r w:rsidRPr="00CA5F63">
        <w:t xml:space="preserve"> William Heinemann Ltd.</w:t>
      </w:r>
    </w:p>
    <w:p w14:paraId="00FD5446" w14:textId="290AC3AC" w:rsidR="00CA5F63" w:rsidRDefault="00CA5F63" w:rsidP="00CA5F63">
      <w:pPr>
        <w:spacing w:line="480" w:lineRule="auto"/>
      </w:pPr>
      <w:r w:rsidRPr="00CA5F63">
        <w:t xml:space="preserve">Pausanias, </w:t>
      </w:r>
      <w:r w:rsidRPr="00CA5F63">
        <w:rPr>
          <w:i/>
        </w:rPr>
        <w:t>Description of Greece</w:t>
      </w:r>
      <w:r>
        <w:t>. Jones, W.H.S (trans). 1918. Cambridge: Harvard University Press.</w:t>
      </w:r>
    </w:p>
    <w:p w14:paraId="5363719F" w14:textId="4793BB11" w:rsidR="00CA5F63" w:rsidRDefault="00687C35" w:rsidP="00CA5F63">
      <w:pPr>
        <w:spacing w:line="480" w:lineRule="auto"/>
      </w:pPr>
      <w:r w:rsidRPr="00687C35">
        <w:t xml:space="preserve">Plutarch, </w:t>
      </w:r>
      <w:r w:rsidRPr="00687C35">
        <w:rPr>
          <w:i/>
        </w:rPr>
        <w:t>Pyrrhus</w:t>
      </w:r>
      <w:r>
        <w:t xml:space="preserve">. Perrin, B (trans). 1920. London: </w:t>
      </w:r>
      <w:r w:rsidRPr="00CA5F63">
        <w:t>William Heinemann Ltd.</w:t>
      </w:r>
    </w:p>
    <w:p w14:paraId="097C5B16" w14:textId="1BA21982" w:rsidR="00687C35" w:rsidRPr="00687C35" w:rsidRDefault="00687C35" w:rsidP="00687C35">
      <w:pPr>
        <w:rPr>
          <w:rFonts w:ascii="Times New Roman" w:eastAsia="Times New Roman" w:hAnsi="Times New Roman" w:cs="Times New Roman"/>
          <w:lang w:eastAsia="en-GB"/>
        </w:rPr>
      </w:pPr>
      <w:r w:rsidRPr="00687C35">
        <w:t xml:space="preserve">Xenophon, </w:t>
      </w:r>
      <w:r w:rsidRPr="00687C35">
        <w:rPr>
          <w:i/>
        </w:rPr>
        <w:t>Hellenica</w:t>
      </w:r>
      <w:r>
        <w:t xml:space="preserve">. </w:t>
      </w:r>
      <w:proofErr w:type="spellStart"/>
      <w:r>
        <w:t>Brownson</w:t>
      </w:r>
      <w:proofErr w:type="spellEnd"/>
      <w:r>
        <w:t xml:space="preserve">, C.L (trans). 1918. Cambridge: </w:t>
      </w:r>
      <w:r w:rsidRPr="00CA5F63">
        <w:t>William Heinemann Ltd.</w:t>
      </w:r>
    </w:p>
    <w:p w14:paraId="12BFD5AE" w14:textId="77777777" w:rsidR="00CA5F63" w:rsidRDefault="00CA5F63" w:rsidP="00CA5F63">
      <w:pPr>
        <w:spacing w:line="480" w:lineRule="auto"/>
        <w:rPr>
          <w:b/>
          <w:i/>
          <w:u w:val="single"/>
        </w:rPr>
      </w:pPr>
    </w:p>
    <w:p w14:paraId="7BD6EFBF" w14:textId="616A241A" w:rsidR="00CA5F63" w:rsidRDefault="00CA5F63" w:rsidP="00CA5F63">
      <w:pPr>
        <w:spacing w:line="480" w:lineRule="auto"/>
        <w:rPr>
          <w:b/>
          <w:i/>
          <w:u w:val="single"/>
        </w:rPr>
      </w:pPr>
      <w:r>
        <w:rPr>
          <w:b/>
          <w:i/>
          <w:u w:val="single"/>
        </w:rPr>
        <w:t>Modern Scholarship</w:t>
      </w:r>
    </w:p>
    <w:p w14:paraId="62C306E6" w14:textId="6AA82A67" w:rsidR="005F4272" w:rsidRDefault="005F4272" w:rsidP="00CA5F63">
      <w:pPr>
        <w:spacing w:line="480" w:lineRule="auto"/>
      </w:pPr>
      <w:proofErr w:type="spellStart"/>
      <w:r w:rsidRPr="005F4272">
        <w:t>Ducrey</w:t>
      </w:r>
      <w:proofErr w:type="spellEnd"/>
      <w:r w:rsidRPr="005F4272">
        <w:t>, P. 2015. ‘War in the Feminine in Ancient Greece’., in Fabre-</w:t>
      </w:r>
      <w:proofErr w:type="spellStart"/>
      <w:r w:rsidRPr="005F4272">
        <w:t>Serris</w:t>
      </w:r>
      <w:proofErr w:type="spellEnd"/>
      <w:r w:rsidRPr="005F4272">
        <w:t>, J. and Keith, A. (</w:t>
      </w:r>
      <w:proofErr w:type="spellStart"/>
      <w:r w:rsidRPr="005F4272">
        <w:t>eds</w:t>
      </w:r>
      <w:proofErr w:type="spellEnd"/>
      <w:r w:rsidRPr="005F4272">
        <w:t>), Women and Ware in Antiquity. Baltimore: Johns Hopkins University Press, 181-199.</w:t>
      </w:r>
    </w:p>
    <w:p w14:paraId="06D045A3" w14:textId="17618AD9" w:rsidR="005F4272" w:rsidRDefault="005F4272" w:rsidP="00CA5F63">
      <w:pPr>
        <w:spacing w:line="480" w:lineRule="auto"/>
      </w:pPr>
      <w:proofErr w:type="spellStart"/>
      <w:r w:rsidRPr="005F4272">
        <w:t>Georgoudi</w:t>
      </w:r>
      <w:proofErr w:type="spellEnd"/>
      <w:r w:rsidRPr="005F4272">
        <w:t>, S. 2015. ‘To Act, Not Submit: Women’s Attitudes in Situations of War in Ancient Greece’., in Fabre-</w:t>
      </w:r>
      <w:proofErr w:type="spellStart"/>
      <w:r w:rsidRPr="005F4272">
        <w:t>Serris</w:t>
      </w:r>
      <w:proofErr w:type="spellEnd"/>
      <w:r w:rsidRPr="005F4272">
        <w:t>, J. and Keith, A. (</w:t>
      </w:r>
      <w:proofErr w:type="spellStart"/>
      <w:r w:rsidRPr="005F4272">
        <w:t>eds</w:t>
      </w:r>
      <w:proofErr w:type="spellEnd"/>
      <w:r w:rsidRPr="005F4272">
        <w:t>), Women and Ware in Antiquity. Baltimore: Johns Hopkins University Press, 200-213.</w:t>
      </w:r>
    </w:p>
    <w:p w14:paraId="56757758" w14:textId="53779B5A" w:rsidR="00EB79C9" w:rsidRDefault="00EB79C9" w:rsidP="00CA5F63">
      <w:pPr>
        <w:spacing w:line="480" w:lineRule="auto"/>
      </w:pPr>
      <w:proofErr w:type="spellStart"/>
      <w:r w:rsidRPr="00EB79C9">
        <w:t>Hornblower</w:t>
      </w:r>
      <w:proofErr w:type="spellEnd"/>
      <w:r w:rsidRPr="00EB79C9">
        <w:t>, S. 2011. The Greek World 479-323 BC. London: Routledge.</w:t>
      </w:r>
    </w:p>
    <w:p w14:paraId="1DE48C30" w14:textId="23C63AF3" w:rsidR="005F4272" w:rsidRDefault="005F4272" w:rsidP="00CA5F63">
      <w:pPr>
        <w:spacing w:line="480" w:lineRule="auto"/>
      </w:pPr>
      <w:proofErr w:type="spellStart"/>
      <w:r w:rsidRPr="005F4272">
        <w:t>Lissarrague</w:t>
      </w:r>
      <w:proofErr w:type="spellEnd"/>
      <w:r w:rsidRPr="005F4272">
        <w:t>, F. 2015. ‘Women Arming Men: Armour and Jewellery’., in Fabre-</w:t>
      </w:r>
      <w:proofErr w:type="spellStart"/>
      <w:r w:rsidRPr="005F4272">
        <w:t>Serris</w:t>
      </w:r>
      <w:proofErr w:type="spellEnd"/>
      <w:r w:rsidRPr="005F4272">
        <w:t>, J. and Keith, A. (</w:t>
      </w:r>
      <w:proofErr w:type="spellStart"/>
      <w:r w:rsidRPr="005F4272">
        <w:t>eds</w:t>
      </w:r>
      <w:proofErr w:type="spellEnd"/>
      <w:r w:rsidRPr="005F4272">
        <w:t>), Women and Ware in Antiquity. Baltimore: Johns Hopkins University Press, 71-81.</w:t>
      </w:r>
    </w:p>
    <w:p w14:paraId="7FB86E3D" w14:textId="3F905D27" w:rsidR="00CA5F63" w:rsidRDefault="00EB79C9" w:rsidP="00CA5F63">
      <w:pPr>
        <w:spacing w:line="480" w:lineRule="auto"/>
      </w:pPr>
      <w:r w:rsidRPr="00EB79C9">
        <w:t xml:space="preserve">Loman, P. 2004. ‘No Women No War: Women’s Participation in Ancient Greek Warfare’, Greece &amp; Rome, Vol. 51, No. 1, </w:t>
      </w:r>
      <w:proofErr w:type="gramStart"/>
      <w:r w:rsidRPr="00EB79C9">
        <w:t>April,</w:t>
      </w:r>
      <w:proofErr w:type="gramEnd"/>
      <w:r w:rsidRPr="00EB79C9">
        <w:t xml:space="preserve"> 34-54</w:t>
      </w:r>
      <w:r w:rsidR="005F4272">
        <w:t>.</w:t>
      </w:r>
    </w:p>
    <w:p w14:paraId="14187450" w14:textId="7C123D35" w:rsidR="005F4272" w:rsidRDefault="005F4272" w:rsidP="00CA5F63">
      <w:pPr>
        <w:spacing w:line="480" w:lineRule="auto"/>
      </w:pPr>
      <w:proofErr w:type="spellStart"/>
      <w:r w:rsidRPr="005F4272">
        <w:t>Payen</w:t>
      </w:r>
      <w:proofErr w:type="spellEnd"/>
      <w:r w:rsidRPr="005F4272">
        <w:t xml:space="preserve">, P. 2015. ‘Women’s Wars, Censored Wars? A few Greek </w:t>
      </w:r>
      <w:proofErr w:type="spellStart"/>
      <w:r w:rsidRPr="005F4272">
        <w:t>Hypothoses</w:t>
      </w:r>
      <w:proofErr w:type="spellEnd"/>
      <w:r w:rsidRPr="005F4272">
        <w:t xml:space="preserve"> (Eighth to Fourth Centuries BCE)’., in Fabre-</w:t>
      </w:r>
      <w:proofErr w:type="spellStart"/>
      <w:r w:rsidRPr="005F4272">
        <w:t>Serris</w:t>
      </w:r>
      <w:proofErr w:type="spellEnd"/>
      <w:r w:rsidRPr="005F4272">
        <w:t>, J. and Keith, A. (</w:t>
      </w:r>
      <w:proofErr w:type="spellStart"/>
      <w:r w:rsidRPr="005F4272">
        <w:t>eds</w:t>
      </w:r>
      <w:proofErr w:type="spellEnd"/>
      <w:r w:rsidRPr="005F4272">
        <w:t>), Women and Ware in Antiquity. Baltimore: Johns Hopkins University Press, 214-227.</w:t>
      </w:r>
    </w:p>
    <w:p w14:paraId="2052825A" w14:textId="42BE6990" w:rsidR="005F4272" w:rsidRPr="00CA5F63" w:rsidRDefault="005F4272" w:rsidP="00CA5F63">
      <w:pPr>
        <w:spacing w:line="480" w:lineRule="auto"/>
      </w:pPr>
      <w:r w:rsidRPr="005F4272">
        <w:t xml:space="preserve">van Wees, H. 2004. Greek </w:t>
      </w:r>
      <w:proofErr w:type="spellStart"/>
      <w:r w:rsidRPr="005F4272">
        <w:t>warefare</w:t>
      </w:r>
      <w:proofErr w:type="spellEnd"/>
      <w:r w:rsidRPr="005F4272">
        <w:t>: Myths and Realities. London: Bloomsbury.</w:t>
      </w:r>
    </w:p>
    <w:sectPr w:rsidR="005F4272" w:rsidRPr="00CA5F63" w:rsidSect="007575B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7A8FB" w14:textId="77777777" w:rsidR="00472EFE" w:rsidRDefault="00472EFE" w:rsidP="00470788">
      <w:r>
        <w:separator/>
      </w:r>
    </w:p>
  </w:endnote>
  <w:endnote w:type="continuationSeparator" w:id="0">
    <w:p w14:paraId="4F959CB8" w14:textId="77777777" w:rsidR="00472EFE" w:rsidRDefault="00472EFE" w:rsidP="00470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70C512" w14:textId="77777777" w:rsidR="00472EFE" w:rsidRDefault="00472EFE" w:rsidP="00470788">
      <w:r>
        <w:separator/>
      </w:r>
    </w:p>
  </w:footnote>
  <w:footnote w:type="continuationSeparator" w:id="0">
    <w:p w14:paraId="269193F7" w14:textId="77777777" w:rsidR="00472EFE" w:rsidRDefault="00472EFE" w:rsidP="00470788">
      <w:r>
        <w:continuationSeparator/>
      </w:r>
    </w:p>
  </w:footnote>
  <w:footnote w:id="1">
    <w:p w14:paraId="6CFA1628" w14:textId="77777777" w:rsidR="00D03E29" w:rsidRPr="000B3714" w:rsidRDefault="00D03E29" w:rsidP="00D03E29">
      <w:pPr>
        <w:pStyle w:val="FootnoteText"/>
        <w:rPr>
          <w:lang w:val="fr-CH"/>
        </w:rPr>
      </w:pPr>
      <w:r>
        <w:rPr>
          <w:rStyle w:val="FootnoteReference"/>
        </w:rPr>
        <w:footnoteRef/>
      </w:r>
      <w:r>
        <w:t xml:space="preserve"> </w:t>
      </w:r>
      <w:proofErr w:type="spellStart"/>
      <w:r>
        <w:rPr>
          <w:lang w:val="fr-CH"/>
        </w:rPr>
        <w:t>Loman</w:t>
      </w:r>
      <w:proofErr w:type="spellEnd"/>
      <w:r>
        <w:rPr>
          <w:lang w:val="fr-CH"/>
        </w:rPr>
        <w:t xml:space="preserve"> 2004 : 44</w:t>
      </w:r>
    </w:p>
  </w:footnote>
  <w:footnote w:id="2">
    <w:p w14:paraId="76091FAB" w14:textId="35C79571" w:rsidR="00F53F5F" w:rsidRPr="00F53F5F" w:rsidRDefault="00F53F5F">
      <w:pPr>
        <w:pStyle w:val="FootnoteText"/>
        <w:rPr>
          <w:lang w:val="fr-CH"/>
        </w:rPr>
      </w:pPr>
      <w:r>
        <w:rPr>
          <w:rStyle w:val="FootnoteReference"/>
        </w:rPr>
        <w:footnoteRef/>
      </w:r>
      <w:r>
        <w:t xml:space="preserve"> </w:t>
      </w:r>
      <w:proofErr w:type="spellStart"/>
      <w:r>
        <w:rPr>
          <w:lang w:val="fr-CH"/>
        </w:rPr>
        <w:t>Loman</w:t>
      </w:r>
      <w:proofErr w:type="spellEnd"/>
      <w:r>
        <w:rPr>
          <w:lang w:val="fr-CH"/>
        </w:rPr>
        <w:t xml:space="preserve"> 2004 : 34</w:t>
      </w:r>
    </w:p>
  </w:footnote>
  <w:footnote w:id="3">
    <w:p w14:paraId="0478BC86" w14:textId="1626DE40" w:rsidR="00470788" w:rsidRPr="00FA02D2" w:rsidRDefault="00470788">
      <w:pPr>
        <w:pStyle w:val="FootnoteText"/>
      </w:pPr>
      <w:r>
        <w:rPr>
          <w:rStyle w:val="FootnoteReference"/>
        </w:rPr>
        <w:footnoteRef/>
      </w:r>
      <w:r>
        <w:t xml:space="preserve"> </w:t>
      </w:r>
      <w:r w:rsidR="00996284" w:rsidRPr="00FA02D2">
        <w:rPr>
          <w:noProof/>
        </w:rPr>
        <w:t>Loman</w:t>
      </w:r>
      <w:r w:rsidRPr="00FA02D2">
        <w:rPr>
          <w:noProof/>
        </w:rPr>
        <w:t xml:space="preserve"> 2004:</w:t>
      </w:r>
      <w:r w:rsidR="00364A6A" w:rsidRPr="00FA02D2">
        <w:rPr>
          <w:noProof/>
        </w:rPr>
        <w:t xml:space="preserve"> 37</w:t>
      </w:r>
    </w:p>
  </w:footnote>
  <w:footnote w:id="4">
    <w:p w14:paraId="58020BA1" w14:textId="67F307FD" w:rsidR="00364A6A" w:rsidRPr="00FA02D2" w:rsidRDefault="00364A6A">
      <w:pPr>
        <w:pStyle w:val="FootnoteText"/>
      </w:pPr>
      <w:r>
        <w:rPr>
          <w:rStyle w:val="FootnoteReference"/>
        </w:rPr>
        <w:footnoteRef/>
      </w:r>
      <w:r>
        <w:t xml:space="preserve"> </w:t>
      </w:r>
      <w:r w:rsidR="00996284" w:rsidRPr="00FA02D2">
        <w:rPr>
          <w:noProof/>
        </w:rPr>
        <w:t>Loman</w:t>
      </w:r>
      <w:r w:rsidRPr="00FA02D2">
        <w:rPr>
          <w:noProof/>
        </w:rPr>
        <w:t xml:space="preserve"> 2004:</w:t>
      </w:r>
      <w:r w:rsidRPr="00FA02D2">
        <w:rPr>
          <w:noProof/>
        </w:rPr>
        <w:t xml:space="preserve"> 40</w:t>
      </w:r>
    </w:p>
  </w:footnote>
  <w:footnote w:id="5">
    <w:p w14:paraId="261B4A11" w14:textId="4E2AEC80" w:rsidR="00635464" w:rsidRPr="00FA02D2" w:rsidRDefault="00635464">
      <w:pPr>
        <w:pStyle w:val="FootnoteText"/>
      </w:pPr>
      <w:r>
        <w:rPr>
          <w:rStyle w:val="FootnoteReference"/>
        </w:rPr>
        <w:footnoteRef/>
      </w:r>
      <w:r>
        <w:t xml:space="preserve"> </w:t>
      </w:r>
      <w:r w:rsidR="00996284" w:rsidRPr="00FA02D2">
        <w:rPr>
          <w:noProof/>
        </w:rPr>
        <w:t>Loman</w:t>
      </w:r>
      <w:r w:rsidRPr="00FA02D2">
        <w:rPr>
          <w:noProof/>
        </w:rPr>
        <w:t xml:space="preserve"> 2004:</w:t>
      </w:r>
      <w:r w:rsidRPr="00FA02D2">
        <w:rPr>
          <w:noProof/>
        </w:rPr>
        <w:t xml:space="preserve"> 34</w:t>
      </w:r>
    </w:p>
  </w:footnote>
  <w:footnote w:id="6">
    <w:p w14:paraId="057E54B5" w14:textId="5B380B23" w:rsidR="001824EE" w:rsidRPr="00FA02D2" w:rsidRDefault="001824EE">
      <w:pPr>
        <w:pStyle w:val="FootnoteText"/>
      </w:pPr>
      <w:r>
        <w:rPr>
          <w:rStyle w:val="FootnoteReference"/>
        </w:rPr>
        <w:footnoteRef/>
      </w:r>
      <w:r>
        <w:t xml:space="preserve"> </w:t>
      </w:r>
      <w:r w:rsidR="00996284" w:rsidRPr="00FA02D2">
        <w:rPr>
          <w:noProof/>
        </w:rPr>
        <w:t>Loman</w:t>
      </w:r>
      <w:r w:rsidRPr="00FA02D2">
        <w:rPr>
          <w:noProof/>
        </w:rPr>
        <w:t xml:space="preserve"> 2004:</w:t>
      </w:r>
      <w:r w:rsidRPr="00FA02D2">
        <w:rPr>
          <w:noProof/>
        </w:rPr>
        <w:t xml:space="preserve"> 38</w:t>
      </w:r>
    </w:p>
  </w:footnote>
  <w:footnote w:id="7">
    <w:p w14:paraId="68AF6E79" w14:textId="578F0FC9" w:rsidR="001824EE" w:rsidRPr="00FA02D2" w:rsidRDefault="001824EE">
      <w:pPr>
        <w:pStyle w:val="FootnoteText"/>
      </w:pPr>
      <w:r>
        <w:rPr>
          <w:rStyle w:val="FootnoteReference"/>
        </w:rPr>
        <w:footnoteRef/>
      </w:r>
      <w:r>
        <w:t xml:space="preserve"> </w:t>
      </w:r>
      <w:r w:rsidR="00996284" w:rsidRPr="00FA02D2">
        <w:rPr>
          <w:noProof/>
        </w:rPr>
        <w:t>Loman</w:t>
      </w:r>
      <w:r w:rsidRPr="00FA02D2">
        <w:rPr>
          <w:noProof/>
        </w:rPr>
        <w:t xml:space="preserve"> 2004:</w:t>
      </w:r>
      <w:r w:rsidRPr="00FA02D2">
        <w:rPr>
          <w:noProof/>
        </w:rPr>
        <w:t xml:space="preserve"> 39</w:t>
      </w:r>
    </w:p>
  </w:footnote>
  <w:footnote w:id="8">
    <w:p w14:paraId="6FF939C7" w14:textId="27F22DC5" w:rsidR="001824EE" w:rsidRPr="00FA02D2" w:rsidRDefault="001824EE">
      <w:pPr>
        <w:pStyle w:val="FootnoteText"/>
      </w:pPr>
      <w:r>
        <w:rPr>
          <w:rStyle w:val="FootnoteReference"/>
        </w:rPr>
        <w:footnoteRef/>
      </w:r>
      <w:r>
        <w:t xml:space="preserve"> </w:t>
      </w:r>
      <w:r w:rsidR="001E236C" w:rsidRPr="00FA02D2">
        <w:t xml:space="preserve">Xenophon, </w:t>
      </w:r>
      <w:r w:rsidR="001E236C" w:rsidRPr="00FA02D2">
        <w:rPr>
          <w:i/>
        </w:rPr>
        <w:t xml:space="preserve">Hellenica, </w:t>
      </w:r>
      <w:r w:rsidR="001E236C" w:rsidRPr="00FA02D2">
        <w:t>7.1.30</w:t>
      </w:r>
    </w:p>
  </w:footnote>
  <w:footnote w:id="9">
    <w:p w14:paraId="158DAB31" w14:textId="21980F35" w:rsidR="00512688" w:rsidRPr="00FA02D2" w:rsidRDefault="00512688">
      <w:pPr>
        <w:pStyle w:val="FootnoteText"/>
      </w:pPr>
      <w:r>
        <w:rPr>
          <w:rStyle w:val="FootnoteReference"/>
        </w:rPr>
        <w:footnoteRef/>
      </w:r>
      <w:r>
        <w:t xml:space="preserve"> </w:t>
      </w:r>
      <w:proofErr w:type="spellStart"/>
      <w:r w:rsidRPr="00FA02D2">
        <w:t>Lissarrague</w:t>
      </w:r>
      <w:proofErr w:type="spellEnd"/>
      <w:r w:rsidRPr="00FA02D2">
        <w:t xml:space="preserve"> 2015: 71</w:t>
      </w:r>
    </w:p>
  </w:footnote>
  <w:footnote w:id="10">
    <w:p w14:paraId="70D1B799" w14:textId="06EA169A" w:rsidR="00BD015C" w:rsidRPr="00FA02D2" w:rsidRDefault="00BD015C">
      <w:pPr>
        <w:pStyle w:val="FootnoteText"/>
      </w:pPr>
      <w:r>
        <w:rPr>
          <w:rStyle w:val="FootnoteReference"/>
        </w:rPr>
        <w:footnoteRef/>
      </w:r>
      <w:r>
        <w:t xml:space="preserve"> </w:t>
      </w:r>
      <w:proofErr w:type="spellStart"/>
      <w:r w:rsidRPr="00FA02D2">
        <w:t>Hornblower</w:t>
      </w:r>
      <w:proofErr w:type="spellEnd"/>
      <w:r w:rsidRPr="00FA02D2">
        <w:t xml:space="preserve"> 2011:</w:t>
      </w:r>
      <w:r w:rsidR="00FA02D2" w:rsidRPr="00FA02D2">
        <w:t xml:space="preserve"> 122</w:t>
      </w:r>
    </w:p>
  </w:footnote>
  <w:footnote w:id="11">
    <w:p w14:paraId="6F0242BE" w14:textId="77777777" w:rsidR="00067A97" w:rsidRPr="00FA02D2" w:rsidRDefault="00067A97" w:rsidP="00067A97">
      <w:pPr>
        <w:pStyle w:val="FootnoteText"/>
      </w:pPr>
      <w:r>
        <w:rPr>
          <w:rStyle w:val="FootnoteReference"/>
        </w:rPr>
        <w:footnoteRef/>
      </w:r>
      <w:r>
        <w:t xml:space="preserve"> </w:t>
      </w:r>
      <w:proofErr w:type="spellStart"/>
      <w:r>
        <w:t>Hornblower</w:t>
      </w:r>
      <w:proofErr w:type="spellEnd"/>
      <w:r>
        <w:t xml:space="preserve"> 2011: 250</w:t>
      </w:r>
    </w:p>
  </w:footnote>
  <w:footnote w:id="12">
    <w:p w14:paraId="6C5A607D" w14:textId="0CDEE9B0" w:rsidR="00996284" w:rsidRPr="00996284" w:rsidRDefault="00996284">
      <w:pPr>
        <w:pStyle w:val="FootnoteText"/>
        <w:rPr>
          <w:lang w:val="fr-CH"/>
        </w:rPr>
      </w:pPr>
      <w:r>
        <w:rPr>
          <w:rStyle w:val="FootnoteReference"/>
        </w:rPr>
        <w:footnoteRef/>
      </w:r>
      <w:r w:rsidRPr="00996284">
        <w:rPr>
          <w:lang w:val="fr-CH"/>
        </w:rPr>
        <w:t xml:space="preserve"> </w:t>
      </w:r>
      <w:proofErr w:type="spellStart"/>
      <w:r>
        <w:rPr>
          <w:lang w:val="fr-CH"/>
        </w:rPr>
        <w:t>Loman</w:t>
      </w:r>
      <w:proofErr w:type="spellEnd"/>
      <w:r>
        <w:rPr>
          <w:lang w:val="fr-CH"/>
        </w:rPr>
        <w:t xml:space="preserve"> 2004 : 41</w:t>
      </w:r>
    </w:p>
  </w:footnote>
  <w:footnote w:id="13">
    <w:p w14:paraId="4A2D408A" w14:textId="3DF7B880" w:rsidR="00996284" w:rsidRPr="00996284" w:rsidRDefault="00996284">
      <w:pPr>
        <w:pStyle w:val="FootnoteText"/>
        <w:rPr>
          <w:lang w:val="fr-CH"/>
        </w:rPr>
      </w:pPr>
      <w:r>
        <w:rPr>
          <w:rStyle w:val="FootnoteReference"/>
        </w:rPr>
        <w:footnoteRef/>
      </w:r>
      <w:r>
        <w:t xml:space="preserve"> </w:t>
      </w:r>
      <w:proofErr w:type="spellStart"/>
      <w:r>
        <w:rPr>
          <w:lang w:val="fr-CH"/>
        </w:rPr>
        <w:t>Plutarch</w:t>
      </w:r>
      <w:proofErr w:type="spellEnd"/>
      <w:r>
        <w:rPr>
          <w:lang w:val="fr-CH"/>
        </w:rPr>
        <w:t xml:space="preserve">, </w:t>
      </w:r>
      <w:r>
        <w:rPr>
          <w:i/>
          <w:lang w:val="fr-CH"/>
        </w:rPr>
        <w:t>Pyrrhus</w:t>
      </w:r>
      <w:r>
        <w:rPr>
          <w:lang w:val="fr-CH"/>
        </w:rPr>
        <w:t>, 27.2</w:t>
      </w:r>
    </w:p>
  </w:footnote>
  <w:footnote w:id="14">
    <w:p w14:paraId="531A6520" w14:textId="17E6F077" w:rsidR="005733F6" w:rsidRPr="005733F6" w:rsidRDefault="005733F6">
      <w:pPr>
        <w:pStyle w:val="FootnoteText"/>
      </w:pPr>
      <w:r>
        <w:rPr>
          <w:rStyle w:val="FootnoteReference"/>
        </w:rPr>
        <w:footnoteRef/>
      </w:r>
      <w:r>
        <w:t xml:space="preserve"> </w:t>
      </w:r>
      <w:proofErr w:type="spellStart"/>
      <w:r w:rsidRPr="005733F6">
        <w:t>Georgoudi</w:t>
      </w:r>
      <w:proofErr w:type="spellEnd"/>
      <w:r w:rsidRPr="005733F6">
        <w:t xml:space="preserve"> 2015: 204</w:t>
      </w:r>
    </w:p>
  </w:footnote>
  <w:footnote w:id="15">
    <w:p w14:paraId="3A105206" w14:textId="5DADB7DA" w:rsidR="005733F6" w:rsidRPr="005733F6" w:rsidRDefault="005733F6">
      <w:pPr>
        <w:pStyle w:val="FootnoteText"/>
      </w:pPr>
      <w:r>
        <w:rPr>
          <w:rStyle w:val="FootnoteReference"/>
        </w:rPr>
        <w:footnoteRef/>
      </w:r>
      <w:r>
        <w:t xml:space="preserve"> </w:t>
      </w:r>
      <w:proofErr w:type="spellStart"/>
      <w:r>
        <w:t>Pausanius</w:t>
      </w:r>
      <w:proofErr w:type="spellEnd"/>
      <w:r>
        <w:t xml:space="preserve"> </w:t>
      </w:r>
      <w:r>
        <w:rPr>
          <w:i/>
        </w:rPr>
        <w:t>Description of Greece</w:t>
      </w:r>
      <w:r>
        <w:t xml:space="preserve"> 2.20.9 </w:t>
      </w:r>
    </w:p>
  </w:footnote>
  <w:footnote w:id="16">
    <w:p w14:paraId="1DA73173" w14:textId="49670A98" w:rsidR="00073D04" w:rsidRPr="00073D04" w:rsidRDefault="00073D04">
      <w:pPr>
        <w:pStyle w:val="FootnoteText"/>
        <w:rPr>
          <w:lang w:val="fr-CH"/>
        </w:rPr>
      </w:pPr>
      <w:r>
        <w:rPr>
          <w:rStyle w:val="FootnoteReference"/>
        </w:rPr>
        <w:footnoteRef/>
      </w:r>
      <w:r>
        <w:t xml:space="preserve"> </w:t>
      </w:r>
      <w:proofErr w:type="spellStart"/>
      <w:r>
        <w:rPr>
          <w:lang w:val="fr-CH"/>
        </w:rPr>
        <w:t>Loman</w:t>
      </w:r>
      <w:proofErr w:type="spellEnd"/>
      <w:r>
        <w:rPr>
          <w:lang w:val="fr-CH"/>
        </w:rPr>
        <w:t xml:space="preserve"> 2004 : 41</w:t>
      </w:r>
    </w:p>
  </w:footnote>
  <w:footnote w:id="17">
    <w:p w14:paraId="4E727617" w14:textId="34BC359A" w:rsidR="0012646F" w:rsidRPr="0012646F" w:rsidRDefault="0012646F">
      <w:pPr>
        <w:pStyle w:val="FootnoteText"/>
        <w:rPr>
          <w:lang w:val="fr-CH"/>
        </w:rPr>
      </w:pPr>
      <w:r>
        <w:rPr>
          <w:rStyle w:val="FootnoteReference"/>
        </w:rPr>
        <w:footnoteRef/>
      </w:r>
      <w:r>
        <w:t xml:space="preserve"> </w:t>
      </w:r>
      <w:r>
        <w:rPr>
          <w:noProof/>
          <w:lang w:val="fr-CH"/>
        </w:rPr>
        <w:t>Georgoudi 2015: 205</w:t>
      </w:r>
    </w:p>
  </w:footnote>
  <w:footnote w:id="18">
    <w:p w14:paraId="798D0FB8" w14:textId="101655FE" w:rsidR="0012646F" w:rsidRPr="0012646F" w:rsidRDefault="0012646F">
      <w:pPr>
        <w:pStyle w:val="FootnoteText"/>
        <w:rPr>
          <w:lang w:val="fr-CH"/>
        </w:rPr>
      </w:pPr>
      <w:r>
        <w:rPr>
          <w:rStyle w:val="FootnoteReference"/>
        </w:rPr>
        <w:footnoteRef/>
      </w:r>
      <w:r>
        <w:t xml:space="preserve"> </w:t>
      </w:r>
      <w:proofErr w:type="spellStart"/>
      <w:r>
        <w:rPr>
          <w:lang w:val="fr-CH"/>
        </w:rPr>
        <w:t>Loman</w:t>
      </w:r>
      <w:proofErr w:type="spellEnd"/>
      <w:r>
        <w:rPr>
          <w:lang w:val="fr-CH"/>
        </w:rPr>
        <w:t xml:space="preserve"> 2004 : 42</w:t>
      </w:r>
    </w:p>
  </w:footnote>
  <w:footnote w:id="19">
    <w:p w14:paraId="5850455B" w14:textId="06490BCB" w:rsidR="0012646F" w:rsidRPr="0012646F" w:rsidRDefault="0012646F">
      <w:pPr>
        <w:pStyle w:val="FootnoteText"/>
        <w:rPr>
          <w:lang w:val="fr-CH"/>
        </w:rPr>
      </w:pPr>
      <w:r>
        <w:rPr>
          <w:rStyle w:val="FootnoteReference"/>
        </w:rPr>
        <w:footnoteRef/>
      </w:r>
      <w:r>
        <w:t xml:space="preserve"> </w:t>
      </w:r>
      <w:proofErr w:type="spellStart"/>
      <w:r>
        <w:t>Pausanius</w:t>
      </w:r>
      <w:proofErr w:type="spellEnd"/>
      <w:r>
        <w:t xml:space="preserve"> </w:t>
      </w:r>
      <w:r>
        <w:rPr>
          <w:i/>
        </w:rPr>
        <w:t>Description of Greece</w:t>
      </w:r>
      <w:r>
        <w:t xml:space="preserve"> 4.21.6</w:t>
      </w:r>
    </w:p>
  </w:footnote>
  <w:footnote w:id="20">
    <w:p w14:paraId="1A1F9F53" w14:textId="1F6EADE5" w:rsidR="00CF4AE8" w:rsidRPr="00CF4AE8" w:rsidRDefault="00CF4AE8">
      <w:pPr>
        <w:pStyle w:val="FootnoteText"/>
        <w:rPr>
          <w:lang w:val="fr-CH"/>
        </w:rPr>
      </w:pPr>
      <w:r>
        <w:rPr>
          <w:rStyle w:val="FootnoteReference"/>
        </w:rPr>
        <w:footnoteRef/>
      </w:r>
      <w:r>
        <w:t xml:space="preserve"> </w:t>
      </w:r>
      <w:proofErr w:type="gramStart"/>
      <w:r>
        <w:rPr>
          <w:lang w:val="fr-CH"/>
        </w:rPr>
        <w:t>van</w:t>
      </w:r>
      <w:proofErr w:type="gramEnd"/>
      <w:r>
        <w:rPr>
          <w:lang w:val="fr-CH"/>
        </w:rPr>
        <w:t xml:space="preserve"> </w:t>
      </w:r>
      <w:proofErr w:type="spellStart"/>
      <w:r>
        <w:rPr>
          <w:lang w:val="fr-CH"/>
        </w:rPr>
        <w:t>Wees</w:t>
      </w:r>
      <w:proofErr w:type="spellEnd"/>
      <w:r>
        <w:rPr>
          <w:lang w:val="fr-CH"/>
        </w:rPr>
        <w:t xml:space="preserve"> 2004 : 39</w:t>
      </w:r>
    </w:p>
  </w:footnote>
  <w:footnote w:id="21">
    <w:p w14:paraId="068237AA" w14:textId="09A7AA6D" w:rsidR="00B347A9" w:rsidRPr="00B347A9" w:rsidRDefault="00B347A9">
      <w:pPr>
        <w:pStyle w:val="FootnoteText"/>
        <w:rPr>
          <w:lang w:val="fr-CH"/>
        </w:rPr>
      </w:pPr>
      <w:r>
        <w:rPr>
          <w:rStyle w:val="FootnoteReference"/>
        </w:rPr>
        <w:footnoteRef/>
      </w:r>
      <w:r>
        <w:t xml:space="preserve"> van Wees 2004: 39</w:t>
      </w:r>
    </w:p>
  </w:footnote>
  <w:footnote w:id="22">
    <w:p w14:paraId="0D75FDA3" w14:textId="6326B7DB" w:rsidR="00277EC1" w:rsidRPr="00277EC1" w:rsidRDefault="00277EC1">
      <w:pPr>
        <w:pStyle w:val="FootnoteText"/>
        <w:rPr>
          <w:lang w:val="fr-CH"/>
        </w:rPr>
      </w:pPr>
      <w:r>
        <w:rPr>
          <w:rStyle w:val="FootnoteReference"/>
        </w:rPr>
        <w:footnoteRef/>
      </w:r>
      <w:r>
        <w:t xml:space="preserve"> </w:t>
      </w:r>
      <w:proofErr w:type="spellStart"/>
      <w:r>
        <w:rPr>
          <w:lang w:val="fr-CH"/>
        </w:rPr>
        <w:t>Loman</w:t>
      </w:r>
      <w:proofErr w:type="spellEnd"/>
      <w:r>
        <w:rPr>
          <w:lang w:val="fr-CH"/>
        </w:rPr>
        <w:t xml:space="preserve"> 2004 : 44</w:t>
      </w:r>
    </w:p>
  </w:footnote>
  <w:footnote w:id="23">
    <w:p w14:paraId="26E5F7E7" w14:textId="38793FDA" w:rsidR="00CD49D7" w:rsidRPr="00CD49D7" w:rsidRDefault="00CD49D7">
      <w:pPr>
        <w:pStyle w:val="FootnoteText"/>
        <w:rPr>
          <w:lang w:val="fr-CH"/>
        </w:rPr>
      </w:pPr>
      <w:r>
        <w:rPr>
          <w:rStyle w:val="FootnoteReference"/>
        </w:rPr>
        <w:footnoteRef/>
      </w:r>
      <w:r>
        <w:t xml:space="preserve"> </w:t>
      </w:r>
      <w:proofErr w:type="spellStart"/>
      <w:r>
        <w:rPr>
          <w:lang w:val="fr-CH"/>
        </w:rPr>
        <w:t>Aristotle</w:t>
      </w:r>
      <w:proofErr w:type="spellEnd"/>
      <w:r>
        <w:rPr>
          <w:lang w:val="fr-CH"/>
        </w:rPr>
        <w:t xml:space="preserve">, </w:t>
      </w:r>
      <w:proofErr w:type="spellStart"/>
      <w:r w:rsidR="00611E14">
        <w:rPr>
          <w:i/>
          <w:lang w:val="fr-CH"/>
        </w:rPr>
        <w:t>Polit</w:t>
      </w:r>
      <w:r>
        <w:rPr>
          <w:i/>
          <w:lang w:val="fr-CH"/>
        </w:rPr>
        <w:t>ics</w:t>
      </w:r>
      <w:proofErr w:type="spellEnd"/>
      <w:r>
        <w:rPr>
          <w:lang w:val="fr-CH"/>
        </w:rPr>
        <w:t xml:space="preserve"> 2.</w:t>
      </w:r>
      <w:r w:rsidRPr="00CD49D7">
        <w:t xml:space="preserve"> </w:t>
      </w:r>
      <w:r w:rsidRPr="00CD49D7">
        <w:rPr>
          <w:lang w:val="fr-CH"/>
        </w:rPr>
        <w:t>1269b</w:t>
      </w:r>
    </w:p>
  </w:footnote>
  <w:footnote w:id="24">
    <w:p w14:paraId="7CF83FAB" w14:textId="59E01427" w:rsidR="00611E14" w:rsidRPr="00611E14" w:rsidRDefault="00611E14">
      <w:pPr>
        <w:pStyle w:val="FootnoteText"/>
        <w:rPr>
          <w:lang w:val="fr-CH"/>
        </w:rPr>
      </w:pPr>
      <w:r>
        <w:rPr>
          <w:rStyle w:val="FootnoteReference"/>
        </w:rPr>
        <w:footnoteRef/>
      </w:r>
      <w:r>
        <w:t xml:space="preserve"> </w:t>
      </w:r>
      <w:proofErr w:type="spellStart"/>
      <w:r>
        <w:rPr>
          <w:lang w:val="fr-CH"/>
        </w:rPr>
        <w:t>Loman</w:t>
      </w:r>
      <w:proofErr w:type="spellEnd"/>
      <w:r>
        <w:rPr>
          <w:lang w:val="fr-CH"/>
        </w:rPr>
        <w:t xml:space="preserve"> 2004 : </w:t>
      </w:r>
      <w:r w:rsidR="00A445EA">
        <w:rPr>
          <w:lang w:val="fr-CH"/>
        </w:rPr>
        <w:t>39</w:t>
      </w:r>
    </w:p>
  </w:footnote>
  <w:footnote w:id="25">
    <w:p w14:paraId="55BC3363" w14:textId="5C9E8AC0" w:rsidR="00582C6C" w:rsidRPr="00582C6C" w:rsidRDefault="00582C6C">
      <w:pPr>
        <w:pStyle w:val="FootnoteText"/>
        <w:rPr>
          <w:lang w:val="fr-CH"/>
        </w:rPr>
      </w:pPr>
      <w:r>
        <w:rPr>
          <w:rStyle w:val="FootnoteReference"/>
        </w:rPr>
        <w:footnoteRef/>
      </w:r>
      <w:r>
        <w:t xml:space="preserve"> </w:t>
      </w:r>
      <w:proofErr w:type="spellStart"/>
      <w:r>
        <w:rPr>
          <w:lang w:val="fr-CH"/>
        </w:rPr>
        <w:t>Georgoudi</w:t>
      </w:r>
      <w:proofErr w:type="spellEnd"/>
      <w:r>
        <w:rPr>
          <w:lang w:val="fr-CH"/>
        </w:rPr>
        <w:t xml:space="preserve"> </w:t>
      </w:r>
      <w:proofErr w:type="gramStart"/>
      <w:r>
        <w:rPr>
          <w:lang w:val="fr-CH"/>
        </w:rPr>
        <w:t>2015:</w:t>
      </w:r>
      <w:proofErr w:type="gramEnd"/>
      <w:r>
        <w:rPr>
          <w:lang w:val="fr-CH"/>
        </w:rPr>
        <w:t xml:space="preserve"> 202</w:t>
      </w:r>
    </w:p>
  </w:footnote>
  <w:footnote w:id="26">
    <w:p w14:paraId="300E739B" w14:textId="64CE6250" w:rsidR="00F0418A" w:rsidRPr="00F0418A" w:rsidRDefault="00F0418A">
      <w:pPr>
        <w:pStyle w:val="FootnoteText"/>
        <w:rPr>
          <w:lang w:val="fr-CH"/>
        </w:rPr>
      </w:pPr>
      <w:r>
        <w:rPr>
          <w:rStyle w:val="FootnoteReference"/>
        </w:rPr>
        <w:footnoteRef/>
      </w:r>
      <w:r>
        <w:t xml:space="preserve"> </w:t>
      </w:r>
      <w:proofErr w:type="spellStart"/>
      <w:r>
        <w:rPr>
          <w:lang w:val="fr-CH"/>
        </w:rPr>
        <w:t>Loman</w:t>
      </w:r>
      <w:proofErr w:type="spellEnd"/>
      <w:r>
        <w:rPr>
          <w:lang w:val="fr-CH"/>
        </w:rPr>
        <w:t xml:space="preserve"> 2004 : 44</w:t>
      </w:r>
    </w:p>
  </w:footnote>
  <w:footnote w:id="27">
    <w:p w14:paraId="16DA1F48" w14:textId="60CC1A68" w:rsidR="00663459" w:rsidRPr="00663459" w:rsidRDefault="00663459">
      <w:pPr>
        <w:pStyle w:val="FootnoteText"/>
        <w:rPr>
          <w:lang w:val="fr-CH"/>
        </w:rPr>
      </w:pPr>
      <w:r>
        <w:rPr>
          <w:rStyle w:val="FootnoteReference"/>
        </w:rPr>
        <w:footnoteRef/>
      </w:r>
      <w:r>
        <w:t xml:space="preserve"> </w:t>
      </w:r>
      <w:proofErr w:type="gramStart"/>
      <w:r>
        <w:rPr>
          <w:lang w:val="fr-CH"/>
        </w:rPr>
        <w:t>van</w:t>
      </w:r>
      <w:proofErr w:type="gramEnd"/>
      <w:r>
        <w:rPr>
          <w:lang w:val="fr-CH"/>
        </w:rPr>
        <w:t xml:space="preserve"> </w:t>
      </w:r>
      <w:proofErr w:type="spellStart"/>
      <w:r>
        <w:rPr>
          <w:lang w:val="fr-CH"/>
        </w:rPr>
        <w:t>Wees</w:t>
      </w:r>
      <w:proofErr w:type="spellEnd"/>
      <w:r>
        <w:rPr>
          <w:lang w:val="fr-CH"/>
        </w:rPr>
        <w:t xml:space="preserve"> 2004: 144</w:t>
      </w:r>
    </w:p>
  </w:footnote>
  <w:footnote w:id="28">
    <w:p w14:paraId="16AF828C" w14:textId="0C69E82D" w:rsidR="00FA02D2" w:rsidRPr="00FA02D2" w:rsidRDefault="00FA02D2">
      <w:pPr>
        <w:pStyle w:val="FootnoteText"/>
        <w:rPr>
          <w:lang w:val="fr-CH"/>
        </w:rPr>
      </w:pPr>
      <w:r>
        <w:rPr>
          <w:rStyle w:val="FootnoteReference"/>
        </w:rPr>
        <w:footnoteRef/>
      </w:r>
      <w:r>
        <w:t xml:space="preserve"> </w:t>
      </w:r>
      <w:proofErr w:type="spellStart"/>
      <w:r>
        <w:rPr>
          <w:lang w:val="fr-CH"/>
        </w:rPr>
        <w:t>Ducrey</w:t>
      </w:r>
      <w:proofErr w:type="spellEnd"/>
      <w:r>
        <w:rPr>
          <w:lang w:val="fr-CH"/>
        </w:rPr>
        <w:t xml:space="preserve"> 2015 : 188</w:t>
      </w:r>
    </w:p>
  </w:footnote>
  <w:footnote w:id="29">
    <w:p w14:paraId="1085F08A" w14:textId="5CF42CC9" w:rsidR="00B0467A" w:rsidRPr="00B0467A" w:rsidRDefault="00B0467A">
      <w:pPr>
        <w:pStyle w:val="FootnoteText"/>
        <w:rPr>
          <w:lang w:val="fr-CH"/>
        </w:rPr>
      </w:pPr>
      <w:r>
        <w:rPr>
          <w:rStyle w:val="FootnoteReference"/>
        </w:rPr>
        <w:footnoteRef/>
      </w:r>
      <w:r>
        <w:t xml:space="preserve"> </w:t>
      </w:r>
      <w:proofErr w:type="spellStart"/>
      <w:r>
        <w:rPr>
          <w:lang w:val="fr-CH"/>
        </w:rPr>
        <w:t>Hornblower</w:t>
      </w:r>
      <w:proofErr w:type="spellEnd"/>
      <w:r>
        <w:rPr>
          <w:lang w:val="fr-CH"/>
        </w:rPr>
        <w:t xml:space="preserve"> 2011 : 197</w:t>
      </w:r>
    </w:p>
  </w:footnote>
  <w:footnote w:id="30">
    <w:p w14:paraId="44F5A32C" w14:textId="46B9BBC7" w:rsidR="00B0467A" w:rsidRPr="00B0467A" w:rsidRDefault="00B0467A">
      <w:pPr>
        <w:pStyle w:val="FootnoteText"/>
        <w:rPr>
          <w:lang w:val="fr-CH"/>
        </w:rPr>
      </w:pPr>
      <w:r>
        <w:rPr>
          <w:rStyle w:val="FootnoteReference"/>
        </w:rPr>
        <w:footnoteRef/>
      </w:r>
      <w:r>
        <w:t xml:space="preserve"> </w:t>
      </w:r>
      <w:proofErr w:type="gramStart"/>
      <w:r>
        <w:rPr>
          <w:lang w:val="fr-CH"/>
        </w:rPr>
        <w:t>van</w:t>
      </w:r>
      <w:proofErr w:type="gramEnd"/>
      <w:r>
        <w:rPr>
          <w:lang w:val="fr-CH"/>
        </w:rPr>
        <w:t xml:space="preserve"> </w:t>
      </w:r>
      <w:proofErr w:type="spellStart"/>
      <w:r>
        <w:rPr>
          <w:lang w:val="fr-CH"/>
        </w:rPr>
        <w:t>Wees</w:t>
      </w:r>
      <w:proofErr w:type="spellEnd"/>
      <w:r>
        <w:rPr>
          <w:lang w:val="fr-CH"/>
        </w:rPr>
        <w:t xml:space="preserve"> 2004: 144</w:t>
      </w:r>
    </w:p>
  </w:footnote>
  <w:footnote w:id="31">
    <w:p w14:paraId="71B57C18" w14:textId="75331EF0" w:rsidR="004C59CE" w:rsidRPr="004C59CE" w:rsidRDefault="004C59CE">
      <w:pPr>
        <w:pStyle w:val="FootnoteText"/>
      </w:pPr>
      <w:r>
        <w:rPr>
          <w:rStyle w:val="FootnoteReference"/>
        </w:rPr>
        <w:footnoteRef/>
      </w:r>
      <w:r>
        <w:t xml:space="preserve"> </w:t>
      </w:r>
      <w:r w:rsidRPr="004C59CE">
        <w:t xml:space="preserve">Aeneas </w:t>
      </w:r>
      <w:proofErr w:type="spellStart"/>
      <w:r w:rsidRPr="004C59CE">
        <w:t>Tacticus</w:t>
      </w:r>
      <w:proofErr w:type="spellEnd"/>
      <w:r w:rsidRPr="004C59CE">
        <w:t xml:space="preserve"> </w:t>
      </w:r>
      <w:r w:rsidRPr="004C59CE">
        <w:rPr>
          <w:i/>
        </w:rPr>
        <w:t xml:space="preserve">On </w:t>
      </w:r>
      <w:r w:rsidR="00AF6C39">
        <w:rPr>
          <w:i/>
        </w:rPr>
        <w:t>the Defence of Fortified Positions</w:t>
      </w:r>
      <w:r w:rsidRPr="004C59CE">
        <w:rPr>
          <w:i/>
        </w:rPr>
        <w:t xml:space="preserve"> </w:t>
      </w:r>
      <w:r w:rsidRPr="004C59CE">
        <w:t>40.4</w:t>
      </w:r>
    </w:p>
  </w:footnote>
  <w:footnote w:id="32">
    <w:p w14:paraId="5279563D" w14:textId="111E373B" w:rsidR="00AF6C39" w:rsidRPr="00AF6C39" w:rsidRDefault="00AF6C39">
      <w:pPr>
        <w:pStyle w:val="FootnoteText"/>
      </w:pPr>
      <w:r>
        <w:rPr>
          <w:rStyle w:val="FootnoteReference"/>
        </w:rPr>
        <w:footnoteRef/>
      </w:r>
      <w:r>
        <w:t xml:space="preserve"> </w:t>
      </w:r>
      <w:r w:rsidRPr="004C59CE">
        <w:t xml:space="preserve">Aeneas </w:t>
      </w:r>
      <w:proofErr w:type="spellStart"/>
      <w:r w:rsidRPr="004C59CE">
        <w:t>Tacticus</w:t>
      </w:r>
      <w:proofErr w:type="spellEnd"/>
      <w:r w:rsidRPr="004C59CE">
        <w:t xml:space="preserve"> </w:t>
      </w:r>
      <w:r w:rsidRPr="004C59CE">
        <w:rPr>
          <w:i/>
        </w:rPr>
        <w:t xml:space="preserve">On </w:t>
      </w:r>
      <w:r>
        <w:rPr>
          <w:i/>
        </w:rPr>
        <w:t>the Defence of Fortified Positions</w:t>
      </w:r>
      <w:r w:rsidRPr="004C59CE">
        <w:rPr>
          <w:i/>
        </w:rPr>
        <w:t xml:space="preserve"> </w:t>
      </w:r>
      <w:r>
        <w:t>40.5</w:t>
      </w:r>
    </w:p>
  </w:footnote>
  <w:footnote w:id="33">
    <w:p w14:paraId="16D36C8C" w14:textId="2E45A715" w:rsidR="009A0C45" w:rsidRPr="009A0C45" w:rsidRDefault="009A0C45">
      <w:pPr>
        <w:pStyle w:val="FootnoteText"/>
        <w:rPr>
          <w:lang w:val="fr-CH"/>
        </w:rPr>
      </w:pPr>
      <w:r>
        <w:rPr>
          <w:rStyle w:val="FootnoteReference"/>
        </w:rPr>
        <w:footnoteRef/>
      </w:r>
      <w:r>
        <w:t xml:space="preserve"> </w:t>
      </w:r>
      <w:proofErr w:type="spellStart"/>
      <w:r>
        <w:rPr>
          <w:lang w:val="fr-CH"/>
        </w:rPr>
        <w:t>Loman</w:t>
      </w:r>
      <w:proofErr w:type="spellEnd"/>
      <w:r>
        <w:rPr>
          <w:lang w:val="fr-CH"/>
        </w:rPr>
        <w:t xml:space="preserve"> 2004 : 42</w:t>
      </w:r>
    </w:p>
  </w:footnote>
  <w:footnote w:id="34">
    <w:p w14:paraId="5EC4F8C4" w14:textId="574BAAD3" w:rsidR="000B3714" w:rsidRPr="000B3714" w:rsidRDefault="000B3714">
      <w:pPr>
        <w:pStyle w:val="FootnoteText"/>
        <w:rPr>
          <w:lang w:val="fr-CH"/>
        </w:rPr>
      </w:pPr>
      <w:r>
        <w:rPr>
          <w:rStyle w:val="FootnoteReference"/>
        </w:rPr>
        <w:footnoteRef/>
      </w:r>
      <w:r>
        <w:t xml:space="preserve"> </w:t>
      </w:r>
      <w:proofErr w:type="spellStart"/>
      <w:r>
        <w:rPr>
          <w:lang w:val="fr-CH"/>
        </w:rPr>
        <w:t>Plutarch</w:t>
      </w:r>
      <w:proofErr w:type="spellEnd"/>
      <w:r>
        <w:rPr>
          <w:lang w:val="fr-CH"/>
        </w:rPr>
        <w:t xml:space="preserve">, </w:t>
      </w:r>
      <w:r>
        <w:rPr>
          <w:i/>
          <w:lang w:val="fr-CH"/>
        </w:rPr>
        <w:t>Pyrrhus</w:t>
      </w:r>
      <w:r>
        <w:rPr>
          <w:lang w:val="fr-CH"/>
        </w:rPr>
        <w:t>, 34.2</w:t>
      </w:r>
    </w:p>
  </w:footnote>
  <w:footnote w:id="35">
    <w:p w14:paraId="17362FCC" w14:textId="00703125" w:rsidR="00EC7A25" w:rsidRPr="00EC7A25" w:rsidRDefault="00EC7A25">
      <w:pPr>
        <w:pStyle w:val="FootnoteText"/>
        <w:rPr>
          <w:lang w:val="fr-CH"/>
        </w:rPr>
      </w:pPr>
      <w:r>
        <w:rPr>
          <w:rStyle w:val="FootnoteReference"/>
        </w:rPr>
        <w:footnoteRef/>
      </w:r>
      <w:r>
        <w:t xml:space="preserve"> </w:t>
      </w:r>
      <w:proofErr w:type="spellStart"/>
      <w:r>
        <w:rPr>
          <w:lang w:val="fr-CH"/>
        </w:rPr>
        <w:t>Loman</w:t>
      </w:r>
      <w:proofErr w:type="spellEnd"/>
      <w:r>
        <w:rPr>
          <w:lang w:val="fr-CH"/>
        </w:rPr>
        <w:t xml:space="preserve"> 2004 : 53- 54</w:t>
      </w:r>
    </w:p>
  </w:footnote>
  <w:footnote w:id="36">
    <w:p w14:paraId="58063654" w14:textId="73ED5844" w:rsidR="00EC7A25" w:rsidRPr="00EC7A25" w:rsidRDefault="00EC7A25">
      <w:pPr>
        <w:pStyle w:val="FootnoteText"/>
        <w:rPr>
          <w:lang w:val="fr-CH"/>
        </w:rPr>
      </w:pPr>
      <w:r>
        <w:rPr>
          <w:rStyle w:val="FootnoteReference"/>
        </w:rPr>
        <w:footnoteRef/>
      </w:r>
      <w:r>
        <w:t xml:space="preserve"> </w:t>
      </w:r>
      <w:proofErr w:type="spellStart"/>
      <w:r>
        <w:rPr>
          <w:lang w:val="fr-CH"/>
        </w:rPr>
        <w:t>Loman</w:t>
      </w:r>
      <w:proofErr w:type="spellEnd"/>
      <w:r>
        <w:rPr>
          <w:lang w:val="fr-CH"/>
        </w:rPr>
        <w:t xml:space="preserve"> 2004 : 34</w:t>
      </w:r>
    </w:p>
  </w:footnote>
  <w:footnote w:id="37">
    <w:p w14:paraId="0DA94512" w14:textId="679155E1" w:rsidR="002937EC" w:rsidRPr="002937EC" w:rsidRDefault="002937EC">
      <w:pPr>
        <w:pStyle w:val="FootnoteText"/>
        <w:rPr>
          <w:lang w:val="fr-CH"/>
        </w:rPr>
      </w:pPr>
      <w:r>
        <w:rPr>
          <w:rStyle w:val="FootnoteReference"/>
        </w:rPr>
        <w:footnoteRef/>
      </w:r>
      <w:r>
        <w:t xml:space="preserve"> </w:t>
      </w:r>
      <w:proofErr w:type="spellStart"/>
      <w:r>
        <w:rPr>
          <w:lang w:val="fr-CH"/>
        </w:rPr>
        <w:t>Aristotle</w:t>
      </w:r>
      <w:proofErr w:type="spellEnd"/>
      <w:r>
        <w:rPr>
          <w:lang w:val="fr-CH"/>
        </w:rPr>
        <w:t xml:space="preserve">, </w:t>
      </w:r>
      <w:proofErr w:type="spellStart"/>
      <w:r>
        <w:rPr>
          <w:i/>
          <w:lang w:val="fr-CH"/>
        </w:rPr>
        <w:t>Politics</w:t>
      </w:r>
      <w:proofErr w:type="spellEnd"/>
      <w:r>
        <w:rPr>
          <w:lang w:val="fr-CH"/>
        </w:rPr>
        <w:t xml:space="preserve"> 2.</w:t>
      </w:r>
      <w:r w:rsidRPr="00CD49D7">
        <w:t xml:space="preserve"> </w:t>
      </w:r>
      <w:r w:rsidRPr="00CD49D7">
        <w:rPr>
          <w:lang w:val="fr-CH"/>
        </w:rPr>
        <w:t>1269b</w:t>
      </w:r>
    </w:p>
  </w:footnote>
  <w:footnote w:id="38">
    <w:p w14:paraId="1C9A9AD6" w14:textId="5B6F2548" w:rsidR="000A6177" w:rsidRPr="000A6177" w:rsidRDefault="000A6177">
      <w:pPr>
        <w:pStyle w:val="FootnoteText"/>
        <w:rPr>
          <w:lang w:val="fr-CH"/>
        </w:rPr>
      </w:pPr>
      <w:r>
        <w:rPr>
          <w:rStyle w:val="FootnoteReference"/>
        </w:rPr>
        <w:footnoteRef/>
      </w:r>
      <w:r>
        <w:t xml:space="preserve"> </w:t>
      </w:r>
      <w:proofErr w:type="gramStart"/>
      <w:r>
        <w:rPr>
          <w:lang w:val="fr-CH"/>
        </w:rPr>
        <w:t>van</w:t>
      </w:r>
      <w:proofErr w:type="gramEnd"/>
      <w:r>
        <w:rPr>
          <w:lang w:val="fr-CH"/>
        </w:rPr>
        <w:t xml:space="preserve"> </w:t>
      </w:r>
      <w:proofErr w:type="spellStart"/>
      <w:r>
        <w:rPr>
          <w:lang w:val="fr-CH"/>
        </w:rPr>
        <w:t>Wees</w:t>
      </w:r>
      <w:proofErr w:type="spellEnd"/>
      <w:r>
        <w:rPr>
          <w:lang w:val="fr-CH"/>
        </w:rPr>
        <w:t xml:space="preserve"> 2004: 144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0AE"/>
    <w:rsid w:val="00007136"/>
    <w:rsid w:val="00024006"/>
    <w:rsid w:val="00067A97"/>
    <w:rsid w:val="00073D04"/>
    <w:rsid w:val="00086864"/>
    <w:rsid w:val="00091580"/>
    <w:rsid w:val="00092774"/>
    <w:rsid w:val="000A6177"/>
    <w:rsid w:val="000B3714"/>
    <w:rsid w:val="0012646F"/>
    <w:rsid w:val="00130A50"/>
    <w:rsid w:val="00134306"/>
    <w:rsid w:val="0014553A"/>
    <w:rsid w:val="00174DEB"/>
    <w:rsid w:val="001824EE"/>
    <w:rsid w:val="00184FC4"/>
    <w:rsid w:val="001877CF"/>
    <w:rsid w:val="001E236C"/>
    <w:rsid w:val="001F0601"/>
    <w:rsid w:val="00277EC1"/>
    <w:rsid w:val="002937EC"/>
    <w:rsid w:val="002E113D"/>
    <w:rsid w:val="002F64D3"/>
    <w:rsid w:val="00364A6A"/>
    <w:rsid w:val="003B7753"/>
    <w:rsid w:val="003C4A2F"/>
    <w:rsid w:val="00470788"/>
    <w:rsid w:val="00472EFE"/>
    <w:rsid w:val="004C59CE"/>
    <w:rsid w:val="00512688"/>
    <w:rsid w:val="00553CB1"/>
    <w:rsid w:val="005733F6"/>
    <w:rsid w:val="00582C6C"/>
    <w:rsid w:val="005C3EC7"/>
    <w:rsid w:val="005D201E"/>
    <w:rsid w:val="005F4272"/>
    <w:rsid w:val="0060317B"/>
    <w:rsid w:val="00611E14"/>
    <w:rsid w:val="00635464"/>
    <w:rsid w:val="00660492"/>
    <w:rsid w:val="00663459"/>
    <w:rsid w:val="00687C35"/>
    <w:rsid w:val="006952C4"/>
    <w:rsid w:val="00754C02"/>
    <w:rsid w:val="007575B0"/>
    <w:rsid w:val="00765FED"/>
    <w:rsid w:val="0078593E"/>
    <w:rsid w:val="0080679B"/>
    <w:rsid w:val="00867F4A"/>
    <w:rsid w:val="008A3ACB"/>
    <w:rsid w:val="009164B8"/>
    <w:rsid w:val="009343C4"/>
    <w:rsid w:val="00996284"/>
    <w:rsid w:val="009A0C45"/>
    <w:rsid w:val="009A24FD"/>
    <w:rsid w:val="009A27D5"/>
    <w:rsid w:val="009C39F6"/>
    <w:rsid w:val="00A010A8"/>
    <w:rsid w:val="00A445EA"/>
    <w:rsid w:val="00A63205"/>
    <w:rsid w:val="00AF6C39"/>
    <w:rsid w:val="00B0467A"/>
    <w:rsid w:val="00B175A4"/>
    <w:rsid w:val="00B347A9"/>
    <w:rsid w:val="00B64EE4"/>
    <w:rsid w:val="00B901ED"/>
    <w:rsid w:val="00BD015C"/>
    <w:rsid w:val="00C013E2"/>
    <w:rsid w:val="00C63D8C"/>
    <w:rsid w:val="00CA2CE4"/>
    <w:rsid w:val="00CA5F63"/>
    <w:rsid w:val="00CD49D7"/>
    <w:rsid w:val="00CF4AE8"/>
    <w:rsid w:val="00D03E29"/>
    <w:rsid w:val="00D400AE"/>
    <w:rsid w:val="00D54E7F"/>
    <w:rsid w:val="00D8080D"/>
    <w:rsid w:val="00DA6066"/>
    <w:rsid w:val="00EA1580"/>
    <w:rsid w:val="00EB79C9"/>
    <w:rsid w:val="00EC7A25"/>
    <w:rsid w:val="00EF05A7"/>
    <w:rsid w:val="00EF723A"/>
    <w:rsid w:val="00F0418A"/>
    <w:rsid w:val="00F35365"/>
    <w:rsid w:val="00F53F5F"/>
    <w:rsid w:val="00F858E4"/>
    <w:rsid w:val="00FA02D2"/>
    <w:rsid w:val="00FB0D55"/>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5573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70788"/>
  </w:style>
  <w:style w:type="character" w:customStyle="1" w:styleId="FootnoteTextChar">
    <w:name w:val="Footnote Text Char"/>
    <w:basedOn w:val="DefaultParagraphFont"/>
    <w:link w:val="FootnoteText"/>
    <w:uiPriority w:val="99"/>
    <w:rsid w:val="00470788"/>
  </w:style>
  <w:style w:type="character" w:styleId="FootnoteReference">
    <w:name w:val="footnote reference"/>
    <w:basedOn w:val="DefaultParagraphFont"/>
    <w:uiPriority w:val="99"/>
    <w:unhideWhenUsed/>
    <w:rsid w:val="00470788"/>
    <w:rPr>
      <w:vertAlign w:val="superscript"/>
    </w:rPr>
  </w:style>
  <w:style w:type="character" w:customStyle="1" w:styleId="title1">
    <w:name w:val="title1"/>
    <w:basedOn w:val="DefaultParagraphFont"/>
    <w:rsid w:val="00687C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590529">
      <w:bodyDiv w:val="1"/>
      <w:marLeft w:val="0"/>
      <w:marRight w:val="0"/>
      <w:marTop w:val="0"/>
      <w:marBottom w:val="0"/>
      <w:divBdr>
        <w:top w:val="none" w:sz="0" w:space="0" w:color="auto"/>
        <w:left w:val="none" w:sz="0" w:space="0" w:color="auto"/>
        <w:bottom w:val="none" w:sz="0" w:space="0" w:color="auto"/>
        <w:right w:val="none" w:sz="0" w:space="0" w:color="auto"/>
      </w:divBdr>
    </w:div>
    <w:div w:id="541527584">
      <w:bodyDiv w:val="1"/>
      <w:marLeft w:val="0"/>
      <w:marRight w:val="0"/>
      <w:marTop w:val="0"/>
      <w:marBottom w:val="0"/>
      <w:divBdr>
        <w:top w:val="none" w:sz="0" w:space="0" w:color="auto"/>
        <w:left w:val="none" w:sz="0" w:space="0" w:color="auto"/>
        <w:bottom w:val="none" w:sz="0" w:space="0" w:color="auto"/>
        <w:right w:val="none" w:sz="0" w:space="0" w:color="auto"/>
      </w:divBdr>
    </w:div>
    <w:div w:id="991060385">
      <w:bodyDiv w:val="1"/>
      <w:marLeft w:val="0"/>
      <w:marRight w:val="0"/>
      <w:marTop w:val="0"/>
      <w:marBottom w:val="0"/>
      <w:divBdr>
        <w:top w:val="none" w:sz="0" w:space="0" w:color="auto"/>
        <w:left w:val="none" w:sz="0" w:space="0" w:color="auto"/>
        <w:bottom w:val="none" w:sz="0" w:space="0" w:color="auto"/>
        <w:right w:val="none" w:sz="0" w:space="0" w:color="auto"/>
      </w:divBdr>
    </w:div>
    <w:div w:id="1062287739">
      <w:bodyDiv w:val="1"/>
      <w:marLeft w:val="0"/>
      <w:marRight w:val="0"/>
      <w:marTop w:val="0"/>
      <w:marBottom w:val="0"/>
      <w:divBdr>
        <w:top w:val="none" w:sz="0" w:space="0" w:color="auto"/>
        <w:left w:val="none" w:sz="0" w:space="0" w:color="auto"/>
        <w:bottom w:val="none" w:sz="0" w:space="0" w:color="auto"/>
        <w:right w:val="none" w:sz="0" w:space="0" w:color="auto"/>
      </w:divBdr>
    </w:div>
    <w:div w:id="1171988407">
      <w:bodyDiv w:val="1"/>
      <w:marLeft w:val="0"/>
      <w:marRight w:val="0"/>
      <w:marTop w:val="0"/>
      <w:marBottom w:val="0"/>
      <w:divBdr>
        <w:top w:val="none" w:sz="0" w:space="0" w:color="auto"/>
        <w:left w:val="none" w:sz="0" w:space="0" w:color="auto"/>
        <w:bottom w:val="none" w:sz="0" w:space="0" w:color="auto"/>
        <w:right w:val="none" w:sz="0" w:space="0" w:color="auto"/>
      </w:divBdr>
    </w:div>
    <w:div w:id="1214998668">
      <w:bodyDiv w:val="1"/>
      <w:marLeft w:val="0"/>
      <w:marRight w:val="0"/>
      <w:marTop w:val="0"/>
      <w:marBottom w:val="0"/>
      <w:divBdr>
        <w:top w:val="none" w:sz="0" w:space="0" w:color="auto"/>
        <w:left w:val="none" w:sz="0" w:space="0" w:color="auto"/>
        <w:bottom w:val="none" w:sz="0" w:space="0" w:color="auto"/>
        <w:right w:val="none" w:sz="0" w:space="0" w:color="auto"/>
      </w:divBdr>
    </w:div>
    <w:div w:id="1368724128">
      <w:bodyDiv w:val="1"/>
      <w:marLeft w:val="0"/>
      <w:marRight w:val="0"/>
      <w:marTop w:val="0"/>
      <w:marBottom w:val="0"/>
      <w:divBdr>
        <w:top w:val="none" w:sz="0" w:space="0" w:color="auto"/>
        <w:left w:val="none" w:sz="0" w:space="0" w:color="auto"/>
        <w:bottom w:val="none" w:sz="0" w:space="0" w:color="auto"/>
        <w:right w:val="none" w:sz="0" w:space="0" w:color="auto"/>
      </w:divBdr>
    </w:div>
    <w:div w:id="1447116070">
      <w:bodyDiv w:val="1"/>
      <w:marLeft w:val="0"/>
      <w:marRight w:val="0"/>
      <w:marTop w:val="0"/>
      <w:marBottom w:val="0"/>
      <w:divBdr>
        <w:top w:val="none" w:sz="0" w:space="0" w:color="auto"/>
        <w:left w:val="none" w:sz="0" w:space="0" w:color="auto"/>
        <w:bottom w:val="none" w:sz="0" w:space="0" w:color="auto"/>
        <w:right w:val="none" w:sz="0" w:space="0" w:color="auto"/>
      </w:divBdr>
    </w:div>
    <w:div w:id="1453547672">
      <w:bodyDiv w:val="1"/>
      <w:marLeft w:val="0"/>
      <w:marRight w:val="0"/>
      <w:marTop w:val="0"/>
      <w:marBottom w:val="0"/>
      <w:divBdr>
        <w:top w:val="none" w:sz="0" w:space="0" w:color="auto"/>
        <w:left w:val="none" w:sz="0" w:space="0" w:color="auto"/>
        <w:bottom w:val="none" w:sz="0" w:space="0" w:color="auto"/>
        <w:right w:val="none" w:sz="0" w:space="0" w:color="auto"/>
      </w:divBdr>
    </w:div>
    <w:div w:id="1581676130">
      <w:bodyDiv w:val="1"/>
      <w:marLeft w:val="0"/>
      <w:marRight w:val="0"/>
      <w:marTop w:val="0"/>
      <w:marBottom w:val="0"/>
      <w:divBdr>
        <w:top w:val="none" w:sz="0" w:space="0" w:color="auto"/>
        <w:left w:val="none" w:sz="0" w:space="0" w:color="auto"/>
        <w:bottom w:val="none" w:sz="0" w:space="0" w:color="auto"/>
        <w:right w:val="none" w:sz="0" w:space="0" w:color="auto"/>
      </w:divBdr>
    </w:div>
    <w:div w:id="1696228503">
      <w:bodyDiv w:val="1"/>
      <w:marLeft w:val="0"/>
      <w:marRight w:val="0"/>
      <w:marTop w:val="0"/>
      <w:marBottom w:val="0"/>
      <w:divBdr>
        <w:top w:val="none" w:sz="0" w:space="0" w:color="auto"/>
        <w:left w:val="none" w:sz="0" w:space="0" w:color="auto"/>
        <w:bottom w:val="none" w:sz="0" w:space="0" w:color="auto"/>
        <w:right w:val="none" w:sz="0" w:space="0" w:color="auto"/>
      </w:divBdr>
    </w:div>
    <w:div w:id="1733768605">
      <w:bodyDiv w:val="1"/>
      <w:marLeft w:val="0"/>
      <w:marRight w:val="0"/>
      <w:marTop w:val="0"/>
      <w:marBottom w:val="0"/>
      <w:divBdr>
        <w:top w:val="none" w:sz="0" w:space="0" w:color="auto"/>
        <w:left w:val="none" w:sz="0" w:space="0" w:color="auto"/>
        <w:bottom w:val="none" w:sz="0" w:space="0" w:color="auto"/>
        <w:right w:val="none" w:sz="0" w:space="0" w:color="auto"/>
      </w:divBdr>
    </w:div>
    <w:div w:id="1806191287">
      <w:bodyDiv w:val="1"/>
      <w:marLeft w:val="0"/>
      <w:marRight w:val="0"/>
      <w:marTop w:val="0"/>
      <w:marBottom w:val="0"/>
      <w:divBdr>
        <w:top w:val="none" w:sz="0" w:space="0" w:color="auto"/>
        <w:left w:val="none" w:sz="0" w:space="0" w:color="auto"/>
        <w:bottom w:val="none" w:sz="0" w:space="0" w:color="auto"/>
        <w:right w:val="none" w:sz="0" w:space="0" w:color="auto"/>
      </w:divBdr>
    </w:div>
    <w:div w:id="1970667631">
      <w:bodyDiv w:val="1"/>
      <w:marLeft w:val="0"/>
      <w:marRight w:val="0"/>
      <w:marTop w:val="0"/>
      <w:marBottom w:val="0"/>
      <w:divBdr>
        <w:top w:val="none" w:sz="0" w:space="0" w:color="auto"/>
        <w:left w:val="none" w:sz="0" w:space="0" w:color="auto"/>
        <w:bottom w:val="none" w:sz="0" w:space="0" w:color="auto"/>
        <w:right w:val="none" w:sz="0" w:space="0" w:color="auto"/>
      </w:divBdr>
    </w:div>
    <w:div w:id="2047874383">
      <w:bodyDiv w:val="1"/>
      <w:marLeft w:val="0"/>
      <w:marRight w:val="0"/>
      <w:marTop w:val="0"/>
      <w:marBottom w:val="0"/>
      <w:divBdr>
        <w:top w:val="none" w:sz="0" w:space="0" w:color="auto"/>
        <w:left w:val="none" w:sz="0" w:space="0" w:color="auto"/>
        <w:bottom w:val="none" w:sz="0" w:space="0" w:color="auto"/>
        <w:right w:val="none" w:sz="0" w:space="0" w:color="auto"/>
      </w:divBdr>
    </w:div>
    <w:div w:id="2074499872">
      <w:bodyDiv w:val="1"/>
      <w:marLeft w:val="0"/>
      <w:marRight w:val="0"/>
      <w:marTop w:val="0"/>
      <w:marBottom w:val="0"/>
      <w:divBdr>
        <w:top w:val="none" w:sz="0" w:space="0" w:color="auto"/>
        <w:left w:val="none" w:sz="0" w:space="0" w:color="auto"/>
        <w:bottom w:val="none" w:sz="0" w:space="0" w:color="auto"/>
        <w:right w:val="none" w:sz="0" w:space="0" w:color="auto"/>
      </w:divBdr>
    </w:div>
    <w:div w:id="21442741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Lom04</b:Tag>
    <b:SourceType>Book</b:SourceType>
    <b:Guid>{157F545F-B1F7-004F-B1A7-24EFD6630751}</b:Guid>
    <b:Author>
      <b:Author>
        <b:NameList>
          <b:Person>
            <b:Last>Loman</b:Last>
          </b:Person>
        </b:NameList>
      </b:Author>
    </b:Author>
    <b:Year>2004</b:Year>
    <b:RefOrder>1</b:RefOrder>
  </b:Source>
  <b:Source>
    <b:Tag>Geo15</b:Tag>
    <b:SourceType>Book</b:SourceType>
    <b:Guid>{1D476D18-5B58-1E49-A601-916028A376C0}</b:Guid>
    <b:Author>
      <b:Author>
        <b:NameList>
          <b:Person>
            <b:Last>Georgoudi</b:Last>
          </b:Person>
        </b:NameList>
      </b:Author>
    </b:Author>
    <b:Year>2015</b:Year>
    <b:RefOrder>2</b:RefOrder>
  </b:Source>
</b:Sources>
</file>

<file path=customXml/itemProps1.xml><?xml version="1.0" encoding="utf-8"?>
<ds:datastoreItem xmlns:ds="http://schemas.openxmlformats.org/officeDocument/2006/customXml" ds:itemID="{EAEB3FEC-BB6B-0345-90C5-BA6F2806D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10</Pages>
  <Words>2398</Words>
  <Characters>11084</Characters>
  <Application>Microsoft Macintosh Word</Application>
  <DocSecurity>0</DocSecurity>
  <Lines>158</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Haylock (1500488)</dc:creator>
  <cp:keywords/>
  <dc:description/>
  <cp:lastModifiedBy>Megan Haylock (1500488)</cp:lastModifiedBy>
  <cp:revision>23</cp:revision>
  <dcterms:created xsi:type="dcterms:W3CDTF">2018-03-15T11:19:00Z</dcterms:created>
  <dcterms:modified xsi:type="dcterms:W3CDTF">2018-03-15T22:36:00Z</dcterms:modified>
</cp:coreProperties>
</file>