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81F4A6" w:rsidR="00923A14" w:rsidRPr="004A1148" w:rsidRDefault="00923A14" w:rsidP="00923A14">
      <w:pPr>
        <w:ind w:left="284"/>
        <w:rPr>
          <w:rFonts w:ascii="Arial" w:hAnsi="Arial" w:cs="Arial"/>
          <w:b/>
          <w:sz w:val="24"/>
          <w:u w:val="single"/>
        </w:rPr>
      </w:pPr>
    </w:p>
    <w:p w14:paraId="5CAC469B" w14:textId="4F937EA9" w:rsidR="00923A14" w:rsidRPr="004A1148" w:rsidRDefault="00A42574"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04824FE1">
            <wp:simplePos x="0" y="0"/>
            <wp:positionH relativeFrom="page">
              <wp:align>center</wp:align>
            </wp:positionH>
            <wp:positionV relativeFrom="paragraph">
              <wp:posOffset>89549</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2F2772BB"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599"/>
        <w:gridCol w:w="2374"/>
        <w:gridCol w:w="2552"/>
        <w:gridCol w:w="2724"/>
        <w:gridCol w:w="2922"/>
        <w:gridCol w:w="2905"/>
      </w:tblGrid>
      <w:tr w:rsidR="004A7D3D" w:rsidRPr="004A1148" w14:paraId="0ADBC58B" w14:textId="77777777" w:rsidTr="003E0CDF">
        <w:trPr>
          <w:cantSplit/>
          <w:trHeight w:val="510"/>
          <w:jc w:val="center"/>
        </w:trPr>
        <w:tc>
          <w:tcPr>
            <w:tcW w:w="159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37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3E0CDF" w:rsidRPr="004A1148" w14:paraId="166CE3E7" w14:textId="77777777" w:rsidTr="003E0CDF">
        <w:trPr>
          <w:cantSplit/>
          <w:trHeight w:val="510"/>
          <w:jc w:val="center"/>
        </w:trPr>
        <w:tc>
          <w:tcPr>
            <w:tcW w:w="1599" w:type="dxa"/>
            <w:vAlign w:val="bottom"/>
          </w:tcPr>
          <w:p w14:paraId="2C3618AC" w14:textId="5CD1CF1B" w:rsidR="003E0CDF" w:rsidRPr="004A1148" w:rsidRDefault="003E0CDF" w:rsidP="003E0CDF">
            <w:pPr>
              <w:pStyle w:val="TableText"/>
              <w:rPr>
                <w:rFonts w:cs="Arial"/>
              </w:rPr>
            </w:pPr>
            <w:r>
              <w:rPr>
                <w:rFonts w:cs="Arial"/>
              </w:rPr>
              <w:t>B – 2000 hosts</w:t>
            </w:r>
          </w:p>
        </w:tc>
        <w:tc>
          <w:tcPr>
            <w:tcW w:w="2374" w:type="dxa"/>
            <w:vAlign w:val="bottom"/>
          </w:tcPr>
          <w:p w14:paraId="325D5AA6" w14:textId="3239E0DB" w:rsidR="003E0CDF" w:rsidRPr="004A1148" w:rsidRDefault="003E0CDF" w:rsidP="003E0CDF">
            <w:pPr>
              <w:pStyle w:val="TableText"/>
              <w:rPr>
                <w:rFonts w:cs="Arial"/>
              </w:rPr>
            </w:pPr>
            <w:r>
              <w:rPr>
                <w:rFonts w:cs="Arial"/>
              </w:rPr>
              <w:t>172.16.2.0</w:t>
            </w:r>
          </w:p>
        </w:tc>
        <w:tc>
          <w:tcPr>
            <w:tcW w:w="2552" w:type="dxa"/>
          </w:tcPr>
          <w:p w14:paraId="64D79944" w14:textId="77B65A4F" w:rsidR="003E0CDF" w:rsidRPr="004A1148" w:rsidRDefault="003E0CDF" w:rsidP="003E0CDF">
            <w:pPr>
              <w:pStyle w:val="TableText"/>
              <w:rPr>
                <w:rFonts w:cs="Arial"/>
              </w:rPr>
            </w:pPr>
            <w:r>
              <w:rPr>
                <w:rFonts w:cs="Arial"/>
              </w:rPr>
              <w:t>255.255.248.0</w:t>
            </w:r>
          </w:p>
        </w:tc>
        <w:tc>
          <w:tcPr>
            <w:tcW w:w="2724" w:type="dxa"/>
            <w:vAlign w:val="bottom"/>
          </w:tcPr>
          <w:p w14:paraId="426B55D1" w14:textId="377CBDC2" w:rsidR="003E0CDF" w:rsidRPr="004A1148" w:rsidRDefault="003E0CDF" w:rsidP="003E0CDF">
            <w:pPr>
              <w:pStyle w:val="TableText"/>
              <w:rPr>
                <w:rFonts w:cs="Arial"/>
              </w:rPr>
            </w:pPr>
            <w:r>
              <w:rPr>
                <w:rFonts w:cs="Arial"/>
              </w:rPr>
              <w:t>172.16.2.1</w:t>
            </w:r>
          </w:p>
        </w:tc>
        <w:tc>
          <w:tcPr>
            <w:tcW w:w="2922" w:type="dxa"/>
            <w:vAlign w:val="bottom"/>
          </w:tcPr>
          <w:p w14:paraId="2AC7FFA7" w14:textId="43438EF6" w:rsidR="003E0CDF" w:rsidRPr="004A1148" w:rsidRDefault="003E0CDF" w:rsidP="003E0CDF">
            <w:pPr>
              <w:pStyle w:val="TableText"/>
              <w:rPr>
                <w:rFonts w:cs="Arial"/>
              </w:rPr>
            </w:pPr>
            <w:r>
              <w:rPr>
                <w:rFonts w:cs="Arial"/>
              </w:rPr>
              <w:t>172.16.9.254</w:t>
            </w:r>
          </w:p>
        </w:tc>
        <w:tc>
          <w:tcPr>
            <w:tcW w:w="2905" w:type="dxa"/>
            <w:vAlign w:val="bottom"/>
          </w:tcPr>
          <w:p w14:paraId="55A78382" w14:textId="70B61DB9" w:rsidR="003E0CDF" w:rsidRPr="004A1148" w:rsidRDefault="003E0CDF" w:rsidP="003E0CDF">
            <w:pPr>
              <w:pStyle w:val="TableText"/>
              <w:ind w:left="284"/>
              <w:rPr>
                <w:rFonts w:cs="Arial"/>
              </w:rPr>
            </w:pPr>
            <w:r>
              <w:rPr>
                <w:rFonts w:cs="Arial"/>
              </w:rPr>
              <w:t>172.16.9.255</w:t>
            </w:r>
          </w:p>
        </w:tc>
      </w:tr>
      <w:tr w:rsidR="003E0CDF" w:rsidRPr="004A1148" w14:paraId="25431512" w14:textId="77777777" w:rsidTr="003E0CDF">
        <w:trPr>
          <w:cantSplit/>
          <w:trHeight w:val="510"/>
          <w:jc w:val="center"/>
        </w:trPr>
        <w:tc>
          <w:tcPr>
            <w:tcW w:w="1599" w:type="dxa"/>
            <w:vAlign w:val="bottom"/>
          </w:tcPr>
          <w:p w14:paraId="6A6FC7F1" w14:textId="16304F5E" w:rsidR="003E0CDF" w:rsidRPr="004A1148" w:rsidRDefault="003E0CDF" w:rsidP="003E0CDF">
            <w:pPr>
              <w:pStyle w:val="TableText"/>
              <w:rPr>
                <w:rFonts w:cs="Arial"/>
              </w:rPr>
            </w:pPr>
            <w:r>
              <w:rPr>
                <w:rFonts w:cs="Arial"/>
              </w:rPr>
              <w:t>D – 500 hosts</w:t>
            </w:r>
          </w:p>
        </w:tc>
        <w:tc>
          <w:tcPr>
            <w:tcW w:w="2374" w:type="dxa"/>
            <w:vAlign w:val="bottom"/>
          </w:tcPr>
          <w:p w14:paraId="5D565D23" w14:textId="0F258A13" w:rsidR="003E0CDF" w:rsidRPr="004A1148" w:rsidRDefault="003E0CDF" w:rsidP="003E0CDF">
            <w:pPr>
              <w:pStyle w:val="TableText"/>
              <w:rPr>
                <w:rFonts w:cs="Arial"/>
              </w:rPr>
            </w:pPr>
            <w:r>
              <w:rPr>
                <w:rFonts w:cs="Arial"/>
              </w:rPr>
              <w:t>172.16.10.0</w:t>
            </w:r>
          </w:p>
        </w:tc>
        <w:tc>
          <w:tcPr>
            <w:tcW w:w="2552" w:type="dxa"/>
          </w:tcPr>
          <w:p w14:paraId="5E77A652" w14:textId="2145B274" w:rsidR="003E0CDF" w:rsidRPr="004A1148" w:rsidRDefault="003E0CDF" w:rsidP="003E0CDF">
            <w:pPr>
              <w:pStyle w:val="TableText"/>
              <w:rPr>
                <w:rFonts w:cs="Arial"/>
              </w:rPr>
            </w:pPr>
            <w:r>
              <w:rPr>
                <w:rFonts w:cs="Arial"/>
              </w:rPr>
              <w:t>255.255.254.0</w:t>
            </w:r>
          </w:p>
        </w:tc>
        <w:tc>
          <w:tcPr>
            <w:tcW w:w="2724" w:type="dxa"/>
            <w:vAlign w:val="bottom"/>
          </w:tcPr>
          <w:p w14:paraId="553FF9D4" w14:textId="5A7C7CA3" w:rsidR="003E0CDF" w:rsidRPr="004A1148" w:rsidRDefault="003E0CDF" w:rsidP="003E0CDF">
            <w:pPr>
              <w:pStyle w:val="TableText"/>
              <w:rPr>
                <w:rFonts w:cs="Arial"/>
              </w:rPr>
            </w:pPr>
            <w:r>
              <w:rPr>
                <w:rFonts w:cs="Arial"/>
              </w:rPr>
              <w:t>172.16.10.1</w:t>
            </w:r>
          </w:p>
        </w:tc>
        <w:tc>
          <w:tcPr>
            <w:tcW w:w="2922" w:type="dxa"/>
            <w:vAlign w:val="bottom"/>
          </w:tcPr>
          <w:p w14:paraId="12602C5C" w14:textId="7C65DBFF" w:rsidR="003E0CDF" w:rsidRPr="004A1148" w:rsidRDefault="003E0CDF" w:rsidP="003E0CDF">
            <w:pPr>
              <w:pStyle w:val="TableText"/>
              <w:rPr>
                <w:rFonts w:cs="Arial"/>
              </w:rPr>
            </w:pPr>
            <w:r>
              <w:rPr>
                <w:rFonts w:cs="Arial"/>
              </w:rPr>
              <w:t>172.16.11.254</w:t>
            </w:r>
          </w:p>
        </w:tc>
        <w:tc>
          <w:tcPr>
            <w:tcW w:w="2905" w:type="dxa"/>
            <w:vAlign w:val="bottom"/>
          </w:tcPr>
          <w:p w14:paraId="0E927FF2" w14:textId="5E04FAEC" w:rsidR="003E0CDF" w:rsidRPr="004A1148" w:rsidRDefault="003E0CDF" w:rsidP="003E0CDF">
            <w:pPr>
              <w:pStyle w:val="TableText"/>
              <w:ind w:left="284"/>
              <w:rPr>
                <w:rFonts w:cs="Arial"/>
              </w:rPr>
            </w:pPr>
            <w:r>
              <w:rPr>
                <w:rFonts w:cs="Arial"/>
              </w:rPr>
              <w:t>172.16.11.255</w:t>
            </w:r>
          </w:p>
        </w:tc>
      </w:tr>
      <w:tr w:rsidR="003E0CDF" w:rsidRPr="004A1148" w14:paraId="1804910C" w14:textId="77777777" w:rsidTr="003E0CDF">
        <w:trPr>
          <w:cantSplit/>
          <w:trHeight w:val="510"/>
          <w:jc w:val="center"/>
        </w:trPr>
        <w:tc>
          <w:tcPr>
            <w:tcW w:w="1599" w:type="dxa"/>
            <w:vAlign w:val="bottom"/>
          </w:tcPr>
          <w:p w14:paraId="198C292F" w14:textId="7A2BEC14" w:rsidR="003E0CDF" w:rsidRPr="004A1148" w:rsidRDefault="003E0CDF" w:rsidP="003E0CDF">
            <w:pPr>
              <w:pStyle w:val="TableText"/>
              <w:rPr>
                <w:rFonts w:cs="Arial"/>
              </w:rPr>
            </w:pPr>
            <w:r>
              <w:rPr>
                <w:rFonts w:cs="Arial"/>
              </w:rPr>
              <w:t>F – 180 hosts</w:t>
            </w:r>
          </w:p>
        </w:tc>
        <w:tc>
          <w:tcPr>
            <w:tcW w:w="2374" w:type="dxa"/>
            <w:vAlign w:val="bottom"/>
          </w:tcPr>
          <w:p w14:paraId="3114BB27" w14:textId="7940A098" w:rsidR="003E0CDF" w:rsidRPr="004A1148" w:rsidRDefault="003E0CDF" w:rsidP="003E0CDF">
            <w:pPr>
              <w:pStyle w:val="TableText"/>
              <w:rPr>
                <w:rFonts w:cs="Arial"/>
              </w:rPr>
            </w:pPr>
            <w:r>
              <w:rPr>
                <w:rFonts w:cs="Arial"/>
              </w:rPr>
              <w:t>172.16.12.0</w:t>
            </w:r>
          </w:p>
        </w:tc>
        <w:tc>
          <w:tcPr>
            <w:tcW w:w="2552" w:type="dxa"/>
          </w:tcPr>
          <w:p w14:paraId="0D8FD5C7" w14:textId="604D2B10" w:rsidR="003E0CDF" w:rsidRPr="004A1148" w:rsidRDefault="003E0CDF" w:rsidP="003E0CDF">
            <w:pPr>
              <w:pStyle w:val="TableText"/>
              <w:rPr>
                <w:rFonts w:cs="Arial"/>
              </w:rPr>
            </w:pPr>
            <w:r>
              <w:rPr>
                <w:rFonts w:cs="Arial"/>
              </w:rPr>
              <w:t>255.255.255.0</w:t>
            </w:r>
          </w:p>
        </w:tc>
        <w:tc>
          <w:tcPr>
            <w:tcW w:w="2724" w:type="dxa"/>
            <w:vAlign w:val="bottom"/>
          </w:tcPr>
          <w:p w14:paraId="035CA129" w14:textId="776D11C1" w:rsidR="003E0CDF" w:rsidRPr="004A1148" w:rsidRDefault="003E0CDF" w:rsidP="003E0CDF">
            <w:pPr>
              <w:pStyle w:val="TableText"/>
              <w:rPr>
                <w:rFonts w:cs="Arial"/>
              </w:rPr>
            </w:pPr>
            <w:r>
              <w:rPr>
                <w:rFonts w:cs="Arial"/>
              </w:rPr>
              <w:t>172.16.12.1</w:t>
            </w:r>
          </w:p>
        </w:tc>
        <w:tc>
          <w:tcPr>
            <w:tcW w:w="2922" w:type="dxa"/>
            <w:vAlign w:val="bottom"/>
          </w:tcPr>
          <w:p w14:paraId="139F5B25" w14:textId="5851736C" w:rsidR="003E0CDF" w:rsidRPr="004A1148" w:rsidRDefault="003E0CDF" w:rsidP="003E0CDF">
            <w:pPr>
              <w:pStyle w:val="TableText"/>
              <w:rPr>
                <w:rFonts w:cs="Arial"/>
              </w:rPr>
            </w:pPr>
            <w:r>
              <w:rPr>
                <w:rFonts w:cs="Arial"/>
              </w:rPr>
              <w:t>172.16.12.254</w:t>
            </w:r>
          </w:p>
        </w:tc>
        <w:tc>
          <w:tcPr>
            <w:tcW w:w="2905" w:type="dxa"/>
            <w:vAlign w:val="bottom"/>
          </w:tcPr>
          <w:p w14:paraId="63784539" w14:textId="722F4738" w:rsidR="003E0CDF" w:rsidRPr="004A1148" w:rsidRDefault="003E0CDF" w:rsidP="003E0CDF">
            <w:pPr>
              <w:pStyle w:val="TableText"/>
              <w:ind w:left="284"/>
              <w:rPr>
                <w:rFonts w:cs="Arial"/>
              </w:rPr>
            </w:pPr>
            <w:r>
              <w:rPr>
                <w:rFonts w:cs="Arial"/>
              </w:rPr>
              <w:t>172.16.12.255</w:t>
            </w:r>
          </w:p>
        </w:tc>
      </w:tr>
      <w:tr w:rsidR="003E0CDF" w:rsidRPr="004A1148" w14:paraId="6FCEA750" w14:textId="77777777" w:rsidTr="003E0CDF">
        <w:trPr>
          <w:cantSplit/>
          <w:trHeight w:val="510"/>
          <w:jc w:val="center"/>
        </w:trPr>
        <w:tc>
          <w:tcPr>
            <w:tcW w:w="1599" w:type="dxa"/>
            <w:vAlign w:val="bottom"/>
          </w:tcPr>
          <w:p w14:paraId="023D3E13" w14:textId="1E1D8D3E" w:rsidR="003E0CDF" w:rsidRPr="004A1148" w:rsidRDefault="003E0CDF" w:rsidP="003E0CDF">
            <w:pPr>
              <w:pStyle w:val="TableText"/>
              <w:rPr>
                <w:rFonts w:cs="Arial"/>
              </w:rPr>
            </w:pPr>
            <w:r>
              <w:rPr>
                <w:rFonts w:cs="Arial"/>
              </w:rPr>
              <w:t>E – 60 hosts</w:t>
            </w:r>
          </w:p>
        </w:tc>
        <w:tc>
          <w:tcPr>
            <w:tcW w:w="2374" w:type="dxa"/>
            <w:vAlign w:val="bottom"/>
          </w:tcPr>
          <w:p w14:paraId="028301AC" w14:textId="3FF8D76A" w:rsidR="003E0CDF" w:rsidRPr="004A1148" w:rsidRDefault="003E0CDF" w:rsidP="003E0CDF">
            <w:pPr>
              <w:pStyle w:val="TableText"/>
              <w:rPr>
                <w:rFonts w:cs="Arial"/>
              </w:rPr>
            </w:pPr>
            <w:r>
              <w:rPr>
                <w:rFonts w:cs="Arial"/>
              </w:rPr>
              <w:t>172.16.13.0</w:t>
            </w:r>
          </w:p>
        </w:tc>
        <w:tc>
          <w:tcPr>
            <w:tcW w:w="2552" w:type="dxa"/>
          </w:tcPr>
          <w:p w14:paraId="0E107CA2" w14:textId="14006F08" w:rsidR="003E0CDF" w:rsidRPr="004A1148" w:rsidRDefault="003E0CDF" w:rsidP="003E0CDF">
            <w:pPr>
              <w:pStyle w:val="TableText"/>
              <w:rPr>
                <w:rFonts w:cs="Arial"/>
              </w:rPr>
            </w:pPr>
            <w:r>
              <w:rPr>
                <w:rFonts w:cs="Arial"/>
              </w:rPr>
              <w:t>255.255.255.0</w:t>
            </w:r>
          </w:p>
        </w:tc>
        <w:tc>
          <w:tcPr>
            <w:tcW w:w="2724" w:type="dxa"/>
            <w:vAlign w:val="bottom"/>
          </w:tcPr>
          <w:p w14:paraId="76E3E1C0" w14:textId="2B7F8AB1" w:rsidR="003E0CDF" w:rsidRPr="004A1148" w:rsidRDefault="003E0CDF" w:rsidP="003E0CDF">
            <w:pPr>
              <w:pStyle w:val="TableText"/>
              <w:rPr>
                <w:rFonts w:cs="Arial"/>
              </w:rPr>
            </w:pPr>
            <w:r>
              <w:rPr>
                <w:rFonts w:cs="Arial"/>
              </w:rPr>
              <w:t>172.16.13.1</w:t>
            </w:r>
          </w:p>
        </w:tc>
        <w:tc>
          <w:tcPr>
            <w:tcW w:w="2922" w:type="dxa"/>
            <w:vAlign w:val="bottom"/>
          </w:tcPr>
          <w:p w14:paraId="1F58716B" w14:textId="0E21F42B" w:rsidR="003E0CDF" w:rsidRPr="004A1148" w:rsidRDefault="003E0CDF" w:rsidP="003E0CDF">
            <w:pPr>
              <w:pStyle w:val="TableText"/>
              <w:rPr>
                <w:rFonts w:cs="Arial"/>
              </w:rPr>
            </w:pPr>
            <w:r>
              <w:rPr>
                <w:rFonts w:cs="Arial"/>
              </w:rPr>
              <w:t>172.16.13.62</w:t>
            </w:r>
          </w:p>
        </w:tc>
        <w:tc>
          <w:tcPr>
            <w:tcW w:w="2905" w:type="dxa"/>
            <w:vAlign w:val="bottom"/>
          </w:tcPr>
          <w:p w14:paraId="1F03CCA5" w14:textId="15BB6621" w:rsidR="003E0CDF" w:rsidRPr="004A1148" w:rsidRDefault="003E0CDF" w:rsidP="003E0CDF">
            <w:pPr>
              <w:pStyle w:val="TableText"/>
              <w:ind w:left="284"/>
              <w:rPr>
                <w:rFonts w:cs="Arial"/>
              </w:rPr>
            </w:pPr>
            <w:r>
              <w:rPr>
                <w:rFonts w:cs="Arial"/>
              </w:rPr>
              <w:t>172.16.13.63</w:t>
            </w:r>
          </w:p>
        </w:tc>
      </w:tr>
      <w:tr w:rsidR="003E0CDF" w:rsidRPr="004A1148" w14:paraId="6B34B8B1" w14:textId="77777777" w:rsidTr="003E0CDF">
        <w:trPr>
          <w:cantSplit/>
          <w:trHeight w:val="510"/>
          <w:jc w:val="center"/>
        </w:trPr>
        <w:tc>
          <w:tcPr>
            <w:tcW w:w="1599" w:type="dxa"/>
            <w:vAlign w:val="bottom"/>
          </w:tcPr>
          <w:p w14:paraId="65F58BF1" w14:textId="4DA7EABA" w:rsidR="003E0CDF" w:rsidRPr="004A1148" w:rsidRDefault="003E0CDF" w:rsidP="003E0CDF">
            <w:pPr>
              <w:pStyle w:val="TableText"/>
              <w:rPr>
                <w:rFonts w:cs="Arial"/>
              </w:rPr>
            </w:pPr>
            <w:r>
              <w:rPr>
                <w:rFonts w:cs="Arial"/>
              </w:rPr>
              <w:t>A – 16 hosts</w:t>
            </w:r>
          </w:p>
        </w:tc>
        <w:tc>
          <w:tcPr>
            <w:tcW w:w="2374" w:type="dxa"/>
            <w:vAlign w:val="bottom"/>
          </w:tcPr>
          <w:p w14:paraId="18067B56" w14:textId="486CD76C" w:rsidR="003E0CDF" w:rsidRPr="004A1148" w:rsidRDefault="003E0CDF" w:rsidP="003E0CDF">
            <w:pPr>
              <w:pStyle w:val="TableText"/>
              <w:rPr>
                <w:rFonts w:cs="Arial"/>
              </w:rPr>
            </w:pPr>
            <w:r>
              <w:rPr>
                <w:rFonts w:cs="Arial"/>
              </w:rPr>
              <w:t>172.16.13.64</w:t>
            </w:r>
          </w:p>
        </w:tc>
        <w:tc>
          <w:tcPr>
            <w:tcW w:w="2552" w:type="dxa"/>
          </w:tcPr>
          <w:p w14:paraId="309D051E" w14:textId="7C32006F" w:rsidR="003E0CDF" w:rsidRPr="004A1148" w:rsidRDefault="003E0CDF" w:rsidP="003E0CDF">
            <w:pPr>
              <w:pStyle w:val="TableText"/>
              <w:rPr>
                <w:rFonts w:cs="Arial"/>
              </w:rPr>
            </w:pPr>
            <w:r>
              <w:rPr>
                <w:rFonts w:cs="Arial"/>
              </w:rPr>
              <w:t>255.255.255.224</w:t>
            </w:r>
          </w:p>
        </w:tc>
        <w:tc>
          <w:tcPr>
            <w:tcW w:w="2724" w:type="dxa"/>
            <w:vAlign w:val="bottom"/>
          </w:tcPr>
          <w:p w14:paraId="4BB66377" w14:textId="14582B44" w:rsidR="003E0CDF" w:rsidRPr="004A1148" w:rsidRDefault="003E0CDF" w:rsidP="003E0CDF">
            <w:pPr>
              <w:pStyle w:val="TableText"/>
              <w:rPr>
                <w:rFonts w:cs="Arial"/>
              </w:rPr>
            </w:pPr>
            <w:r>
              <w:rPr>
                <w:rFonts w:cs="Arial"/>
              </w:rPr>
              <w:t>172.16.13.65</w:t>
            </w:r>
          </w:p>
        </w:tc>
        <w:tc>
          <w:tcPr>
            <w:tcW w:w="2922" w:type="dxa"/>
            <w:vAlign w:val="bottom"/>
          </w:tcPr>
          <w:p w14:paraId="2F12A22D" w14:textId="7ECB3030" w:rsidR="003E0CDF" w:rsidRPr="004A1148" w:rsidRDefault="003E0CDF" w:rsidP="003E0CDF">
            <w:pPr>
              <w:pStyle w:val="TableText"/>
              <w:rPr>
                <w:rFonts w:cs="Arial"/>
              </w:rPr>
            </w:pPr>
            <w:r>
              <w:rPr>
                <w:rFonts w:cs="Arial"/>
              </w:rPr>
              <w:t>172.16.13.94</w:t>
            </w:r>
          </w:p>
        </w:tc>
        <w:tc>
          <w:tcPr>
            <w:tcW w:w="2905" w:type="dxa"/>
            <w:vAlign w:val="bottom"/>
          </w:tcPr>
          <w:p w14:paraId="78E458EF" w14:textId="74971BD6" w:rsidR="003E0CDF" w:rsidRPr="004A1148" w:rsidRDefault="003E0CDF" w:rsidP="003E0CDF">
            <w:pPr>
              <w:pStyle w:val="TableText"/>
              <w:ind w:left="284"/>
              <w:rPr>
                <w:rFonts w:cs="Arial"/>
              </w:rPr>
            </w:pPr>
            <w:r>
              <w:rPr>
                <w:rFonts w:cs="Arial"/>
              </w:rPr>
              <w:t>172.16.13.95</w:t>
            </w:r>
          </w:p>
        </w:tc>
      </w:tr>
      <w:tr w:rsidR="003E0CDF" w:rsidRPr="004A1148" w14:paraId="0B4ED2B0" w14:textId="77777777" w:rsidTr="003E0CDF">
        <w:trPr>
          <w:cantSplit/>
          <w:trHeight w:val="510"/>
          <w:jc w:val="center"/>
        </w:trPr>
        <w:tc>
          <w:tcPr>
            <w:tcW w:w="1599" w:type="dxa"/>
            <w:vAlign w:val="bottom"/>
          </w:tcPr>
          <w:p w14:paraId="609E3F7B" w14:textId="18E32B9C" w:rsidR="003E0CDF" w:rsidRPr="004A1148" w:rsidRDefault="003E0CDF" w:rsidP="003E0CDF">
            <w:pPr>
              <w:pStyle w:val="TableText"/>
              <w:rPr>
                <w:rFonts w:cs="Arial"/>
              </w:rPr>
            </w:pPr>
            <w:r>
              <w:rPr>
                <w:rFonts w:cs="Arial"/>
              </w:rPr>
              <w:t>C – 6 hosts</w:t>
            </w:r>
          </w:p>
        </w:tc>
        <w:tc>
          <w:tcPr>
            <w:tcW w:w="2374" w:type="dxa"/>
            <w:vAlign w:val="bottom"/>
          </w:tcPr>
          <w:p w14:paraId="31F64227" w14:textId="129122E1" w:rsidR="003E0CDF" w:rsidRPr="004A1148" w:rsidRDefault="003E0CDF" w:rsidP="003E0CDF">
            <w:pPr>
              <w:pStyle w:val="TableText"/>
              <w:rPr>
                <w:rFonts w:cs="Arial"/>
              </w:rPr>
            </w:pPr>
            <w:r>
              <w:rPr>
                <w:rFonts w:cs="Arial"/>
              </w:rPr>
              <w:t>172.16.13.96</w:t>
            </w:r>
          </w:p>
        </w:tc>
        <w:tc>
          <w:tcPr>
            <w:tcW w:w="2552" w:type="dxa"/>
          </w:tcPr>
          <w:p w14:paraId="55665601" w14:textId="2DCF488B" w:rsidR="003E0CDF" w:rsidRPr="004A1148" w:rsidRDefault="003E0CDF" w:rsidP="003E0CDF">
            <w:pPr>
              <w:pStyle w:val="TableText"/>
              <w:rPr>
                <w:rFonts w:cs="Arial"/>
              </w:rPr>
            </w:pPr>
            <w:r>
              <w:rPr>
                <w:rFonts w:cs="Arial"/>
              </w:rPr>
              <w:t>255.255.255.248</w:t>
            </w:r>
          </w:p>
        </w:tc>
        <w:tc>
          <w:tcPr>
            <w:tcW w:w="2724" w:type="dxa"/>
            <w:vAlign w:val="bottom"/>
          </w:tcPr>
          <w:p w14:paraId="4F549E4B" w14:textId="7E43ACBC" w:rsidR="003E0CDF" w:rsidRPr="004A1148" w:rsidRDefault="003E0CDF" w:rsidP="003E0CDF">
            <w:pPr>
              <w:pStyle w:val="TableText"/>
              <w:rPr>
                <w:rFonts w:cs="Arial"/>
              </w:rPr>
            </w:pPr>
            <w:r>
              <w:rPr>
                <w:rFonts w:cs="Arial"/>
              </w:rPr>
              <w:t>172.16.13.97</w:t>
            </w:r>
          </w:p>
        </w:tc>
        <w:tc>
          <w:tcPr>
            <w:tcW w:w="2922" w:type="dxa"/>
            <w:vAlign w:val="bottom"/>
          </w:tcPr>
          <w:p w14:paraId="7C499210" w14:textId="52D929CE" w:rsidR="003E0CDF" w:rsidRPr="004A1148" w:rsidRDefault="003E0CDF" w:rsidP="003E0CDF">
            <w:pPr>
              <w:pStyle w:val="TableText"/>
              <w:rPr>
                <w:rFonts w:cs="Arial"/>
              </w:rPr>
            </w:pPr>
            <w:r>
              <w:rPr>
                <w:rFonts w:cs="Arial"/>
              </w:rPr>
              <w:t>172.16.13.102</w:t>
            </w:r>
          </w:p>
        </w:tc>
        <w:tc>
          <w:tcPr>
            <w:tcW w:w="2905" w:type="dxa"/>
            <w:vAlign w:val="bottom"/>
          </w:tcPr>
          <w:p w14:paraId="2D756274" w14:textId="551EA0FD" w:rsidR="003E0CDF" w:rsidRPr="004A1148" w:rsidRDefault="003E0CDF" w:rsidP="003E0CDF">
            <w:pPr>
              <w:pStyle w:val="TableText"/>
              <w:ind w:left="284"/>
              <w:rPr>
                <w:rFonts w:cs="Arial"/>
              </w:rPr>
            </w:pPr>
            <w:r>
              <w:rPr>
                <w:rFonts w:cs="Arial"/>
              </w:rPr>
              <w:t>172.16.13.103</w:t>
            </w:r>
          </w:p>
        </w:tc>
      </w:tr>
      <w:tr w:rsidR="003E0CDF" w:rsidRPr="004A1148" w14:paraId="27709968" w14:textId="77777777" w:rsidTr="003E0CDF">
        <w:trPr>
          <w:cantSplit/>
          <w:trHeight w:val="510"/>
          <w:jc w:val="center"/>
        </w:trPr>
        <w:tc>
          <w:tcPr>
            <w:tcW w:w="1599" w:type="dxa"/>
            <w:vAlign w:val="bottom"/>
          </w:tcPr>
          <w:p w14:paraId="20984A5F" w14:textId="6FAD4176" w:rsidR="003E0CDF" w:rsidRPr="003E0CDF" w:rsidRDefault="003E0CDF" w:rsidP="003E0CDF">
            <w:pPr>
              <w:pStyle w:val="TableText"/>
              <w:rPr>
                <w:rFonts w:cs="Arial"/>
                <w:lang w:val="en-GB"/>
              </w:rPr>
            </w:pPr>
            <w:r>
              <w:rPr>
                <w:rFonts w:cs="Arial"/>
              </w:rPr>
              <w:t xml:space="preserve">G – </w:t>
            </w:r>
            <w:r>
              <w:rPr>
                <w:rFonts w:cs="Arial"/>
                <w:lang w:val="en-GB"/>
              </w:rPr>
              <w:t>R1 to R2</w:t>
            </w:r>
          </w:p>
        </w:tc>
        <w:tc>
          <w:tcPr>
            <w:tcW w:w="2374" w:type="dxa"/>
            <w:vAlign w:val="bottom"/>
          </w:tcPr>
          <w:p w14:paraId="0D69D9DC" w14:textId="64F3C0A4" w:rsidR="003E0CDF" w:rsidRPr="004A1148" w:rsidRDefault="003E0CDF" w:rsidP="003E0CDF">
            <w:pPr>
              <w:pStyle w:val="TableText"/>
              <w:rPr>
                <w:rFonts w:cs="Arial"/>
              </w:rPr>
            </w:pPr>
            <w:r>
              <w:rPr>
                <w:rFonts w:cs="Arial"/>
              </w:rPr>
              <w:t>172.16.13.104</w:t>
            </w:r>
          </w:p>
        </w:tc>
        <w:tc>
          <w:tcPr>
            <w:tcW w:w="2552" w:type="dxa"/>
          </w:tcPr>
          <w:p w14:paraId="30D77B01" w14:textId="6F4200B9" w:rsidR="003E0CDF" w:rsidRPr="004A1148" w:rsidRDefault="003E0CDF" w:rsidP="003E0CDF">
            <w:pPr>
              <w:pStyle w:val="TableText"/>
              <w:rPr>
                <w:rFonts w:cs="Arial"/>
              </w:rPr>
            </w:pPr>
            <w:r>
              <w:rPr>
                <w:rFonts w:cs="Arial"/>
              </w:rPr>
              <w:t>255.255.255.252</w:t>
            </w:r>
          </w:p>
        </w:tc>
        <w:tc>
          <w:tcPr>
            <w:tcW w:w="2724" w:type="dxa"/>
            <w:vAlign w:val="bottom"/>
          </w:tcPr>
          <w:p w14:paraId="5596A409" w14:textId="7F934CA9" w:rsidR="003E0CDF" w:rsidRPr="004A1148" w:rsidRDefault="003E0CDF" w:rsidP="003E0CDF">
            <w:pPr>
              <w:pStyle w:val="TableText"/>
              <w:rPr>
                <w:rFonts w:cs="Arial"/>
              </w:rPr>
            </w:pPr>
            <w:r>
              <w:rPr>
                <w:rFonts w:cs="Arial"/>
              </w:rPr>
              <w:t>172.16.13.105</w:t>
            </w:r>
          </w:p>
        </w:tc>
        <w:tc>
          <w:tcPr>
            <w:tcW w:w="2922" w:type="dxa"/>
            <w:vAlign w:val="bottom"/>
          </w:tcPr>
          <w:p w14:paraId="0F1FE2D6" w14:textId="720FBA20" w:rsidR="003E0CDF" w:rsidRPr="004A1148" w:rsidRDefault="003E0CDF" w:rsidP="003E0CDF">
            <w:pPr>
              <w:pStyle w:val="TableText"/>
              <w:rPr>
                <w:rFonts w:cs="Arial"/>
              </w:rPr>
            </w:pPr>
            <w:r>
              <w:rPr>
                <w:rFonts w:cs="Arial"/>
              </w:rPr>
              <w:t>172.16.13.106</w:t>
            </w:r>
          </w:p>
        </w:tc>
        <w:tc>
          <w:tcPr>
            <w:tcW w:w="2905" w:type="dxa"/>
            <w:vAlign w:val="bottom"/>
          </w:tcPr>
          <w:p w14:paraId="554DDEFE" w14:textId="5A052866" w:rsidR="003E0CDF" w:rsidRPr="004A1148" w:rsidRDefault="003E0CDF" w:rsidP="003E0CDF">
            <w:pPr>
              <w:pStyle w:val="TableText"/>
              <w:ind w:left="284"/>
              <w:rPr>
                <w:rFonts w:cs="Arial"/>
              </w:rPr>
            </w:pPr>
            <w:r>
              <w:rPr>
                <w:rFonts w:cs="Arial"/>
              </w:rPr>
              <w:t>172.16.13.107</w:t>
            </w:r>
          </w:p>
        </w:tc>
      </w:tr>
      <w:tr w:rsidR="003E0CDF" w:rsidRPr="004A1148" w14:paraId="0B6C4A12" w14:textId="77777777" w:rsidTr="003E0CDF">
        <w:trPr>
          <w:cantSplit/>
          <w:trHeight w:val="510"/>
          <w:jc w:val="center"/>
        </w:trPr>
        <w:tc>
          <w:tcPr>
            <w:tcW w:w="1599" w:type="dxa"/>
            <w:vAlign w:val="bottom"/>
          </w:tcPr>
          <w:p w14:paraId="61BCB553" w14:textId="123F98E2" w:rsidR="003E0CDF" w:rsidRPr="004A1148" w:rsidRDefault="003E0CDF" w:rsidP="003E0CDF">
            <w:pPr>
              <w:pStyle w:val="TableText"/>
              <w:rPr>
                <w:rFonts w:cs="Arial"/>
              </w:rPr>
            </w:pPr>
            <w:r>
              <w:rPr>
                <w:rFonts w:cs="Arial"/>
              </w:rPr>
              <w:t>H – R2 to R3</w:t>
            </w:r>
          </w:p>
        </w:tc>
        <w:tc>
          <w:tcPr>
            <w:tcW w:w="2374" w:type="dxa"/>
            <w:vAlign w:val="bottom"/>
          </w:tcPr>
          <w:p w14:paraId="1F850D77" w14:textId="655C6762" w:rsidR="003E0CDF" w:rsidRPr="004A1148" w:rsidRDefault="003E0CDF" w:rsidP="003E0CDF">
            <w:pPr>
              <w:pStyle w:val="TableText"/>
              <w:rPr>
                <w:rFonts w:cs="Arial"/>
              </w:rPr>
            </w:pPr>
            <w:r>
              <w:rPr>
                <w:rFonts w:cs="Arial"/>
              </w:rPr>
              <w:t>172.16.13.108</w:t>
            </w:r>
          </w:p>
        </w:tc>
        <w:tc>
          <w:tcPr>
            <w:tcW w:w="2552" w:type="dxa"/>
          </w:tcPr>
          <w:p w14:paraId="4E625FAD" w14:textId="0253E18F" w:rsidR="003E0CDF" w:rsidRPr="004A1148" w:rsidRDefault="003E0CDF" w:rsidP="003E0CDF">
            <w:pPr>
              <w:pStyle w:val="TableText"/>
              <w:rPr>
                <w:rFonts w:cs="Arial"/>
              </w:rPr>
            </w:pPr>
            <w:r>
              <w:rPr>
                <w:rFonts w:cs="Arial"/>
              </w:rPr>
              <w:t>255.255.255.252</w:t>
            </w:r>
          </w:p>
        </w:tc>
        <w:tc>
          <w:tcPr>
            <w:tcW w:w="2724" w:type="dxa"/>
            <w:vAlign w:val="bottom"/>
          </w:tcPr>
          <w:p w14:paraId="2EFD5AB2" w14:textId="437B510E" w:rsidR="003E0CDF" w:rsidRPr="004A1148" w:rsidRDefault="003E0CDF" w:rsidP="003E0CDF">
            <w:pPr>
              <w:pStyle w:val="TableText"/>
              <w:rPr>
                <w:rFonts w:cs="Arial"/>
              </w:rPr>
            </w:pPr>
            <w:r>
              <w:rPr>
                <w:rFonts w:cs="Arial"/>
              </w:rPr>
              <w:t>172.16.13.109</w:t>
            </w:r>
          </w:p>
        </w:tc>
        <w:tc>
          <w:tcPr>
            <w:tcW w:w="2922" w:type="dxa"/>
            <w:vAlign w:val="bottom"/>
          </w:tcPr>
          <w:p w14:paraId="488D3941" w14:textId="01544F1A" w:rsidR="003E0CDF" w:rsidRPr="004A1148" w:rsidRDefault="003E0CDF" w:rsidP="003E0CDF">
            <w:pPr>
              <w:pStyle w:val="TableText"/>
              <w:rPr>
                <w:rFonts w:cs="Arial"/>
              </w:rPr>
            </w:pPr>
            <w:r>
              <w:rPr>
                <w:rFonts w:cs="Arial"/>
              </w:rPr>
              <w:t>172.16.13.110</w:t>
            </w:r>
          </w:p>
        </w:tc>
        <w:tc>
          <w:tcPr>
            <w:tcW w:w="2905" w:type="dxa"/>
            <w:vAlign w:val="bottom"/>
          </w:tcPr>
          <w:p w14:paraId="6CDA3D3D" w14:textId="170AA453" w:rsidR="003E0CDF" w:rsidRPr="003E0CDF" w:rsidRDefault="003E0CDF" w:rsidP="003E0CDF">
            <w:pPr>
              <w:pStyle w:val="TableText"/>
              <w:ind w:left="284"/>
              <w:rPr>
                <w:rFonts w:cs="Arial"/>
                <w:lang w:val="en-GB"/>
              </w:rPr>
            </w:pPr>
            <w:r>
              <w:rPr>
                <w:rFonts w:cs="Arial"/>
              </w:rPr>
              <w:t>172.16.13.111</w:t>
            </w:r>
          </w:p>
        </w:tc>
      </w:tr>
      <w:tr w:rsidR="003E0CDF" w:rsidRPr="004A1148" w14:paraId="7FC18FDC" w14:textId="77777777" w:rsidTr="003E0CDF">
        <w:trPr>
          <w:cantSplit/>
          <w:trHeight w:val="510"/>
          <w:jc w:val="center"/>
        </w:trPr>
        <w:tc>
          <w:tcPr>
            <w:tcW w:w="1599" w:type="dxa"/>
            <w:vAlign w:val="bottom"/>
          </w:tcPr>
          <w:p w14:paraId="1FB33D0A" w14:textId="77777777" w:rsidR="003E0CDF" w:rsidRPr="004A1148" w:rsidRDefault="003E0CDF" w:rsidP="003E0CDF">
            <w:pPr>
              <w:pStyle w:val="TableText"/>
              <w:ind w:left="284"/>
              <w:rPr>
                <w:rFonts w:cs="Arial"/>
              </w:rPr>
            </w:pPr>
          </w:p>
        </w:tc>
        <w:tc>
          <w:tcPr>
            <w:tcW w:w="2374" w:type="dxa"/>
            <w:vAlign w:val="bottom"/>
          </w:tcPr>
          <w:p w14:paraId="3A3974FC" w14:textId="77777777" w:rsidR="003E0CDF" w:rsidRPr="004A1148" w:rsidRDefault="003E0CDF" w:rsidP="003E0CDF">
            <w:pPr>
              <w:pStyle w:val="TableText"/>
              <w:rPr>
                <w:rFonts w:cs="Arial"/>
              </w:rPr>
            </w:pPr>
          </w:p>
        </w:tc>
        <w:tc>
          <w:tcPr>
            <w:tcW w:w="2552" w:type="dxa"/>
          </w:tcPr>
          <w:p w14:paraId="4949C4E8" w14:textId="77777777" w:rsidR="003E0CDF" w:rsidRPr="004A1148" w:rsidRDefault="003E0CDF" w:rsidP="003E0CDF">
            <w:pPr>
              <w:pStyle w:val="TableText"/>
              <w:rPr>
                <w:rFonts w:cs="Arial"/>
              </w:rPr>
            </w:pPr>
          </w:p>
        </w:tc>
        <w:tc>
          <w:tcPr>
            <w:tcW w:w="2724" w:type="dxa"/>
            <w:vAlign w:val="bottom"/>
          </w:tcPr>
          <w:p w14:paraId="2E13DE8F" w14:textId="77777777" w:rsidR="003E0CDF" w:rsidRPr="004A1148" w:rsidRDefault="003E0CDF" w:rsidP="003E0CDF">
            <w:pPr>
              <w:pStyle w:val="TableText"/>
              <w:rPr>
                <w:rFonts w:cs="Arial"/>
              </w:rPr>
            </w:pPr>
          </w:p>
        </w:tc>
        <w:tc>
          <w:tcPr>
            <w:tcW w:w="2922" w:type="dxa"/>
            <w:vAlign w:val="bottom"/>
          </w:tcPr>
          <w:p w14:paraId="4B4DEB77" w14:textId="77777777" w:rsidR="003E0CDF" w:rsidRPr="004A1148" w:rsidRDefault="003E0CDF" w:rsidP="003E0CDF">
            <w:pPr>
              <w:pStyle w:val="TableText"/>
              <w:rPr>
                <w:rFonts w:cs="Arial"/>
              </w:rPr>
            </w:pPr>
          </w:p>
        </w:tc>
        <w:tc>
          <w:tcPr>
            <w:tcW w:w="2905" w:type="dxa"/>
            <w:vAlign w:val="bottom"/>
          </w:tcPr>
          <w:p w14:paraId="074F1411" w14:textId="77777777" w:rsidR="003E0CDF" w:rsidRPr="004A1148" w:rsidRDefault="003E0CDF" w:rsidP="003E0CDF">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37D4BDE7" w:rsidR="006D5DA8" w:rsidRDefault="002D4A14" w:rsidP="00771EE2">
      <w:pPr>
        <w:rPr>
          <w:rFonts w:ascii="Arial" w:hAnsi="Arial" w:cs="Arial"/>
          <w:b/>
          <w:sz w:val="32"/>
          <w:szCs w:val="22"/>
          <w:u w:val="single"/>
        </w:rPr>
      </w:pPr>
      <w:r>
        <w:rPr>
          <w:rFonts w:ascii="Arial" w:hAnsi="Arial" w:cs="Arial"/>
          <w:b/>
          <w:sz w:val="32"/>
          <w:szCs w:val="22"/>
          <w:u w:val="single"/>
        </w:rPr>
        <w:lastRenderedPageBreak/>
        <w:t>Report:</w:t>
      </w:r>
    </w:p>
    <w:p w14:paraId="778611EB" w14:textId="6D6A5DC1" w:rsidR="002D4A14" w:rsidRDefault="002D4A14" w:rsidP="00771EE2">
      <w:pPr>
        <w:rPr>
          <w:rFonts w:ascii="Arial" w:hAnsi="Arial" w:cs="Arial"/>
          <w:b/>
          <w:sz w:val="32"/>
          <w:szCs w:val="22"/>
          <w:u w:val="single"/>
        </w:rPr>
      </w:pPr>
    </w:p>
    <w:p w14:paraId="093A4EEC" w14:textId="77777777" w:rsidR="00651711" w:rsidRPr="00651711" w:rsidRDefault="00651711" w:rsidP="00651711">
      <w:pPr>
        <w:keepNext/>
        <w:keepLines/>
        <w:spacing w:before="240" w:line="276" w:lineRule="auto"/>
        <w:ind w:left="432" w:hanging="432"/>
        <w:outlineLvl w:val="0"/>
        <w:rPr>
          <w:rFonts w:ascii="Calibri Light" w:hAnsi="Calibri Light"/>
          <w:color w:val="2E74B5"/>
          <w:sz w:val="32"/>
          <w:szCs w:val="32"/>
          <w:lang w:eastAsia="en-US"/>
        </w:rPr>
      </w:pPr>
      <w:bookmarkStart w:id="0" w:name="_Toc26975452"/>
      <w:r w:rsidRPr="00651711">
        <w:rPr>
          <w:rFonts w:ascii="Calibri Light" w:hAnsi="Calibri Light"/>
          <w:color w:val="2E74B5"/>
          <w:sz w:val="32"/>
          <w:szCs w:val="32"/>
          <w:lang w:eastAsia="en-US"/>
        </w:rPr>
        <w:t>Introduction</w:t>
      </w:r>
      <w:bookmarkEnd w:id="0"/>
    </w:p>
    <w:p w14:paraId="1CF27AB2"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Internet Protocol version 6 (IPv6) is the latest revision of the Internet Protocol and is set to replace the previous version, IPv4. IPv4 was designed in the early 1980’s when the internet was much smaller, it has a total of 4.29 Billion</w:t>
      </w:r>
      <w:r w:rsidRPr="00651711">
        <w:rPr>
          <w:rFonts w:ascii="Calibri" w:eastAsia="Calibri" w:hAnsi="Calibri" w:cs="Calibri"/>
          <w:sz w:val="22"/>
          <w:szCs w:val="22"/>
          <w:lang w:eastAsia="en-US"/>
        </w:rPr>
        <w:t xml:space="preserve"> (</w:t>
      </w:r>
      <w:r w:rsidRPr="00651711">
        <w:rPr>
          <w:rFonts w:ascii="Calibri" w:eastAsia="Calibri" w:hAnsi="Calibri" w:cs="Calibri"/>
          <w:color w:val="000000"/>
          <w:sz w:val="22"/>
          <w:szCs w:val="22"/>
          <w:shd w:val="clear" w:color="auto" w:fill="FFFFFF"/>
          <w:lang w:eastAsia="en-US"/>
        </w:rPr>
        <w:t>2</w:t>
      </w:r>
      <w:r w:rsidRPr="00651711">
        <w:rPr>
          <w:rFonts w:ascii="Calibri" w:eastAsia="Calibri" w:hAnsi="Calibri" w:cs="Calibri"/>
          <w:color w:val="000000"/>
          <w:sz w:val="22"/>
          <w:szCs w:val="22"/>
          <w:shd w:val="clear" w:color="auto" w:fill="FFFFFF"/>
          <w:vertAlign w:val="superscript"/>
          <w:lang w:eastAsia="en-US"/>
        </w:rPr>
        <w:t>32</w:t>
      </w:r>
      <w:r w:rsidRPr="00651711">
        <w:rPr>
          <w:rFonts w:ascii="Calibri" w:eastAsia="Calibri" w:hAnsi="Calibri" w:cs="Calibri"/>
          <w:sz w:val="22"/>
          <w:szCs w:val="22"/>
          <w:lang w:eastAsia="en-US"/>
        </w:rPr>
        <w:t>) addresses but these are rapidly being used up. With the advent of the ‘Internet of Things’ as well as the surge of internet capable mobile devices the number of connected devices is set to rocket from 20.3 Billion in 2015 to 75 Billion in 2025</w:t>
      </w:r>
      <w:r w:rsidRPr="00651711">
        <w:rPr>
          <w:rFonts w:ascii="Calibri" w:eastAsia="Calibri" w:hAnsi="Calibri" w:cs="Calibri"/>
          <w:sz w:val="22"/>
          <w:szCs w:val="22"/>
          <w:lang w:eastAsia="en-US"/>
        </w:rPr>
        <w:fldChar w:fldCharType="begin" w:fldLock="1"/>
      </w:r>
      <w:r w:rsidRPr="00651711">
        <w:rPr>
          <w:rFonts w:ascii="Calibri" w:eastAsia="Calibri" w:hAnsi="Calibri" w:cs="Calibri"/>
          <w:sz w:val="22"/>
          <w:szCs w:val="22"/>
          <w:lang w:eastAsia="en-US"/>
        </w:rPr>
        <w:instrText>ADDIN CSL_CITATION {"citationItems":[{"id":"ITEM-1","itemData":{"author":[{"dropping-particle":"","family":"IHS","given":"","non-dropping-particle":"","parse-names":false,"suffix":""}],"id":"ITEM-1","issued":{"date-parts":[["2016"]]},"title":"Internet of things (iot) connected devices installed base world-wide from 2015 to 2025","type":"report"},"uris":["http://www.mendeley.com/documents/?uuid=a808b5bc-d66c-4c22-81f7-3b5c2c0935bb"]}],"mendeley":{"formattedCitation":"[1]","plainTextFormattedCitation":"[1]","previouslyFormattedCitation":"[1]"},"properties":{"noteIndex":0},"schema":"https://github.com/citation-style-language/schema/raw/master/csl-citation.json"}</w:instrText>
      </w:r>
      <w:r w:rsidRPr="00651711">
        <w:rPr>
          <w:rFonts w:ascii="Calibri" w:eastAsia="Calibri" w:hAnsi="Calibri" w:cs="Calibri"/>
          <w:sz w:val="22"/>
          <w:szCs w:val="22"/>
          <w:lang w:eastAsia="en-US"/>
        </w:rPr>
        <w:fldChar w:fldCharType="separate"/>
      </w:r>
      <w:r w:rsidRPr="00651711">
        <w:rPr>
          <w:rFonts w:ascii="Calibri" w:eastAsia="Calibri" w:hAnsi="Calibri" w:cs="Calibri"/>
          <w:noProof/>
          <w:sz w:val="22"/>
          <w:szCs w:val="22"/>
          <w:lang w:eastAsia="en-US"/>
        </w:rPr>
        <w:t>[1]</w:t>
      </w:r>
      <w:r w:rsidRPr="00651711">
        <w:rPr>
          <w:rFonts w:ascii="Calibri" w:eastAsia="Calibri" w:hAnsi="Calibri" w:cs="Calibri"/>
          <w:sz w:val="22"/>
          <w:szCs w:val="22"/>
          <w:lang w:eastAsia="en-US"/>
        </w:rPr>
        <w:fldChar w:fldCharType="end"/>
      </w:r>
      <w:r w:rsidRPr="00651711">
        <w:rPr>
          <w:rFonts w:ascii="Calibri" w:eastAsia="Calibri" w:hAnsi="Calibri" w:cs="Calibri"/>
          <w:sz w:val="22"/>
          <w:szCs w:val="22"/>
          <w:lang w:eastAsia="en-US"/>
        </w:rPr>
        <w:fldChar w:fldCharType="begin" w:fldLock="1"/>
      </w:r>
      <w:r w:rsidRPr="00651711">
        <w:rPr>
          <w:rFonts w:ascii="Calibri" w:eastAsia="Calibri" w:hAnsi="Calibri" w:cs="Calibri"/>
          <w:sz w:val="22"/>
          <w:szCs w:val="22"/>
          <w:lang w:eastAsia="en-US"/>
        </w:rPr>
        <w:instrText>ADDIN CSL_CITATION {"citationItems":[{"id":"ITEM-1","itemData":{"URL":"https://www.cisco.com/c/en/us/solutions/collateral/service-provider/visual-networking-index-vni/white-paper-c11-741490.html#_Toc532256793","abstract":"The current Cisco Visual Networking Index (VNI) forecast projects global IP traffic to nearly triple from 2017 to 2022. The appendix offers a detailed summary. Overall IP traffic is expected to grow to 396 EB per month by 2022, up from 122 EB per month in 2017, a CAGR of 26 percent (Figure 1). This growth represents a slight increase in expectations over last year’s forecast, which projected a CAGR of 24 percent from 2016 to 2021, driven by an increase in the growing share of mobile traffic as a percentage of the total IP traffic. Also, of note in the recent forecast is the growing number of countries whose fixed traffic growth rivals that of their mobile traffic growth. United States is the outlier, with a fixed growth of 26 percent in 2017 and a mobile growth of 23 percent over the same time period. Japan, Korea, Canada, Germany and Sweden, all have fixed growth that is only slightly lower than their mobile growth. The majority of countries still have significantly higher growth rates for mobile than for fixed.","accessed":{"date-parts":[["2019","12","11"]]},"author":[{"dropping-particle":"","family":"Cisco","given":"","non-dropping-particle":"","parse-names":false,"suffix":""}],"container-title":"Cisco","id":"ITEM-1","issued":{"date-parts":[["2018"]]},"title":"Cisco Visual Networking Index: Forecast and Trends, 2017–2022 White Paper - Cisco","type":"webpage"},"uris":["http://www.mendeley.com/documents/?uuid=40b051f6-3cd9-3f82-a5fb-13861f7ba9a8"]}],"mendeley":{"formattedCitation":"[2]","plainTextFormattedCitation":"[2]","previouslyFormattedCitation":"[2]"},"properties":{"noteIndex":0},"schema":"https://github.com/citation-style-language/schema/raw/master/csl-citation.json"}</w:instrText>
      </w:r>
      <w:r w:rsidRPr="00651711">
        <w:rPr>
          <w:rFonts w:ascii="Calibri" w:eastAsia="Calibri" w:hAnsi="Calibri" w:cs="Calibri"/>
          <w:sz w:val="22"/>
          <w:szCs w:val="22"/>
          <w:lang w:eastAsia="en-US"/>
        </w:rPr>
        <w:fldChar w:fldCharType="separate"/>
      </w:r>
      <w:r w:rsidRPr="00651711">
        <w:rPr>
          <w:rFonts w:ascii="Calibri" w:eastAsia="Calibri" w:hAnsi="Calibri" w:cs="Calibri"/>
          <w:noProof/>
          <w:sz w:val="22"/>
          <w:szCs w:val="22"/>
          <w:lang w:eastAsia="en-US"/>
        </w:rPr>
        <w:t>[2]</w:t>
      </w:r>
      <w:r w:rsidRPr="00651711">
        <w:rPr>
          <w:rFonts w:ascii="Calibri" w:eastAsia="Calibri" w:hAnsi="Calibri" w:cs="Calibri"/>
          <w:sz w:val="22"/>
          <w:szCs w:val="22"/>
          <w:lang w:eastAsia="en-US"/>
        </w:rPr>
        <w:fldChar w:fldCharType="end"/>
      </w:r>
      <w:r w:rsidRPr="00651711">
        <w:rPr>
          <w:rFonts w:ascii="Calibri" w:eastAsia="Calibri" w:hAnsi="Calibri" w:cs="Calibri"/>
          <w:sz w:val="22"/>
          <w:szCs w:val="22"/>
          <w:lang w:eastAsia="en-US"/>
        </w:rPr>
        <w:t>. This posed a significant issue to IPv4 as the number of available addresses was shrinking, as such the Internet Engineering Task Force (IETF) sought to create a replacement</w:t>
      </w:r>
      <w:r w:rsidRPr="00651711">
        <w:rPr>
          <w:rFonts w:ascii="Calibri" w:eastAsia="Calibri" w:hAnsi="Calibri" w:cs="Calibri"/>
          <w:sz w:val="22"/>
          <w:szCs w:val="22"/>
          <w:lang w:eastAsia="en-US"/>
        </w:rPr>
        <w:fldChar w:fldCharType="begin" w:fldLock="1"/>
      </w:r>
      <w:r w:rsidRPr="00651711">
        <w:rPr>
          <w:rFonts w:ascii="Calibri" w:eastAsia="Calibri" w:hAnsi="Calibri" w:cs="Calibri"/>
          <w:sz w:val="22"/>
          <w:szCs w:val="22"/>
          <w:lang w:eastAsia="en-US"/>
        </w:rPr>
        <w:instrText>ADDIN CSL_CITATION {"citationItems":[{"id":"ITEM-1","itemData":{"abstract":"This document specifies version 6 of the Internet Protocol (IPv6), also sometimes referred to as IP Next Generation or IPng.","author":[{"dropping-particle":"","family":"Deering, Stephen","given":"E.","non-dropping-particle":"","parse-names":false,"suffix":""}],"id":"ITEM-1","issued":{"date-parts":[["1998"]]},"title":"Internet Protocol, Version 6 (IPv6) Specification","type":"report"},"uris":["http://www.mendeley.com/documents/?uuid=8b2728ec-be0a-39c5-8e27-4e39f6b7e055"]}],"mendeley":{"formattedCitation":"[3]","plainTextFormattedCitation":"[3]","previouslyFormattedCitation":"[3]"},"properties":{"noteIndex":0},"schema":"https://github.com/citation-style-language/schema/raw/master/csl-citation.json"}</w:instrText>
      </w:r>
      <w:r w:rsidRPr="00651711">
        <w:rPr>
          <w:rFonts w:ascii="Calibri" w:eastAsia="Calibri" w:hAnsi="Calibri" w:cs="Calibri"/>
          <w:sz w:val="22"/>
          <w:szCs w:val="22"/>
          <w:lang w:eastAsia="en-US"/>
        </w:rPr>
        <w:fldChar w:fldCharType="separate"/>
      </w:r>
      <w:r w:rsidRPr="00651711">
        <w:rPr>
          <w:rFonts w:ascii="Calibri" w:eastAsia="Calibri" w:hAnsi="Calibri" w:cs="Calibri"/>
          <w:noProof/>
          <w:sz w:val="22"/>
          <w:szCs w:val="22"/>
          <w:lang w:eastAsia="en-US"/>
        </w:rPr>
        <w:t>[3]</w:t>
      </w:r>
      <w:r w:rsidRPr="00651711">
        <w:rPr>
          <w:rFonts w:ascii="Calibri" w:eastAsia="Calibri" w:hAnsi="Calibri" w:cs="Calibri"/>
          <w:sz w:val="22"/>
          <w:szCs w:val="22"/>
          <w:lang w:eastAsia="en-US"/>
        </w:rPr>
        <w:fldChar w:fldCharType="end"/>
      </w:r>
      <w:r w:rsidRPr="00651711">
        <w:rPr>
          <w:rFonts w:ascii="Calibri" w:eastAsia="Calibri" w:hAnsi="Calibri" w:cs="Calibri"/>
          <w:sz w:val="22"/>
          <w:szCs w:val="22"/>
          <w:lang w:eastAsia="en-US"/>
        </w:rPr>
        <w:t>. IPv6 has a total of 340 Undecillion (</w:t>
      </w:r>
      <w:r w:rsidRPr="00651711">
        <w:rPr>
          <w:rFonts w:ascii="Calibri" w:eastAsia="Calibri" w:hAnsi="Calibri" w:cs="Calibri"/>
          <w:color w:val="000000"/>
          <w:sz w:val="22"/>
          <w:szCs w:val="22"/>
          <w:shd w:val="clear" w:color="auto" w:fill="FFFFFF"/>
          <w:lang w:eastAsia="en-US"/>
        </w:rPr>
        <w:t>2</w:t>
      </w:r>
      <w:r w:rsidRPr="00651711">
        <w:rPr>
          <w:rFonts w:ascii="Calibri" w:eastAsia="Calibri" w:hAnsi="Calibri" w:cs="Calibri"/>
          <w:color w:val="000000"/>
          <w:sz w:val="22"/>
          <w:szCs w:val="22"/>
          <w:shd w:val="clear" w:color="auto" w:fill="FFFFFF"/>
          <w:vertAlign w:val="superscript"/>
          <w:lang w:eastAsia="en-US"/>
        </w:rPr>
        <w:t>128</w:t>
      </w:r>
      <w:r w:rsidRPr="00651711">
        <w:rPr>
          <w:rFonts w:ascii="Calibri" w:eastAsia="Calibri" w:hAnsi="Calibri" w:cs="Calibri"/>
          <w:color w:val="000000"/>
          <w:sz w:val="22"/>
          <w:szCs w:val="22"/>
          <w:shd w:val="clear" w:color="auto" w:fill="FFFFFF"/>
          <w:lang w:eastAsia="en-US"/>
        </w:rPr>
        <w:t>)</w:t>
      </w:r>
      <w:r w:rsidRPr="00651711">
        <w:rPr>
          <w:rFonts w:ascii="Calibri" w:eastAsia="Calibri" w:hAnsi="Calibri" w:cs="Calibri"/>
          <w:color w:val="000000"/>
          <w:sz w:val="22"/>
          <w:szCs w:val="22"/>
          <w:shd w:val="clear" w:color="auto" w:fill="FFFFFF"/>
          <w:lang w:eastAsia="en-US"/>
        </w:rPr>
        <w:fldChar w:fldCharType="begin" w:fldLock="1"/>
      </w:r>
      <w:r w:rsidRPr="00651711">
        <w:rPr>
          <w:rFonts w:ascii="Calibri" w:eastAsia="Calibri" w:hAnsi="Calibri" w:cs="Calibri"/>
          <w:color w:val="000000"/>
          <w:sz w:val="22"/>
          <w:szCs w:val="22"/>
          <w:shd w:val="clear" w:color="auto" w:fill="FFFFFF"/>
          <w:lang w:eastAsia="en-US"/>
        </w:rPr>
        <w:instrText>ADDIN CSL_CITATION {"citationItems":[{"id":"ITEM-1","itemData":{"abstract":"This document specifies version 6 of the Internet Protocol (IPv6), also sometimes referred to as IP Next Generation or IPng.","author":[{"dropping-particle":"","family":"Deering, Stephen","given":"E.","non-dropping-particle":"","parse-names":false,"suffix":""}],"id":"ITEM-1","issued":{"date-parts":[["1998"]]},"title":"Internet Protocol, Version 6 (IPv6) Specification","type":"report"},"uris":["http://www.mendeley.com/documents/?uuid=8b2728ec-be0a-39c5-8e27-4e39f6b7e055"]}],"mendeley":{"formattedCitation":"[3]","plainTextFormattedCitation":"[3]","previouslyFormattedCitation":"[3]"},"properties":{"noteIndex":0},"schema":"https://github.com/citation-style-language/schema/raw/master/csl-citation.json"}</w:instrText>
      </w:r>
      <w:r w:rsidRPr="00651711">
        <w:rPr>
          <w:rFonts w:ascii="Calibri" w:eastAsia="Calibri" w:hAnsi="Calibri" w:cs="Calibri"/>
          <w:color w:val="000000"/>
          <w:sz w:val="22"/>
          <w:szCs w:val="22"/>
          <w:shd w:val="clear" w:color="auto" w:fill="FFFFFF"/>
          <w:lang w:eastAsia="en-US"/>
        </w:rPr>
        <w:fldChar w:fldCharType="separate"/>
      </w:r>
      <w:r w:rsidRPr="00651711">
        <w:rPr>
          <w:rFonts w:ascii="Calibri" w:eastAsia="Calibri" w:hAnsi="Calibri" w:cs="Calibri"/>
          <w:noProof/>
          <w:color w:val="000000"/>
          <w:sz w:val="22"/>
          <w:szCs w:val="22"/>
          <w:shd w:val="clear" w:color="auto" w:fill="FFFFFF"/>
          <w:lang w:eastAsia="en-US"/>
        </w:rPr>
        <w:t>[3]</w:t>
      </w:r>
      <w:r w:rsidRPr="00651711">
        <w:rPr>
          <w:rFonts w:ascii="Calibri" w:eastAsia="Calibri" w:hAnsi="Calibri" w:cs="Calibri"/>
          <w:color w:val="000000"/>
          <w:sz w:val="22"/>
          <w:szCs w:val="22"/>
          <w:shd w:val="clear" w:color="auto" w:fill="FFFFFF"/>
          <w:lang w:eastAsia="en-US"/>
        </w:rPr>
        <w:fldChar w:fldCharType="end"/>
      </w:r>
      <w:r w:rsidRPr="00651711">
        <w:rPr>
          <w:rFonts w:ascii="Calibri" w:eastAsia="Calibri" w:hAnsi="Calibri" w:cs="Calibri"/>
          <w:color w:val="000000"/>
          <w:sz w:val="22"/>
          <w:szCs w:val="22"/>
          <w:shd w:val="clear" w:color="auto" w:fill="FFFFFF"/>
          <w:lang w:eastAsia="en-US"/>
        </w:rPr>
        <w:t>. This number is so large, we could give each cubic millimetre in the Earth 340 Million unique addresses before we would run out</w:t>
      </w:r>
      <w:r w:rsidRPr="00651711">
        <w:rPr>
          <w:rFonts w:ascii="Calibri" w:eastAsia="Calibri" w:hAnsi="Calibri" w:cs="Calibri"/>
          <w:color w:val="000000"/>
          <w:sz w:val="22"/>
          <w:szCs w:val="22"/>
          <w:shd w:val="clear" w:color="auto" w:fill="FFFFFF"/>
          <w:lang w:eastAsia="en-US"/>
        </w:rPr>
        <w:fldChar w:fldCharType="begin" w:fldLock="1"/>
      </w:r>
      <w:r w:rsidRPr="00651711">
        <w:rPr>
          <w:rFonts w:ascii="Calibri" w:eastAsia="Calibri" w:hAnsi="Calibri" w:cs="Calibri"/>
          <w:color w:val="000000"/>
          <w:sz w:val="22"/>
          <w:szCs w:val="22"/>
          <w:shd w:val="clear" w:color="auto" w:fill="FFFFFF"/>
          <w:lang w:eastAsia="en-US"/>
        </w:rPr>
        <w:instrText>ADDIN CSL_CITATION {"citationItems":[{"id":"ITEM-1","itemData":{"URL":"https://www.space.com/17638-how-big-is-earth.html","accessed":{"date-parts":[["2019","12","11"]]},"id":"ITEM-1","issued":{"date-parts":[["0"]]},"title":"How Big Is Earth? - Radius, Diameter and Circumference Explained | Space","type":"webpage"},"uris":["http://www.mendeley.com/documents/?uuid=fe8e25a0-51e4-323a-b61b-4b927720b74c"]}],"mendeley":{"formattedCitation":"[4]","plainTextFormattedCitation":"[4]","previouslyFormattedCitation":"[4]"},"properties":{"noteIndex":0},"schema":"https://github.com/citation-style-language/schema/raw/master/csl-citation.json"}</w:instrText>
      </w:r>
      <w:r w:rsidRPr="00651711">
        <w:rPr>
          <w:rFonts w:ascii="Calibri" w:eastAsia="Calibri" w:hAnsi="Calibri" w:cs="Calibri"/>
          <w:color w:val="000000"/>
          <w:sz w:val="22"/>
          <w:szCs w:val="22"/>
          <w:shd w:val="clear" w:color="auto" w:fill="FFFFFF"/>
          <w:lang w:eastAsia="en-US"/>
        </w:rPr>
        <w:fldChar w:fldCharType="separate"/>
      </w:r>
      <w:r w:rsidRPr="00651711">
        <w:rPr>
          <w:rFonts w:ascii="Calibri" w:eastAsia="Calibri" w:hAnsi="Calibri" w:cs="Calibri"/>
          <w:noProof/>
          <w:color w:val="000000"/>
          <w:sz w:val="22"/>
          <w:szCs w:val="22"/>
          <w:shd w:val="clear" w:color="auto" w:fill="FFFFFF"/>
          <w:lang w:eastAsia="en-US"/>
        </w:rPr>
        <w:t>[4]</w:t>
      </w:r>
      <w:r w:rsidRPr="00651711">
        <w:rPr>
          <w:rFonts w:ascii="Calibri" w:eastAsia="Calibri" w:hAnsi="Calibri" w:cs="Calibri"/>
          <w:color w:val="000000"/>
          <w:sz w:val="22"/>
          <w:szCs w:val="22"/>
          <w:shd w:val="clear" w:color="auto" w:fill="FFFFFF"/>
          <w:lang w:eastAsia="en-US"/>
        </w:rPr>
        <w:fldChar w:fldCharType="end"/>
      </w:r>
      <w:r w:rsidRPr="00651711">
        <w:rPr>
          <w:rFonts w:ascii="Calibri" w:eastAsia="Calibri" w:hAnsi="Calibri" w:cs="Calibri"/>
          <w:color w:val="000000"/>
          <w:sz w:val="22"/>
          <w:szCs w:val="22"/>
          <w:shd w:val="clear" w:color="auto" w:fill="FFFFFF"/>
          <w:lang w:eastAsia="en-US"/>
        </w:rPr>
        <w:t>.</w:t>
      </w:r>
    </w:p>
    <w:p w14:paraId="1D59B2AB" w14:textId="77777777" w:rsidR="00651711" w:rsidRPr="00651711" w:rsidRDefault="00651711" w:rsidP="00651711">
      <w:pPr>
        <w:keepNext/>
        <w:keepLines/>
        <w:spacing w:before="240" w:line="276" w:lineRule="auto"/>
        <w:ind w:left="432" w:hanging="432"/>
        <w:outlineLvl w:val="0"/>
        <w:rPr>
          <w:rFonts w:ascii="Calibri Light" w:hAnsi="Calibri Light"/>
          <w:color w:val="2E74B5"/>
          <w:sz w:val="32"/>
          <w:szCs w:val="32"/>
          <w:lang w:eastAsia="en-US"/>
        </w:rPr>
      </w:pPr>
      <w:bookmarkStart w:id="1" w:name="_Toc26975453"/>
      <w:r w:rsidRPr="00651711">
        <w:rPr>
          <w:rFonts w:ascii="Calibri Light" w:eastAsia="Calibri" w:hAnsi="Calibri Light"/>
          <w:color w:val="2E74B5"/>
          <w:sz w:val="32"/>
          <w:szCs w:val="32"/>
          <w:lang w:eastAsia="en-US"/>
        </w:rPr>
        <w:t>Structure</w:t>
      </w:r>
      <w:bookmarkEnd w:id="1"/>
    </w:p>
    <w:p w14:paraId="1527FFD9" w14:textId="77777777" w:rsidR="00651711" w:rsidRPr="00651711" w:rsidRDefault="00651711" w:rsidP="00651711">
      <w:pPr>
        <w:keepNext/>
        <w:keepLines/>
        <w:numPr>
          <w:ilvl w:val="1"/>
          <w:numId w:val="0"/>
        </w:numPr>
        <w:spacing w:before="40" w:line="259" w:lineRule="auto"/>
        <w:ind w:left="576" w:hanging="576"/>
        <w:outlineLvl w:val="1"/>
        <w:rPr>
          <w:rFonts w:ascii="Calibri Light" w:hAnsi="Calibri Light"/>
          <w:color w:val="2E74B5"/>
          <w:sz w:val="26"/>
          <w:szCs w:val="26"/>
          <w:lang w:eastAsia="en-US"/>
        </w:rPr>
      </w:pPr>
      <w:bookmarkStart w:id="2" w:name="_Toc26975454"/>
      <w:r w:rsidRPr="00651711">
        <w:rPr>
          <w:rFonts w:ascii="Calibri Light" w:hAnsi="Calibri Light"/>
          <w:color w:val="2E74B5"/>
          <w:sz w:val="26"/>
          <w:szCs w:val="26"/>
          <w:lang w:eastAsia="en-US"/>
        </w:rPr>
        <w:t>Subnetting</w:t>
      </w:r>
      <w:bookmarkEnd w:id="2"/>
    </w:p>
    <w:p w14:paraId="3A8EE460"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 xml:space="preserve">Subnetting in IPv6 is </w:t>
      </w:r>
      <w:proofErr w:type="gramStart"/>
      <w:r w:rsidRPr="00651711">
        <w:rPr>
          <w:rFonts w:ascii="Calibri" w:eastAsia="Calibri" w:hAnsi="Calibri"/>
          <w:sz w:val="22"/>
          <w:szCs w:val="22"/>
          <w:lang w:eastAsia="en-US"/>
        </w:rPr>
        <w:t>similar to</w:t>
      </w:r>
      <w:proofErr w:type="gramEnd"/>
      <w:r w:rsidRPr="00651711">
        <w:rPr>
          <w:rFonts w:ascii="Calibri" w:eastAsia="Calibri" w:hAnsi="Calibri"/>
          <w:sz w:val="22"/>
          <w:szCs w:val="22"/>
          <w:lang w:eastAsia="en-US"/>
        </w:rPr>
        <w:t xml:space="preserve"> IPv4 with some key differences. In IPv4, subnetting requires the sacrifice of host bits to create multiple subnets. In IPv6, the subnet ID is built into the structure of the address, with the first 48 bits being the routing prefix, the next 16 bits being the subnet ID, and the last 64 bits being the Interface ID which is the IPv6 equivalent of the host bits in IPv4.</w:t>
      </w:r>
    </w:p>
    <w:p w14:paraId="16DC07BA"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An organisation may be given a /48 prefix, giving them the ability to create 65,000 subnets using the 16 Subnet ID bits, each subnet containing 2</w:t>
      </w:r>
      <w:r w:rsidRPr="00651711">
        <w:rPr>
          <w:rFonts w:ascii="Calibri" w:eastAsia="Calibri" w:hAnsi="Calibri"/>
          <w:sz w:val="22"/>
          <w:szCs w:val="22"/>
          <w:vertAlign w:val="superscript"/>
          <w:lang w:eastAsia="en-US"/>
        </w:rPr>
        <w:t>64</w:t>
      </w:r>
      <w:r w:rsidRPr="00651711">
        <w:rPr>
          <w:rFonts w:ascii="Calibri" w:eastAsia="Calibri" w:hAnsi="Calibri"/>
          <w:sz w:val="22"/>
          <w:szCs w:val="22"/>
          <w:lang w:eastAsia="en-US"/>
        </w:rPr>
        <w:t xml:space="preserve"> hosts. This gives organisations plenty of hosts and subnets available without having to compromise on the number of either</w:t>
      </w:r>
      <w:r w:rsidRPr="00651711">
        <w:rPr>
          <w:rFonts w:ascii="Calibri" w:eastAsia="Calibri" w:hAnsi="Calibri"/>
          <w:sz w:val="22"/>
          <w:szCs w:val="22"/>
          <w:lang w:eastAsia="en-US"/>
        </w:rPr>
        <w:fldChar w:fldCharType="begin" w:fldLock="1"/>
      </w:r>
      <w:r w:rsidRPr="00651711">
        <w:rPr>
          <w:rFonts w:ascii="Calibri" w:eastAsia="Calibri" w:hAnsi="Calibri"/>
          <w:sz w:val="22"/>
          <w:szCs w:val="22"/>
          <w:lang w:eastAsia="en-US"/>
        </w:rPr>
        <w:instrText>ADDIN CSL_CITATION {"citationItems":[{"id":"ITEM-1","itemData":{"URL":"http://www.ciscopress.com/articles/article.asp?p=2803866&amp;seqNum=2","abstract":"In this chapter from IPv6 Fundamentals: A Straightforward Approach to Understanding IPv6, 2nd Edition, author Rick Graziani examines all the different types of IPv6 addresses in the unicast, multicast, and anycast categories.","accessed":{"date-parts":[["2019","12","11"]]},"author":[{"dropping-particle":"","family":"Graziani","given":"Rick","non-dropping-particle":"","parse-names":false,"suffix":""}],"container-title":"Cisco Press","id":"ITEM-1","issued":{"date-parts":[["2017"]]},"title":"IPv6 Address Representation and Address Types &gt; Prefix Length Notation","type":"webpage"},"uris":["http://www.mendeley.com/documents/?uuid=2b6416d2-6c84-3ab4-b445-76d0fafc4699"]}],"mendeley":{"formattedCitation":"[5]","plainTextFormattedCitation":"[5]","previouslyFormattedCitation":"[5]"},"properties":{"noteIndex":0},"schema":"https://github.com/citation-style-language/schema/raw/master/csl-citation.json"}</w:instrText>
      </w:r>
      <w:r w:rsidRPr="00651711">
        <w:rPr>
          <w:rFonts w:ascii="Calibri" w:eastAsia="Calibri" w:hAnsi="Calibri"/>
          <w:sz w:val="22"/>
          <w:szCs w:val="22"/>
          <w:lang w:eastAsia="en-US"/>
        </w:rPr>
        <w:fldChar w:fldCharType="separate"/>
      </w:r>
      <w:r w:rsidRPr="00651711">
        <w:rPr>
          <w:rFonts w:ascii="Calibri" w:eastAsia="Calibri" w:hAnsi="Calibri"/>
          <w:noProof/>
          <w:sz w:val="22"/>
          <w:szCs w:val="22"/>
          <w:lang w:eastAsia="en-US"/>
        </w:rPr>
        <w:t>[5]</w:t>
      </w:r>
      <w:r w:rsidRPr="00651711">
        <w:rPr>
          <w:rFonts w:ascii="Calibri" w:eastAsia="Calibri" w:hAnsi="Calibri"/>
          <w:sz w:val="22"/>
          <w:szCs w:val="22"/>
          <w:lang w:eastAsia="en-US"/>
        </w:rPr>
        <w:fldChar w:fldCharType="end"/>
      </w:r>
      <w:r w:rsidRPr="00651711">
        <w:rPr>
          <w:rFonts w:ascii="Calibri" w:eastAsia="Calibri" w:hAnsi="Calibri"/>
          <w:sz w:val="22"/>
          <w:szCs w:val="22"/>
          <w:lang w:eastAsia="en-US"/>
        </w:rPr>
        <w:t>.</w:t>
      </w:r>
    </w:p>
    <w:p w14:paraId="12211DAD"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It is possible to use some of the bits in the Interface ID to subnet further, however this is strongly discouraged as auto-configuration of IPv6 addresses requires 64 bits to be allocated to the host ID.</w:t>
      </w:r>
    </w:p>
    <w:p w14:paraId="1B7C24AE"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This auto-configuration takes advantage of the uniqueness of a devices Media Access Control (MAC) address. This is the 48-bit code assigned to devices by their manufacturer. This 48-bit code can be split into two 24-bit codes, and the 16-bit hex code “FFFE” put between the two halves to create a 64-bit code. The seventh bit of this code is then inverted to give the final Interface ID.</w:t>
      </w:r>
    </w:p>
    <w:p w14:paraId="0497EED9" w14:textId="77777777" w:rsidR="00651711" w:rsidRPr="00651711" w:rsidRDefault="00651711" w:rsidP="00651711">
      <w:pPr>
        <w:keepNext/>
        <w:keepLines/>
        <w:numPr>
          <w:ilvl w:val="1"/>
          <w:numId w:val="0"/>
        </w:numPr>
        <w:spacing w:before="40" w:line="259" w:lineRule="auto"/>
        <w:ind w:left="576" w:hanging="576"/>
        <w:outlineLvl w:val="1"/>
        <w:rPr>
          <w:rFonts w:ascii="Calibri Light" w:hAnsi="Calibri Light"/>
          <w:color w:val="2E74B5"/>
          <w:sz w:val="26"/>
          <w:szCs w:val="26"/>
          <w:lang w:eastAsia="en-US"/>
        </w:rPr>
      </w:pPr>
      <w:bookmarkStart w:id="3" w:name="_Toc26975455"/>
      <w:r w:rsidRPr="00651711">
        <w:rPr>
          <w:rFonts w:ascii="Calibri Light" w:hAnsi="Calibri Light"/>
          <w:color w:val="2E74B5"/>
          <w:sz w:val="26"/>
          <w:szCs w:val="26"/>
          <w:lang w:eastAsia="en-US"/>
        </w:rPr>
        <w:t>Address Types</w:t>
      </w:r>
      <w:bookmarkEnd w:id="3"/>
    </w:p>
    <w:p w14:paraId="53B2A0D2" w14:textId="77777777" w:rsidR="00651711" w:rsidRPr="00651711" w:rsidRDefault="00651711" w:rsidP="00651711">
      <w:pPr>
        <w:keepNext/>
        <w:keepLines/>
        <w:numPr>
          <w:ilvl w:val="2"/>
          <w:numId w:val="0"/>
        </w:numPr>
        <w:spacing w:before="40" w:line="259" w:lineRule="auto"/>
        <w:ind w:left="720" w:hanging="720"/>
        <w:outlineLvl w:val="2"/>
        <w:rPr>
          <w:rFonts w:ascii="Calibri Light" w:hAnsi="Calibri Light"/>
          <w:color w:val="1F4D78"/>
          <w:sz w:val="24"/>
          <w:szCs w:val="24"/>
          <w:lang w:eastAsia="en-US"/>
        </w:rPr>
      </w:pPr>
      <w:bookmarkStart w:id="4" w:name="_Toc26975456"/>
      <w:r w:rsidRPr="00651711">
        <w:rPr>
          <w:rFonts w:ascii="Calibri Light" w:hAnsi="Calibri Light"/>
          <w:color w:val="1F4D78"/>
          <w:sz w:val="24"/>
          <w:szCs w:val="24"/>
          <w:lang w:eastAsia="en-US"/>
        </w:rPr>
        <w:t>Global Unicast Address (GUA)</w:t>
      </w:r>
      <w:bookmarkEnd w:id="4"/>
    </w:p>
    <w:p w14:paraId="06D075A7"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This address type is equivalent to a public address in IPv4. Global Unicast addresses in IPv6 are globally identifiable and uniquely addressable</w:t>
      </w:r>
      <w:r w:rsidRPr="00651711">
        <w:rPr>
          <w:rFonts w:ascii="Calibri" w:eastAsia="Calibri" w:hAnsi="Calibri"/>
          <w:sz w:val="22"/>
          <w:szCs w:val="22"/>
          <w:lang w:eastAsia="en-US"/>
        </w:rPr>
        <w:fldChar w:fldCharType="begin" w:fldLock="1"/>
      </w:r>
      <w:r w:rsidRPr="00651711">
        <w:rPr>
          <w:rFonts w:ascii="Calibri" w:eastAsia="Calibri" w:hAnsi="Calibri"/>
          <w:sz w:val="22"/>
          <w:szCs w:val="22"/>
          <w:lang w:eastAsia="en-US"/>
        </w:rPr>
        <w:instrText>ADDIN CSL_CITATION {"citationItems":[{"id":"ITEM-1","itemData":{"URL":"http://www.ciscopress.com/articles/article.asp?p=2803866&amp;seqNum=4","accessed":{"date-parts":[["2019","12","11"]]},"author":[{"dropping-particle":"","family":"Cisco","given":"","non-dropping-particle":"","parse-names":false,"suffix":""}],"container-title":"Cisco Press","id":"ITEM-1","issued":{"date-parts":[["2019"]]},"title":"Unicast Addresses &gt; IPv6 Address Representation and Address Types","type":"webpage"},"uris":["http://www.mendeley.com/documents/?uuid=58ea31e8-df1f-3b94-859c-de3b80101dd4"]}],"mendeley":{"formattedCitation":"[6]","plainTextFormattedCitation":"[6]","previouslyFormattedCitation":"[6]"},"properties":{"noteIndex":0},"schema":"https://github.com/citation-style-language/schema/raw/master/csl-citation.json"}</w:instrText>
      </w:r>
      <w:r w:rsidRPr="00651711">
        <w:rPr>
          <w:rFonts w:ascii="Calibri" w:eastAsia="Calibri" w:hAnsi="Calibri"/>
          <w:sz w:val="22"/>
          <w:szCs w:val="22"/>
          <w:lang w:eastAsia="en-US"/>
        </w:rPr>
        <w:fldChar w:fldCharType="separate"/>
      </w:r>
      <w:r w:rsidRPr="00651711">
        <w:rPr>
          <w:rFonts w:ascii="Calibri" w:eastAsia="Calibri" w:hAnsi="Calibri"/>
          <w:noProof/>
          <w:sz w:val="22"/>
          <w:szCs w:val="22"/>
          <w:lang w:eastAsia="en-US"/>
        </w:rPr>
        <w:t>[6]</w:t>
      </w:r>
      <w:r w:rsidRPr="00651711">
        <w:rPr>
          <w:rFonts w:ascii="Calibri" w:eastAsia="Calibri" w:hAnsi="Calibri"/>
          <w:sz w:val="22"/>
          <w:szCs w:val="22"/>
          <w:lang w:eastAsia="en-US"/>
        </w:rPr>
        <w:fldChar w:fldCharType="end"/>
      </w:r>
      <w:r w:rsidRPr="00651711">
        <w:rPr>
          <w:rFonts w:ascii="Calibri" w:eastAsia="Calibri" w:hAnsi="Calibri"/>
          <w:sz w:val="22"/>
          <w:szCs w:val="22"/>
          <w:lang w:eastAsia="en-US"/>
        </w:rPr>
        <w:t>.</w:t>
      </w:r>
    </w:p>
    <w:p w14:paraId="063E4796"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The first 48-bits are the Global Routing Prefix which is assigned by a provider (typically an ISP) to a specific network, this is akin to a company being assigned a public IP address. The first three bits of the Global Routing Prefix is always set to 001. The next 16 bits are the Subnet ID, which was explained previously.</w:t>
      </w:r>
    </w:p>
    <w:p w14:paraId="1E4CF6A6"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This GUA can be assigned manually, via DHCPv6, or automatically via Neighbour Discovery Protocol</w:t>
      </w:r>
      <w:r w:rsidRPr="00651711">
        <w:rPr>
          <w:rFonts w:ascii="Calibri" w:eastAsia="Calibri" w:hAnsi="Calibri"/>
          <w:sz w:val="22"/>
          <w:szCs w:val="22"/>
          <w:lang w:eastAsia="en-US"/>
        </w:rPr>
        <w:fldChar w:fldCharType="begin" w:fldLock="1"/>
      </w:r>
      <w:r w:rsidRPr="00651711">
        <w:rPr>
          <w:rFonts w:ascii="Calibri" w:eastAsia="Calibri" w:hAnsi="Calibri"/>
          <w:sz w:val="22"/>
          <w:szCs w:val="22"/>
          <w:lang w:eastAsia="en-US"/>
        </w:rPr>
        <w:instrText>ADDIN CSL_CITATION {"citationItems":[{"id":"ITEM-1","itemData":{"ISSN":"0976-5697","abstract":"The internet is the one of the greatest revolutionary innovation of the twentieth century. It made the 'global village utopia' a reality in a rather short span of time and the ways that computers communicate have, in many cases, changed dramatically. The core problem, the 32-bit address space that is too small for the current and future size of the Internet, can only be addressed by moving to a larger address space. To speed up the transition IPV4 compatible IPV6 addressing scheme has been worked out. This was the primary motivating factor in creating the next version of the Internet Protocol, IPv6. IPv6 is destined to be the future of the Internet Protocol, and due to IP's critical importance, it will form the basis for the future of TCP/IP and the Internet as well. ICMPv6 can provide new version of ICMP-additional message types, e.g. \"Packet Too Big\" and multicast group management functions and Support for security ,Support for mobility and a real IPv6 inter-network has been used for testing for a number of years as well. This paper describes the quality of services keeping features of IPV6. Many vendors are now writing softwares for various computing environments to support IPV6 functionality.","author":[{"dropping-particle":"","family":"Nagaraj","given":"Srinivasan","non-dropping-particle":"","parse-names":false,"suffix":""},{"dropping-particle":"","family":"Narasinga Rao","given":"G","non-dropping-particle":"","parse-names":false,"suffix":""},{"dropping-particle":"","family":"Ramachandra","given":"M","non-dropping-particle":"","parse-names":false,"suffix":""},{"dropping-particle":"","family":"Kishore","given":"B","non-dropping-particle":"","parse-names":false,"suffix":""}],"container-title":"International Journal of Advanced Research in Computer Science","id":"ITEM-1","issue":"3","issued":{"date-parts":[["2010"]]},"title":"IPV6 Address and Quality of Services","type":"article-journal","volume":"1"},"uris":["http://www.mendeley.com/documents/?uuid=0c9717cd-3536-3fde-a8e1-50bee75f8fbb"]}],"mendeley":{"formattedCitation":"[7]","plainTextFormattedCitation":"[7]"},"properties":{"noteIndex":0},"schema":"https://github.com/citation-style-language/schema/raw/master/csl-citation.json"}</w:instrText>
      </w:r>
      <w:r w:rsidRPr="00651711">
        <w:rPr>
          <w:rFonts w:ascii="Calibri" w:eastAsia="Calibri" w:hAnsi="Calibri"/>
          <w:sz w:val="22"/>
          <w:szCs w:val="22"/>
          <w:lang w:eastAsia="en-US"/>
        </w:rPr>
        <w:fldChar w:fldCharType="separate"/>
      </w:r>
      <w:r w:rsidRPr="00651711">
        <w:rPr>
          <w:rFonts w:ascii="Calibri" w:eastAsia="Calibri" w:hAnsi="Calibri"/>
          <w:noProof/>
          <w:sz w:val="22"/>
          <w:szCs w:val="22"/>
          <w:lang w:eastAsia="en-US"/>
        </w:rPr>
        <w:t>[7]</w:t>
      </w:r>
      <w:r w:rsidRPr="00651711">
        <w:rPr>
          <w:rFonts w:ascii="Calibri" w:eastAsia="Calibri" w:hAnsi="Calibri"/>
          <w:sz w:val="22"/>
          <w:szCs w:val="22"/>
          <w:lang w:eastAsia="en-US"/>
        </w:rPr>
        <w:fldChar w:fldCharType="end"/>
      </w:r>
      <w:r w:rsidRPr="00651711">
        <w:rPr>
          <w:rFonts w:ascii="Calibri" w:eastAsia="Calibri" w:hAnsi="Calibri"/>
          <w:sz w:val="22"/>
          <w:szCs w:val="22"/>
          <w:lang w:eastAsia="en-US"/>
        </w:rPr>
        <w:t>.</w:t>
      </w:r>
    </w:p>
    <w:p w14:paraId="099EF7C7" w14:textId="77777777" w:rsidR="00651711" w:rsidRPr="00651711" w:rsidRDefault="00651711" w:rsidP="00651711">
      <w:pPr>
        <w:keepNext/>
        <w:keepLines/>
        <w:numPr>
          <w:ilvl w:val="2"/>
          <w:numId w:val="0"/>
        </w:numPr>
        <w:spacing w:before="40" w:line="259" w:lineRule="auto"/>
        <w:ind w:left="720" w:hanging="720"/>
        <w:outlineLvl w:val="2"/>
        <w:rPr>
          <w:rFonts w:ascii="Calibri Light" w:hAnsi="Calibri Light"/>
          <w:color w:val="1F4D78"/>
          <w:sz w:val="24"/>
          <w:szCs w:val="24"/>
          <w:lang w:eastAsia="en-US"/>
        </w:rPr>
      </w:pPr>
      <w:bookmarkStart w:id="5" w:name="_Toc26975457"/>
      <w:r w:rsidRPr="00651711">
        <w:rPr>
          <w:rFonts w:ascii="Calibri Light" w:hAnsi="Calibri Light"/>
          <w:color w:val="1F4D78"/>
          <w:sz w:val="24"/>
          <w:szCs w:val="24"/>
          <w:lang w:eastAsia="en-US"/>
        </w:rPr>
        <w:t>Link-Local Address</w:t>
      </w:r>
      <w:bookmarkEnd w:id="5"/>
    </w:p>
    <w:p w14:paraId="32944CFC"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Link-local addresses are another type of unicast address that is confined to a single link or subnet. Link-local addresses only need to be unique on the subnet, therefore routers do not forward packets with a link-local address. Link-local addresses always start with FE</w:t>
      </w:r>
      <w:proofErr w:type="gramStart"/>
      <w:r w:rsidRPr="00651711">
        <w:rPr>
          <w:rFonts w:ascii="Calibri" w:eastAsia="Calibri" w:hAnsi="Calibri"/>
          <w:sz w:val="22"/>
          <w:szCs w:val="22"/>
          <w:lang w:eastAsia="en-US"/>
        </w:rPr>
        <w:t>80::/</w:t>
      </w:r>
      <w:proofErr w:type="gramEnd"/>
      <w:r w:rsidRPr="00651711">
        <w:rPr>
          <w:rFonts w:ascii="Calibri" w:eastAsia="Calibri" w:hAnsi="Calibri"/>
          <w:sz w:val="22"/>
          <w:szCs w:val="22"/>
          <w:lang w:eastAsia="en-US"/>
        </w:rPr>
        <w:t>64 and end with the machines Interface ID. This in effect replaces the MAC address of a machine with regards to packet transmission within a subnet in IPv4.</w:t>
      </w:r>
    </w:p>
    <w:p w14:paraId="7E5A2228" w14:textId="77777777" w:rsidR="00651711" w:rsidRPr="00651711" w:rsidRDefault="00651711" w:rsidP="00651711">
      <w:pPr>
        <w:keepNext/>
        <w:keepLines/>
        <w:spacing w:before="240" w:line="276" w:lineRule="auto"/>
        <w:ind w:left="432" w:hanging="432"/>
        <w:outlineLvl w:val="0"/>
        <w:rPr>
          <w:rFonts w:ascii="Calibri Light" w:hAnsi="Calibri Light"/>
          <w:color w:val="2E74B5"/>
          <w:sz w:val="32"/>
          <w:szCs w:val="32"/>
          <w:lang w:eastAsia="en-US"/>
        </w:rPr>
      </w:pPr>
      <w:bookmarkStart w:id="6" w:name="_Toc26975458"/>
      <w:r w:rsidRPr="00651711">
        <w:rPr>
          <w:rFonts w:ascii="Calibri Light" w:hAnsi="Calibri Light"/>
          <w:color w:val="2E74B5"/>
          <w:sz w:val="32"/>
          <w:szCs w:val="32"/>
          <w:lang w:eastAsia="en-US"/>
        </w:rPr>
        <w:lastRenderedPageBreak/>
        <w:t>Advanced Functionalities</w:t>
      </w:r>
      <w:bookmarkEnd w:id="6"/>
    </w:p>
    <w:p w14:paraId="62DD44BA" w14:textId="77777777" w:rsidR="00651711" w:rsidRPr="00651711" w:rsidRDefault="00651711" w:rsidP="00651711">
      <w:pPr>
        <w:keepNext/>
        <w:keepLines/>
        <w:numPr>
          <w:ilvl w:val="1"/>
          <w:numId w:val="0"/>
        </w:numPr>
        <w:spacing w:before="40" w:line="259" w:lineRule="auto"/>
        <w:ind w:left="576" w:hanging="576"/>
        <w:outlineLvl w:val="1"/>
        <w:rPr>
          <w:rFonts w:ascii="Calibri Light" w:hAnsi="Calibri Light"/>
          <w:color w:val="2E74B5"/>
          <w:sz w:val="26"/>
          <w:szCs w:val="26"/>
          <w:lang w:eastAsia="en-US"/>
        </w:rPr>
      </w:pPr>
      <w:bookmarkStart w:id="7" w:name="_Toc26975459"/>
      <w:r w:rsidRPr="00651711">
        <w:rPr>
          <w:rFonts w:ascii="Calibri Light" w:hAnsi="Calibri Light"/>
          <w:color w:val="2E74B5"/>
          <w:sz w:val="26"/>
          <w:szCs w:val="26"/>
          <w:shd w:val="clear" w:color="auto" w:fill="FFFFFF"/>
          <w:lang w:eastAsia="en-US"/>
        </w:rPr>
        <w:t>Neighbour Discovery Protocol</w:t>
      </w:r>
      <w:bookmarkEnd w:id="7"/>
    </w:p>
    <w:p w14:paraId="5DA2787F" w14:textId="77777777" w:rsidR="00651711" w:rsidRPr="00651711" w:rsidRDefault="00651711" w:rsidP="00651711">
      <w:pPr>
        <w:spacing w:after="160" w:line="259" w:lineRule="auto"/>
        <w:ind w:left="360"/>
        <w:rPr>
          <w:rFonts w:ascii="Calibri" w:eastAsia="Calibri" w:hAnsi="Calibri" w:cs="Calibri"/>
          <w:sz w:val="22"/>
          <w:szCs w:val="22"/>
          <w:lang w:eastAsia="en-US"/>
        </w:rPr>
      </w:pPr>
      <w:r w:rsidRPr="00651711">
        <w:rPr>
          <w:rFonts w:ascii="Calibri" w:eastAsia="Calibri" w:hAnsi="Calibri"/>
          <w:sz w:val="22"/>
          <w:szCs w:val="22"/>
          <w:lang w:eastAsia="en-US"/>
        </w:rPr>
        <w:t xml:space="preserve">A host in an IPv6 network is capable of auto-configuring itself with a unique link-local address using Neighbour Discovery Protocol, this replaces ARP in IPv4. As soon as host gets an IPv6 address, it joins </w:t>
      </w:r>
      <w:proofErr w:type="gramStart"/>
      <w:r w:rsidRPr="00651711">
        <w:rPr>
          <w:rFonts w:ascii="Calibri" w:eastAsia="Calibri" w:hAnsi="Calibri"/>
          <w:sz w:val="22"/>
          <w:szCs w:val="22"/>
          <w:lang w:eastAsia="en-US"/>
        </w:rPr>
        <w:t>a number of</w:t>
      </w:r>
      <w:proofErr w:type="gramEnd"/>
      <w:r w:rsidRPr="00651711">
        <w:rPr>
          <w:rFonts w:ascii="Calibri" w:eastAsia="Calibri" w:hAnsi="Calibri"/>
          <w:sz w:val="22"/>
          <w:szCs w:val="22"/>
          <w:lang w:eastAsia="en-US"/>
        </w:rPr>
        <w:t xml:space="preserve"> multicast groups. All communications within the segment are sent via these multicast addresses. A host goes </w:t>
      </w:r>
      <w:r w:rsidRPr="00651711">
        <w:rPr>
          <w:rFonts w:ascii="Calibri" w:eastAsia="Calibri" w:hAnsi="Calibri" w:cs="Calibri"/>
          <w:sz w:val="22"/>
          <w:szCs w:val="22"/>
          <w:lang w:eastAsia="en-US"/>
        </w:rPr>
        <w:t>through a series of states in IPv6:</w:t>
      </w:r>
    </w:p>
    <w:p w14:paraId="3CF593AD" w14:textId="77777777" w:rsidR="00651711" w:rsidRPr="00651711" w:rsidRDefault="00651711" w:rsidP="00651711">
      <w:pPr>
        <w:numPr>
          <w:ilvl w:val="0"/>
          <w:numId w:val="21"/>
        </w:numPr>
        <w:spacing w:before="120" w:after="144" w:line="259" w:lineRule="auto"/>
        <w:ind w:right="48"/>
        <w:contextualSpacing/>
        <w:rPr>
          <w:rFonts w:ascii="Calibri" w:hAnsi="Calibri" w:cs="Calibri"/>
          <w:sz w:val="22"/>
          <w:szCs w:val="22"/>
        </w:rPr>
      </w:pPr>
      <w:r w:rsidRPr="00651711">
        <w:rPr>
          <w:rFonts w:ascii="Calibri" w:hAnsi="Calibri" w:cs="Calibri"/>
          <w:b/>
          <w:bCs/>
          <w:sz w:val="22"/>
          <w:szCs w:val="22"/>
        </w:rPr>
        <w:t>Neighbour Solicitation</w:t>
      </w:r>
      <w:r w:rsidRPr="00651711">
        <w:rPr>
          <w:rFonts w:ascii="Calibri" w:hAnsi="Calibri" w:cs="Calibri"/>
          <w:sz w:val="22"/>
          <w:szCs w:val="22"/>
        </w:rPr>
        <w:t>: After configuring all IPv6’s either manually, or by DHCP Server or by auto-configuration, the host sends a Neighbour Solicitation message out to FF02::1 (multicast to all of the nodes in this link-local segment)</w:t>
      </w:r>
      <w:r w:rsidRPr="00651711">
        <w:rPr>
          <w:rFonts w:ascii="Calibri" w:hAnsi="Calibri" w:cs="Calibri"/>
          <w:b/>
          <w:bCs/>
          <w:sz w:val="22"/>
          <w:szCs w:val="22"/>
        </w:rPr>
        <w:fldChar w:fldCharType="begin" w:fldLock="1"/>
      </w:r>
      <w:r w:rsidRPr="00651711">
        <w:rPr>
          <w:rFonts w:ascii="Calibri" w:hAnsi="Calibri" w:cs="Calibri"/>
          <w:b/>
          <w:bCs/>
          <w:sz w:val="22"/>
          <w:szCs w:val="22"/>
        </w:rPr>
        <w:instrText>ADDIN CSL_CITATION {"citationItems":[{"id":"ITEM-1","itemData":{"DOI":"10.21917/ijct.2015.0177","abstract":"The gigantic growth of the internet communication technology has illustrated its value and benefits to private businesses, government organizations, worldwide professionals, academic institutes and individuals over the past few years. The size and range of computing devices connected to the internet, substantially increased because of IPv6 and offers the potential to establish a much more powerful internet compared to the IPv4. IPv6 developed by the IETF to deal with a shortage of IP addresses under IPv4. New features of IPv6 enhance packet processing speeds over routers, switches and end systems. These improved features will have different traffic characteristics than IPv4. The internet traffic which was earlier assumed as Poisson is now shown to have fractal characteristics as; heavy tailedness, self-similarity and long range dependency. Internet traffic showing above characteristics are found to have burstiness at multiple timescales. This behavior impacts network performance and degrades it substantially. It also increases complexity for network design and create difficulties to maintain desired QoS. IPv4 traffic has been well established as self-similar traffic. Nowadays, IPv6 forming a larger share of the internet traffic and it is pivotal to asses IPv6 with regards to fractal behavior. This will enable network designers to do necessary changes in the existing network to reconcile with IPv6. In this paper we compared IPv4 and IPv6 with respect to fractal behavioral characteristics. It is found that IPv6 shows higher degree of heavy tailedness, higher values of Hurst parameter values, higher fractal dimension values i.e. it is more self-similar, greater autocorrelation achieved even at larger lag and thus showing more burstiness.","author":[{"dropping-particle":"","family":"Jaiswal","given":"Rupesh","non-dropping-particle":"","parse-names":false,"suffix":""},{"dropping-particle":"","family":"Lokhande","given":"Shashikant","non-dropping-particle":"","parse-names":false,"suffix":""},{"dropping-particle":"","family":"Bakre","given":"Anuj","non-dropping-particle":"","parse-names":false,"suffix":""},{"dropping-particle":"","family":"Gutte","given":"Kishor","non-dropping-particle":"","parse-names":false,"suffix":""}],"id":"ITEM-1","issued":{"date-parts":[["0"]]},"title":"PERFORMANCE ANALYSIS OF IPv4 AND IPv6 INTERNET TRAFFIC","type":"article-journal"},"uris":["http://www.mendeley.com/documents/?uuid=d252fb5d-93fd-3348-b1a9-d9ed48ab193f"]}],"mendeley":{"formattedCitation":"[8]","plainTextFormattedCitation":"[8]","previouslyFormattedCitation":"[7]"},"properties":{"noteIndex":0},"schema":"https://github.com/citation-style-language/schema/raw/master/csl-citation.json"}</w:instrText>
      </w:r>
      <w:r w:rsidRPr="00651711">
        <w:rPr>
          <w:rFonts w:ascii="Calibri" w:hAnsi="Calibri" w:cs="Calibri"/>
          <w:b/>
          <w:bCs/>
          <w:sz w:val="22"/>
          <w:szCs w:val="22"/>
        </w:rPr>
        <w:fldChar w:fldCharType="separate"/>
      </w:r>
      <w:r w:rsidRPr="00651711">
        <w:rPr>
          <w:rFonts w:ascii="Calibri" w:hAnsi="Calibri" w:cs="Calibri"/>
          <w:bCs/>
          <w:noProof/>
          <w:sz w:val="22"/>
          <w:szCs w:val="22"/>
        </w:rPr>
        <w:t>[8]</w:t>
      </w:r>
      <w:r w:rsidRPr="00651711">
        <w:rPr>
          <w:rFonts w:ascii="Calibri" w:hAnsi="Calibri" w:cs="Calibri"/>
          <w:b/>
          <w:bCs/>
          <w:sz w:val="22"/>
          <w:szCs w:val="22"/>
        </w:rPr>
        <w:fldChar w:fldCharType="end"/>
      </w:r>
      <w:r w:rsidRPr="00651711">
        <w:rPr>
          <w:rFonts w:ascii="Calibri" w:hAnsi="Calibri" w:cs="Calibri"/>
          <w:sz w:val="22"/>
          <w:szCs w:val="22"/>
        </w:rPr>
        <w:t>.</w:t>
      </w:r>
    </w:p>
    <w:p w14:paraId="342F3122" w14:textId="77777777" w:rsidR="00651711" w:rsidRPr="00651711" w:rsidRDefault="00651711" w:rsidP="00651711">
      <w:pPr>
        <w:numPr>
          <w:ilvl w:val="0"/>
          <w:numId w:val="21"/>
        </w:numPr>
        <w:spacing w:before="120" w:after="144" w:line="259" w:lineRule="auto"/>
        <w:ind w:right="48"/>
        <w:contextualSpacing/>
        <w:rPr>
          <w:rFonts w:ascii="Calibri" w:hAnsi="Calibri" w:cs="Calibri"/>
          <w:sz w:val="22"/>
          <w:szCs w:val="22"/>
        </w:rPr>
      </w:pPr>
      <w:r w:rsidRPr="00651711">
        <w:rPr>
          <w:rFonts w:ascii="Calibri" w:hAnsi="Calibri" w:cs="Calibri"/>
          <w:b/>
          <w:bCs/>
          <w:sz w:val="22"/>
          <w:szCs w:val="22"/>
        </w:rPr>
        <w:t>DAD (Duplicate Address Detection)</w:t>
      </w:r>
      <w:r w:rsidRPr="00651711">
        <w:rPr>
          <w:rFonts w:ascii="Calibri" w:hAnsi="Calibri" w:cs="Calibri"/>
          <w:sz w:val="22"/>
          <w:szCs w:val="22"/>
        </w:rPr>
        <w:t>: If the host doesn’t receive a response to its Neighbour Solicitation message, it assumes that no duplicate addresses exist on the segment</w:t>
      </w:r>
      <w:r w:rsidRPr="00651711">
        <w:rPr>
          <w:rFonts w:ascii="Calibri" w:hAnsi="Calibri" w:cs="Calibri"/>
          <w:b/>
          <w:bCs/>
          <w:sz w:val="22"/>
          <w:szCs w:val="22"/>
        </w:rPr>
        <w:fldChar w:fldCharType="begin" w:fldLock="1"/>
      </w:r>
      <w:r w:rsidRPr="00651711">
        <w:rPr>
          <w:rFonts w:ascii="Calibri" w:hAnsi="Calibri" w:cs="Calibri"/>
          <w:b/>
          <w:bCs/>
          <w:sz w:val="22"/>
          <w:szCs w:val="22"/>
        </w:rPr>
        <w:instrText>ADDIN CSL_CITATION {"citationItems":[{"id":"ITEM-1","itemData":{"DOI":"10.21917/ijct.2015.0177","abstract":"The gigantic growth of the internet communication technology has illustrated its value and benefits to private businesses, government organizations, worldwide professionals, academic institutes and individuals over the past few years. The size and range of computing devices connected to the internet, substantially increased because of IPv6 and offers the potential to establish a much more powerful internet compared to the IPv4. IPv6 developed by the IETF to deal with a shortage of IP addresses under IPv4. New features of IPv6 enhance packet processing speeds over routers, switches and end systems. These improved features will have different traffic characteristics than IPv4. The internet traffic which was earlier assumed as Poisson is now shown to have fractal characteristics as; heavy tailedness, self-similarity and long range dependency. Internet traffic showing above characteristics are found to have burstiness at multiple timescales. This behavior impacts network performance and degrades it substantially. It also increases complexity for network design and create difficulties to maintain desired QoS. IPv4 traffic has been well established as self-similar traffic. Nowadays, IPv6 forming a larger share of the internet traffic and it is pivotal to asses IPv6 with regards to fractal behavior. This will enable network designers to do necessary changes in the existing network to reconcile with IPv6. In this paper we compared IPv4 and IPv6 with respect to fractal behavioral characteristics. It is found that IPv6 shows higher degree of heavy tailedness, higher values of Hurst parameter values, higher fractal dimension values i.e. it is more self-similar, greater autocorrelation achieved even at larger lag and thus showing more burstiness.","author":[{"dropping-particle":"","family":"Jaiswal","given":"Rupesh","non-dropping-particle":"","parse-names":false,"suffix":""},{"dropping-particle":"","family":"Lokhande","given":"Shashikant","non-dropping-particle":"","parse-names":false,"suffix":""},{"dropping-particle":"","family":"Bakre","given":"Anuj","non-dropping-particle":"","parse-names":false,"suffix":""},{"dropping-particle":"","family":"Gutte","given":"Kishor","non-dropping-particle":"","parse-names":false,"suffix":""}],"id":"ITEM-1","issued":{"date-parts":[["0"]]},"title":"PERFORMANCE ANALYSIS OF IPv4 AND IPv6 INTERNET TRAFFIC","type":"article-journal"},"uris":["http://www.mendeley.com/documents/?uuid=d252fb5d-93fd-3348-b1a9-d9ed48ab193f"]}],"mendeley":{"formattedCitation":"[8]","plainTextFormattedCitation":"[8]","previouslyFormattedCitation":"[7]"},"properties":{"noteIndex":0},"schema":"https://github.com/citation-style-language/schema/raw/master/csl-citation.json"}</w:instrText>
      </w:r>
      <w:r w:rsidRPr="00651711">
        <w:rPr>
          <w:rFonts w:ascii="Calibri" w:hAnsi="Calibri" w:cs="Calibri"/>
          <w:b/>
          <w:bCs/>
          <w:sz w:val="22"/>
          <w:szCs w:val="22"/>
        </w:rPr>
        <w:fldChar w:fldCharType="separate"/>
      </w:r>
      <w:r w:rsidRPr="00651711">
        <w:rPr>
          <w:rFonts w:ascii="Calibri" w:hAnsi="Calibri" w:cs="Calibri"/>
          <w:bCs/>
          <w:noProof/>
          <w:sz w:val="22"/>
          <w:szCs w:val="22"/>
        </w:rPr>
        <w:t>[8]</w:t>
      </w:r>
      <w:r w:rsidRPr="00651711">
        <w:rPr>
          <w:rFonts w:ascii="Calibri" w:hAnsi="Calibri" w:cs="Calibri"/>
          <w:b/>
          <w:bCs/>
          <w:sz w:val="22"/>
          <w:szCs w:val="22"/>
        </w:rPr>
        <w:fldChar w:fldCharType="end"/>
      </w:r>
      <w:r w:rsidRPr="00651711">
        <w:rPr>
          <w:rFonts w:ascii="Calibri" w:hAnsi="Calibri" w:cs="Calibri"/>
          <w:sz w:val="22"/>
          <w:szCs w:val="22"/>
        </w:rPr>
        <w:t>.</w:t>
      </w:r>
    </w:p>
    <w:p w14:paraId="117CC4AA" w14:textId="77777777" w:rsidR="00651711" w:rsidRPr="00651711" w:rsidRDefault="00651711" w:rsidP="00651711">
      <w:pPr>
        <w:numPr>
          <w:ilvl w:val="0"/>
          <w:numId w:val="21"/>
        </w:numPr>
        <w:spacing w:before="120" w:after="144" w:line="259" w:lineRule="auto"/>
        <w:ind w:right="48"/>
        <w:contextualSpacing/>
        <w:rPr>
          <w:rFonts w:ascii="Calibri" w:hAnsi="Calibri" w:cs="Calibri"/>
          <w:sz w:val="22"/>
          <w:szCs w:val="22"/>
        </w:rPr>
      </w:pPr>
      <w:r w:rsidRPr="00651711">
        <w:rPr>
          <w:rFonts w:ascii="Calibri" w:hAnsi="Calibri" w:cs="Calibri"/>
          <w:b/>
          <w:bCs/>
          <w:sz w:val="22"/>
          <w:szCs w:val="22"/>
        </w:rPr>
        <w:t>Neighbour Advertisement</w:t>
      </w:r>
      <w:r w:rsidRPr="00651711">
        <w:rPr>
          <w:rFonts w:ascii="Calibri" w:hAnsi="Calibri" w:cs="Calibri"/>
          <w:sz w:val="22"/>
          <w:szCs w:val="22"/>
        </w:rPr>
        <w:t>: After assigning the addresses to its interfaces, the host sends out a Neighbour Advertisement message telling all other hosts on the segment that it has assigned those IPv6 addresses to its interfaces</w:t>
      </w:r>
      <w:r w:rsidRPr="00651711">
        <w:rPr>
          <w:rFonts w:ascii="Calibri" w:hAnsi="Calibri" w:cs="Calibri"/>
          <w:b/>
          <w:bCs/>
          <w:sz w:val="22"/>
          <w:szCs w:val="22"/>
        </w:rPr>
        <w:fldChar w:fldCharType="begin" w:fldLock="1"/>
      </w:r>
      <w:r w:rsidRPr="00651711">
        <w:rPr>
          <w:rFonts w:ascii="Calibri" w:hAnsi="Calibri" w:cs="Calibri"/>
          <w:b/>
          <w:bCs/>
          <w:sz w:val="22"/>
          <w:szCs w:val="22"/>
        </w:rPr>
        <w:instrText>ADDIN CSL_CITATION {"citationItems":[{"id":"ITEM-1","itemData":{"DOI":"10.21917/ijct.2015.0177","abstract":"The gigantic growth of the internet communication technology has illustrated its value and benefits to private businesses, government organizations, worldwide professionals, academic institutes and individuals over the past few years. The size and range of computing devices connected to the internet, substantially increased because of IPv6 and offers the potential to establish a much more powerful internet compared to the IPv4. IPv6 developed by the IETF to deal with a shortage of IP addresses under IPv4. New features of IPv6 enhance packet processing speeds over routers, switches and end systems. These improved features will have different traffic characteristics than IPv4. The internet traffic which was earlier assumed as Poisson is now shown to have fractal characteristics as; heavy tailedness, self-similarity and long range dependency. Internet traffic showing above characteristics are found to have burstiness at multiple timescales. This behavior impacts network performance and degrades it substantially. It also increases complexity for network design and create difficulties to maintain desired QoS. IPv4 traffic has been well established as self-similar traffic. Nowadays, IPv6 forming a larger share of the internet traffic and it is pivotal to asses IPv6 with regards to fractal behavior. This will enable network designers to do necessary changes in the existing network to reconcile with IPv6. In this paper we compared IPv4 and IPv6 with respect to fractal behavioral characteristics. It is found that IPv6 shows higher degree of heavy tailedness, higher values of Hurst parameter values, higher fractal dimension values i.e. it is more self-similar, greater autocorrelation achieved even at larger lag and thus showing more burstiness.","author":[{"dropping-particle":"","family":"Jaiswal","given":"Rupesh","non-dropping-particle":"","parse-names":false,"suffix":""},{"dropping-particle":"","family":"Lokhande","given":"Shashikant","non-dropping-particle":"","parse-names":false,"suffix":""},{"dropping-particle":"","family":"Bakre","given":"Anuj","non-dropping-particle":"","parse-names":false,"suffix":""},{"dropping-particle":"","family":"Gutte","given":"Kishor","non-dropping-particle":"","parse-names":false,"suffix":""}],"id":"ITEM-1","issued":{"date-parts":[["0"]]},"title":"PERFORMANCE ANALYSIS OF IPv4 AND IPv6 INTERNET TRAFFIC","type":"article-journal"},"uris":["http://www.mendeley.com/documents/?uuid=d252fb5d-93fd-3348-b1a9-d9ed48ab193f"]}],"mendeley":{"formattedCitation":"[8]","plainTextFormattedCitation":"[8]","previouslyFormattedCitation":"[7]"},"properties":{"noteIndex":0},"schema":"https://github.com/citation-style-language/schema/raw/master/csl-citation.json"}</w:instrText>
      </w:r>
      <w:r w:rsidRPr="00651711">
        <w:rPr>
          <w:rFonts w:ascii="Calibri" w:hAnsi="Calibri" w:cs="Calibri"/>
          <w:b/>
          <w:bCs/>
          <w:sz w:val="22"/>
          <w:szCs w:val="22"/>
        </w:rPr>
        <w:fldChar w:fldCharType="separate"/>
      </w:r>
      <w:r w:rsidRPr="00651711">
        <w:rPr>
          <w:rFonts w:ascii="Calibri" w:hAnsi="Calibri" w:cs="Calibri"/>
          <w:bCs/>
          <w:noProof/>
          <w:sz w:val="22"/>
          <w:szCs w:val="22"/>
        </w:rPr>
        <w:t>[8]</w:t>
      </w:r>
      <w:r w:rsidRPr="00651711">
        <w:rPr>
          <w:rFonts w:ascii="Calibri" w:hAnsi="Calibri" w:cs="Calibri"/>
          <w:b/>
          <w:bCs/>
          <w:sz w:val="22"/>
          <w:szCs w:val="22"/>
        </w:rPr>
        <w:fldChar w:fldCharType="end"/>
      </w:r>
      <w:r w:rsidRPr="00651711">
        <w:rPr>
          <w:rFonts w:ascii="Calibri" w:hAnsi="Calibri" w:cs="Calibri"/>
          <w:sz w:val="22"/>
          <w:szCs w:val="22"/>
        </w:rPr>
        <w:t>.</w:t>
      </w:r>
    </w:p>
    <w:p w14:paraId="7A916307" w14:textId="77777777" w:rsidR="00651711" w:rsidRPr="00651711" w:rsidRDefault="00651711" w:rsidP="00651711">
      <w:pPr>
        <w:spacing w:before="120" w:after="144" w:line="259" w:lineRule="auto"/>
        <w:ind w:left="360" w:right="48"/>
        <w:rPr>
          <w:rFonts w:ascii="Calibri" w:eastAsia="Calibri" w:hAnsi="Calibri" w:cs="Calibri"/>
          <w:sz w:val="22"/>
          <w:szCs w:val="22"/>
          <w:lang w:eastAsia="en-US"/>
        </w:rPr>
      </w:pPr>
      <w:r w:rsidRPr="00651711">
        <w:rPr>
          <w:rFonts w:ascii="Calibri" w:eastAsia="Calibri" w:hAnsi="Calibri" w:cs="Calibri"/>
          <w:sz w:val="22"/>
          <w:szCs w:val="22"/>
          <w:lang w:eastAsia="en-US"/>
        </w:rPr>
        <w:t>Once a host has configured its IPv6 addresses, it does the following:</w:t>
      </w:r>
    </w:p>
    <w:p w14:paraId="3691095E" w14:textId="77777777" w:rsidR="00651711" w:rsidRPr="00651711" w:rsidRDefault="00651711" w:rsidP="00651711">
      <w:pPr>
        <w:numPr>
          <w:ilvl w:val="0"/>
          <w:numId w:val="22"/>
        </w:numPr>
        <w:spacing w:before="120" w:after="144" w:line="259" w:lineRule="auto"/>
        <w:ind w:right="48"/>
        <w:contextualSpacing/>
        <w:rPr>
          <w:rFonts w:ascii="Calibri" w:hAnsi="Calibri" w:cs="Calibri"/>
          <w:sz w:val="22"/>
          <w:szCs w:val="22"/>
        </w:rPr>
      </w:pPr>
      <w:r w:rsidRPr="00651711">
        <w:rPr>
          <w:rFonts w:ascii="Calibri" w:hAnsi="Calibri" w:cs="Calibri"/>
          <w:b/>
          <w:bCs/>
          <w:sz w:val="22"/>
          <w:szCs w:val="22"/>
        </w:rPr>
        <w:t>Router Solicitation</w:t>
      </w:r>
      <w:r w:rsidRPr="00651711">
        <w:rPr>
          <w:rFonts w:ascii="Calibri" w:hAnsi="Calibri" w:cs="Calibri"/>
          <w:sz w:val="22"/>
          <w:szCs w:val="22"/>
        </w:rPr>
        <w:t>: The host sends a Router Solicitation message to FF02::2/16 (multicast to all routers in link-local segment).</w:t>
      </w:r>
    </w:p>
    <w:p w14:paraId="75211E82" w14:textId="77777777" w:rsidR="00651711" w:rsidRPr="00651711" w:rsidRDefault="00651711" w:rsidP="00651711">
      <w:pPr>
        <w:numPr>
          <w:ilvl w:val="0"/>
          <w:numId w:val="22"/>
        </w:numPr>
        <w:spacing w:before="120" w:after="144" w:line="259" w:lineRule="auto"/>
        <w:ind w:right="48"/>
        <w:contextualSpacing/>
        <w:rPr>
          <w:rFonts w:ascii="Calibri" w:hAnsi="Calibri" w:cs="Calibri"/>
          <w:sz w:val="22"/>
          <w:szCs w:val="22"/>
        </w:rPr>
      </w:pPr>
      <w:r w:rsidRPr="00651711">
        <w:rPr>
          <w:rFonts w:ascii="Calibri" w:hAnsi="Calibri" w:cs="Calibri"/>
          <w:b/>
          <w:bCs/>
          <w:sz w:val="22"/>
          <w:szCs w:val="22"/>
        </w:rPr>
        <w:t>Router Advertisement</w:t>
      </w:r>
      <w:r w:rsidRPr="00651711">
        <w:rPr>
          <w:rFonts w:ascii="Calibri" w:hAnsi="Calibri" w:cs="Calibri"/>
          <w:sz w:val="22"/>
          <w:szCs w:val="22"/>
        </w:rPr>
        <w:t>: When a router receives a Router Solicitation message, it responds to the host, advertising its presence on that link. The host then stores this address.</w:t>
      </w:r>
    </w:p>
    <w:p w14:paraId="129C4662" w14:textId="77777777" w:rsidR="00651711" w:rsidRPr="00651711" w:rsidRDefault="00651711" w:rsidP="00651711">
      <w:pPr>
        <w:numPr>
          <w:ilvl w:val="0"/>
          <w:numId w:val="22"/>
        </w:numPr>
        <w:spacing w:before="120" w:after="144" w:line="259" w:lineRule="auto"/>
        <w:ind w:right="48"/>
        <w:contextualSpacing/>
        <w:rPr>
          <w:rFonts w:ascii="Calibri" w:hAnsi="Calibri"/>
          <w:color w:val="FF0000"/>
          <w:sz w:val="22"/>
        </w:rPr>
      </w:pPr>
      <w:r w:rsidRPr="00651711">
        <w:rPr>
          <w:rFonts w:ascii="Calibri" w:hAnsi="Calibri" w:cs="Calibri"/>
          <w:b/>
          <w:bCs/>
          <w:sz w:val="22"/>
          <w:szCs w:val="22"/>
        </w:rPr>
        <w:t>Redirect</w:t>
      </w:r>
      <w:r w:rsidRPr="00651711">
        <w:rPr>
          <w:rFonts w:ascii="Calibri" w:hAnsi="Calibri" w:cs="Calibri"/>
          <w:sz w:val="22"/>
          <w:szCs w:val="22"/>
        </w:rPr>
        <w:t>: A Router may receive a Router Solicitation request, but know that it is not the best gateway for the host. In this situation, the router sends back a Redirect message telling the host that there is a better ‘next-hop’ router available.</w:t>
      </w:r>
    </w:p>
    <w:p w14:paraId="1044D979" w14:textId="77777777" w:rsidR="00651711" w:rsidRPr="00651711" w:rsidRDefault="00651711" w:rsidP="00651711">
      <w:pPr>
        <w:keepNext/>
        <w:keepLines/>
        <w:numPr>
          <w:ilvl w:val="1"/>
          <w:numId w:val="0"/>
        </w:numPr>
        <w:spacing w:before="40" w:line="259" w:lineRule="auto"/>
        <w:ind w:left="576" w:hanging="576"/>
        <w:outlineLvl w:val="1"/>
        <w:rPr>
          <w:rFonts w:ascii="Calibri Light" w:hAnsi="Calibri Light"/>
          <w:color w:val="2E74B5"/>
          <w:sz w:val="26"/>
          <w:szCs w:val="26"/>
          <w:lang w:eastAsia="en-US"/>
        </w:rPr>
      </w:pPr>
      <w:bookmarkStart w:id="8" w:name="_Toc26975460"/>
      <w:r w:rsidRPr="00651711">
        <w:rPr>
          <w:rFonts w:ascii="Calibri Light" w:hAnsi="Calibri Light"/>
          <w:color w:val="2E74B5"/>
          <w:sz w:val="26"/>
          <w:szCs w:val="26"/>
          <w:lang w:eastAsia="en-US"/>
        </w:rPr>
        <w:t>IPv4 Compatibility</w:t>
      </w:r>
      <w:bookmarkEnd w:id="8"/>
    </w:p>
    <w:p w14:paraId="3C57AF74"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IPv6 is not backwards compatible with IPv4, and whilst the world is slowly moving towards implementing IPv6, there are times when both standards will have to interact</w:t>
      </w:r>
      <w:r w:rsidRPr="00651711">
        <w:rPr>
          <w:rFonts w:ascii="Calibri" w:eastAsia="Calibri" w:hAnsi="Calibri"/>
          <w:sz w:val="22"/>
          <w:szCs w:val="22"/>
          <w:lang w:eastAsia="en-US"/>
        </w:rPr>
        <w:fldChar w:fldCharType="begin" w:fldLock="1"/>
      </w:r>
      <w:r w:rsidRPr="00651711">
        <w:rPr>
          <w:rFonts w:ascii="Calibri" w:eastAsia="Calibri" w:hAnsi="Calibri"/>
          <w:sz w:val="22"/>
          <w:szCs w:val="22"/>
          <w:lang w:eastAsia="en-US"/>
        </w:rPr>
        <w:instrText>ADDIN CSL_CITATION {"citationItems":[{"id":"ITEM-1","itemData":{"DOI":"10.1109/wicom.2011.6040165","abstract":"New applications like VoIP and video conferencing are sensitive to network performance, therefore making the network capacity provide quality of service is increasingly important. IPv6 was developed to solve some of the problems of IPv4, such as QoS, security and the IPv4 addresses reduction. Current IP networks provide better traffic delivery effort providing partial guarantees in terms of Quality of Service. However, there are services, including voice, with strong requirements for delay and delay variation (jitter), which makes it necessary to add functionality to IPv4 networks in order to gain support for such services. In this paper we describe the mechanisms and architectures that are used to provide QoS on a network. Then, we specify the features that use both IPv4 and IPv6 to implement QoS. Finally, we present the results of the comparison of 2 scenarios in which basic QoS features of IPv6 and IPv4 are assessed.","author":[{"dropping-particle":"","family":"Parra","given":"Octavio J. Salcedo","non-dropping-particle":"","parse-names":false,"suffix":""},{"dropping-particle":"","family":"Rios","given":"Angela Patricia","non-dropping-particle":"","parse-names":false,"suffix":""},{"dropping-particle":"","family":"Lopez Rubio","given":"Gustavo","non-dropping-particle":"","parse-names":false,"suffix":""}],"id":"ITEM-1","issued":{"date-parts":[["2011","10","13"]]},"page":"1-4","publisher":"Institute of Electrical and Electronics Engineers (IEEE)","title":"Quality of Service over IPV6 and IPV4","type":"paper-conference"},"uris":["http://www.mendeley.com/documents/?uuid=c59a67dd-f6fc-3202-b90b-d0ee0b8c8a58"]}],"mendeley":{"formattedCitation":"[9]","plainTextFormattedCitation":"[9]","previouslyFormattedCitation":"[8]"},"properties":{"noteIndex":0},"schema":"https://github.com/citation-style-language/schema/raw/master/csl-citation.json"}</w:instrText>
      </w:r>
      <w:r w:rsidRPr="00651711">
        <w:rPr>
          <w:rFonts w:ascii="Calibri" w:eastAsia="Calibri" w:hAnsi="Calibri"/>
          <w:sz w:val="22"/>
          <w:szCs w:val="22"/>
          <w:lang w:eastAsia="en-US"/>
        </w:rPr>
        <w:fldChar w:fldCharType="separate"/>
      </w:r>
      <w:r w:rsidRPr="00651711">
        <w:rPr>
          <w:rFonts w:ascii="Calibri" w:eastAsia="Calibri" w:hAnsi="Calibri"/>
          <w:noProof/>
          <w:sz w:val="22"/>
          <w:szCs w:val="22"/>
          <w:lang w:eastAsia="en-US"/>
        </w:rPr>
        <w:t>[9]</w:t>
      </w:r>
      <w:r w:rsidRPr="00651711">
        <w:rPr>
          <w:rFonts w:ascii="Calibri" w:eastAsia="Calibri" w:hAnsi="Calibri"/>
          <w:sz w:val="22"/>
          <w:szCs w:val="22"/>
          <w:lang w:eastAsia="en-US"/>
        </w:rPr>
        <w:fldChar w:fldCharType="end"/>
      </w:r>
      <w:r w:rsidRPr="00651711">
        <w:rPr>
          <w:rFonts w:ascii="Calibri" w:eastAsia="Calibri" w:hAnsi="Calibri"/>
          <w:sz w:val="22"/>
          <w:szCs w:val="22"/>
          <w:lang w:eastAsia="en-US"/>
        </w:rPr>
        <w:t>. The following are some of the ways IPv6 can interact with IPv4:</w:t>
      </w:r>
    </w:p>
    <w:p w14:paraId="0AF2CD56" w14:textId="77777777" w:rsidR="00651711" w:rsidRPr="00651711" w:rsidRDefault="00651711" w:rsidP="00651711">
      <w:pPr>
        <w:keepNext/>
        <w:keepLines/>
        <w:numPr>
          <w:ilvl w:val="2"/>
          <w:numId w:val="0"/>
        </w:numPr>
        <w:spacing w:before="40" w:line="259" w:lineRule="auto"/>
        <w:ind w:left="720" w:hanging="720"/>
        <w:outlineLvl w:val="2"/>
        <w:rPr>
          <w:rFonts w:ascii="Calibri Light" w:hAnsi="Calibri Light"/>
          <w:color w:val="1F4D78"/>
          <w:sz w:val="24"/>
          <w:szCs w:val="24"/>
          <w:lang w:eastAsia="en-US"/>
        </w:rPr>
      </w:pPr>
      <w:bookmarkStart w:id="9" w:name="_Toc26975461"/>
      <w:r w:rsidRPr="00651711">
        <w:rPr>
          <w:rFonts w:ascii="Calibri Light" w:hAnsi="Calibri Light"/>
          <w:color w:val="1F4D78"/>
          <w:sz w:val="24"/>
          <w:szCs w:val="24"/>
          <w:lang w:eastAsia="en-US"/>
        </w:rPr>
        <w:t>Dual Stack Routers</w:t>
      </w:r>
      <w:bookmarkEnd w:id="9"/>
    </w:p>
    <w:p w14:paraId="1FBC07B4"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A router can be configured with both IPv4 and IPv6 addresses in its routing table, if it is placed between an IPv4 and IPv6 network. the router can act as a bridge between the two, with the router able to route traffic from one network to the other and visa-versa</w:t>
      </w:r>
      <w:r w:rsidRPr="00651711">
        <w:rPr>
          <w:rFonts w:ascii="Calibri" w:eastAsia="Calibri" w:hAnsi="Calibri"/>
          <w:sz w:val="22"/>
          <w:szCs w:val="22"/>
          <w:lang w:eastAsia="en-US"/>
        </w:rPr>
        <w:fldChar w:fldCharType="begin" w:fldLock="1"/>
      </w:r>
      <w:r w:rsidRPr="00651711">
        <w:rPr>
          <w:rFonts w:ascii="Calibri" w:eastAsia="Calibri" w:hAnsi="Calibri"/>
          <w:sz w:val="22"/>
          <w:szCs w:val="22"/>
          <w:lang w:eastAsia="en-US"/>
        </w:rPr>
        <w:instrText>ADDIN CSL_CITATION {"citationItems":[{"id":"ITEM-1","itemData":{"URL":"https://www.tutorialspoint.com/ipv6/ipv6_ipv4_to_ipv6.htm","accessed":{"date-parts":[["2019","12","11"]]},"id":"ITEM-1","issued":{"date-parts":[["0"]]},"title":"Transition From IPv4 to IPv6 - Tutorialspoint","type":"webpage"},"uris":["http://www.mendeley.com/documents/?uuid=5ff4766c-171b-3eaf-bf4c-286d4aa7a094"]}],"mendeley":{"formattedCitation":"[10]","plainTextFormattedCitation":"[10]","previouslyFormattedCitation":"[9]"},"properties":{"noteIndex":0},"schema":"https://github.com/citation-style-language/schema/raw/master/csl-citation.json"}</w:instrText>
      </w:r>
      <w:r w:rsidRPr="00651711">
        <w:rPr>
          <w:rFonts w:ascii="Calibri" w:eastAsia="Calibri" w:hAnsi="Calibri"/>
          <w:sz w:val="22"/>
          <w:szCs w:val="22"/>
          <w:lang w:eastAsia="en-US"/>
        </w:rPr>
        <w:fldChar w:fldCharType="separate"/>
      </w:r>
      <w:r w:rsidRPr="00651711">
        <w:rPr>
          <w:rFonts w:ascii="Calibri" w:eastAsia="Calibri" w:hAnsi="Calibri"/>
          <w:noProof/>
          <w:sz w:val="22"/>
          <w:szCs w:val="22"/>
          <w:lang w:eastAsia="en-US"/>
        </w:rPr>
        <w:t>[10]</w:t>
      </w:r>
      <w:r w:rsidRPr="00651711">
        <w:rPr>
          <w:rFonts w:ascii="Calibri" w:eastAsia="Calibri" w:hAnsi="Calibri"/>
          <w:sz w:val="22"/>
          <w:szCs w:val="22"/>
          <w:lang w:eastAsia="en-US"/>
        </w:rPr>
        <w:fldChar w:fldCharType="end"/>
      </w:r>
      <w:r w:rsidRPr="00651711">
        <w:rPr>
          <w:rFonts w:ascii="Calibri" w:eastAsia="Calibri" w:hAnsi="Calibri"/>
          <w:sz w:val="22"/>
          <w:szCs w:val="22"/>
          <w:lang w:eastAsia="en-US"/>
        </w:rPr>
        <w:t>.</w:t>
      </w:r>
    </w:p>
    <w:p w14:paraId="0B80455B" w14:textId="77777777" w:rsidR="00651711" w:rsidRPr="00651711" w:rsidRDefault="00651711" w:rsidP="00651711">
      <w:pPr>
        <w:keepNext/>
        <w:keepLines/>
        <w:numPr>
          <w:ilvl w:val="2"/>
          <w:numId w:val="0"/>
        </w:numPr>
        <w:spacing w:before="40" w:line="259" w:lineRule="auto"/>
        <w:ind w:left="720" w:hanging="720"/>
        <w:outlineLvl w:val="2"/>
        <w:rPr>
          <w:rFonts w:ascii="Calibri Light" w:hAnsi="Calibri Light"/>
          <w:color w:val="1F4D78"/>
          <w:sz w:val="24"/>
          <w:szCs w:val="24"/>
          <w:lang w:eastAsia="en-US"/>
        </w:rPr>
      </w:pPr>
      <w:bookmarkStart w:id="10" w:name="_Toc26975462"/>
      <w:r w:rsidRPr="00651711">
        <w:rPr>
          <w:rFonts w:ascii="Calibri Light" w:hAnsi="Calibri Light"/>
          <w:color w:val="1F4D78"/>
          <w:sz w:val="24"/>
          <w:szCs w:val="24"/>
          <w:lang w:eastAsia="en-US"/>
        </w:rPr>
        <w:t>Tunnelling</w:t>
      </w:r>
      <w:bookmarkEnd w:id="10"/>
    </w:p>
    <w:p w14:paraId="52F17A0A" w14:textId="77777777" w:rsidR="00651711" w:rsidRPr="00651711" w:rsidRDefault="00651711" w:rsidP="00651711">
      <w:pPr>
        <w:spacing w:after="160" w:line="259" w:lineRule="auto"/>
        <w:rPr>
          <w:rFonts w:ascii="Calibri" w:eastAsia="Calibri" w:hAnsi="Calibri"/>
          <w:sz w:val="22"/>
          <w:szCs w:val="22"/>
          <w:lang w:eastAsia="en-US"/>
        </w:rPr>
      </w:pPr>
      <w:r w:rsidRPr="00651711">
        <w:rPr>
          <w:rFonts w:ascii="Calibri" w:eastAsia="Calibri" w:hAnsi="Calibri"/>
          <w:sz w:val="22"/>
          <w:szCs w:val="22"/>
          <w:lang w:eastAsia="en-US"/>
        </w:rPr>
        <w:t>If there is a different IP version on an intermediate path between nodes, tunnelling provides a better solution where user’s data can pass through a non-supported IP version. For instance, two remote IPv4 networks can communicate via a Tunnel, where the transit network was on IPv6. This is done by wrapping the IPv4 packets in IPv6 headers during its travel through the IPv6 network and then removing the headers to continue to the destination IPv4 network. The opposite scenario is also possible</w:t>
      </w:r>
      <w:r w:rsidRPr="00651711">
        <w:rPr>
          <w:rFonts w:ascii="Calibri" w:eastAsia="Calibri" w:hAnsi="Calibri"/>
          <w:sz w:val="22"/>
          <w:szCs w:val="22"/>
          <w:lang w:eastAsia="en-US"/>
        </w:rPr>
        <w:fldChar w:fldCharType="begin" w:fldLock="1"/>
      </w:r>
      <w:r w:rsidRPr="00651711">
        <w:rPr>
          <w:rFonts w:ascii="Calibri" w:eastAsia="Calibri" w:hAnsi="Calibri"/>
          <w:sz w:val="22"/>
          <w:szCs w:val="22"/>
          <w:lang w:eastAsia="en-US"/>
        </w:rPr>
        <w:instrText>ADDIN CSL_CITATION {"citationItems":[{"id":"ITEM-1","itemData":{"URL":"https://www.tutorialspoint.com/ipv6/ipv6_ipv4_to_ipv6.htm","accessed":{"date-parts":[["2019","12","11"]]},"id":"ITEM-1","issued":{"date-parts":[["0"]]},"title":"Transition From IPv4 to IPv6 - Tutorialspoint","type":"webpage"},"uris":["http://www.mendeley.com/documents/?uuid=5ff4766c-171b-3eaf-bf4c-286d4aa7a094"]}],"mendeley":{"formattedCitation":"[10]","plainTextFormattedCitation":"[10]","previouslyFormattedCitation":"[9]"},"properties":{"noteIndex":0},"schema":"https://github.com/citation-style-language/schema/raw/master/csl-citation.json"}</w:instrText>
      </w:r>
      <w:r w:rsidRPr="00651711">
        <w:rPr>
          <w:rFonts w:ascii="Calibri" w:eastAsia="Calibri" w:hAnsi="Calibri"/>
          <w:sz w:val="22"/>
          <w:szCs w:val="22"/>
          <w:lang w:eastAsia="en-US"/>
        </w:rPr>
        <w:fldChar w:fldCharType="separate"/>
      </w:r>
      <w:r w:rsidRPr="00651711">
        <w:rPr>
          <w:rFonts w:ascii="Calibri" w:eastAsia="Calibri" w:hAnsi="Calibri"/>
          <w:noProof/>
          <w:sz w:val="22"/>
          <w:szCs w:val="22"/>
          <w:lang w:eastAsia="en-US"/>
        </w:rPr>
        <w:t>[10]</w:t>
      </w:r>
      <w:r w:rsidRPr="00651711">
        <w:rPr>
          <w:rFonts w:ascii="Calibri" w:eastAsia="Calibri" w:hAnsi="Calibri"/>
          <w:sz w:val="22"/>
          <w:szCs w:val="22"/>
          <w:lang w:eastAsia="en-US"/>
        </w:rPr>
        <w:fldChar w:fldCharType="end"/>
      </w:r>
      <w:r w:rsidRPr="00651711">
        <w:rPr>
          <w:rFonts w:ascii="Calibri" w:eastAsia="Calibri" w:hAnsi="Calibri"/>
          <w:sz w:val="22"/>
          <w:szCs w:val="22"/>
          <w:lang w:eastAsia="en-US"/>
        </w:rPr>
        <w:t>.</w:t>
      </w:r>
    </w:p>
    <w:p w14:paraId="14E3C480" w14:textId="77777777" w:rsidR="00651711" w:rsidRPr="00651711" w:rsidRDefault="00651711" w:rsidP="00651711">
      <w:pPr>
        <w:keepNext/>
        <w:keepLines/>
        <w:numPr>
          <w:ilvl w:val="2"/>
          <w:numId w:val="0"/>
        </w:numPr>
        <w:spacing w:before="40" w:line="259" w:lineRule="auto"/>
        <w:ind w:left="720" w:hanging="720"/>
        <w:outlineLvl w:val="2"/>
        <w:rPr>
          <w:rFonts w:ascii="Calibri Light" w:hAnsi="Calibri Light"/>
          <w:color w:val="1F4D78"/>
          <w:sz w:val="24"/>
          <w:szCs w:val="24"/>
          <w:lang w:eastAsia="en-US"/>
        </w:rPr>
      </w:pPr>
      <w:bookmarkStart w:id="11" w:name="_Toc26975463"/>
      <w:r w:rsidRPr="00651711">
        <w:rPr>
          <w:rFonts w:ascii="Calibri Light" w:hAnsi="Calibri Light"/>
          <w:color w:val="1F4D78"/>
          <w:sz w:val="24"/>
          <w:szCs w:val="24"/>
          <w:lang w:eastAsia="en-US"/>
        </w:rPr>
        <w:t>NAT Protocol Translation</w:t>
      </w:r>
      <w:bookmarkEnd w:id="11"/>
    </w:p>
    <w:p w14:paraId="00F62770" w14:textId="77777777" w:rsidR="00651711" w:rsidRPr="00651711" w:rsidRDefault="00651711" w:rsidP="00651711">
      <w:pPr>
        <w:spacing w:after="160" w:line="259" w:lineRule="auto"/>
        <w:rPr>
          <w:rFonts w:ascii="Calibri Light" w:hAnsi="Calibri Light"/>
          <w:color w:val="2E74B5"/>
          <w:sz w:val="32"/>
          <w:szCs w:val="32"/>
          <w:lang w:eastAsia="en-US"/>
        </w:rPr>
      </w:pPr>
      <w:r w:rsidRPr="00651711">
        <w:rPr>
          <w:rFonts w:ascii="Calibri" w:eastAsia="Calibri" w:hAnsi="Calibri"/>
          <w:sz w:val="22"/>
          <w:szCs w:val="22"/>
          <w:lang w:eastAsia="en-US"/>
        </w:rPr>
        <w:t>Another method is to install a Network Address Translation – Protocol Translation (NAT-PT) devices between the IPv4 and IPv6 networks. For instance, a host with an IPv4 address sends a request to an IPv6 enabled server that cannot parse IPv4 addresses. In this scenario, a NAT-PT device can help them communicate. When the host sends a request packet to the server, the NAT-PT device strips the IPv4 packet of its header, adds an IPv6 header, and forwards it through to the server</w:t>
      </w:r>
      <w:r w:rsidRPr="00651711">
        <w:rPr>
          <w:rFonts w:ascii="Calibri" w:eastAsia="Calibri" w:hAnsi="Calibri"/>
          <w:sz w:val="22"/>
          <w:szCs w:val="22"/>
          <w:lang w:eastAsia="en-US"/>
        </w:rPr>
        <w:fldChar w:fldCharType="begin" w:fldLock="1"/>
      </w:r>
      <w:r w:rsidRPr="00651711">
        <w:rPr>
          <w:rFonts w:ascii="Calibri" w:eastAsia="Calibri" w:hAnsi="Calibri"/>
          <w:sz w:val="22"/>
          <w:szCs w:val="22"/>
          <w:lang w:eastAsia="en-US"/>
        </w:rPr>
        <w:instrText>ADDIN CSL_CITATION {"citationItems":[{"id":"ITEM-1","itemData":{"author":[{"dropping-particle":"","family":"Cisco","given":"","non-dropping-particle":"","parse-names":false,"suffix":""}],"container-title":"IP Addressing: NAT Configuration Guide, Cisco IOS Release 15M&amp;T","id":"ITEM-1","issued":{"date-parts":[["2019"]]},"publisher":"Cisco Press","title":"NAT-PT for IPv6","type":"chapter"},"uris":["http://www.mendeley.com/documents/?uuid=a06bd722-33c0-3611-8313-f92eab0722fd"]}],"mendeley":{"formattedCitation":"[11]","plainTextFormattedCitation":"[11]","previouslyFormattedCitation":"[10]"},"properties":{"noteIndex":0},"schema":"https://github.com/citation-style-language/schema/raw/master/csl-citation.json"}</w:instrText>
      </w:r>
      <w:r w:rsidRPr="00651711">
        <w:rPr>
          <w:rFonts w:ascii="Calibri" w:eastAsia="Calibri" w:hAnsi="Calibri"/>
          <w:sz w:val="22"/>
          <w:szCs w:val="22"/>
          <w:lang w:eastAsia="en-US"/>
        </w:rPr>
        <w:fldChar w:fldCharType="separate"/>
      </w:r>
      <w:r w:rsidRPr="00651711">
        <w:rPr>
          <w:rFonts w:ascii="Calibri" w:eastAsia="Calibri" w:hAnsi="Calibri"/>
          <w:noProof/>
          <w:sz w:val="22"/>
          <w:szCs w:val="22"/>
          <w:lang w:eastAsia="en-US"/>
        </w:rPr>
        <w:t>[11]</w:t>
      </w:r>
      <w:r w:rsidRPr="00651711">
        <w:rPr>
          <w:rFonts w:ascii="Calibri" w:eastAsia="Calibri" w:hAnsi="Calibri"/>
          <w:sz w:val="22"/>
          <w:szCs w:val="22"/>
          <w:lang w:eastAsia="en-US"/>
        </w:rPr>
        <w:fldChar w:fldCharType="end"/>
      </w:r>
      <w:r w:rsidRPr="00651711">
        <w:rPr>
          <w:rFonts w:ascii="Calibri" w:eastAsia="Calibri" w:hAnsi="Calibri"/>
          <w:sz w:val="22"/>
          <w:szCs w:val="22"/>
          <w:lang w:eastAsia="en-US"/>
        </w:rPr>
        <w:t>. When a response from the server comes for the host, the device performs the same process backwards.</w:t>
      </w:r>
    </w:p>
    <w:p w14:paraId="7E53AB5B" w14:textId="77777777" w:rsidR="00651711" w:rsidRPr="00651711" w:rsidRDefault="00651711" w:rsidP="00651711">
      <w:pPr>
        <w:keepNext/>
        <w:keepLines/>
        <w:spacing w:before="240" w:line="276" w:lineRule="auto"/>
        <w:ind w:left="432" w:hanging="432"/>
        <w:outlineLvl w:val="0"/>
        <w:rPr>
          <w:rFonts w:ascii="Calibri Light" w:hAnsi="Calibri Light"/>
          <w:color w:val="2E74B5"/>
          <w:sz w:val="32"/>
          <w:szCs w:val="32"/>
          <w:lang w:eastAsia="en-US"/>
        </w:rPr>
      </w:pPr>
      <w:bookmarkStart w:id="12" w:name="_Toc26975464"/>
      <w:r w:rsidRPr="00651711">
        <w:rPr>
          <w:rFonts w:ascii="Calibri Light" w:hAnsi="Calibri Light"/>
          <w:color w:val="2E74B5"/>
          <w:sz w:val="32"/>
          <w:szCs w:val="32"/>
          <w:lang w:eastAsia="en-US"/>
        </w:rPr>
        <w:lastRenderedPageBreak/>
        <w:t>References</w:t>
      </w:r>
      <w:bookmarkEnd w:id="12"/>
    </w:p>
    <w:p w14:paraId="6AE1C0B0"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sz w:val="22"/>
          <w:szCs w:val="22"/>
          <w:lang w:eastAsia="en-US"/>
        </w:rPr>
        <w:fldChar w:fldCharType="begin" w:fldLock="1"/>
      </w:r>
      <w:r w:rsidRPr="00651711">
        <w:rPr>
          <w:rFonts w:ascii="Calibri" w:eastAsia="Calibri" w:hAnsi="Calibri"/>
          <w:sz w:val="22"/>
          <w:szCs w:val="22"/>
          <w:lang w:eastAsia="en-US"/>
        </w:rPr>
        <w:instrText xml:space="preserve">ADDIN Mendeley Bibliography CSL_BIBLIOGRAPHY </w:instrText>
      </w:r>
      <w:r w:rsidRPr="00651711">
        <w:rPr>
          <w:rFonts w:ascii="Calibri" w:eastAsia="Calibri" w:hAnsi="Calibri"/>
          <w:sz w:val="22"/>
          <w:szCs w:val="22"/>
          <w:lang w:eastAsia="en-US"/>
        </w:rPr>
        <w:fldChar w:fldCharType="separate"/>
      </w:r>
      <w:r w:rsidRPr="00651711">
        <w:rPr>
          <w:rFonts w:ascii="Calibri" w:eastAsia="Calibri" w:hAnsi="Calibri" w:cs="Calibri"/>
          <w:noProof/>
          <w:sz w:val="22"/>
          <w:szCs w:val="24"/>
          <w:lang w:eastAsia="en-US"/>
        </w:rPr>
        <w:t>[1]</w:t>
      </w:r>
      <w:r w:rsidRPr="00651711">
        <w:rPr>
          <w:rFonts w:ascii="Calibri" w:eastAsia="Calibri" w:hAnsi="Calibri" w:cs="Calibri"/>
          <w:noProof/>
          <w:sz w:val="22"/>
          <w:szCs w:val="24"/>
          <w:lang w:eastAsia="en-US"/>
        </w:rPr>
        <w:tab/>
        <w:t>IHS, “Internet of things (iot) connected devices installed base world-wide from 2015 to 2025,” 2016.</w:t>
      </w:r>
    </w:p>
    <w:p w14:paraId="71AA0444"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[2]</w:t>
      </w:r>
      <w:r w:rsidRPr="00651711">
        <w:rPr>
          <w:rFonts w:ascii="Calibri" w:eastAsia="Calibri" w:hAnsi="Calibri" w:cs="Calibri"/>
          <w:noProof/>
          <w:sz w:val="22"/>
          <w:szCs w:val="24"/>
          <w:lang w:eastAsia="en-US"/>
        </w:rPr>
        <w:tab/>
        <w:t xml:space="preserve">Cisco, “Cisco Visual Networking Index: Forecast and Trends, 2017–2022 White Paper - Cisco,” </w:t>
      </w:r>
      <w:r w:rsidRPr="00651711">
        <w:rPr>
          <w:rFonts w:ascii="Calibri" w:eastAsia="Calibri" w:hAnsi="Calibri" w:cs="Calibri"/>
          <w:i/>
          <w:iCs/>
          <w:noProof/>
          <w:sz w:val="22"/>
          <w:szCs w:val="24"/>
          <w:lang w:eastAsia="en-US"/>
        </w:rPr>
        <w:t>Cisco</w:t>
      </w:r>
      <w:r w:rsidRPr="00651711">
        <w:rPr>
          <w:rFonts w:ascii="Calibri" w:eastAsia="Calibri" w:hAnsi="Calibri" w:cs="Calibri"/>
          <w:noProof/>
          <w:sz w:val="22"/>
          <w:szCs w:val="24"/>
          <w:lang w:eastAsia="en-US"/>
        </w:rPr>
        <w:t>, 2018. [Online]. Available: https://www.cisco.com/c/en/us/solutions/collateral/service-provider/visual-networking-index-vni/white-paper-c11-741490.html#_Toc532256793. [Accessed: 11-Dec-2019].</w:t>
      </w:r>
    </w:p>
    <w:p w14:paraId="227286F0"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[3]</w:t>
      </w:r>
      <w:r w:rsidRPr="00651711">
        <w:rPr>
          <w:rFonts w:ascii="Calibri" w:eastAsia="Calibri" w:hAnsi="Calibri" w:cs="Calibri"/>
          <w:noProof/>
          <w:sz w:val="22"/>
          <w:szCs w:val="24"/>
          <w:lang w:eastAsia="en-US"/>
        </w:rPr>
        <w:tab/>
        <w:t>E. Deering, Stephen, “Internet Protocol, Version 6 (IPv6) Specification,” 1998.</w:t>
      </w:r>
    </w:p>
    <w:p w14:paraId="1EAF5DC3"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[4]</w:t>
      </w:r>
      <w:r w:rsidRPr="00651711">
        <w:rPr>
          <w:rFonts w:ascii="Calibri" w:eastAsia="Calibri" w:hAnsi="Calibri" w:cs="Calibri"/>
          <w:noProof/>
          <w:sz w:val="22"/>
          <w:szCs w:val="24"/>
          <w:lang w:eastAsia="en-US"/>
        </w:rPr>
        <w:tab/>
        <w:t>“How Big Is Earth? - Radius, Diameter and Circumference Explained | Space.” [Online]. Available: https://www.space.com/17638-how-big-is-earth.html. [Accessed: 11-Dec-2019].</w:t>
      </w:r>
    </w:p>
    <w:p w14:paraId="48ACBAA3"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[5]</w:t>
      </w:r>
      <w:r w:rsidRPr="00651711">
        <w:rPr>
          <w:rFonts w:ascii="Calibri" w:eastAsia="Calibri" w:hAnsi="Calibri" w:cs="Calibri"/>
          <w:noProof/>
          <w:sz w:val="22"/>
          <w:szCs w:val="24"/>
          <w:lang w:eastAsia="en-US"/>
        </w:rPr>
        <w:tab/>
        <w:t xml:space="preserve">R. Graziani, “IPv6 Address Representation and Address Types &gt; Prefix Length Notation,” </w:t>
      </w:r>
      <w:r w:rsidRPr="00651711">
        <w:rPr>
          <w:rFonts w:ascii="Calibri" w:eastAsia="Calibri" w:hAnsi="Calibri" w:cs="Calibri"/>
          <w:i/>
          <w:iCs/>
          <w:noProof/>
          <w:sz w:val="22"/>
          <w:szCs w:val="24"/>
          <w:lang w:eastAsia="en-US"/>
        </w:rPr>
        <w:t>Cisco Press</w:t>
      </w:r>
      <w:r w:rsidRPr="00651711">
        <w:rPr>
          <w:rFonts w:ascii="Calibri" w:eastAsia="Calibri" w:hAnsi="Calibri" w:cs="Calibri"/>
          <w:noProof/>
          <w:sz w:val="22"/>
          <w:szCs w:val="24"/>
          <w:lang w:eastAsia="en-US"/>
        </w:rPr>
        <w:t>, 2017. [Online]. Available: http://www.ciscopress.com/articles/article.asp?p=2803866&amp;seqNum=2. [Accessed: 11-Dec-2019].</w:t>
      </w:r>
    </w:p>
    <w:p w14:paraId="2580CCEB"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[6]</w:t>
      </w:r>
      <w:r w:rsidRPr="00651711">
        <w:rPr>
          <w:rFonts w:ascii="Calibri" w:eastAsia="Calibri" w:hAnsi="Calibri" w:cs="Calibri"/>
          <w:noProof/>
          <w:sz w:val="22"/>
          <w:szCs w:val="24"/>
          <w:lang w:eastAsia="en-US"/>
        </w:rPr>
        <w:tab/>
        <w:t xml:space="preserve">Cisco, “Unicast Addresses &gt; IPv6 Address Representation and Address Types,” </w:t>
      </w:r>
      <w:r w:rsidRPr="00651711">
        <w:rPr>
          <w:rFonts w:ascii="Calibri" w:eastAsia="Calibri" w:hAnsi="Calibri" w:cs="Calibri"/>
          <w:i/>
          <w:iCs/>
          <w:noProof/>
          <w:sz w:val="22"/>
          <w:szCs w:val="24"/>
          <w:lang w:eastAsia="en-US"/>
        </w:rPr>
        <w:t>Cisco Press</w:t>
      </w:r>
      <w:r w:rsidRPr="00651711">
        <w:rPr>
          <w:rFonts w:ascii="Calibri" w:eastAsia="Calibri" w:hAnsi="Calibri" w:cs="Calibri"/>
          <w:noProof/>
          <w:sz w:val="22"/>
          <w:szCs w:val="24"/>
          <w:lang w:eastAsia="en-US"/>
        </w:rPr>
        <w:t>, 2019. [Online]. Available: http://www.ciscopress.com/articles/article.asp?p=2803866&amp;seqNum=4. [Accessed: 11-Dec-2019].</w:t>
      </w:r>
    </w:p>
    <w:p w14:paraId="594214B5"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[7]</w:t>
      </w:r>
      <w:r w:rsidRPr="00651711">
        <w:rPr>
          <w:rFonts w:ascii="Calibri" w:eastAsia="Calibri" w:hAnsi="Calibri" w:cs="Calibri"/>
          <w:noProof/>
          <w:sz w:val="22"/>
          <w:szCs w:val="24"/>
          <w:lang w:eastAsia="en-US"/>
        </w:rPr>
        <w:tab/>
        <w:t xml:space="preserve">S. Nagaraj, G. Narasinga Rao, M. Ramachandra, and B. Kishore, “IPV6 Address and Quality of Services,” </w:t>
      </w:r>
      <w:r w:rsidRPr="00651711">
        <w:rPr>
          <w:rFonts w:ascii="Calibri" w:eastAsia="Calibri" w:hAnsi="Calibri" w:cs="Calibri"/>
          <w:i/>
          <w:iCs/>
          <w:noProof/>
          <w:sz w:val="22"/>
          <w:szCs w:val="24"/>
          <w:lang w:eastAsia="en-US"/>
        </w:rPr>
        <w:t>Int. J. Adv. Res. Comput. Sci.</w:t>
      </w:r>
      <w:r w:rsidRPr="00651711">
        <w:rPr>
          <w:rFonts w:ascii="Calibri" w:eastAsia="Calibri" w:hAnsi="Calibri" w:cs="Calibri"/>
          <w:noProof/>
          <w:sz w:val="22"/>
          <w:szCs w:val="24"/>
          <w:lang w:eastAsia="en-US"/>
        </w:rPr>
        <w:t>, vol. 1, no. 3, 2010.</w:t>
      </w:r>
    </w:p>
    <w:p w14:paraId="57214C94"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[8]</w:t>
      </w:r>
      <w:r w:rsidRPr="00651711">
        <w:rPr>
          <w:rFonts w:ascii="Calibri" w:eastAsia="Calibri" w:hAnsi="Calibri" w:cs="Calibri"/>
          <w:noProof/>
          <w:sz w:val="22"/>
          <w:szCs w:val="24"/>
          <w:lang w:eastAsia="en-US"/>
        </w:rPr>
        <w:tab/>
        <w:t>R. Jaiswal, S. Lokhande, A. Bakre, and K. Gutte, “PERFORMANCE ANALYSIS OF IPv4 AND IPv6 INTERNET TRAFFIC.”</w:t>
      </w:r>
    </w:p>
    <w:p w14:paraId="3383A807"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[9]</w:t>
      </w:r>
      <w:r w:rsidRPr="00651711">
        <w:rPr>
          <w:rFonts w:ascii="Calibri" w:eastAsia="Calibri" w:hAnsi="Calibri" w:cs="Calibri"/>
          <w:noProof/>
          <w:sz w:val="22"/>
          <w:szCs w:val="24"/>
          <w:lang w:eastAsia="en-US"/>
        </w:rPr>
        <w:tab/>
        <w:t>O. J. S. Parra, A. P. Rios, and G. Lopez Rubio, “Quality of Service over IPV6 and IPV4,” 2011, pp. 1–4.</w:t>
      </w:r>
    </w:p>
    <w:p w14:paraId="5CD1DB59"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4"/>
          <w:lang w:eastAsia="en-US"/>
        </w:rPr>
      </w:pPr>
      <w:r w:rsidRPr="00651711">
        <w:rPr>
          <w:rFonts w:ascii="Calibri" w:eastAsia="Calibri" w:hAnsi="Calibri" w:cs="Calibri"/>
          <w:noProof/>
          <w:sz w:val="22"/>
          <w:szCs w:val="24"/>
          <w:lang w:eastAsia="en-US"/>
        </w:rPr>
        <w:t>[10]</w:t>
      </w:r>
      <w:r w:rsidRPr="00651711">
        <w:rPr>
          <w:rFonts w:ascii="Calibri" w:eastAsia="Calibri" w:hAnsi="Calibri" w:cs="Calibri"/>
          <w:noProof/>
          <w:sz w:val="22"/>
          <w:szCs w:val="24"/>
          <w:lang w:eastAsia="en-US"/>
        </w:rPr>
        <w:tab/>
        <w:t>“Transition From IPv4 to IPv6 - Tutorialspoint.” [Online]. Available: https://www.tutorialspoint.com/ipv6/ipv6_ipv4_to_ipv6.htm. [Accessed: 11-Dec-2019].</w:t>
      </w:r>
    </w:p>
    <w:p w14:paraId="79D8D81E" w14:textId="77777777" w:rsidR="00651711" w:rsidRPr="00651711" w:rsidRDefault="00651711" w:rsidP="00651711">
      <w:pPr>
        <w:widowControl w:val="0"/>
        <w:autoSpaceDE w:val="0"/>
        <w:autoSpaceDN w:val="0"/>
        <w:adjustRightInd w:val="0"/>
        <w:spacing w:after="160"/>
        <w:ind w:left="640" w:hanging="640"/>
        <w:rPr>
          <w:rFonts w:ascii="Calibri" w:eastAsia="Calibri" w:hAnsi="Calibri" w:cs="Calibri"/>
          <w:noProof/>
          <w:sz w:val="22"/>
          <w:szCs w:val="22"/>
          <w:lang w:eastAsia="en-US"/>
        </w:rPr>
      </w:pPr>
      <w:r w:rsidRPr="00651711">
        <w:rPr>
          <w:rFonts w:ascii="Calibri" w:eastAsia="Calibri" w:hAnsi="Calibri" w:cs="Calibri"/>
          <w:noProof/>
          <w:sz w:val="22"/>
          <w:szCs w:val="24"/>
          <w:lang w:eastAsia="en-US"/>
        </w:rPr>
        <w:t>[11]</w:t>
      </w:r>
      <w:r w:rsidRPr="00651711">
        <w:rPr>
          <w:rFonts w:ascii="Calibri" w:eastAsia="Calibri" w:hAnsi="Calibri" w:cs="Calibri"/>
          <w:noProof/>
          <w:sz w:val="22"/>
          <w:szCs w:val="24"/>
          <w:lang w:eastAsia="en-US"/>
        </w:rPr>
        <w:tab/>
        <w:t xml:space="preserve">Cisco, “NAT-PT for IPv6,” in </w:t>
      </w:r>
      <w:r w:rsidRPr="00651711">
        <w:rPr>
          <w:rFonts w:ascii="Calibri" w:eastAsia="Calibri" w:hAnsi="Calibri" w:cs="Calibri"/>
          <w:i/>
          <w:iCs/>
          <w:noProof/>
          <w:sz w:val="22"/>
          <w:szCs w:val="24"/>
          <w:lang w:eastAsia="en-US"/>
        </w:rPr>
        <w:t>IP Addressing: NAT Configuration Guide, Cisco IOS Release 15M&amp;T</w:t>
      </w:r>
      <w:r w:rsidRPr="00651711">
        <w:rPr>
          <w:rFonts w:ascii="Calibri" w:eastAsia="Calibri" w:hAnsi="Calibri" w:cs="Calibri"/>
          <w:noProof/>
          <w:sz w:val="22"/>
          <w:szCs w:val="24"/>
          <w:lang w:eastAsia="en-US"/>
        </w:rPr>
        <w:t>, Cisco Press, 2019.</w:t>
      </w:r>
    </w:p>
    <w:p w14:paraId="249B98D8" w14:textId="0EE80198" w:rsidR="002D4A14" w:rsidRPr="004A1148" w:rsidRDefault="00651711" w:rsidP="00651711">
      <w:pPr>
        <w:rPr>
          <w:rFonts w:ascii="Arial" w:hAnsi="Arial" w:cs="Arial"/>
          <w:b/>
          <w:sz w:val="32"/>
          <w:szCs w:val="22"/>
          <w:u w:val="single"/>
        </w:rPr>
      </w:pPr>
      <w:r w:rsidRPr="00651711">
        <w:rPr>
          <w:rFonts w:ascii="Calibri" w:eastAsia="Calibri" w:hAnsi="Calibri"/>
          <w:sz w:val="22"/>
          <w:szCs w:val="22"/>
          <w:lang w:eastAsia="en-US"/>
        </w:rPr>
        <w:fldChar w:fldCharType="end"/>
      </w:r>
      <w:bookmarkStart w:id="13" w:name="_GoBack"/>
      <w:bookmarkEnd w:id="13"/>
    </w:p>
    <w:sectPr w:rsidR="002D4A14"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837321B"/>
    <w:multiLevelType w:val="hybridMultilevel"/>
    <w:tmpl w:val="FE4AEB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1"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6" w15:restartNumberingAfterBreak="0">
    <w:nsid w:val="7C26049E"/>
    <w:multiLevelType w:val="hybridMultilevel"/>
    <w:tmpl w:val="F19A50D8"/>
    <w:lvl w:ilvl="0" w:tplc="DCD2007A">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8"/>
  </w:num>
  <w:num w:numId="3">
    <w:abstractNumId w:val="13"/>
  </w:num>
  <w:num w:numId="4">
    <w:abstractNumId w:val="0"/>
  </w:num>
  <w:num w:numId="5">
    <w:abstractNumId w:val="1"/>
  </w:num>
  <w:num w:numId="6">
    <w:abstractNumId w:val="11"/>
  </w:num>
  <w:num w:numId="7">
    <w:abstractNumId w:val="2"/>
  </w:num>
  <w:num w:numId="8">
    <w:abstractNumId w:val="6"/>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2"/>
  </w:num>
  <w:num w:numId="14">
    <w:abstractNumId w:val="5"/>
  </w:num>
  <w:num w:numId="15">
    <w:abstractNumId w:val="15"/>
  </w:num>
  <w:num w:numId="16">
    <w:abstractNumId w:val="10"/>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4"/>
  </w:num>
  <w:num w:numId="20">
    <w:abstractNumId w:val="9"/>
  </w:num>
  <w:num w:numId="21">
    <w:abstractNumId w:val="4"/>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4A14"/>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0CDF"/>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1711"/>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1D9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B2498"/>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2574"/>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14065"/>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4CD5"/>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3C968C-F39E-43B2-9149-7B7DA8365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5</Pages>
  <Words>1480</Words>
  <Characters>29773</Characters>
  <Application>Microsoft Office Word</Application>
  <DocSecurity>0</DocSecurity>
  <Lines>248</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31191</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Ball</dc:creator>
  <cp:lastModifiedBy>James Ball</cp:lastModifiedBy>
  <cp:revision>3</cp:revision>
  <cp:lastPrinted>2014-11-07T14:47:00Z</cp:lastPrinted>
  <dcterms:created xsi:type="dcterms:W3CDTF">2019-12-11T16:51:00Z</dcterms:created>
  <dcterms:modified xsi:type="dcterms:W3CDTF">2019-12-11T16:52:00Z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