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26BD8" w14:textId="77777777" w:rsidR="00482206" w:rsidRDefault="00482206" w:rsidP="004C0245">
      <w:pPr>
        <w:ind w:left="-567"/>
      </w:pPr>
    </w:p>
    <w:p w14:paraId="7DC0132F" w14:textId="2478BC67" w:rsidR="00482206" w:rsidRDefault="004C0245">
      <w:r>
        <w:rPr>
          <w:noProof/>
        </w:rPr>
        <w:drawing>
          <wp:inline distT="0" distB="0" distL="0" distR="0" wp14:anchorId="46E0934F" wp14:editId="09D559AB">
            <wp:extent cx="6777873" cy="1381125"/>
            <wp:effectExtent l="0" t="0" r="4445" b="0"/>
            <wp:docPr id="1917215611" name="Picture 1917215611" descr="Children Hold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ldren Holding Hands Vector Art, Icons, and Graphi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83277" cy="1382226"/>
                    </a:xfrm>
                    <a:prstGeom prst="rect">
                      <a:avLst/>
                    </a:prstGeom>
                    <a:noFill/>
                    <a:ln>
                      <a:noFill/>
                    </a:ln>
                  </pic:spPr>
                </pic:pic>
              </a:graphicData>
            </a:graphic>
          </wp:inline>
        </w:drawing>
      </w:r>
    </w:p>
    <w:p w14:paraId="4CACEA7C" w14:textId="77777777" w:rsidR="00482206" w:rsidRDefault="00482206"/>
    <w:p w14:paraId="20AC6CFE" w14:textId="77777777" w:rsidR="00482206" w:rsidRDefault="00482206"/>
    <w:p w14:paraId="35557D7E" w14:textId="2C50BF0B" w:rsidR="005419A4" w:rsidRPr="004C0245" w:rsidRDefault="005419A4"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 Transitions</w:t>
      </w:r>
    </w:p>
    <w:p w14:paraId="2BBC0DD6" w14:textId="77777777" w:rsidR="005419A4" w:rsidRPr="004C0245" w:rsidRDefault="005419A4"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6B9405" w14:textId="67CD3EFD" w:rsidR="00EF16CD" w:rsidRPr="004C0245" w:rsidRDefault="004C0245"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Practitioners</w:t>
      </w:r>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guide</w:t>
      </w:r>
      <w:proofErr w:type="gramEnd"/>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1A7663" w14:textId="77777777" w:rsidR="00EF16CD" w:rsidRPr="004C0245" w:rsidRDefault="00EF16CD"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3C5D06" w14:textId="77777777" w:rsidR="005419A4" w:rsidRPr="004C0245" w:rsidRDefault="00EF16CD"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w:t>
      </w:r>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w:t>
      </w: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a </w:t>
      </w:r>
    </w:p>
    <w:p w14:paraId="42C99DB4" w14:textId="77777777" w:rsidR="005419A4" w:rsidRPr="004C0245" w:rsidRDefault="005419A4"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B3C9CC" w14:textId="53073361" w:rsidR="005419A4" w:rsidRPr="004C0245" w:rsidRDefault="00EF16CD" w:rsidP="005419A4">
      <w:pPr>
        <w:jc w:val="center"/>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ome to </w:t>
      </w:r>
      <w:r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nursey </w:t>
      </w:r>
      <w:r w:rsidR="005419A4" w:rsidRPr="004C0245">
        <w:rPr>
          <w:rFonts w:ascii="Albertus Extra Bold" w:hAnsi="Albertus Extra Bold"/>
          <w:b/>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setting</w:t>
      </w:r>
    </w:p>
    <w:p w14:paraId="0F5C9C05" w14:textId="77777777" w:rsidR="00D51D00" w:rsidRDefault="00D51D00" w:rsidP="00D51D00">
      <w:pPr>
        <w:spacing w:after="100" w:afterAutospacing="1"/>
        <w:jc w:val="center"/>
        <w:rPr>
          <w:rFonts w:ascii="Albertus Extra Bold" w:hAnsi="Albertus Extra Bold"/>
          <w:b/>
          <w:color w:val="000000" w:themeColor="text1"/>
          <w:sz w:val="56"/>
          <w:szCs w:val="56"/>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6293783D" w14:textId="77777777" w:rsidR="00D51D00" w:rsidRDefault="00D51D00" w:rsidP="00D51D00">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2FA9CBF3" wp14:editId="56B31322">
            <wp:extent cx="7021962" cy="1460349"/>
            <wp:effectExtent l="0" t="0" r="0" b="6985"/>
            <wp:docPr id="4" name="Picture 3" descr="Children Hold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ldren Holding Hands Vector Art, Icons, and Graphi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66392" cy="1490386"/>
                    </a:xfrm>
                    <a:prstGeom prst="rect">
                      <a:avLst/>
                    </a:prstGeom>
                    <a:noFill/>
                    <a:ln>
                      <a:noFill/>
                    </a:ln>
                  </pic:spPr>
                </pic:pic>
              </a:graphicData>
            </a:graphic>
          </wp:inline>
        </w:drawing>
      </w:r>
    </w:p>
    <w:p w14:paraId="570D2CB2" w14:textId="58DDAF44" w:rsidR="00D51D00" w:rsidRDefault="004C0245" w:rsidP="00D51D00">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inline distT="0" distB="0" distL="0" distR="0" wp14:anchorId="4B999BBE" wp14:editId="179F112A">
            <wp:extent cx="6645910" cy="1381710"/>
            <wp:effectExtent l="0" t="0" r="2540" b="9525"/>
            <wp:docPr id="1250922183" name="Picture 1250922183" descr="Children Hold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ldren Holding Hands Vector Art, Icons, and Graphi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45910" cy="1381710"/>
                    </a:xfrm>
                    <a:prstGeom prst="rect">
                      <a:avLst/>
                    </a:prstGeom>
                    <a:noFill/>
                    <a:ln>
                      <a:noFill/>
                    </a:ln>
                  </pic:spPr>
                </pic:pic>
              </a:graphicData>
            </a:graphic>
          </wp:inline>
        </w:drawing>
      </w:r>
    </w:p>
    <w:p w14:paraId="3E72722E" w14:textId="77777777" w:rsidR="00D51D00" w:rsidRDefault="00D51D00" w:rsidP="00D51D00">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E656A0" w14:textId="77777777" w:rsidR="00D51D00" w:rsidRDefault="00D51D00" w:rsidP="00D51D00">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848B78" w14:textId="529DB3DA" w:rsidR="00EF16CD" w:rsidRPr="00D51D00" w:rsidRDefault="00D51D00" w:rsidP="00D51D00">
      <w:pPr>
        <w:ind w:firstLine="360"/>
        <w:rPr>
          <w:rFonts w:ascii="Albertus Extra Bold" w:hAnsi="Albertus Extra Bold"/>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1D00">
        <w:rPr>
          <w:rFonts w:ascii="Albertus Extra Bold" w:hAnsi="Albertus Extra Bold"/>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w:t>
      </w:r>
      <w:r w:rsidR="00EF16CD" w:rsidRPr="00D51D00">
        <w:rPr>
          <w:rFonts w:ascii="Albertus Extra Bold" w:hAnsi="Albertus Extra Bold"/>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ontents</w:t>
      </w:r>
    </w:p>
    <w:p w14:paraId="46E7400D" w14:textId="77777777" w:rsidR="00EF16CD" w:rsidRPr="005A0CFE" w:rsidRDefault="00EF16CD" w:rsidP="005419A4">
      <w:pPr>
        <w:jc w:val="cente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911B2D"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223CB6"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Rationale</w:t>
      </w:r>
    </w:p>
    <w:p w14:paraId="49CC48C4"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needs of the child</w:t>
      </w:r>
    </w:p>
    <w:p w14:paraId="3D10629E"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adult</w:t>
      </w:r>
    </w:p>
    <w:p w14:paraId="38A411F4"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p w14:paraId="09518D38"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p w14:paraId="18A34D13" w14:textId="77777777" w:rsidR="00EF16CD" w:rsidRPr="005A0CFE" w:rsidRDefault="00EF16CD"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p w14:paraId="4BD0A06D" w14:textId="77777777" w:rsidR="00223CB6" w:rsidRPr="005A0CFE" w:rsidRDefault="00223CB6" w:rsidP="00EF16CD">
      <w:pPr>
        <w:pStyle w:val="ListParagraph"/>
        <w:numPr>
          <w:ilvl w:val="0"/>
          <w:numId w:val="2"/>
        </w:numPr>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0CFE">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p w14:paraId="1DA75D3A" w14:textId="77777777" w:rsidR="00EF16CD" w:rsidRDefault="00EF16CD" w:rsidP="00EF16CD">
      <w:pPr>
        <w:pStyle w:val="ListParagraph"/>
        <w:rPr>
          <w:rFonts w:ascii="Albertus Extra Bold" w:hAnsi="Albertus Extra Bold"/>
          <w:b/>
          <w:color w:val="000000" w:themeColor="text1"/>
          <w:sz w:val="56"/>
          <w:szCs w:val="56"/>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670FBB14" w14:textId="77777777" w:rsidR="004C0245" w:rsidRDefault="004C0245" w:rsidP="00EF16CD">
      <w:pPr>
        <w:pStyle w:val="ListParagraph"/>
        <w:rPr>
          <w:rFonts w:ascii="Albertus Extra Bold" w:hAnsi="Albertus Extra Bold"/>
          <w:b/>
          <w:color w:val="000000" w:themeColor="text1"/>
          <w:sz w:val="56"/>
          <w:szCs w:val="56"/>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7AB71FC1" w14:textId="0CD2D0E3" w:rsidR="006F0ABA" w:rsidRDefault="006F0ABA" w:rsidP="00EF16CD">
      <w:pPr>
        <w:pStyle w:val="ListParagraph"/>
        <w:rPr>
          <w:rFonts w:ascii="Albertus Extra Bold" w:hAnsi="Albertus Extra Bold"/>
          <w:b/>
          <w:color w:val="000000" w:themeColor="text1"/>
          <w:sz w:val="56"/>
          <w:szCs w:val="56"/>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221238A3" w14:textId="77777777" w:rsidR="004C0245" w:rsidRDefault="004C0245" w:rsidP="00EF16CD">
      <w:pPr>
        <w:pStyle w:val="ListParagraph"/>
        <w:rPr>
          <w:noProof/>
        </w:rPr>
      </w:pPr>
    </w:p>
    <w:p w14:paraId="75C7D2F2" w14:textId="5BF77FFE" w:rsidR="004C0245" w:rsidRDefault="00AD7B7C" w:rsidP="00AD7B7C">
      <w:pPr>
        <w:pStyle w:val="ListParagraph"/>
        <w:ind w:right="-720" w:hanging="862"/>
        <w:rPr>
          <w:noProof/>
        </w:rPr>
      </w:pPr>
      <w:r>
        <w:rPr>
          <w:noProof/>
        </w:rPr>
        <w:drawing>
          <wp:inline distT="0" distB="0" distL="0" distR="0" wp14:anchorId="40F61308" wp14:editId="015D323D">
            <wp:extent cx="6947338" cy="1414101"/>
            <wp:effectExtent l="0" t="0" r="6350" b="0"/>
            <wp:docPr id="1589193532" name="Picture 1589193532" descr="Children Holding Hand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ldren Holding Hands Vector Art, Icons, and Graphi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006588" cy="1426161"/>
                    </a:xfrm>
                    <a:prstGeom prst="rect">
                      <a:avLst/>
                    </a:prstGeom>
                    <a:noFill/>
                    <a:ln>
                      <a:noFill/>
                    </a:ln>
                  </pic:spPr>
                </pic:pic>
              </a:graphicData>
            </a:graphic>
          </wp:inline>
        </w:drawing>
      </w:r>
    </w:p>
    <w:p w14:paraId="76E0AA8A" w14:textId="77777777" w:rsidR="004C0245" w:rsidRDefault="004C0245" w:rsidP="00EF16CD">
      <w:pPr>
        <w:pStyle w:val="ListParagraph"/>
        <w:rPr>
          <w:noProof/>
        </w:rPr>
      </w:pPr>
    </w:p>
    <w:p w14:paraId="00AF7DF5" w14:textId="77777777" w:rsidR="004C0245" w:rsidRDefault="004C0245" w:rsidP="00EF16CD">
      <w:pPr>
        <w:pStyle w:val="ListParagraph"/>
        <w:rPr>
          <w:rFonts w:ascii="Albertus Extra Bold" w:hAnsi="Albertus Extra Bold"/>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422A46" w14:textId="77777777" w:rsidR="004C0245" w:rsidRDefault="004C0245" w:rsidP="004C0245">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718B73" w14:textId="624B7DC8" w:rsidR="00EF16CD" w:rsidRPr="004C0245" w:rsidRDefault="008142C3" w:rsidP="004C0245">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24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3D239091" w14:textId="77777777" w:rsidR="009D7D05" w:rsidRPr="00287BF4" w:rsidRDefault="009D7D05"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FF64A9" w14:textId="38DE960F" w:rsidR="00C35E0E" w:rsidRPr="00287BF4" w:rsidRDefault="00EF16CD"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 of this handbook is to provide practitioners with guidance on children transitioning from a home environment into a nursery</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setting.  It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be the pathway of guidance</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 and knowledge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achieve a standard of excellence for </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individual child which</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result in the best current</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future outcomes.</w:t>
      </w:r>
      <w:r w:rsidR="00CA707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707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outcomes of </w:t>
      </w:r>
      <w:r w:rsidR="00AF2C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exceptional care will extend beyond the child and will also be evident and </w:t>
      </w:r>
      <w:r w:rsidR="00CA707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reflected upon parents, guardians or carers.</w:t>
      </w:r>
      <w:r w:rsidR="00223CB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handbook will provide the reader with clear and specific outcomes that are achieved through </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confident and structured </w:t>
      </w:r>
      <w:r w:rsidR="00223CB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 from the practitioner</w:t>
      </w:r>
      <w:r w:rsidR="00B839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23CB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guides the child through this journey.</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primary objective is to provide each individual child with the best possible outcomes.  It is important for the reader to understand that this is not a </w:t>
      </w:r>
      <w:r w:rsidR="00287BF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step-by-step</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guide to support each child in the same manner, moreover a handbook providing a catalogue of information covering children’s rights, insight into theories, national minimu</w:t>
      </w:r>
      <w:r w:rsidR="00B839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standards, and various key skills required including </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observation and intervention</w:t>
      </w:r>
      <w:r w:rsidR="00B839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to</w:t>
      </w:r>
      <w:r w:rsidR="00B839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ultimately</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achieve best practice.</w:t>
      </w:r>
    </w:p>
    <w:p w14:paraId="33C595D7" w14:textId="68C9EFEB" w:rsidR="00A81778" w:rsidRPr="00287BF4" w:rsidRDefault="00CA7070"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first</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to understand the meaning of transition, to be best placed as a practitioner to successfully suppo</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rt the </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 journey</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According to Collins Dictionary</w:t>
      </w:r>
      <w:r w:rsidR="000902D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definition</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transition </w:t>
      </w:r>
      <w:r w:rsidR="000902D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described as</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gradual movement between one phase</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another (Collins Dictionary, 2012).  </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Birthto5matters</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w:t>
      </w:r>
      <w:r w:rsidR="00D640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stipulates that </w:t>
      </w:r>
      <w:r w:rsidR="00A8177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transitioning is not an event but rather a process whereby a successful transition will identify the presence of the child being ‘known</w:t>
      </w:r>
      <w:r w:rsidR="005C33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23BC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Early-</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w:t>
      </w:r>
      <w:r w:rsidR="00923BC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r w:rsidR="00A8177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also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identified on</w:t>
      </w:r>
      <w:r w:rsidR="00923BC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website</w:t>
      </w:r>
      <w:r w:rsidR="00D427A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8177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earlyyearsmatters</w:t>
      </w:r>
      <w:r w:rsidR="00923BC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.co.uk (2022)</w:t>
      </w:r>
      <w:r w:rsidR="00A8177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state that transition should be seen as a process not an event within a child’s lifelong journey, not just the destination. </w:t>
      </w:r>
    </w:p>
    <w:p w14:paraId="3E12290E" w14:textId="77777777" w:rsidR="00F02FDA" w:rsidRPr="00287BF4" w:rsidRDefault="00923BCE"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are both</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supported by </w:t>
      </w:r>
      <w:proofErr w:type="spellStart"/>
      <w:r w:rsidR="00F02F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Gov.wales</w:t>
      </w:r>
      <w:proofErr w:type="spellEnd"/>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(2017)</w:t>
      </w:r>
      <w:r w:rsidR="00F02F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w:t>
      </w:r>
      <w:r w:rsidR="00F02F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suggests that the transition period runs for the duration of time necessary for the child to complete their journey, for example from a taster visit</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02F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to being a comfortable and permanent member within the </w:t>
      </w:r>
      <w:r w:rsidR="00C35E0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setting. </w:t>
      </w:r>
    </w:p>
    <w:p w14:paraId="59BDD0A8" w14:textId="77777777" w:rsidR="008142C3" w:rsidRPr="00287BF4" w:rsidRDefault="008142C3"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FA9D50" w14:textId="77777777" w:rsidR="008142C3" w:rsidRPr="00287BF4" w:rsidRDefault="008142C3"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71EF8F" w14:textId="77777777" w:rsidR="008142C3" w:rsidRPr="00287BF4" w:rsidRDefault="008142C3"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058D7D" w14:textId="03032ACF" w:rsidR="008142C3" w:rsidRPr="00AD7B7C" w:rsidRDefault="00287BF4" w:rsidP="00AD7B7C">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7B7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w:t>
      </w:r>
      <w:r w:rsidR="00AF6FA8" w:rsidRPr="00AD7B7C">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eeds of the child</w:t>
      </w:r>
    </w:p>
    <w:p w14:paraId="1611DF7C" w14:textId="2BBAC959" w:rsidR="00000B5B" w:rsidRPr="00287BF4" w:rsidRDefault="00000B5B"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131DE3" w14:textId="705E1A27" w:rsidR="00A85687" w:rsidRPr="00287BF4" w:rsidRDefault="00274CC0"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Practitioners need to have a clear understanding of the needs of the child. </w:t>
      </w:r>
      <w:r w:rsidR="008063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w:t>
      </w:r>
      <w:r w:rsidR="00524F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(n.d.)</w:t>
      </w:r>
      <w:r w:rsidR="008063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documented the importance of early years settings providing time to get to know the individual children. Whilst observing, the practitioner will develop a deeper understanding of the child’s personality, what their likes and dislikes are, how they like to learn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8063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identifying what the child needs more support with or shows a dislike towards. Combining this into practice will assist with a </w:t>
      </w:r>
      <w:r w:rsidR="00524F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strengthened</w:t>
      </w:r>
      <w:r w:rsidR="008063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4F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balanced future to develop.</w:t>
      </w:r>
      <w:r w:rsidR="00AF6D0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27B0E3" w14:textId="77777777" w:rsidR="00A85687" w:rsidRPr="00287BF4" w:rsidRDefault="00A85687"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04ECEC" w14:textId="514AD694" w:rsidR="00631015" w:rsidRPr="00287BF4" w:rsidRDefault="00AF6D0B"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1989 t</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UNCRC</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adopted which</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sets out the rights of the child</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number of these link closely to supporting a child during transition.  Article 3, The best interests of the child. The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practitioner’s</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practice should be to always consider what is best for the child.  Article 12</w:t>
      </w:r>
      <w:r w:rsidR="0026399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13</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Respect for children’s views</w:t>
      </w:r>
      <w:r w:rsidR="0026399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Freedom of expression</w:t>
      </w:r>
      <w:r w:rsidR="00F947E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399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Expressing interest and listening to the child and allowing them to form their own opinions to be considered and sharing their ideas with others.  Article 23, Disabled children. Practitioners should treat and provide the same level of support and education to all children.  Article </w:t>
      </w:r>
      <w:r w:rsidR="005A0CF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Play and cultural and artistic activities. Practitioners should accommodate the rest, play and taking part of activities. </w:t>
      </w:r>
      <w:r w:rsidR="00E9014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Articles 28 and 29, Education, and Education and children’s development</w:t>
      </w:r>
      <w:r w:rsidR="005A0CF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014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both highlight and summarise the predominant requirements of the practitioner, every child has a right to their education.  Educators should provide respect for the child’s rights and dignity. The practitioner should aid in the development of all aspects of the child</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w:t>
      </w:r>
      <w:r w:rsidR="00E9014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upporting their talents and assisting in their abilities to achieve the maximum potential. A supportive practitioner </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ensure a supportive environment to assist with the</w:t>
      </w:r>
      <w:r w:rsidR="00E9014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 and mental </w:t>
      </w:r>
      <w:r w:rsidR="00541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of the child.</w:t>
      </w:r>
      <w:r w:rsidR="00B2268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B0F9AE" w14:textId="77777777" w:rsidR="00631015" w:rsidRPr="00287BF4" w:rsidRDefault="00631015"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AB3E59" w14:textId="32B03C51" w:rsidR="00A85687" w:rsidRPr="00287BF4" w:rsidRDefault="00B2268A" w:rsidP="00287BF4">
      <w:pPr>
        <w:pStyle w:val="ListParagraph"/>
        <w:spacing w:after="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 United Nation member state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except for</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America and Somalia have formally approved the Convention, Smidt (2013).  </w:t>
      </w:r>
    </w:p>
    <w:p w14:paraId="3A2B6127" w14:textId="77777777" w:rsidR="00A85687" w:rsidRDefault="00A85687"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D96263" w14:textId="77777777" w:rsidR="00631015" w:rsidRDefault="00631015"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3F1561" w14:textId="77777777" w:rsidR="00631015" w:rsidRDefault="00631015"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B6CAF1" w14:textId="77777777" w:rsidR="00631015" w:rsidRDefault="00631015"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8C9D83"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7A5CDC" w14:textId="4E162B6C" w:rsidR="00274CC0" w:rsidRPr="00287BF4" w:rsidRDefault="00274CC0"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 </w:t>
      </w:r>
      <w:proofErr w:type="spellStart"/>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Vygotski</w:t>
      </w:r>
      <w:proofErr w:type="spellEnd"/>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highlights the importance of a child’s environment and social qualities.  The more interaction the child is exposed to will enhance its skillset.  If a child is stimulated and encouraged through learning it will</w:t>
      </w:r>
      <w:r w:rsidR="008D5D6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improve the cognitive capabilities. Regarded as an apprenticeship approach </w:t>
      </w:r>
      <w:proofErr w:type="spellStart"/>
      <w:r w:rsidR="008D5D6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Vygotski</w:t>
      </w:r>
      <w:proofErr w:type="spellEnd"/>
      <w:r w:rsidR="008D5D6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had a constructivist view that the learner would develop from a more qualified </w:t>
      </w:r>
      <w:r w:rsidR="00524F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educated </w:t>
      </w:r>
      <w:r w:rsidR="008D5D6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 (Pound, 2005).</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02BC5A" w14:textId="77777777" w:rsidR="00631015" w:rsidRPr="00287BF4" w:rsidRDefault="00631015"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FA7657" w14:textId="5C9CE4E4" w:rsidR="00B2268A" w:rsidRDefault="00B2268A"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noProof/>
          <w:lang w:eastAsia="en-GB"/>
        </w:rPr>
        <w:drawing>
          <wp:inline distT="0" distB="0" distL="0" distR="0" wp14:anchorId="3785B0AC" wp14:editId="1ED7755A">
            <wp:extent cx="1993178" cy="1971923"/>
            <wp:effectExtent l="0" t="0" r="7620" b="0"/>
            <wp:docPr id="2" name="Picture 2"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one of Proximal Develop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3220" cy="1971964"/>
                    </a:xfrm>
                    <a:prstGeom prst="rect">
                      <a:avLst/>
                    </a:prstGeom>
                    <a:noFill/>
                    <a:ln>
                      <a:noFill/>
                    </a:ln>
                  </pic:spPr>
                </pic:pic>
              </a:graphicData>
            </a:graphic>
          </wp:inline>
        </w:drawing>
      </w:r>
    </w:p>
    <w:p w14:paraId="4ADDC00B" w14:textId="77777777" w:rsidR="00535554" w:rsidRDefault="00535554" w:rsidP="00535554">
      <w:pPr>
        <w:jc w:val="right"/>
      </w:pPr>
      <w:hyperlink r:id="rId9" w:history="1">
        <w:r w:rsidRPr="0083769F">
          <w:rPr>
            <w:rStyle w:val="Hyperlink"/>
          </w:rPr>
          <w:t>https://www.letsgolearn.com/reading-assessment/what-is-the-zone-of-proximal-development/</w:t>
        </w:r>
      </w:hyperlink>
    </w:p>
    <w:p w14:paraId="2EE7B2D0" w14:textId="77777777" w:rsidR="00631015" w:rsidRDefault="00631015" w:rsidP="00535554">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2923C1" w14:textId="75007DD1" w:rsidR="00535554" w:rsidRPr="00287BF4" w:rsidRDefault="00535554" w:rsidP="00535554">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zone of proximal development is a key aspect of psychology today.  This theory has created a range of approaches that aim to maximise development by linking tasks to a child’s </w:t>
      </w:r>
      <w:r w:rsidR="0076424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ability, whilst also encouraging the possibility of further intellectual growth (Main 2020).</w:t>
      </w:r>
    </w:p>
    <w:p w14:paraId="61E4A11F" w14:textId="77777777" w:rsidR="00535554" w:rsidRPr="00287BF4" w:rsidRDefault="00535554" w:rsidP="00535554">
      <w:pPr>
        <w:pStyle w:val="ListParagraph"/>
        <w:jc w:val="right"/>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77046C" w14:textId="77777777" w:rsidR="00D427A9" w:rsidRDefault="00871423"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Maslow’s pyramid details the hierarchy of needs, which outlines the structure of a child’s needs </w:t>
      </w:r>
      <w:r w:rsidR="00175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a tiered triangle</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progress onto the next level </w:t>
      </w:r>
      <w:r w:rsidR="00175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each step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00175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achieved, beginning with basic needs, moving up to psychological needs, then reaching self-fulfilment needs.  This is a simple model that is </w:t>
      </w:r>
      <w:r w:rsidR="00EB48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w:t>
      </w:r>
      <w:r w:rsidR="0017521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understand</w:t>
      </w:r>
      <w:r w:rsidR="00EB48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the initial needs are not satisfied then progression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cannot</w:t>
      </w:r>
      <w:r w:rsidR="00EB48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achieved,</w:t>
      </w:r>
      <w:r w:rsidR="00EB48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maximum level of needs will not be attained</w:t>
      </w:r>
      <w:r w:rsidR="00BA418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(Practical Psychology 2020)</w:t>
      </w:r>
      <w:r w:rsidR="00AF6D0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3AE7B35"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AE0901"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1F481D"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3B7280"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B76EC7" w14:textId="77777777" w:rsidR="00D427A9" w:rsidRDefault="00D427A9"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BC6BDC" w14:textId="43690F25" w:rsidR="00871423" w:rsidRPr="00287BF4" w:rsidRDefault="00AF6D0B"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practitioner needs to apply critical thinking whilst considering these needs.  Reflecting in action and questioning, has the child got access to water, and a </w:t>
      </w:r>
      <w:r w:rsidR="00D427A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suitable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place for rest breaks. Is the child sufficiently clothed and supplied with food? If these needs are being </w:t>
      </w:r>
      <w:r w:rsidR="00287BF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then it allows the scope to develop onwards</w:t>
      </w:r>
      <w:r w:rsidR="00D427A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up the chain</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73386A" w14:textId="77777777" w:rsidR="00EB48F6" w:rsidRPr="00287BF4" w:rsidRDefault="00EB48F6"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3985D0" w14:textId="77777777" w:rsidR="00B62C20" w:rsidRDefault="00B62C20" w:rsidP="00EB48F6">
      <w:pPr>
        <w:pStyle w:val="ListParagraph"/>
        <w:ind w:left="288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A0CF4A" w14:textId="66A38BDD" w:rsidR="00EB48F6" w:rsidRPr="00274CC0" w:rsidRDefault="00EB48F6" w:rsidP="00EB48F6">
      <w:pPr>
        <w:pStyle w:val="ListParagraph"/>
        <w:ind w:left="288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inline distT="0" distB="0" distL="0" distR="0" wp14:anchorId="648CB02B" wp14:editId="4637933C">
            <wp:extent cx="2560405" cy="1790883"/>
            <wp:effectExtent l="0" t="0" r="0" b="0"/>
            <wp:docPr id="1"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69908" cy="1797530"/>
                    </a:xfrm>
                    <a:prstGeom prst="rect">
                      <a:avLst/>
                    </a:prstGeom>
                    <a:noFill/>
                    <a:ln>
                      <a:noFill/>
                    </a:ln>
                  </pic:spPr>
                </pic:pic>
              </a:graphicData>
            </a:graphic>
          </wp:inline>
        </w:drawing>
      </w:r>
    </w:p>
    <w:p w14:paraId="695CF559" w14:textId="6285025E" w:rsidR="00EB48F6" w:rsidRDefault="00A85687" w:rsidP="00A85687">
      <w:pPr>
        <w:ind w:left="5040"/>
      </w:pPr>
      <w:r>
        <w:fldChar w:fldCharType="begin"/>
      </w:r>
      <w:r>
        <w:instrText>HYPERLINK "</w:instrText>
      </w:r>
      <w:r w:rsidRPr="00A85687">
        <w:instrText>https://practicalpie.com/maslows-hierarchy-of-needs/</w:instrText>
      </w:r>
      <w:r>
        <w:instrText>"</w:instrText>
      </w:r>
      <w:r>
        <w:fldChar w:fldCharType="separate"/>
      </w:r>
      <w:r w:rsidRPr="000431C3">
        <w:rPr>
          <w:rStyle w:val="Hyperlink"/>
        </w:rPr>
        <w:t>https://practicalpie.com/maslows-</w:t>
      </w:r>
      <w:r w:rsidRPr="000431C3">
        <w:rPr>
          <w:rStyle w:val="Hyperlink"/>
        </w:rPr>
        <w:t>hierarchy-of-needs/</w:t>
      </w:r>
      <w:r>
        <w:fldChar w:fldCharType="end"/>
      </w:r>
    </w:p>
    <w:p w14:paraId="47C2443F" w14:textId="77777777" w:rsidR="00B62C20" w:rsidRPr="00287BF4" w:rsidRDefault="00B62C20"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57D537" w14:textId="5D183C8A" w:rsidR="000F496E" w:rsidRPr="00287BF4" w:rsidRDefault="004F513D"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also needs to be considered is attachment.</w:t>
      </w:r>
      <w:r w:rsidR="00B9544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Elfer et al. (2003), a primary person approach is central to attachment, which places sig</w:t>
      </w:r>
      <w:r w:rsidR="0051715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nificant focus on </w:t>
      </w:r>
      <w:r w:rsidR="00D427A9"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connections</w:t>
      </w:r>
      <w:r w:rsidR="0051715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between the practitioner, co-workers, parents and the child (Nut-brown (2011).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John Bowlby based his theory upon ethology and evolution. Bowlby’s foundational assumption for </w:t>
      </w:r>
      <w:r w:rsidR="0051715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attachment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Bowlby, 1969/1982) was developed due to a singular reason, </w:t>
      </w:r>
      <w:r w:rsidR="00674A88"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protection of children passing through physical proximity against dangers. Bowlby also suggests that limited interaction with a </w:t>
      </w:r>
      <w:r w:rsidR="00CE305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carer can have severe and irreversible implications (Main, 2023).</w:t>
      </w:r>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contrast to Bowlby’s theory, </w:t>
      </w:r>
      <w:proofErr w:type="spellStart"/>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Vorria</w:t>
      </w:r>
      <w:proofErr w:type="spellEnd"/>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(2003) discovered that the maximum potential for attachment is based upon behaviours, character, psychological and cognitive development of the child and the nature of the caregiver Nutbrown (</w:t>
      </w:r>
      <w:r w:rsidR="00B9544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2011)</w:t>
      </w:r>
      <w:r w:rsidR="00D427A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32CD45B" w14:textId="77777777" w:rsidR="00BA4180" w:rsidRDefault="00BA4180"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458E33" w14:textId="77777777" w:rsidR="00BA4180" w:rsidRPr="00EB48F6" w:rsidRDefault="00BA4180"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CA2E78" w14:textId="77777777" w:rsid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3F43BE" w14:textId="77777777" w:rsid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FFAA3B" w14:textId="77777777" w:rsid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A34DF8" w14:textId="77777777" w:rsid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17DFFB" w14:textId="2D3252E8" w:rsidR="00000B5B"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w:t>
      </w:r>
      <w:r w:rsidR="00000B5B" w:rsidRP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ole of the adult</w:t>
      </w:r>
    </w:p>
    <w:p w14:paraId="4C71EDFD" w14:textId="77777777" w:rsidR="00D427A9" w:rsidRPr="00D427A9" w:rsidRDefault="00D427A9" w:rsidP="00D427A9">
      <w:pPr>
        <w:spacing w:after="0"/>
        <w:ind w:firstLine="72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FA65BA" w14:textId="77777777" w:rsidR="001D476E" w:rsidRPr="00287BF4" w:rsidRDefault="00CE3050" w:rsidP="008444C6">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crucial role during transition is that of the adult.</w:t>
      </w:r>
      <w:r w:rsidR="008444C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extends from practitioners to   family, and multi-agency workers.  All parties need to identify that this is a major milestone in the child’s life, which may be seen as an insignificant event to many adults.  </w:t>
      </w:r>
    </w:p>
    <w:p w14:paraId="2F148FEF" w14:textId="1CE53897" w:rsidR="00A12F27" w:rsidRPr="00287BF4" w:rsidRDefault="00A12F27" w:rsidP="008444C6">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Clark and Moss (2011) the inclusion of children’s opinions</w:t>
      </w:r>
      <w:r w:rsidR="00741B6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be regarded within the parents and practitioners.  Understanding, analysing and reflecting in conversation, to piece together each part of the story.  Each jigsaw piece plays an important role in the story, without input from all sources the jigsaw would be incomplete.  The mosaic approach is split into three stages, stage 1 is to gather all documentation, stage 2 </w:t>
      </w:r>
      <w:r w:rsidR="001C462C"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will piece together the information and Stage 3 you will reflect and make decisions for improvement in some areas and continuity in successful areas. </w:t>
      </w:r>
    </w:p>
    <w:p w14:paraId="5C22D472" w14:textId="77777777" w:rsidR="00D427A9" w:rsidRDefault="00254F39"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Pen Green Centre, Sheffield believe that rights for both the children and parents are central to success and that its workers are the catalyst in achieving this. A key principle at Pen Green is for children, their parents and staff are encompassed in a culture </w:t>
      </w:r>
      <w:proofErr w:type="gramStart"/>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high</w:t>
      </w:r>
      <w:proofErr w:type="gramEnd"/>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expectations.   </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powerful quote from J</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anusz </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orczak</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Only</w:t>
      </w:r>
      <w:proofErr w:type="gramEnd"/>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education that takes very seriously the child’s view of things can change the world for the better”</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005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an indicator of how important respect for children at Pen Green is. </w:t>
      </w:r>
      <w:r w:rsidR="005E57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Channelling c</w:t>
      </w:r>
      <w:r w:rsidR="008444C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ommunication</w:t>
      </w:r>
      <w:r w:rsidR="005E57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between all individuals involved in the transition should be a primary focus.  Somewhat more than structured events such as diarised </w:t>
      </w:r>
      <w:proofErr w:type="gramStart"/>
      <w:r w:rsidR="005E57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proofErr w:type="gramEnd"/>
      <w:r w:rsidR="005E57A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evenings and monthly emails, more thought and reflection needs to be considered. Having an open-door policy, inviting parents into the setting to reassure the child is being provided with exceptional services, just getting to know and familiarising yourself with not only the child but his or her family, and individual circumstances (Brock, 2015)</w:t>
      </w:r>
      <w:r w:rsidR="001D476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301971F" w14:textId="77777777" w:rsidR="00D427A9" w:rsidRDefault="001D476E"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Another key aspect is to understand that children learn through play.  Freedom for children within a setting allows for them to explore, discover, challenge and </w:t>
      </w:r>
    </w:p>
    <w:p w14:paraId="55D344BC" w14:textId="77777777" w:rsidR="00D427A9" w:rsidRDefault="00D427A9"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DFE0A2" w14:textId="77777777" w:rsidR="00D427A9" w:rsidRDefault="00D427A9"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42FB36" w14:textId="77777777" w:rsidR="00D427A9" w:rsidRDefault="00D427A9"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5EBA97" w14:textId="69B97ED1" w:rsidR="00CE3050" w:rsidRPr="00287BF4" w:rsidRDefault="001D476E" w:rsidP="00B62C2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 at their chosen pace.  Piaget’s theory of cognitive development stipulates that children within early years environments achieve the best levels of development when they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enable </w:t>
      </w:r>
      <w:proofErr w:type="gramStart"/>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proofErr w:type="gramEnd"/>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senses</w:t>
      </w:r>
      <w:r w:rsidR="0018098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explorative activities and sensory play (Hold and Meier, </w:t>
      </w:r>
      <w:r w:rsidR="007E258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Maria Montessori had a similar view within her theory, this was developed from observation of how a child responds to activity if it is left to freely play without any intervention. Actively supporting a child by observing from a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distance and</w:t>
      </w:r>
      <w:r w:rsidR="007E258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allowing the child to become immersed in what interests them will </w:t>
      </w:r>
      <w:r w:rsidR="005562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a positive impact on their development (Pound, 2006).  Montessori claimed that this was formed by observing, and learning starts when you are born. Having this approach will encourage the child to develop and improve its needs at the times when they are best focussed and showing an interest in their own learning.</w:t>
      </w:r>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Similarly,</w:t>
      </w:r>
      <w:r w:rsidR="001E722D"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Urie </w:t>
      </w:r>
      <w:proofErr w:type="spellStart"/>
      <w:r w:rsidR="0063101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Bronfrenbrenner’s</w:t>
      </w:r>
      <w:proofErr w:type="spellEnd"/>
      <w:r w:rsidR="0063101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ecological</w:t>
      </w:r>
      <w:r w:rsidR="006F0AB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system theory places the child a</w:t>
      </w:r>
      <w:r w:rsidR="00B62C2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6F0AB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central focus and the holistic approach is what drives the development of the child (Green and Hogan 2005).</w:t>
      </w:r>
    </w:p>
    <w:p w14:paraId="5EC631FD" w14:textId="77777777" w:rsidR="00D427A9" w:rsidRDefault="00631015"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Welsh Government created a </w:t>
      </w:r>
      <w:r w:rsidR="0093244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foundation phase framework</w:t>
      </w:r>
      <w:r w:rsidR="009B139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3244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has many similarities to the holistic approaches within Bronfenbrenner and </w:t>
      </w:r>
      <w:proofErr w:type="spellStart"/>
      <w:r w:rsidR="0093244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Montessorri’s</w:t>
      </w:r>
      <w:proofErr w:type="spellEnd"/>
      <w:r w:rsidR="0093244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theories.  </w:t>
      </w:r>
      <w:r w:rsidR="007B031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new curriculum is led by freedom to teach</w:t>
      </w:r>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holistically instead of</w:t>
      </w:r>
      <w:r w:rsidR="007B031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more structured approach</w:t>
      </w:r>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should be a shared involvement of practitioner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guided activities</w:t>
      </w:r>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also</w:t>
      </w:r>
      <w:proofErr w:type="gramEnd"/>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learning opportunities initiated by the child.  It states that the contribution of the practitioner needs to be inspiring and display and interest and understanding of the </w:t>
      </w:r>
      <w:r w:rsidR="006A7F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00D60F0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topic of interest.</w:t>
      </w:r>
      <w:r w:rsidR="006A7FF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139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foundation phase framework runs parallel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the</w:t>
      </w:r>
      <w:r w:rsidR="009B1397"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National Minimum Standards also set out by the Wesh Government in </w:t>
      </w:r>
      <w:r w:rsidR="00597DF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2016.  This framework sets out </w:t>
      </w:r>
      <w:r w:rsidR="008D786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seven core </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 which</w:t>
      </w:r>
      <w:r w:rsidR="008D7860"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include acts from the UNCRC international agreement. Aim 1, to have a flying start in life, aim 2, access to a range of education, aim 3, enjoy the best health, free from abuse, aim 4, have access</w:t>
      </w:r>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play, aim 5, listened to and treated with respect, aim 6, having a secure home and environment that supports wellbeing, aim 7, not to </w:t>
      </w:r>
      <w:proofErr w:type="gramStart"/>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w:t>
      </w:r>
      <w:proofErr w:type="gramEnd"/>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EB97AC" w14:textId="77777777" w:rsidR="00D427A9" w:rsidRDefault="00D427A9"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6EAC73" w14:textId="77777777" w:rsidR="00D427A9" w:rsidRDefault="00D427A9"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A8A453" w14:textId="77777777" w:rsidR="00AD7B7C" w:rsidRDefault="00AD7B7C"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DB8E54" w14:textId="77777777" w:rsidR="00AD7B7C" w:rsidRDefault="00AD7B7C"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546602" w14:textId="77777777" w:rsidR="00AD7B7C" w:rsidRDefault="00AD7B7C"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867A61" w14:textId="05570480" w:rsidR="007B0317" w:rsidRPr="00287BF4" w:rsidRDefault="0089005B" w:rsidP="00D60F00">
      <w:pPr>
        <w:ind w:left="72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disadvantaged by poverty.</w:t>
      </w:r>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addition to these core </w:t>
      </w:r>
      <w:proofErr w:type="gramStart"/>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w:t>
      </w:r>
      <w:proofErr w:type="gramEnd"/>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standards have been documented setting out key responsibilities and expectations of practitioners.  Each standard that has been set out is critical to achieve the overall goal, however, when considering the role of the adult during transition there are fundamental standards to follow.  Standard 4, is the requirement to meet the individual needs of the child. It states that all children </w:t>
      </w:r>
      <w:proofErr w:type="gramStart"/>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w:t>
      </w:r>
      <w:proofErr w:type="gramEnd"/>
      <w:r w:rsidR="00D401D1"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be considered, a child centred approach should be implemented to plan </w:t>
      </w:r>
      <w:r w:rsidR="007D0B94"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provisions and growth. This also includes children with additional needs </w:t>
      </w:r>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where al users are expected to work in unison </w:t>
      </w:r>
      <w:proofErr w:type="gramStart"/>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ensure</w:t>
      </w:r>
      <w:proofErr w:type="gramEnd"/>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relevant support and help is offered. Standard 6 highlights the </w:t>
      </w:r>
      <w:proofErr w:type="gramStart"/>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practitioners</w:t>
      </w:r>
      <w:proofErr w:type="gramEnd"/>
      <w:r w:rsidR="0096620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responsibilities to work in partnership with </w:t>
      </w:r>
      <w:r w:rsidR="008F063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  Sharing information about the child’s achievements should be given, availability of policies and procedures need to be accessible, and showing a respect towards parents with primary responsibility.  </w:t>
      </w:r>
      <w:proofErr w:type="gramStart"/>
      <w:r w:rsidR="008F063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a</w:t>
      </w:r>
      <w:proofErr w:type="gramEnd"/>
      <w:r w:rsidR="008F063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welcoming setting where parents feel comfortable to approach and communicate with the practitioner will support this partnership.  Standard 7 details the play and learning requirements.  Opportunities to learn and explore a range of activities and educational tools.  This includes indoor and outdoor play allowing for the child to be active or having its own space to relax.  </w:t>
      </w:r>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practitioner should value and take in what is being said by the child and responding with interest and </w:t>
      </w:r>
      <w:proofErr w:type="gramStart"/>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encouraging  them</w:t>
      </w:r>
      <w:proofErr w:type="gramEnd"/>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further develop.  Standard 8 lists the responsibilities of the practitioner to nurture and ensure wellbeing. The early years setting should be </w:t>
      </w:r>
      <w:proofErr w:type="gramStart"/>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safe haven</w:t>
      </w:r>
      <w:proofErr w:type="gramEnd"/>
      <w:r w:rsidR="009A09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child to flourish, feeling safe, warm and comfortable to allow them to grow in confidence and self-esteem.  It also highlights the requirement to ensure the internal process for transitional settling is adequate for each individual child to limit the scale of distress from the parents.</w:t>
      </w:r>
    </w:p>
    <w:p w14:paraId="22F8517D" w14:textId="77777777" w:rsidR="00000B5B" w:rsidRPr="00287BF4" w:rsidRDefault="00000B5B"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28B27C" w14:textId="77777777" w:rsidR="00000B5B" w:rsidRPr="00287BF4" w:rsidRDefault="00000B5B"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8F4842" w14:textId="77777777" w:rsidR="00631015" w:rsidRPr="00287BF4" w:rsidRDefault="00631015"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EA2939" w14:textId="77777777" w:rsidR="00631015" w:rsidRPr="00287BF4" w:rsidRDefault="00631015"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8EAEB4" w14:textId="77777777" w:rsidR="00631015" w:rsidRPr="00287BF4" w:rsidRDefault="00631015"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2EC7EC" w14:textId="77777777" w:rsidR="00AD7B7C" w:rsidRPr="00287BF4" w:rsidRDefault="00AD7B7C"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5402B6" w14:textId="097EA921" w:rsidR="008142C3" w:rsidRPr="00D427A9" w:rsidRDefault="008142C3" w:rsidP="00223CB6">
      <w:pPr>
        <w:pStyle w:val="ListParagrap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r w:rsidR="00DF439D" w:rsidRP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p</w:t>
      </w:r>
      <w:r w:rsidR="00DF439D" w:rsidRPr="00D42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artnerships</w:t>
      </w:r>
    </w:p>
    <w:p w14:paraId="5059D6E6" w14:textId="77777777" w:rsidR="00AD7B7C" w:rsidRDefault="00AD7B7C"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E824C4" w14:textId="77777777" w:rsidR="00AD7B7C" w:rsidRDefault="00AD7B7C"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2E3E78" w14:textId="1EDA4DD2" w:rsidR="00C35E0E" w:rsidRPr="00287BF4" w:rsidRDefault="0044424E"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 school and extended services incorporate partnerships with parents and is regarded as good practice (Lindon, 2012)</w:t>
      </w:r>
      <w:r w:rsidR="00AA33EE"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42C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Forming strong communications with all stakeholders</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42C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having </w:t>
      </w:r>
      <w:r w:rsidR="008142C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broad knowledge of understanding</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grow the relationship between practitioners and families, and to attain a positive outlook and maintain good morale within the workplace will influence the level of successful interaction with the child (Rodd, 2013</w:t>
      </w:r>
      <w:proofErr w:type="gramStart"/>
      <w:r w:rsidR="008900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gramEnd"/>
      <w:r w:rsidR="008142C3"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preliminary focus is to reassure the child.  </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is </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large spectrum of interventions within a transitional stage to achieve a positive outcome. </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Taster sessions are encouraged to provide reassurance to both that of the child and the parents / carers.  This provides opportunity for the child to settle into a new environment with the security of their parent sharing this new experience with them.  During this time familiarisation with the practitioners, the new surroundings and other children will all take place.  There are </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numerous</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changes </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need to be processed by the child</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needs to be addressed in a </w:t>
      </w:r>
      <w:r w:rsidR="00000B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cautious and</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considerate </w:t>
      </w:r>
      <w:r w:rsidR="006321F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manner</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sessions can begin with maybe an hour shared with their parents at the new setting, and gradually building up to being dropped </w:t>
      </w:r>
      <w:r w:rsidR="00000B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 and</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spending time independently within the setting in preparation for the intended hours of attendance.</w:t>
      </w:r>
      <w:r w:rsidR="00000B5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regarded as the handover which is gradual and</w:t>
      </w:r>
      <w:r w:rsidR="003D62F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aid the child’s developing confidence levels in their surroundings and </w:t>
      </w:r>
      <w:r w:rsidR="00D843B2"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familiarity with practitioners and peers. </w:t>
      </w:r>
      <w:r w:rsidR="00BB25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Teach Early Years website (2019) suggests that the mental wellbeing and transitional period for children should be regarded as a priority.  It also suggests that informative welcome packs are provided, and key information is shared including details of the child’s religion, social abilities and heritage. </w:t>
      </w:r>
      <w:r w:rsidR="0074536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Within </w:t>
      </w:r>
      <w:r w:rsidR="00A40F5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Bronfenbrenner’s</w:t>
      </w:r>
      <w:r w:rsidR="0074536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ecological systems theory</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4536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microsystem is</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0074536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primary stage within the model.</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the stage where </w:t>
      </w:r>
      <w:r w:rsidR="00C675C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emotional</w:t>
      </w:r>
      <w:r w:rsidR="00C675C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territory of</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w:t>
      </w:r>
      <w:r w:rsidR="00C675C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grows and </w:t>
      </w:r>
      <w:r w:rsidR="002A1CDA"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individual’s exposure to relationships and environmental settings has a subsequent impact upon them and will</w:t>
      </w:r>
      <w:r w:rsidR="00C675C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shape their future development (Guy-Evans, 2023).</w:t>
      </w:r>
    </w:p>
    <w:p w14:paraId="111F5405" w14:textId="77777777" w:rsidR="00000B5B" w:rsidRDefault="00000B5B" w:rsidP="00223CB6">
      <w:pPr>
        <w:pStyle w:val="ListParagraph"/>
        <w:rPr>
          <w:rFonts w:ascii="Albertus Extra Bold" w:hAnsi="Albertus Extra Bold"/>
          <w:b/>
          <w:color w:val="000000" w:themeColor="text1"/>
          <w:sz w:val="28"/>
          <w:szCs w:val="28"/>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009D6932" w14:textId="77777777" w:rsidR="00D51D00" w:rsidRDefault="00D51D00" w:rsidP="00B62C20">
      <w:pPr>
        <w:pStyle w:val="ListParagraph"/>
        <w:ind w:left="216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5F28F0" w14:textId="77777777" w:rsidR="00D51D00" w:rsidRDefault="00D51D00" w:rsidP="00B62C20">
      <w:pPr>
        <w:pStyle w:val="ListParagraph"/>
        <w:ind w:left="216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E38025" w14:textId="77777777" w:rsidR="00D51D00" w:rsidRDefault="00D51D00" w:rsidP="00B62C20">
      <w:pPr>
        <w:pStyle w:val="ListParagraph"/>
        <w:ind w:left="2160" w:firstLine="720"/>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8A56DA" w14:textId="52B27FF3" w:rsidR="00943D79" w:rsidRPr="00287BF4" w:rsidRDefault="00C675C5" w:rsidP="00B62C20">
      <w:pPr>
        <w:pStyle w:val="ListParagraph"/>
        <w:ind w:left="2160" w:firstLine="72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inline distT="0" distB="0" distL="0" distR="0" wp14:anchorId="3492131F" wp14:editId="62F46068">
            <wp:extent cx="2960356" cy="2721428"/>
            <wp:effectExtent l="0" t="0" r="0" b="3175"/>
            <wp:docPr id="14" name="Picture 14" descr="Ecological Theory – The Whole Child: Development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cological Theory – The Whole Child: Development in the Early Yea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66787" cy="2727340"/>
                    </a:xfrm>
                    <a:prstGeom prst="rect">
                      <a:avLst/>
                    </a:prstGeom>
                    <a:noFill/>
                    <a:ln>
                      <a:noFill/>
                    </a:ln>
                  </pic:spPr>
                </pic:pic>
              </a:graphicData>
            </a:graphic>
          </wp:inline>
        </w:drawing>
      </w:r>
      <w:r w:rsidRPr="00287BF4">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7BF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Buckley, Budzyna 2023)</w:t>
      </w:r>
    </w:p>
    <w:p w14:paraId="7532B8D7" w14:textId="77777777" w:rsidR="00943D79" w:rsidRDefault="00943D79" w:rsidP="00223CB6">
      <w:pPr>
        <w:pStyle w:val="ListParagraph"/>
        <w:rPr>
          <w:rFonts w:ascii="Albertus Extra Bold" w:hAnsi="Albertus Extra Bold"/>
          <w:b/>
          <w:color w:val="000000" w:themeColor="text1"/>
          <w:sz w:val="28"/>
          <w:szCs w:val="28"/>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35EA1388" w14:textId="61161B24" w:rsidR="00DF439D" w:rsidRPr="00287BF4" w:rsidRDefault="00DF439D" w:rsidP="00DF439D">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Implementing this model within practice allows the practitioner to understand the importance of their role within the child’s journey and the positive impact it will have upon them. Communication between partnerships</w:t>
      </w:r>
      <w:r w:rsidR="000B023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intervention when require are</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vital for </w:t>
      </w:r>
      <w:r w:rsidR="000B0236"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to be smooth. Parry (2013) suggests that positivity of the transition from all stakeholders is paramount to its </w:t>
      </w:r>
      <w:r w:rsidR="0098688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success;</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will involve input from parents, practitioner</w:t>
      </w:r>
      <w:r w:rsidR="0098688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6885"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visitors and all key workers involved with the child.</w:t>
      </w:r>
      <w:r w:rsidR="00B81EE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also supported by Early Years Alliance (2017) who report that “Partnerships are key”, they highlight the magnitude of emotions within relationships during transition and that all factors are considered and that all parties involved are working together to communicate all aspects of key information whilst managing the process effectively. </w:t>
      </w:r>
    </w:p>
    <w:p w14:paraId="6FFC12F5" w14:textId="77777777" w:rsidR="00943D79" w:rsidRPr="0037236F" w:rsidRDefault="00943D79"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7036F1" w14:textId="77777777" w:rsidR="00943D79" w:rsidRPr="0037236F" w:rsidRDefault="00943D79" w:rsidP="00223CB6">
      <w:pPr>
        <w:pStyle w:val="ListParagraph"/>
        <w:rPr>
          <w:rFonts w:ascii="Albertus Extra Bold" w:hAnsi="Albertus Extra Bold"/>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5D6064"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C5858F"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82EB9F"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DEDF1B"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F01C1F"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A09934" w14:textId="77777777" w:rsidR="00A85687" w:rsidRDefault="00A85687"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FFAFC7" w14:textId="77777777" w:rsidR="00A85687" w:rsidRDefault="00A85687"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B7C150" w14:textId="77777777" w:rsidR="0076424C" w:rsidRDefault="0076424C" w:rsidP="00000B5B">
      <w:pPr>
        <w:pStyle w:val="ListParagraph"/>
        <w:rPr>
          <w:rFonts w:ascii="Albertus Extra Bold" w:hAnsi="Albertus Extra Bold"/>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F891CB" w14:textId="35183918" w:rsidR="00000B5B" w:rsidRPr="00287BF4" w:rsidRDefault="00000B5B" w:rsidP="00000B5B">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p w14:paraId="0DFDF536" w14:textId="77777777" w:rsidR="00943D79" w:rsidRPr="00287BF4" w:rsidRDefault="00943D79" w:rsidP="00223CB6">
      <w:pPr>
        <w:pStyle w:val="ListParagraph"/>
        <w:rPr>
          <w:rFonts w:ascii="Arial" w:hAnsi="Arial" w:cs="Arial"/>
          <w:b/>
          <w:color w:val="000000" w:themeColor="text1"/>
          <w:sz w:val="28"/>
          <w:szCs w:val="28"/>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rPr>
      </w:pPr>
    </w:p>
    <w:p w14:paraId="62B4D1A3" w14:textId="47FB136E" w:rsidR="00943D79" w:rsidRPr="00287BF4" w:rsidRDefault="000B0236" w:rsidP="00223CB6">
      <w:pPr>
        <w:pStyle w:val="ListParagraph"/>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desired outcome is inevitably for the child to make its way through the transitional phase in a smooth manner with a limited amount of disruption and distress. With this in mind, a child who is in an environment that feels love, confidence and </w:t>
      </w:r>
      <w:r w:rsidR="000F496E"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safety will</w:t>
      </w:r>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far better placed than that of a child </w:t>
      </w:r>
      <w:proofErr w:type="gramStart"/>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whom</w:t>
      </w:r>
      <w:proofErr w:type="gramEnd"/>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been denied this attention.</w:t>
      </w:r>
      <w:r w:rsidR="000F496E"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Achieving</w:t>
      </w:r>
      <w:r w:rsidR="000F496E"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desired affect has </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variety of routes in its </w:t>
      </w:r>
      <w:r w:rsidR="000F496E"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many share </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common key</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principles. Structured values and a clear </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outcome which</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everyone shares</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constantly hearing the child and being respectful to their thoughts</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encouraging creativity</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providing time to expand the child’s interests</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providing a welcoming environment in which they can enjoy and develop</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02B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respecting input from parents and other key workers</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628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Brunton</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628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7B7C"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Thornton, 2008</w:t>
      </w:r>
      <w:r w:rsidR="002B49C4"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0E5D40" w14:textId="64F1FECA" w:rsidR="002B49C4" w:rsidRPr="00287BF4" w:rsidRDefault="002B49C4" w:rsidP="00223CB6">
      <w:pPr>
        <w:pStyle w:val="ListParagraph"/>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Utilising the Froebel approach in practice does not require a method or expected level standard</w:t>
      </w:r>
      <w:r w:rsidR="00C75EC1"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practitioner should provide respect and common principles to allow the child to develop as a great communicator and confident learner.  This fluid approach in the everchanging environment will guide and shape the child to grow with wisdom and confidence (Tovey, 2017)</w:t>
      </w:r>
      <w:r w:rsidR="0033045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Reggio Emilia approach has been introduced across many educational environments after such positive outcomes.  Similar to the Froebel approach, this also has no set method to follow, it constantly adapts and develops from the reflective practice of educators who are understanding </w:t>
      </w:r>
      <w:r w:rsidR="008D7D92"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proofErr w:type="gramStart"/>
      <w:r w:rsidR="0033045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w:t>
      </w:r>
      <w:proofErr w:type="gramEnd"/>
      <w:r w:rsidR="0033045B" w:rsidRPr="00287BF4">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DDB3CD2" w14:textId="2FF77BDF" w:rsidR="00943D79" w:rsidRPr="00287BF4" w:rsidRDefault="008D7D92" w:rsidP="00223CB6">
      <w:pPr>
        <w:pStyle w:val="ListParagraph"/>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process from the setting.  Applying the Reggio approach, the successful practitioner will utilise what they themselves have learned, to develop and apply their practice positively, sensitively and in a non-judgemental way, and providing continuous improvements </w:t>
      </w:r>
      <w:r w:rsidR="000C628B" w:rsidRPr="00287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key principles of success (Brunton, 2007).</w:t>
      </w:r>
    </w:p>
    <w:p w14:paraId="2D8AD7C0" w14:textId="31F435F1" w:rsidR="00482206" w:rsidRPr="00287BF4" w:rsidRDefault="00A93B22" w:rsidP="005A0CFE">
      <w:pPr>
        <w:pStyle w:val="ListParagraph"/>
        <w:rPr>
          <w:rFonts w:ascii="Arial" w:hAnsi="Arial" w:cs="Arial"/>
          <w:sz w:val="28"/>
          <w:szCs w:val="28"/>
        </w:rPr>
      </w:pPr>
      <w:r w:rsidRPr="00287BF4">
        <w:rPr>
          <w:rFonts w:ascii="Arial" w:hAnsi="Arial" w:cs="Arial"/>
          <w:noProof/>
          <w:sz w:val="28"/>
          <w:szCs w:val="28"/>
          <w:lang w:eastAsia="en-GB"/>
        </w:rPr>
        <mc:AlternateContent>
          <mc:Choice Requires="wps">
            <w:drawing>
              <wp:anchor distT="0" distB="0" distL="114300" distR="114300" simplePos="0" relativeHeight="251657216" behindDoc="0" locked="0" layoutInCell="1" allowOverlap="1" wp14:anchorId="54234EF2" wp14:editId="69987998">
                <wp:simplePos x="0" y="0"/>
                <wp:positionH relativeFrom="column">
                  <wp:posOffset>4524292</wp:posOffset>
                </wp:positionH>
                <wp:positionV relativeFrom="paragraph">
                  <wp:posOffset>6694998</wp:posOffset>
                </wp:positionV>
                <wp:extent cx="3037398" cy="921799"/>
                <wp:effectExtent l="0" t="0" r="10795" b="1206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7398" cy="921799"/>
                        </a:xfrm>
                        <a:prstGeom prst="rect">
                          <a:avLst/>
                        </a:prstGeom>
                        <a:solidFill>
                          <a:srgbClr val="FFFFFF"/>
                        </a:solidFill>
                        <a:ln w="9525">
                          <a:solidFill>
                            <a:srgbClr val="000000"/>
                          </a:solidFill>
                          <a:miter lim="800000"/>
                          <a:headEnd/>
                          <a:tailEnd/>
                        </a:ln>
                      </wps:spPr>
                      <wps:txbx>
                        <w:txbxContent>
                          <w:p w14:paraId="06B5CB8B" w14:textId="77777777" w:rsidR="00A93B22" w:rsidRDefault="00A93B2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234EF2" id="_x0000_t202" coordsize="21600,21600" o:spt="202" path="m,l,21600r21600,l21600,xe">
                <v:stroke joinstyle="miter"/>
                <v:path gradientshapeok="t" o:connecttype="rect"/>
              </v:shapetype>
              <v:shape id="Text Box 2" o:spid="_x0000_s1026" type="#_x0000_t202" style="position:absolute;left:0;text-align:left;margin-left:356.25pt;margin-top:527.15pt;width:239.15pt;height:72.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">
                <v:textbox>
                  <w:txbxContent>
                    <w:p w14:paraId="06B5CB8B" w14:textId="77777777" w:rsidR="00A93B22" w:rsidRDefault="00A93B22"/>
                  </w:txbxContent>
                </v:textbox>
              </v:shape>
            </w:pict>
          </mc:Fallback>
        </mc:AlternateContent>
      </w:r>
    </w:p>
    <w:p w14:paraId="42839E0B" w14:textId="77777777" w:rsidR="00482206" w:rsidRPr="00287BF4" w:rsidRDefault="00482206">
      <w:pPr>
        <w:rPr>
          <w:rFonts w:ascii="Arial" w:hAnsi="Arial" w:cs="Arial"/>
          <w:sz w:val="28"/>
          <w:szCs w:val="28"/>
        </w:rPr>
      </w:pPr>
    </w:p>
    <w:p w14:paraId="05AB1364" w14:textId="77777777" w:rsidR="005244DB" w:rsidRDefault="005244DB"/>
    <w:p w14:paraId="0F139ED3" w14:textId="77777777" w:rsidR="005244DB" w:rsidRDefault="005244DB"/>
    <w:p w14:paraId="2B39BE93" w14:textId="77777777" w:rsidR="00C126E7" w:rsidRDefault="00C126E7" w:rsidP="00C126E7">
      <w:pPr>
        <w:widowControl w:val="0"/>
        <w:autoSpaceDE w:val="0"/>
        <w:autoSpaceDN w:val="0"/>
        <w:adjustRightInd w:val="0"/>
        <w:spacing w:after="240" w:line="360" w:lineRule="auto"/>
        <w:rPr>
          <w:rFonts w:ascii="Arial" w:hAnsi="Arial" w:cs="Arial"/>
          <w:b/>
          <w:bCs/>
          <w:sz w:val="28"/>
          <w:szCs w:val="28"/>
          <w:lang w:val="en-US"/>
        </w:rPr>
      </w:pPr>
      <w:r w:rsidRPr="00AD7B7C">
        <w:rPr>
          <w:rFonts w:ascii="Arial" w:hAnsi="Arial" w:cs="Arial"/>
          <w:b/>
          <w:bCs/>
          <w:sz w:val="28"/>
          <w:szCs w:val="28"/>
          <w:lang w:val="en-US"/>
        </w:rPr>
        <w:t>Reference list</w:t>
      </w:r>
    </w:p>
    <w:p w14:paraId="0C803707"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Bowlby, J. (1982). </w:t>
      </w:r>
      <w:r w:rsidRPr="003A4504">
        <w:rPr>
          <w:rFonts w:ascii="Arial" w:hAnsi="Arial" w:cs="Arial"/>
          <w:i/>
          <w:iCs/>
          <w:sz w:val="28"/>
          <w:szCs w:val="28"/>
          <w:lang w:val="en-US"/>
        </w:rPr>
        <w:t>Attachment and loss</w:t>
      </w:r>
      <w:r w:rsidRPr="003A4504">
        <w:rPr>
          <w:rFonts w:ascii="Arial" w:hAnsi="Arial" w:cs="Arial"/>
          <w:sz w:val="28"/>
          <w:szCs w:val="28"/>
          <w:lang w:val="en-US"/>
        </w:rPr>
        <w:t>. London: Hogarth Press.</w:t>
      </w:r>
    </w:p>
    <w:p w14:paraId="2DCBB028"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Breslin, G., </w:t>
      </w:r>
      <w:proofErr w:type="spellStart"/>
      <w:r w:rsidRPr="003A4504">
        <w:rPr>
          <w:rFonts w:ascii="Arial" w:hAnsi="Arial" w:cs="Arial"/>
          <w:sz w:val="28"/>
          <w:szCs w:val="28"/>
          <w:lang w:val="en-US"/>
        </w:rPr>
        <w:t>Mckeown</w:t>
      </w:r>
      <w:proofErr w:type="spellEnd"/>
      <w:r w:rsidRPr="003A4504">
        <w:rPr>
          <w:rFonts w:ascii="Arial" w:hAnsi="Arial" w:cs="Arial"/>
          <w:sz w:val="28"/>
          <w:szCs w:val="28"/>
          <w:lang w:val="en-US"/>
        </w:rPr>
        <w:t xml:space="preserve">, C. and Groves, R. (2012). </w:t>
      </w:r>
      <w:r w:rsidRPr="003A4504">
        <w:rPr>
          <w:rFonts w:ascii="Arial" w:hAnsi="Arial" w:cs="Arial"/>
          <w:i/>
          <w:iCs/>
          <w:sz w:val="28"/>
          <w:szCs w:val="28"/>
          <w:lang w:val="en-US"/>
        </w:rPr>
        <w:t>Collins dictionary</w:t>
      </w:r>
      <w:r w:rsidRPr="003A4504">
        <w:rPr>
          <w:rFonts w:ascii="Arial" w:hAnsi="Arial" w:cs="Arial"/>
          <w:sz w:val="28"/>
          <w:szCs w:val="28"/>
          <w:lang w:val="en-US"/>
        </w:rPr>
        <w:t xml:space="preserve">. Glasgow: </w:t>
      </w:r>
      <w:proofErr w:type="spellStart"/>
      <w:r w:rsidRPr="003A4504">
        <w:rPr>
          <w:rFonts w:ascii="Arial" w:hAnsi="Arial" w:cs="Arial"/>
          <w:sz w:val="28"/>
          <w:szCs w:val="28"/>
          <w:lang w:val="en-US"/>
        </w:rPr>
        <w:t>Harpercollins</w:t>
      </w:r>
      <w:proofErr w:type="spellEnd"/>
      <w:r w:rsidRPr="003A4504">
        <w:rPr>
          <w:rFonts w:ascii="Arial" w:hAnsi="Arial" w:cs="Arial"/>
          <w:sz w:val="28"/>
          <w:szCs w:val="28"/>
          <w:lang w:val="en-US"/>
        </w:rPr>
        <w:t>.</w:t>
      </w:r>
    </w:p>
    <w:p w14:paraId="7A31B33D"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Brock, A. (2015). </w:t>
      </w:r>
      <w:r w:rsidRPr="003A4504">
        <w:rPr>
          <w:rFonts w:ascii="Arial" w:hAnsi="Arial" w:cs="Arial"/>
          <w:i/>
          <w:iCs/>
          <w:sz w:val="28"/>
          <w:szCs w:val="28"/>
          <w:lang w:val="en-US"/>
        </w:rPr>
        <w:t>The early years reflective practice handbook</w:t>
      </w:r>
      <w:r w:rsidRPr="003A4504">
        <w:rPr>
          <w:rFonts w:ascii="Arial" w:hAnsi="Arial" w:cs="Arial"/>
          <w:sz w:val="28"/>
          <w:szCs w:val="28"/>
          <w:lang w:val="en-US"/>
        </w:rPr>
        <w:t>. London: Routledge.</w:t>
      </w:r>
    </w:p>
    <w:p w14:paraId="5FB61AA7"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Brunton, P. and Thornton, L. (2007). </w:t>
      </w:r>
      <w:r w:rsidRPr="003A4504">
        <w:rPr>
          <w:rFonts w:ascii="Arial" w:hAnsi="Arial" w:cs="Arial"/>
          <w:i/>
          <w:iCs/>
          <w:sz w:val="28"/>
          <w:szCs w:val="28"/>
          <w:lang w:val="en-US"/>
        </w:rPr>
        <w:t xml:space="preserve">Bringing </w:t>
      </w:r>
      <w:proofErr w:type="spellStart"/>
      <w:r w:rsidRPr="003A4504">
        <w:rPr>
          <w:rFonts w:ascii="Arial" w:hAnsi="Arial" w:cs="Arial"/>
          <w:i/>
          <w:iCs/>
          <w:sz w:val="28"/>
          <w:szCs w:val="28"/>
          <w:lang w:val="en-US"/>
        </w:rPr>
        <w:t>reggio</w:t>
      </w:r>
      <w:proofErr w:type="spellEnd"/>
      <w:r w:rsidRPr="003A4504">
        <w:rPr>
          <w:rFonts w:ascii="Arial" w:hAnsi="Arial" w:cs="Arial"/>
          <w:i/>
          <w:iCs/>
          <w:sz w:val="28"/>
          <w:szCs w:val="28"/>
          <w:lang w:val="en-US"/>
        </w:rPr>
        <w:t xml:space="preserve"> approach to your early year practice</w:t>
      </w:r>
      <w:r w:rsidRPr="003A4504">
        <w:rPr>
          <w:rFonts w:ascii="Arial" w:hAnsi="Arial" w:cs="Arial"/>
          <w:sz w:val="28"/>
          <w:szCs w:val="28"/>
          <w:lang w:val="en-US"/>
        </w:rPr>
        <w:t>. London: David Fulton.</w:t>
      </w:r>
    </w:p>
    <w:p w14:paraId="68295D4B"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Buckley, D. and Budzyna, D. (2023). Ecological Theory. </w:t>
      </w:r>
      <w:r w:rsidRPr="003A4504">
        <w:rPr>
          <w:rFonts w:ascii="Arial" w:hAnsi="Arial" w:cs="Arial"/>
          <w:i/>
          <w:iCs/>
          <w:sz w:val="28"/>
          <w:szCs w:val="28"/>
          <w:lang w:val="en-US"/>
        </w:rPr>
        <w:t>rotel.pressbooks.pub</w:t>
      </w:r>
      <w:r w:rsidRPr="003A4504">
        <w:rPr>
          <w:rFonts w:ascii="Arial" w:hAnsi="Arial" w:cs="Arial"/>
          <w:sz w:val="28"/>
          <w:szCs w:val="28"/>
          <w:lang w:val="en-US"/>
        </w:rPr>
        <w:t xml:space="preserve">. [online] Available at: </w:t>
      </w:r>
      <w:hyperlink r:id="rId12" w:history="1">
        <w:r w:rsidRPr="003A4504">
          <w:rPr>
            <w:rFonts w:ascii="Arial" w:hAnsi="Arial" w:cs="Arial"/>
            <w:sz w:val="28"/>
            <w:szCs w:val="28"/>
            <w:lang w:val="en-US"/>
          </w:rPr>
          <w:t>https://rotel.pressbooks.pub/whole-child/chapter/ecological-theory-2/</w:t>
        </w:r>
      </w:hyperlink>
      <w:r w:rsidRPr="003A4504">
        <w:rPr>
          <w:rFonts w:ascii="Arial" w:hAnsi="Arial" w:cs="Arial"/>
          <w:sz w:val="28"/>
          <w:szCs w:val="28"/>
          <w:lang w:val="en-US"/>
        </w:rPr>
        <w:t>.</w:t>
      </w:r>
    </w:p>
    <w:p w14:paraId="15ED0447"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Clark, A., Moss, P. and National Children's Bureau (2011). </w:t>
      </w:r>
      <w:r w:rsidRPr="003A4504">
        <w:rPr>
          <w:rFonts w:ascii="Arial" w:hAnsi="Arial" w:cs="Arial"/>
          <w:i/>
          <w:iCs/>
          <w:sz w:val="28"/>
          <w:szCs w:val="28"/>
          <w:lang w:val="en-US"/>
        </w:rPr>
        <w:t xml:space="preserve">Listening to young </w:t>
      </w:r>
      <w:proofErr w:type="gramStart"/>
      <w:r w:rsidRPr="003A4504">
        <w:rPr>
          <w:rFonts w:ascii="Arial" w:hAnsi="Arial" w:cs="Arial"/>
          <w:i/>
          <w:iCs/>
          <w:sz w:val="28"/>
          <w:szCs w:val="28"/>
          <w:lang w:val="en-US"/>
        </w:rPr>
        <w:t>children :</w:t>
      </w:r>
      <w:proofErr w:type="gramEnd"/>
      <w:r w:rsidRPr="003A4504">
        <w:rPr>
          <w:rFonts w:ascii="Arial" w:hAnsi="Arial" w:cs="Arial"/>
          <w:i/>
          <w:iCs/>
          <w:sz w:val="28"/>
          <w:szCs w:val="28"/>
          <w:lang w:val="en-US"/>
        </w:rPr>
        <w:t xml:space="preserve"> the mosaic approach</w:t>
      </w:r>
      <w:r w:rsidRPr="003A4504">
        <w:rPr>
          <w:rFonts w:ascii="Arial" w:hAnsi="Arial" w:cs="Arial"/>
          <w:sz w:val="28"/>
          <w:szCs w:val="28"/>
          <w:lang w:val="en-US"/>
        </w:rPr>
        <w:t>. London: National Children’s Bureau.</w:t>
      </w:r>
    </w:p>
    <w:p w14:paraId="40C9DF33"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Dockett, S. and Perry, B. (2021). Invisible transitions: Transitions to school following different paths. </w:t>
      </w:r>
      <w:r w:rsidRPr="003A4504">
        <w:rPr>
          <w:rFonts w:ascii="Arial" w:hAnsi="Arial" w:cs="Arial"/>
          <w:i/>
          <w:iCs/>
          <w:sz w:val="28"/>
          <w:szCs w:val="28"/>
          <w:lang w:val="en-US"/>
        </w:rPr>
        <w:t>Australasian Journal of Early Childhood</w:t>
      </w:r>
      <w:r w:rsidRPr="003A4504">
        <w:rPr>
          <w:rFonts w:ascii="Arial" w:hAnsi="Arial" w:cs="Arial"/>
          <w:sz w:val="28"/>
          <w:szCs w:val="28"/>
          <w:lang w:val="en-US"/>
        </w:rPr>
        <w:t xml:space="preserve">, p.183693912110096. </w:t>
      </w:r>
      <w:proofErr w:type="spellStart"/>
      <w:r w:rsidRPr="003A4504">
        <w:rPr>
          <w:rFonts w:ascii="Arial" w:hAnsi="Arial" w:cs="Arial"/>
          <w:sz w:val="28"/>
          <w:szCs w:val="28"/>
          <w:lang w:val="en-US"/>
        </w:rPr>
        <w:t>doi:</w:t>
      </w:r>
      <w:hyperlink r:id="rId13" w:history="1">
        <w:r w:rsidRPr="003A4504">
          <w:rPr>
            <w:rFonts w:ascii="Arial" w:hAnsi="Arial" w:cs="Arial"/>
            <w:sz w:val="28"/>
            <w:szCs w:val="28"/>
            <w:lang w:val="en-US"/>
          </w:rPr>
          <w:t>https</w:t>
        </w:r>
        <w:proofErr w:type="spellEnd"/>
        <w:r w:rsidRPr="003A4504">
          <w:rPr>
            <w:rFonts w:ascii="Arial" w:hAnsi="Arial" w:cs="Arial"/>
            <w:sz w:val="28"/>
            <w:szCs w:val="28"/>
            <w:lang w:val="en-US"/>
          </w:rPr>
          <w:t>://doi.org/10.1177/18369391211009698</w:t>
        </w:r>
      </w:hyperlink>
      <w:r w:rsidRPr="003A4504">
        <w:rPr>
          <w:rFonts w:ascii="Arial" w:hAnsi="Arial" w:cs="Arial"/>
          <w:sz w:val="28"/>
          <w:szCs w:val="28"/>
          <w:lang w:val="en-US"/>
        </w:rPr>
        <w:t>.</w:t>
      </w:r>
    </w:p>
    <w:p w14:paraId="1B848557"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Early Years Educator. (n.d.). </w:t>
      </w:r>
      <w:r w:rsidRPr="003A4504">
        <w:rPr>
          <w:rFonts w:ascii="Arial" w:hAnsi="Arial" w:cs="Arial"/>
          <w:i/>
          <w:iCs/>
          <w:sz w:val="28"/>
          <w:szCs w:val="28"/>
          <w:lang w:val="en-US"/>
        </w:rPr>
        <w:t xml:space="preserve">Hierarchy of needs: The </w:t>
      </w:r>
      <w:proofErr w:type="spellStart"/>
      <w:r w:rsidRPr="003A4504">
        <w:rPr>
          <w:rFonts w:ascii="Arial" w:hAnsi="Arial" w:cs="Arial"/>
          <w:i/>
          <w:iCs/>
          <w:sz w:val="28"/>
          <w:szCs w:val="28"/>
          <w:lang w:val="en-US"/>
        </w:rPr>
        <w:t>marvellous</w:t>
      </w:r>
      <w:proofErr w:type="spellEnd"/>
      <w:r w:rsidRPr="003A4504">
        <w:rPr>
          <w:rFonts w:ascii="Arial" w:hAnsi="Arial" w:cs="Arial"/>
          <w:i/>
          <w:iCs/>
          <w:sz w:val="28"/>
          <w:szCs w:val="28"/>
          <w:lang w:val="en-US"/>
        </w:rPr>
        <w:t xml:space="preserve"> Maslow</w:t>
      </w:r>
      <w:r w:rsidRPr="003A4504">
        <w:rPr>
          <w:rFonts w:ascii="Arial" w:hAnsi="Arial" w:cs="Arial"/>
          <w:sz w:val="28"/>
          <w:szCs w:val="28"/>
          <w:lang w:val="en-US"/>
        </w:rPr>
        <w:t xml:space="preserve">. [online] Available at: </w:t>
      </w:r>
      <w:hyperlink r:id="rId14" w:history="1">
        <w:r w:rsidRPr="003A4504">
          <w:rPr>
            <w:rFonts w:ascii="Arial" w:hAnsi="Arial" w:cs="Arial"/>
            <w:sz w:val="28"/>
            <w:szCs w:val="28"/>
            <w:lang w:val="en-US"/>
          </w:rPr>
          <w:t>https://www.earlyyearseducator.co.uk/features/article/hierarchy-of-needs-the-marvellous-maslow#:~:text=Let%20us%20have%20a%20look</w:t>
        </w:r>
      </w:hyperlink>
      <w:r w:rsidRPr="003A4504">
        <w:rPr>
          <w:rFonts w:ascii="Arial" w:hAnsi="Arial" w:cs="Arial"/>
          <w:sz w:val="28"/>
          <w:szCs w:val="28"/>
          <w:lang w:val="en-US"/>
        </w:rPr>
        <w:t>.</w:t>
      </w:r>
    </w:p>
    <w:p w14:paraId="45FC1DF7"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Early Years Matters (2022). </w:t>
      </w:r>
      <w:r w:rsidRPr="003A4504">
        <w:rPr>
          <w:rFonts w:ascii="Arial" w:hAnsi="Arial" w:cs="Arial"/>
          <w:i/>
          <w:iCs/>
          <w:sz w:val="28"/>
          <w:szCs w:val="28"/>
          <w:lang w:val="en-US"/>
        </w:rPr>
        <w:t>Transitions</w:t>
      </w:r>
      <w:r w:rsidRPr="003A4504">
        <w:rPr>
          <w:rFonts w:ascii="Arial" w:hAnsi="Arial" w:cs="Arial"/>
          <w:sz w:val="28"/>
          <w:szCs w:val="28"/>
          <w:lang w:val="en-US"/>
        </w:rPr>
        <w:t xml:space="preserve">. [online] Early Years Matters. Available at: </w:t>
      </w:r>
      <w:hyperlink r:id="rId15" w:history="1">
        <w:r w:rsidRPr="003A4504">
          <w:rPr>
            <w:rFonts w:ascii="Arial" w:hAnsi="Arial" w:cs="Arial"/>
            <w:sz w:val="28"/>
            <w:szCs w:val="28"/>
            <w:lang w:val="en-US"/>
          </w:rPr>
          <w:t>https://www.earlyyearsmatters.co.uk/eyfs/positive-relationships/transitions/</w:t>
        </w:r>
      </w:hyperlink>
      <w:r w:rsidRPr="003A4504">
        <w:rPr>
          <w:rFonts w:ascii="Arial" w:hAnsi="Arial" w:cs="Arial"/>
          <w:sz w:val="28"/>
          <w:szCs w:val="28"/>
          <w:lang w:val="en-US"/>
        </w:rPr>
        <w:t>.</w:t>
      </w:r>
    </w:p>
    <w:p w14:paraId="73ADD4A6" w14:textId="77777777" w:rsidR="003A4504" w:rsidRDefault="003A4504" w:rsidP="003A4504">
      <w:pPr>
        <w:widowControl w:val="0"/>
        <w:autoSpaceDE w:val="0"/>
        <w:autoSpaceDN w:val="0"/>
        <w:adjustRightInd w:val="0"/>
        <w:spacing w:after="240" w:line="360" w:lineRule="auto"/>
        <w:rPr>
          <w:rFonts w:ascii="Arial" w:hAnsi="Arial" w:cs="Arial"/>
          <w:sz w:val="28"/>
          <w:szCs w:val="28"/>
          <w:lang w:val="en-US"/>
        </w:rPr>
      </w:pPr>
    </w:p>
    <w:p w14:paraId="6B7B6879" w14:textId="77777777" w:rsidR="003A4504" w:rsidRDefault="003A4504" w:rsidP="003A4504">
      <w:pPr>
        <w:widowControl w:val="0"/>
        <w:autoSpaceDE w:val="0"/>
        <w:autoSpaceDN w:val="0"/>
        <w:adjustRightInd w:val="0"/>
        <w:spacing w:after="240" w:line="360" w:lineRule="auto"/>
        <w:rPr>
          <w:rFonts w:ascii="Arial" w:hAnsi="Arial" w:cs="Arial"/>
          <w:sz w:val="28"/>
          <w:szCs w:val="28"/>
          <w:lang w:val="en-US"/>
        </w:rPr>
      </w:pPr>
    </w:p>
    <w:p w14:paraId="28AB6037" w14:textId="77777777" w:rsidR="003A4504" w:rsidRDefault="003A4504" w:rsidP="003A4504">
      <w:pPr>
        <w:widowControl w:val="0"/>
        <w:autoSpaceDE w:val="0"/>
        <w:autoSpaceDN w:val="0"/>
        <w:adjustRightInd w:val="0"/>
        <w:spacing w:after="240" w:line="360" w:lineRule="auto"/>
        <w:rPr>
          <w:rFonts w:ascii="Arial" w:hAnsi="Arial" w:cs="Arial"/>
          <w:sz w:val="28"/>
          <w:szCs w:val="28"/>
          <w:lang w:val="en-US"/>
        </w:rPr>
      </w:pPr>
    </w:p>
    <w:p w14:paraId="27ED421E" w14:textId="77777777" w:rsidR="003A4504" w:rsidRDefault="003A4504" w:rsidP="003A4504">
      <w:pPr>
        <w:widowControl w:val="0"/>
        <w:autoSpaceDE w:val="0"/>
        <w:autoSpaceDN w:val="0"/>
        <w:adjustRightInd w:val="0"/>
        <w:spacing w:after="240" w:line="360" w:lineRule="auto"/>
        <w:rPr>
          <w:rFonts w:ascii="Arial" w:hAnsi="Arial" w:cs="Arial"/>
          <w:sz w:val="28"/>
          <w:szCs w:val="28"/>
          <w:lang w:val="en-US"/>
        </w:rPr>
      </w:pPr>
    </w:p>
    <w:p w14:paraId="741671E1" w14:textId="5196F978"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early-education (2021). </w:t>
      </w:r>
      <w:r w:rsidRPr="003A4504">
        <w:rPr>
          <w:rFonts w:ascii="Arial" w:hAnsi="Arial" w:cs="Arial"/>
          <w:i/>
          <w:iCs/>
          <w:sz w:val="28"/>
          <w:szCs w:val="28"/>
          <w:lang w:val="en-US"/>
        </w:rPr>
        <w:t>Transitions – Birth To 5 Matters</w:t>
      </w:r>
      <w:r w:rsidRPr="003A4504">
        <w:rPr>
          <w:rFonts w:ascii="Arial" w:hAnsi="Arial" w:cs="Arial"/>
          <w:sz w:val="28"/>
          <w:szCs w:val="28"/>
          <w:lang w:val="en-US"/>
        </w:rPr>
        <w:t xml:space="preserve">. [online] www.early-education.org.uk. Available at: </w:t>
      </w:r>
      <w:hyperlink r:id="rId16" w:history="1">
        <w:r w:rsidRPr="003A4504">
          <w:rPr>
            <w:rFonts w:ascii="Arial" w:hAnsi="Arial" w:cs="Arial"/>
            <w:sz w:val="28"/>
            <w:szCs w:val="28"/>
            <w:lang w:val="en-US"/>
          </w:rPr>
          <w:t>https://birthto5matters.org.uk/transitions/#:~:text=Transitions%20include%20not%20just%20movements</w:t>
        </w:r>
      </w:hyperlink>
      <w:r w:rsidRPr="003A4504">
        <w:rPr>
          <w:rFonts w:ascii="Arial" w:hAnsi="Arial" w:cs="Arial"/>
          <w:sz w:val="28"/>
          <w:szCs w:val="28"/>
          <w:lang w:val="en-US"/>
        </w:rPr>
        <w:t>.</w:t>
      </w:r>
    </w:p>
    <w:p w14:paraId="6F1B7AF0"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Flying Start -Annex Transition Guidance. (2017). Available at: </w:t>
      </w:r>
      <w:hyperlink r:id="rId17" w:history="1">
        <w:r w:rsidRPr="003A4504">
          <w:rPr>
            <w:rFonts w:ascii="Arial" w:hAnsi="Arial" w:cs="Arial"/>
            <w:sz w:val="28"/>
            <w:szCs w:val="28"/>
            <w:lang w:val="en-US"/>
          </w:rPr>
          <w:t>https://www.gov.wales/sites/default/files/publications/2019-07/flying-start-transition-guidance-for-professionals.pdf</w:t>
        </w:r>
      </w:hyperlink>
      <w:r w:rsidRPr="003A4504">
        <w:rPr>
          <w:rFonts w:ascii="Arial" w:hAnsi="Arial" w:cs="Arial"/>
          <w:sz w:val="28"/>
          <w:szCs w:val="28"/>
          <w:lang w:val="en-US"/>
        </w:rPr>
        <w:t>.</w:t>
      </w:r>
    </w:p>
    <w:p w14:paraId="0C483C81"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gov.uk (n.d.). </w:t>
      </w:r>
      <w:r w:rsidRPr="003A4504">
        <w:rPr>
          <w:rFonts w:ascii="Arial" w:hAnsi="Arial" w:cs="Arial"/>
          <w:i/>
          <w:iCs/>
          <w:sz w:val="28"/>
          <w:szCs w:val="28"/>
          <w:lang w:val="en-US"/>
        </w:rPr>
        <w:t>Meeting the needs of all children - Help for early years providers - GOV.UK</w:t>
      </w:r>
      <w:r w:rsidRPr="003A4504">
        <w:rPr>
          <w:rFonts w:ascii="Arial" w:hAnsi="Arial" w:cs="Arial"/>
          <w:sz w:val="28"/>
          <w:szCs w:val="28"/>
          <w:lang w:val="en-US"/>
        </w:rPr>
        <w:t xml:space="preserve">. [online] help-for-early-years-providers.education.gov.uk. Available at: </w:t>
      </w:r>
      <w:hyperlink r:id="rId18" w:history="1">
        <w:r w:rsidRPr="003A4504">
          <w:rPr>
            <w:rFonts w:ascii="Arial" w:hAnsi="Arial" w:cs="Arial"/>
            <w:sz w:val="28"/>
            <w:szCs w:val="28"/>
            <w:lang w:val="en-US"/>
          </w:rPr>
          <w:t>https://help-for-early-years-providers.education.gov.uk/get-help-to-improve-your-practice/meeting-the-needs-of-all-children#:~:text=It%20is%20crucial%20that%20settings</w:t>
        </w:r>
      </w:hyperlink>
      <w:r w:rsidRPr="003A4504">
        <w:rPr>
          <w:rFonts w:ascii="Arial" w:hAnsi="Arial" w:cs="Arial"/>
          <w:sz w:val="28"/>
          <w:szCs w:val="28"/>
          <w:lang w:val="en-US"/>
        </w:rPr>
        <w:t>.</w:t>
      </w:r>
    </w:p>
    <w:p w14:paraId="4A45E952"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Greene, S. and Hogan, D. (2005). </w:t>
      </w:r>
      <w:r w:rsidRPr="003A4504">
        <w:rPr>
          <w:rFonts w:ascii="Arial" w:hAnsi="Arial" w:cs="Arial"/>
          <w:i/>
          <w:iCs/>
          <w:sz w:val="28"/>
          <w:szCs w:val="28"/>
          <w:lang w:val="en-US"/>
        </w:rPr>
        <w:t>Researching Children’s Experience</w:t>
      </w:r>
      <w:r w:rsidRPr="003A4504">
        <w:rPr>
          <w:rFonts w:ascii="Arial" w:hAnsi="Arial" w:cs="Arial"/>
          <w:sz w:val="28"/>
          <w:szCs w:val="28"/>
          <w:lang w:val="en-US"/>
        </w:rPr>
        <w:t>. 1 Oliver’s Yard, 55 City Road, London, England, United Kingdom, Ec1y 1Sp Sage Publications Ltd.</w:t>
      </w:r>
    </w:p>
    <w:p w14:paraId="7714BB10"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Guy-Evans, O. (2023). </w:t>
      </w:r>
      <w:r w:rsidRPr="003A4504">
        <w:rPr>
          <w:rFonts w:ascii="Arial" w:hAnsi="Arial" w:cs="Arial"/>
          <w:i/>
          <w:iCs/>
          <w:sz w:val="28"/>
          <w:szCs w:val="28"/>
          <w:lang w:val="en-US"/>
        </w:rPr>
        <w:t>Bronfenbrenner’s ecological systems theory</w:t>
      </w:r>
      <w:r w:rsidRPr="003A4504">
        <w:rPr>
          <w:rFonts w:ascii="Arial" w:hAnsi="Arial" w:cs="Arial"/>
          <w:sz w:val="28"/>
          <w:szCs w:val="28"/>
          <w:lang w:val="en-US"/>
        </w:rPr>
        <w:t xml:space="preserve">. [online] Simply Psychology. Available at: </w:t>
      </w:r>
      <w:hyperlink r:id="rId19" w:history="1">
        <w:r w:rsidRPr="003A4504">
          <w:rPr>
            <w:rFonts w:ascii="Arial" w:hAnsi="Arial" w:cs="Arial"/>
            <w:sz w:val="28"/>
            <w:szCs w:val="28"/>
            <w:lang w:val="en-US"/>
          </w:rPr>
          <w:t>https://www.simplypsychology.org/Bronfenbrenner.html</w:t>
        </w:r>
      </w:hyperlink>
      <w:r w:rsidRPr="003A4504">
        <w:rPr>
          <w:rFonts w:ascii="Arial" w:hAnsi="Arial" w:cs="Arial"/>
          <w:sz w:val="28"/>
          <w:szCs w:val="28"/>
          <w:lang w:val="en-US"/>
        </w:rPr>
        <w:t>.</w:t>
      </w:r>
    </w:p>
    <w:p w14:paraId="71595191"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John Caldwell Holt and Meier, D. (2017). </w:t>
      </w:r>
      <w:r w:rsidRPr="003A4504">
        <w:rPr>
          <w:rFonts w:ascii="Arial" w:hAnsi="Arial" w:cs="Arial"/>
          <w:i/>
          <w:iCs/>
          <w:sz w:val="28"/>
          <w:szCs w:val="28"/>
          <w:lang w:val="en-US"/>
        </w:rPr>
        <w:t>How children learn</w:t>
      </w:r>
      <w:r w:rsidRPr="003A4504">
        <w:rPr>
          <w:rFonts w:ascii="Arial" w:hAnsi="Arial" w:cs="Arial"/>
          <w:sz w:val="28"/>
          <w:szCs w:val="28"/>
          <w:lang w:val="en-US"/>
        </w:rPr>
        <w:t>. New York, Ny: Lifelong Books, Da Capo Press.</w:t>
      </w:r>
    </w:p>
    <w:p w14:paraId="0A9B1227"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Lindon, J. (2012). </w:t>
      </w:r>
      <w:r w:rsidRPr="003A4504">
        <w:rPr>
          <w:rFonts w:ascii="Arial" w:hAnsi="Arial" w:cs="Arial"/>
          <w:i/>
          <w:iCs/>
          <w:sz w:val="28"/>
          <w:szCs w:val="28"/>
          <w:lang w:val="en-US"/>
        </w:rPr>
        <w:t xml:space="preserve">Understanding child development 0-8 </w:t>
      </w:r>
      <w:proofErr w:type="gramStart"/>
      <w:r w:rsidRPr="003A4504">
        <w:rPr>
          <w:rFonts w:ascii="Arial" w:hAnsi="Arial" w:cs="Arial"/>
          <w:i/>
          <w:iCs/>
          <w:sz w:val="28"/>
          <w:szCs w:val="28"/>
          <w:lang w:val="en-US"/>
        </w:rPr>
        <w:t>years :</w:t>
      </w:r>
      <w:proofErr w:type="gramEnd"/>
      <w:r w:rsidRPr="003A4504">
        <w:rPr>
          <w:rFonts w:ascii="Arial" w:hAnsi="Arial" w:cs="Arial"/>
          <w:i/>
          <w:iCs/>
          <w:sz w:val="28"/>
          <w:szCs w:val="28"/>
          <w:lang w:val="en-US"/>
        </w:rPr>
        <w:t xml:space="preserve"> Linking theory and practice.</w:t>
      </w:r>
      <w:r w:rsidRPr="003A4504">
        <w:rPr>
          <w:rFonts w:ascii="Arial" w:hAnsi="Arial" w:cs="Arial"/>
          <w:sz w:val="28"/>
          <w:szCs w:val="28"/>
          <w:lang w:val="en-US"/>
        </w:rPr>
        <w:t xml:space="preserve"> Hodder Education.</w:t>
      </w:r>
    </w:p>
    <w:p w14:paraId="7A1419FD"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Main, P. (2020). </w:t>
      </w:r>
      <w:r w:rsidRPr="003A4504">
        <w:rPr>
          <w:rFonts w:ascii="Arial" w:hAnsi="Arial" w:cs="Arial"/>
          <w:i/>
          <w:iCs/>
          <w:sz w:val="28"/>
          <w:szCs w:val="28"/>
          <w:lang w:val="en-US"/>
        </w:rPr>
        <w:t>The Zone of Proximal Development: A teacher’s guide</w:t>
      </w:r>
      <w:r w:rsidRPr="003A4504">
        <w:rPr>
          <w:rFonts w:ascii="Arial" w:hAnsi="Arial" w:cs="Arial"/>
          <w:sz w:val="28"/>
          <w:szCs w:val="28"/>
          <w:lang w:val="en-US"/>
        </w:rPr>
        <w:t xml:space="preserve">. [online] www.structural-learning.com. Available at: </w:t>
      </w:r>
      <w:hyperlink r:id="rId20" w:history="1">
        <w:r w:rsidRPr="003A4504">
          <w:rPr>
            <w:rFonts w:ascii="Arial" w:hAnsi="Arial" w:cs="Arial"/>
            <w:sz w:val="28"/>
            <w:szCs w:val="28"/>
            <w:lang w:val="en-US"/>
          </w:rPr>
          <w:t>https://www.structural-learning.com/post/the-zone-of-proximal-development-a-teachers-guide</w:t>
        </w:r>
      </w:hyperlink>
      <w:r w:rsidRPr="003A4504">
        <w:rPr>
          <w:rFonts w:ascii="Arial" w:hAnsi="Arial" w:cs="Arial"/>
          <w:sz w:val="28"/>
          <w:szCs w:val="28"/>
          <w:lang w:val="en-US"/>
        </w:rPr>
        <w:t>.</w:t>
      </w:r>
    </w:p>
    <w:p w14:paraId="4261072A" w14:textId="77777777" w:rsidR="003A4504" w:rsidRDefault="003A4504" w:rsidP="003A4504">
      <w:pPr>
        <w:widowControl w:val="0"/>
        <w:autoSpaceDE w:val="0"/>
        <w:autoSpaceDN w:val="0"/>
        <w:adjustRightInd w:val="0"/>
        <w:spacing w:after="240" w:line="360" w:lineRule="auto"/>
        <w:rPr>
          <w:rFonts w:ascii="Arial" w:hAnsi="Arial" w:cs="Arial"/>
          <w:sz w:val="28"/>
          <w:szCs w:val="28"/>
          <w:lang w:val="en-US"/>
        </w:rPr>
      </w:pPr>
    </w:p>
    <w:p w14:paraId="3FA35A5C" w14:textId="77777777" w:rsidR="003A4504" w:rsidRDefault="003A4504" w:rsidP="003A4504">
      <w:pPr>
        <w:widowControl w:val="0"/>
        <w:autoSpaceDE w:val="0"/>
        <w:autoSpaceDN w:val="0"/>
        <w:adjustRightInd w:val="0"/>
        <w:spacing w:after="240" w:line="360" w:lineRule="auto"/>
        <w:rPr>
          <w:rFonts w:ascii="Arial" w:hAnsi="Arial" w:cs="Arial"/>
          <w:sz w:val="28"/>
          <w:szCs w:val="28"/>
          <w:lang w:val="en-US"/>
        </w:rPr>
      </w:pPr>
    </w:p>
    <w:p w14:paraId="7035E51C" w14:textId="1F5CA143"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Main, P. (2023). </w:t>
      </w:r>
      <w:r w:rsidRPr="003A4504">
        <w:rPr>
          <w:rFonts w:ascii="Arial" w:hAnsi="Arial" w:cs="Arial"/>
          <w:i/>
          <w:iCs/>
          <w:sz w:val="28"/>
          <w:szCs w:val="28"/>
          <w:lang w:val="en-US"/>
        </w:rPr>
        <w:t>Bowlby’s Attachment Theory</w:t>
      </w:r>
      <w:r w:rsidRPr="003A4504">
        <w:rPr>
          <w:rFonts w:ascii="Arial" w:hAnsi="Arial" w:cs="Arial"/>
          <w:sz w:val="28"/>
          <w:szCs w:val="28"/>
          <w:lang w:val="en-US"/>
        </w:rPr>
        <w:t xml:space="preserve">. [online] www.structural-learning.com. Available at: </w:t>
      </w:r>
      <w:hyperlink r:id="rId21" w:history="1">
        <w:r w:rsidRPr="003A4504">
          <w:rPr>
            <w:rFonts w:ascii="Arial" w:hAnsi="Arial" w:cs="Arial"/>
            <w:sz w:val="28"/>
            <w:szCs w:val="28"/>
            <w:lang w:val="en-US"/>
          </w:rPr>
          <w:t>https://www.structural-learning.com/post/bowlbys-attachment-theory#:~:text=Bowlby</w:t>
        </w:r>
      </w:hyperlink>
      <w:r w:rsidRPr="003A4504">
        <w:rPr>
          <w:rFonts w:ascii="Arial" w:hAnsi="Arial" w:cs="Arial"/>
          <w:sz w:val="28"/>
          <w:szCs w:val="28"/>
          <w:lang w:val="en-US"/>
        </w:rPr>
        <w:t>.</w:t>
      </w:r>
    </w:p>
    <w:p w14:paraId="5EA35A15"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Nutbrown, C. (2011). </w:t>
      </w:r>
      <w:r w:rsidRPr="003A4504">
        <w:rPr>
          <w:rFonts w:ascii="Arial" w:hAnsi="Arial" w:cs="Arial"/>
          <w:i/>
          <w:iCs/>
          <w:sz w:val="28"/>
          <w:szCs w:val="28"/>
          <w:lang w:val="en-US"/>
        </w:rPr>
        <w:t>Key Concepts in Early Childhood Education and Care</w:t>
      </w:r>
      <w:r w:rsidRPr="003A4504">
        <w:rPr>
          <w:rFonts w:ascii="Arial" w:hAnsi="Arial" w:cs="Arial"/>
          <w:sz w:val="28"/>
          <w:szCs w:val="28"/>
          <w:lang w:val="en-US"/>
        </w:rPr>
        <w:t>. SAGE.</w:t>
      </w:r>
    </w:p>
    <w:p w14:paraId="3BC3BBA9"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Patel, A. (2019). </w:t>
      </w:r>
      <w:r w:rsidRPr="003A4504">
        <w:rPr>
          <w:rFonts w:ascii="Arial" w:hAnsi="Arial" w:cs="Arial"/>
          <w:i/>
          <w:iCs/>
          <w:sz w:val="28"/>
          <w:szCs w:val="28"/>
          <w:lang w:val="en-US"/>
        </w:rPr>
        <w:t>Supporting Transitions in the Early Years</w:t>
      </w:r>
      <w:r w:rsidRPr="003A4504">
        <w:rPr>
          <w:rFonts w:ascii="Arial" w:hAnsi="Arial" w:cs="Arial"/>
          <w:sz w:val="28"/>
          <w:szCs w:val="28"/>
          <w:lang w:val="en-US"/>
        </w:rPr>
        <w:t xml:space="preserve">. [online] Teach Early Years. Available at: </w:t>
      </w:r>
      <w:hyperlink r:id="rId22" w:history="1">
        <w:r w:rsidRPr="003A4504">
          <w:rPr>
            <w:rFonts w:ascii="Arial" w:hAnsi="Arial" w:cs="Arial"/>
            <w:sz w:val="28"/>
            <w:szCs w:val="28"/>
            <w:lang w:val="en-US"/>
          </w:rPr>
          <w:t>https://www.teachearlyyears.com/a-unique-child/view/supporting-transitions-in-the-early-years</w:t>
        </w:r>
      </w:hyperlink>
      <w:r w:rsidRPr="003A4504">
        <w:rPr>
          <w:rFonts w:ascii="Arial" w:hAnsi="Arial" w:cs="Arial"/>
          <w:sz w:val="28"/>
          <w:szCs w:val="28"/>
          <w:lang w:val="en-US"/>
        </w:rPr>
        <w:t>.</w:t>
      </w:r>
    </w:p>
    <w:p w14:paraId="1270BD3A"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Pound, L. (2005). </w:t>
      </w:r>
      <w:r w:rsidRPr="003A4504">
        <w:rPr>
          <w:rFonts w:ascii="Arial" w:hAnsi="Arial" w:cs="Arial"/>
          <w:i/>
          <w:iCs/>
          <w:sz w:val="28"/>
          <w:szCs w:val="28"/>
          <w:lang w:val="en-US"/>
        </w:rPr>
        <w:t xml:space="preserve">How Children </w:t>
      </w:r>
      <w:proofErr w:type="gramStart"/>
      <w:r w:rsidRPr="003A4504">
        <w:rPr>
          <w:rFonts w:ascii="Arial" w:hAnsi="Arial" w:cs="Arial"/>
          <w:i/>
          <w:iCs/>
          <w:sz w:val="28"/>
          <w:szCs w:val="28"/>
          <w:lang w:val="en-US"/>
        </w:rPr>
        <w:t>Learn :</w:t>
      </w:r>
      <w:proofErr w:type="gramEnd"/>
      <w:r w:rsidRPr="003A4504">
        <w:rPr>
          <w:rFonts w:ascii="Arial" w:hAnsi="Arial" w:cs="Arial"/>
          <w:i/>
          <w:iCs/>
          <w:sz w:val="28"/>
          <w:szCs w:val="28"/>
          <w:lang w:val="en-US"/>
        </w:rPr>
        <w:t xml:space="preserve"> from Montessori to Vygotsky: Educational Theories and Approaches Made easy.</w:t>
      </w:r>
      <w:r w:rsidRPr="003A4504">
        <w:rPr>
          <w:rFonts w:ascii="Arial" w:hAnsi="Arial" w:cs="Arial"/>
          <w:sz w:val="28"/>
          <w:szCs w:val="28"/>
          <w:lang w:val="en-US"/>
        </w:rPr>
        <w:t xml:space="preserve"> Step Forward Publishing.</w:t>
      </w:r>
    </w:p>
    <w:p w14:paraId="0A180E86"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Practical Psychology (2020). </w:t>
      </w:r>
      <w:r w:rsidRPr="003A4504">
        <w:rPr>
          <w:rFonts w:ascii="Arial" w:hAnsi="Arial" w:cs="Arial"/>
          <w:i/>
          <w:iCs/>
          <w:sz w:val="28"/>
          <w:szCs w:val="28"/>
          <w:lang w:val="en-US"/>
        </w:rPr>
        <w:t>Maslow’s Hierarchy of Needs</w:t>
      </w:r>
      <w:r w:rsidRPr="003A4504">
        <w:rPr>
          <w:rFonts w:ascii="Arial" w:hAnsi="Arial" w:cs="Arial"/>
          <w:sz w:val="28"/>
          <w:szCs w:val="28"/>
          <w:lang w:val="en-US"/>
        </w:rPr>
        <w:t xml:space="preserve">. [online] Practical Psychology. Available at: </w:t>
      </w:r>
      <w:hyperlink r:id="rId23" w:history="1">
        <w:r w:rsidRPr="003A4504">
          <w:rPr>
            <w:rFonts w:ascii="Arial" w:hAnsi="Arial" w:cs="Arial"/>
            <w:sz w:val="28"/>
            <w:szCs w:val="28"/>
            <w:lang w:val="en-US"/>
          </w:rPr>
          <w:t>https://practicalpie.com/maslows-hierarchy-of-needs/</w:t>
        </w:r>
      </w:hyperlink>
      <w:r w:rsidRPr="003A4504">
        <w:rPr>
          <w:rFonts w:ascii="Arial" w:hAnsi="Arial" w:cs="Arial"/>
          <w:sz w:val="28"/>
          <w:szCs w:val="28"/>
          <w:lang w:val="en-US"/>
        </w:rPr>
        <w:t>.</w:t>
      </w:r>
    </w:p>
    <w:p w14:paraId="57F1E3D9"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Pre-school learning alliance (2017). </w:t>
      </w:r>
      <w:r w:rsidRPr="003A4504">
        <w:rPr>
          <w:rFonts w:ascii="Arial" w:hAnsi="Arial" w:cs="Arial"/>
          <w:i/>
          <w:iCs/>
          <w:sz w:val="28"/>
          <w:szCs w:val="28"/>
          <w:lang w:val="en-US"/>
        </w:rPr>
        <w:t>Hello, ‘big school’ - managing transitions</w:t>
      </w:r>
      <w:r w:rsidRPr="003A4504">
        <w:rPr>
          <w:rFonts w:ascii="Arial" w:hAnsi="Arial" w:cs="Arial"/>
          <w:sz w:val="28"/>
          <w:szCs w:val="28"/>
          <w:lang w:val="en-US"/>
        </w:rPr>
        <w:t xml:space="preserve">. [online] https://www.eyalliance.org.uk/. Available at: </w:t>
      </w:r>
      <w:hyperlink r:id="rId24" w:history="1">
        <w:r w:rsidRPr="003A4504">
          <w:rPr>
            <w:rFonts w:ascii="Arial" w:hAnsi="Arial" w:cs="Arial"/>
            <w:sz w:val="28"/>
            <w:szCs w:val="28"/>
            <w:lang w:val="en-US"/>
          </w:rPr>
          <w:t>https://www.eyalliance.org.uk/hello-big-school-managing-transitions#:~:text=Partnerships%20are%20key&amp;text=Strong%20bonds%20have%20been%20formed</w:t>
        </w:r>
      </w:hyperlink>
      <w:r w:rsidRPr="003A4504">
        <w:rPr>
          <w:rFonts w:ascii="Arial" w:hAnsi="Arial" w:cs="Arial"/>
          <w:sz w:val="28"/>
          <w:szCs w:val="28"/>
          <w:lang w:val="en-US"/>
        </w:rPr>
        <w:t>.</w:t>
      </w:r>
    </w:p>
    <w:p w14:paraId="75BEEC5F"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Rodd, J. (2013). </w:t>
      </w:r>
      <w:r w:rsidRPr="003A4504">
        <w:rPr>
          <w:rFonts w:ascii="Arial" w:hAnsi="Arial" w:cs="Arial"/>
          <w:i/>
          <w:iCs/>
          <w:sz w:val="28"/>
          <w:szCs w:val="28"/>
          <w:lang w:val="en-US"/>
        </w:rPr>
        <w:t xml:space="preserve">LEADERSHIP IN EARLY </w:t>
      </w:r>
      <w:proofErr w:type="gramStart"/>
      <w:r w:rsidRPr="003A4504">
        <w:rPr>
          <w:rFonts w:ascii="Arial" w:hAnsi="Arial" w:cs="Arial"/>
          <w:i/>
          <w:iCs/>
          <w:sz w:val="28"/>
          <w:szCs w:val="28"/>
          <w:lang w:val="en-US"/>
        </w:rPr>
        <w:t>CHILDHOOD :</w:t>
      </w:r>
      <w:proofErr w:type="gramEnd"/>
      <w:r w:rsidRPr="003A4504">
        <w:rPr>
          <w:rFonts w:ascii="Arial" w:hAnsi="Arial" w:cs="Arial"/>
          <w:i/>
          <w:iCs/>
          <w:sz w:val="28"/>
          <w:szCs w:val="28"/>
          <w:lang w:val="en-US"/>
        </w:rPr>
        <w:t xml:space="preserve"> the pathway to professionalism.</w:t>
      </w:r>
      <w:r w:rsidRPr="003A4504">
        <w:rPr>
          <w:rFonts w:ascii="Arial" w:hAnsi="Arial" w:cs="Arial"/>
          <w:sz w:val="28"/>
          <w:szCs w:val="28"/>
          <w:lang w:val="en-US"/>
        </w:rPr>
        <w:t xml:space="preserve"> S.L.: Routledge.</w:t>
      </w:r>
    </w:p>
    <w:p w14:paraId="387EF1F9"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Save The Children (2011). </w:t>
      </w:r>
      <w:r w:rsidRPr="003A4504">
        <w:rPr>
          <w:rFonts w:ascii="Arial" w:hAnsi="Arial" w:cs="Arial"/>
          <w:i/>
          <w:iCs/>
          <w:sz w:val="28"/>
          <w:szCs w:val="28"/>
          <w:lang w:val="en-US"/>
        </w:rPr>
        <w:t>UN convention on the rights of the child</w:t>
      </w:r>
      <w:r w:rsidRPr="003A4504">
        <w:rPr>
          <w:rFonts w:ascii="Arial" w:hAnsi="Arial" w:cs="Arial"/>
          <w:sz w:val="28"/>
          <w:szCs w:val="28"/>
          <w:lang w:val="en-US"/>
        </w:rPr>
        <w:t xml:space="preserve">. [online] Savethechildren.org.uk. Available at: </w:t>
      </w:r>
      <w:hyperlink r:id="rId25" w:history="1">
        <w:r w:rsidRPr="003A4504">
          <w:rPr>
            <w:rFonts w:ascii="Arial" w:hAnsi="Arial" w:cs="Arial"/>
            <w:sz w:val="28"/>
            <w:szCs w:val="28"/>
            <w:lang w:val="en-US"/>
          </w:rPr>
          <w:t>https://www.savethechildren.org.uk/what-we-do/childrens-rights/united-nations-convention-of-the-rights-of-the-child</w:t>
        </w:r>
      </w:hyperlink>
      <w:r w:rsidRPr="003A4504">
        <w:rPr>
          <w:rFonts w:ascii="Arial" w:hAnsi="Arial" w:cs="Arial"/>
          <w:sz w:val="28"/>
          <w:szCs w:val="28"/>
          <w:lang w:val="en-US"/>
        </w:rPr>
        <w:t>.</w:t>
      </w:r>
    </w:p>
    <w:p w14:paraId="7915A1DD"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Smidt, S. (2013). </w:t>
      </w:r>
      <w:r w:rsidRPr="003A4504">
        <w:rPr>
          <w:rFonts w:ascii="Arial" w:hAnsi="Arial" w:cs="Arial"/>
          <w:i/>
          <w:iCs/>
          <w:sz w:val="28"/>
          <w:szCs w:val="28"/>
          <w:lang w:val="en-US"/>
        </w:rPr>
        <w:t xml:space="preserve">The developing child in the 21st </w:t>
      </w:r>
      <w:proofErr w:type="gramStart"/>
      <w:r w:rsidRPr="003A4504">
        <w:rPr>
          <w:rFonts w:ascii="Arial" w:hAnsi="Arial" w:cs="Arial"/>
          <w:i/>
          <w:iCs/>
          <w:sz w:val="28"/>
          <w:szCs w:val="28"/>
          <w:lang w:val="en-US"/>
        </w:rPr>
        <w:t>century :</w:t>
      </w:r>
      <w:proofErr w:type="gramEnd"/>
      <w:r w:rsidRPr="003A4504">
        <w:rPr>
          <w:rFonts w:ascii="Arial" w:hAnsi="Arial" w:cs="Arial"/>
          <w:i/>
          <w:iCs/>
          <w:sz w:val="28"/>
          <w:szCs w:val="28"/>
          <w:lang w:val="en-US"/>
        </w:rPr>
        <w:t xml:space="preserve"> a global perspective on child development</w:t>
      </w:r>
      <w:r w:rsidRPr="003A4504">
        <w:rPr>
          <w:rFonts w:ascii="Arial" w:hAnsi="Arial" w:cs="Arial"/>
          <w:sz w:val="28"/>
          <w:szCs w:val="28"/>
          <w:lang w:val="en-US"/>
        </w:rPr>
        <w:t>. London: Routledge.</w:t>
      </w:r>
    </w:p>
    <w:p w14:paraId="20252BF1" w14:textId="77777777" w:rsidR="003A4504" w:rsidRDefault="003A4504" w:rsidP="003A4504">
      <w:pPr>
        <w:widowControl w:val="0"/>
        <w:autoSpaceDE w:val="0"/>
        <w:autoSpaceDN w:val="0"/>
        <w:adjustRightInd w:val="0"/>
        <w:spacing w:after="240" w:line="360" w:lineRule="auto"/>
        <w:rPr>
          <w:rFonts w:ascii="Arial" w:hAnsi="Arial" w:cs="Arial"/>
          <w:sz w:val="28"/>
          <w:szCs w:val="28"/>
          <w:lang w:val="en-US"/>
        </w:rPr>
      </w:pPr>
    </w:p>
    <w:p w14:paraId="0269586B" w14:textId="77777777" w:rsidR="003A4504" w:rsidRDefault="003A4504" w:rsidP="003A4504">
      <w:pPr>
        <w:widowControl w:val="0"/>
        <w:autoSpaceDE w:val="0"/>
        <w:autoSpaceDN w:val="0"/>
        <w:adjustRightInd w:val="0"/>
        <w:spacing w:after="240" w:line="360" w:lineRule="auto"/>
        <w:rPr>
          <w:rFonts w:ascii="Arial" w:hAnsi="Arial" w:cs="Arial"/>
          <w:sz w:val="28"/>
          <w:szCs w:val="28"/>
          <w:lang w:val="en-US"/>
        </w:rPr>
      </w:pPr>
    </w:p>
    <w:p w14:paraId="4DEF9545" w14:textId="4D138F32"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Thornton, L. and Brunton, P. (2014). </w:t>
      </w:r>
      <w:r w:rsidRPr="003A4504">
        <w:rPr>
          <w:rFonts w:ascii="Arial" w:hAnsi="Arial" w:cs="Arial"/>
          <w:i/>
          <w:iCs/>
          <w:sz w:val="28"/>
          <w:szCs w:val="28"/>
          <w:lang w:val="en-US"/>
        </w:rPr>
        <w:t>Bringing the Reggio approach to your early years practice</w:t>
      </w:r>
      <w:r w:rsidRPr="003A4504">
        <w:rPr>
          <w:rFonts w:ascii="Arial" w:hAnsi="Arial" w:cs="Arial"/>
          <w:sz w:val="28"/>
          <w:szCs w:val="28"/>
          <w:lang w:val="en-US"/>
        </w:rPr>
        <w:t>. 3rd ed. Abingdon, Oxon: Routledge.</w:t>
      </w:r>
    </w:p>
    <w:p w14:paraId="7B3E46D0"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Tovey, H. (2017). </w:t>
      </w:r>
      <w:r w:rsidRPr="003A4504">
        <w:rPr>
          <w:rFonts w:ascii="Arial" w:hAnsi="Arial" w:cs="Arial"/>
          <w:i/>
          <w:iCs/>
          <w:sz w:val="28"/>
          <w:szCs w:val="28"/>
          <w:lang w:val="en-US"/>
        </w:rPr>
        <w:t>Bringing the Froebel approach to your early years setting</w:t>
      </w:r>
      <w:r w:rsidRPr="003A4504">
        <w:rPr>
          <w:rFonts w:ascii="Arial" w:hAnsi="Arial" w:cs="Arial"/>
          <w:sz w:val="28"/>
          <w:szCs w:val="28"/>
          <w:lang w:val="en-US"/>
        </w:rPr>
        <w:t>. London: Routledge.</w:t>
      </w:r>
    </w:p>
    <w:p w14:paraId="1F2F9618" w14:textId="77777777" w:rsidR="003A4504" w:rsidRDefault="003A4504" w:rsidP="003A4504">
      <w:pPr>
        <w:widowControl w:val="0"/>
        <w:autoSpaceDE w:val="0"/>
        <w:autoSpaceDN w:val="0"/>
        <w:adjustRightInd w:val="0"/>
        <w:spacing w:after="240" w:line="360" w:lineRule="auto"/>
        <w:rPr>
          <w:rFonts w:ascii="Arial" w:hAnsi="Arial" w:cs="Arial"/>
          <w:sz w:val="28"/>
          <w:szCs w:val="28"/>
          <w:lang w:val="en-US"/>
        </w:rPr>
      </w:pPr>
      <w:proofErr w:type="spellStart"/>
      <w:r w:rsidRPr="003A4504">
        <w:rPr>
          <w:rFonts w:ascii="Arial" w:hAnsi="Arial" w:cs="Arial"/>
          <w:sz w:val="28"/>
          <w:szCs w:val="28"/>
          <w:lang w:val="en-US"/>
        </w:rPr>
        <w:t>Vecteezy</w:t>
      </w:r>
      <w:proofErr w:type="spellEnd"/>
      <w:r w:rsidRPr="003A4504">
        <w:rPr>
          <w:rFonts w:ascii="Arial" w:hAnsi="Arial" w:cs="Arial"/>
          <w:sz w:val="28"/>
          <w:szCs w:val="28"/>
          <w:lang w:val="en-US"/>
        </w:rPr>
        <w:t xml:space="preserve">. (n.d.). </w:t>
      </w:r>
      <w:r w:rsidRPr="003A4504">
        <w:rPr>
          <w:rFonts w:ascii="Arial" w:hAnsi="Arial" w:cs="Arial"/>
          <w:i/>
          <w:iCs/>
          <w:sz w:val="28"/>
          <w:szCs w:val="28"/>
          <w:lang w:val="en-US"/>
        </w:rPr>
        <w:t>Download Free Vectors, Clipart Graphics, Vector Art &amp; Design Templates</w:t>
      </w:r>
      <w:r w:rsidRPr="003A4504">
        <w:rPr>
          <w:rFonts w:ascii="Arial" w:hAnsi="Arial" w:cs="Arial"/>
          <w:sz w:val="28"/>
          <w:szCs w:val="28"/>
          <w:lang w:val="en-US"/>
        </w:rPr>
        <w:t xml:space="preserve">. [online] Available at: </w:t>
      </w:r>
      <w:hyperlink r:id="rId26" w:history="1">
        <w:r w:rsidRPr="003A4504">
          <w:rPr>
            <w:rFonts w:ascii="Arial" w:hAnsi="Arial" w:cs="Arial"/>
            <w:sz w:val="28"/>
            <w:szCs w:val="28"/>
            <w:lang w:val="en-US"/>
          </w:rPr>
          <w:t>https://www.vecteezy.com/free-vector/children-holding-hands</w:t>
        </w:r>
      </w:hyperlink>
      <w:r w:rsidRPr="003A4504">
        <w:rPr>
          <w:rFonts w:ascii="Arial" w:hAnsi="Arial" w:cs="Arial"/>
          <w:sz w:val="28"/>
          <w:szCs w:val="28"/>
          <w:lang w:val="en-US"/>
        </w:rPr>
        <w:t xml:space="preserve"> [Accessed 5 Jan. 2024].</w:t>
      </w:r>
    </w:p>
    <w:p w14:paraId="49B9D66C"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Welsh Government (2015). </w:t>
      </w:r>
      <w:r w:rsidRPr="003A4504">
        <w:rPr>
          <w:rFonts w:ascii="Arial" w:hAnsi="Arial" w:cs="Arial"/>
          <w:i/>
          <w:iCs/>
          <w:sz w:val="28"/>
          <w:szCs w:val="28"/>
          <w:lang w:val="en-US"/>
        </w:rPr>
        <w:t>Foundation Phase Framework Curriculum for Wales</w:t>
      </w:r>
      <w:r w:rsidRPr="003A4504">
        <w:rPr>
          <w:rFonts w:ascii="Arial" w:hAnsi="Arial" w:cs="Arial"/>
          <w:sz w:val="28"/>
          <w:szCs w:val="28"/>
          <w:lang w:val="en-US"/>
        </w:rPr>
        <w:t xml:space="preserve">. [online] Available at: </w:t>
      </w:r>
      <w:hyperlink r:id="rId27" w:history="1">
        <w:r w:rsidRPr="003A4504">
          <w:rPr>
            <w:rFonts w:ascii="Arial" w:hAnsi="Arial" w:cs="Arial"/>
            <w:sz w:val="28"/>
            <w:szCs w:val="28"/>
            <w:lang w:val="en-US"/>
          </w:rPr>
          <w:t>https://hwb.gov.wales/storage/d5d8e39c-b534-40cb-a3f5-7e2e126d8077/foundation-phase-framework.pdf</w:t>
        </w:r>
      </w:hyperlink>
      <w:r w:rsidRPr="003A4504">
        <w:rPr>
          <w:rFonts w:ascii="Arial" w:hAnsi="Arial" w:cs="Arial"/>
          <w:sz w:val="28"/>
          <w:szCs w:val="28"/>
          <w:lang w:val="en-US"/>
        </w:rPr>
        <w:t>.</w:t>
      </w:r>
    </w:p>
    <w:p w14:paraId="7963DAC7"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Welsh Government (2016). </w:t>
      </w:r>
      <w:r w:rsidRPr="003A4504">
        <w:rPr>
          <w:rFonts w:ascii="Arial" w:hAnsi="Arial" w:cs="Arial"/>
          <w:i/>
          <w:iCs/>
          <w:sz w:val="28"/>
          <w:szCs w:val="28"/>
          <w:lang w:val="en-US"/>
        </w:rPr>
        <w:t>National Minimum Standards for</w:t>
      </w:r>
      <w:r w:rsidRPr="003A4504">
        <w:rPr>
          <w:rFonts w:ascii="Arial" w:hAnsi="Arial" w:cs="Arial"/>
          <w:sz w:val="28"/>
          <w:szCs w:val="28"/>
          <w:lang w:val="en-US"/>
        </w:rPr>
        <w:t xml:space="preserve">. [online] Available at: </w:t>
      </w:r>
      <w:hyperlink r:id="rId28" w:history="1">
        <w:r w:rsidRPr="003A4504">
          <w:rPr>
            <w:rFonts w:ascii="Arial" w:hAnsi="Arial" w:cs="Arial"/>
            <w:sz w:val="28"/>
            <w:szCs w:val="28"/>
            <w:lang w:val="en-US"/>
          </w:rPr>
          <w:t>https://www.gov.wales/sites/default/files/publications/2023-11/national-minimum-standards-for-regulated-childcare_0.pdf</w:t>
        </w:r>
      </w:hyperlink>
      <w:r w:rsidRPr="003A4504">
        <w:rPr>
          <w:rFonts w:ascii="Arial" w:hAnsi="Arial" w:cs="Arial"/>
          <w:sz w:val="28"/>
          <w:szCs w:val="28"/>
          <w:lang w:val="en-US"/>
        </w:rPr>
        <w:t>.</w:t>
      </w:r>
    </w:p>
    <w:p w14:paraId="06CCF391"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Williams, J. (2020). </w:t>
      </w:r>
      <w:r w:rsidRPr="003A4504">
        <w:rPr>
          <w:rFonts w:ascii="Arial" w:hAnsi="Arial" w:cs="Arial"/>
          <w:i/>
          <w:iCs/>
          <w:sz w:val="28"/>
          <w:szCs w:val="28"/>
          <w:lang w:val="en-US"/>
        </w:rPr>
        <w:t>What is the Zone of Proximal Development?</w:t>
      </w:r>
      <w:r w:rsidRPr="003A4504">
        <w:rPr>
          <w:rFonts w:ascii="Arial" w:hAnsi="Arial" w:cs="Arial"/>
          <w:sz w:val="28"/>
          <w:szCs w:val="28"/>
          <w:lang w:val="en-US"/>
        </w:rPr>
        <w:t xml:space="preserve"> [online] Let’s Go Learn. Available at: </w:t>
      </w:r>
      <w:hyperlink r:id="rId29" w:history="1">
        <w:r w:rsidRPr="003A4504">
          <w:rPr>
            <w:rFonts w:ascii="Arial" w:hAnsi="Arial" w:cs="Arial"/>
            <w:sz w:val="28"/>
            <w:szCs w:val="28"/>
            <w:lang w:val="en-US"/>
          </w:rPr>
          <w:t>https://www.letsgolearn.com/reading-assessment/what-is-the-zone-of-proximal-development/</w:t>
        </w:r>
      </w:hyperlink>
      <w:r w:rsidRPr="003A4504">
        <w:rPr>
          <w:rFonts w:ascii="Arial" w:hAnsi="Arial" w:cs="Arial"/>
          <w:sz w:val="28"/>
          <w:szCs w:val="28"/>
          <w:lang w:val="en-US"/>
        </w:rPr>
        <w:t>.</w:t>
      </w:r>
    </w:p>
    <w:p w14:paraId="7FA8AB1C" w14:textId="77777777" w:rsidR="003A4504" w:rsidRPr="003A4504" w:rsidRDefault="003A4504" w:rsidP="003A4504">
      <w:pPr>
        <w:widowControl w:val="0"/>
        <w:autoSpaceDE w:val="0"/>
        <w:autoSpaceDN w:val="0"/>
        <w:adjustRightInd w:val="0"/>
        <w:spacing w:after="240" w:line="360" w:lineRule="auto"/>
        <w:rPr>
          <w:rFonts w:ascii="Arial" w:hAnsi="Arial" w:cs="Arial"/>
          <w:sz w:val="28"/>
          <w:szCs w:val="28"/>
          <w:lang w:val="en-US"/>
        </w:rPr>
      </w:pPr>
      <w:r w:rsidRPr="003A4504">
        <w:rPr>
          <w:rFonts w:ascii="Arial" w:hAnsi="Arial" w:cs="Arial"/>
          <w:sz w:val="28"/>
          <w:szCs w:val="28"/>
          <w:lang w:val="en-US"/>
        </w:rPr>
        <w:t xml:space="preserve">www.pengreen.org. (n.d.). Available at: </w:t>
      </w:r>
      <w:hyperlink r:id="rId30" w:history="1">
        <w:r w:rsidRPr="003A4504">
          <w:rPr>
            <w:rFonts w:ascii="Arial" w:hAnsi="Arial" w:cs="Arial"/>
            <w:sz w:val="28"/>
            <w:szCs w:val="28"/>
            <w:lang w:val="en-US"/>
          </w:rPr>
          <w:t>https://www.pengreen.org/early-years/</w:t>
        </w:r>
      </w:hyperlink>
      <w:r w:rsidRPr="003A4504">
        <w:rPr>
          <w:rFonts w:ascii="Arial" w:hAnsi="Arial" w:cs="Arial"/>
          <w:sz w:val="28"/>
          <w:szCs w:val="28"/>
          <w:lang w:val="en-US"/>
        </w:rPr>
        <w:t xml:space="preserve"> [Accessed 5 Jan. 2024].</w:t>
      </w:r>
    </w:p>
    <w:p w14:paraId="27A308B7" w14:textId="5C42DF5F" w:rsidR="00A93B22" w:rsidRPr="003A4504" w:rsidRDefault="00A93B22" w:rsidP="003A4504">
      <w:pPr>
        <w:widowControl w:val="0"/>
        <w:autoSpaceDE w:val="0"/>
        <w:autoSpaceDN w:val="0"/>
        <w:adjustRightInd w:val="0"/>
        <w:spacing w:after="240" w:line="360" w:lineRule="auto"/>
        <w:rPr>
          <w:rFonts w:ascii="Arial" w:hAnsi="Arial" w:cs="Arial"/>
          <w:sz w:val="28"/>
          <w:szCs w:val="28"/>
        </w:rPr>
      </w:pPr>
    </w:p>
    <w:sectPr w:rsidR="00A93B22" w:rsidRPr="003A4504" w:rsidSect="00287BF4">
      <w:headerReference w:type="default" r:id="rId31"/>
      <w:footerReference w:type="default" r:id="rId32"/>
      <w:pgSz w:w="11906" w:h="16838"/>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19CC6" w14:textId="77777777" w:rsidR="009974C7" w:rsidRDefault="009974C7" w:rsidP="00B62C20">
      <w:pPr>
        <w:spacing w:after="0" w:line="240" w:lineRule="auto"/>
      </w:pPr>
      <w:r>
        <w:separator/>
      </w:r>
    </w:p>
  </w:endnote>
  <w:endnote w:type="continuationSeparator" w:id="0">
    <w:p w14:paraId="1D06C3BD" w14:textId="77777777" w:rsidR="009974C7" w:rsidRDefault="009974C7" w:rsidP="00B62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bertus Extra Bold">
    <w:altName w:val="Calibri"/>
    <w:charset w:val="00"/>
    <w:family w:val="swiss"/>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2637025"/>
      <w:docPartObj>
        <w:docPartGallery w:val="Page Numbers (Bottom of Page)"/>
        <w:docPartUnique/>
      </w:docPartObj>
    </w:sdtPr>
    <w:sdtEndPr>
      <w:rPr>
        <w:noProof/>
      </w:rPr>
    </w:sdtEndPr>
    <w:sdtContent>
      <w:p w14:paraId="53BAB73B" w14:textId="5CB276C1" w:rsidR="00B62C20" w:rsidRDefault="00B62C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6F19D1" w14:textId="77777777" w:rsidR="00B62C20" w:rsidRDefault="00B62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FD83A" w14:textId="77777777" w:rsidR="009974C7" w:rsidRDefault="009974C7" w:rsidP="00B62C20">
      <w:pPr>
        <w:spacing w:after="0" w:line="240" w:lineRule="auto"/>
      </w:pPr>
      <w:r>
        <w:separator/>
      </w:r>
    </w:p>
  </w:footnote>
  <w:footnote w:type="continuationSeparator" w:id="0">
    <w:p w14:paraId="733CEF97" w14:textId="77777777" w:rsidR="009974C7" w:rsidRDefault="009974C7" w:rsidP="00B62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2B845" w14:textId="7FF7E736" w:rsidR="00B62C20" w:rsidRDefault="00B62C20">
    <w:pPr>
      <w:pStyle w:val="Header"/>
    </w:pPr>
    <w:r>
      <w:t>Student No. 2216694</w:t>
    </w:r>
    <w:r>
      <w:tab/>
    </w:r>
    <w:r>
      <w:ptab w:relativeTo="margin" w:alignment="center" w:leader="none"/>
    </w:r>
    <w:r>
      <w:t>Module No. ECEY4001/C</w:t>
    </w:r>
    <w:r>
      <w:ptab w:relativeTo="margin" w:alignment="right" w:leader="none"/>
    </w:r>
    <w:r>
      <w:t>Word Count</w:t>
    </w:r>
    <w:r w:rsidR="003A4504">
      <w:t>.2767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7E3C83"/>
    <w:multiLevelType w:val="hybridMultilevel"/>
    <w:tmpl w:val="817E3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EB2384"/>
    <w:multiLevelType w:val="hybridMultilevel"/>
    <w:tmpl w:val="90E2A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5179654">
    <w:abstractNumId w:val="1"/>
  </w:num>
  <w:num w:numId="2" w16cid:durableId="291786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244DB"/>
    <w:rsid w:val="00000B5B"/>
    <w:rsid w:val="000902D0"/>
    <w:rsid w:val="000B0236"/>
    <w:rsid w:val="000C628B"/>
    <w:rsid w:val="000D7CE5"/>
    <w:rsid w:val="000F496E"/>
    <w:rsid w:val="00161810"/>
    <w:rsid w:val="00175216"/>
    <w:rsid w:val="00180984"/>
    <w:rsid w:val="001C462C"/>
    <w:rsid w:val="001D476E"/>
    <w:rsid w:val="001E722D"/>
    <w:rsid w:val="00223CB6"/>
    <w:rsid w:val="00254F39"/>
    <w:rsid w:val="00263993"/>
    <w:rsid w:val="00274CC0"/>
    <w:rsid w:val="00287BF4"/>
    <w:rsid w:val="002A1CDA"/>
    <w:rsid w:val="002B49C4"/>
    <w:rsid w:val="0033045B"/>
    <w:rsid w:val="0037236F"/>
    <w:rsid w:val="003A4504"/>
    <w:rsid w:val="003D62F2"/>
    <w:rsid w:val="0044424E"/>
    <w:rsid w:val="00482206"/>
    <w:rsid w:val="004C0245"/>
    <w:rsid w:val="004F513D"/>
    <w:rsid w:val="00517155"/>
    <w:rsid w:val="005244DB"/>
    <w:rsid w:val="00524F4C"/>
    <w:rsid w:val="00535554"/>
    <w:rsid w:val="00541216"/>
    <w:rsid w:val="005419A4"/>
    <w:rsid w:val="00556294"/>
    <w:rsid w:val="00597DF3"/>
    <w:rsid w:val="005A0CFE"/>
    <w:rsid w:val="005C335B"/>
    <w:rsid w:val="005E57A2"/>
    <w:rsid w:val="00631015"/>
    <w:rsid w:val="006321FB"/>
    <w:rsid w:val="00674A88"/>
    <w:rsid w:val="006A7FF6"/>
    <w:rsid w:val="006F0ABA"/>
    <w:rsid w:val="00740A65"/>
    <w:rsid w:val="00741B60"/>
    <w:rsid w:val="00745365"/>
    <w:rsid w:val="0076424C"/>
    <w:rsid w:val="007B0317"/>
    <w:rsid w:val="007D0B94"/>
    <w:rsid w:val="007E258D"/>
    <w:rsid w:val="00806388"/>
    <w:rsid w:val="008142C3"/>
    <w:rsid w:val="008444C6"/>
    <w:rsid w:val="00871423"/>
    <w:rsid w:val="0089005B"/>
    <w:rsid w:val="008D5D6D"/>
    <w:rsid w:val="008D7860"/>
    <w:rsid w:val="008D7D92"/>
    <w:rsid w:val="008F0635"/>
    <w:rsid w:val="00923BCE"/>
    <w:rsid w:val="00932441"/>
    <w:rsid w:val="00943D79"/>
    <w:rsid w:val="00966203"/>
    <w:rsid w:val="00986885"/>
    <w:rsid w:val="009974C7"/>
    <w:rsid w:val="009A09EE"/>
    <w:rsid w:val="009B1397"/>
    <w:rsid w:val="009D7D05"/>
    <w:rsid w:val="009E65EB"/>
    <w:rsid w:val="00A12F27"/>
    <w:rsid w:val="00A40F56"/>
    <w:rsid w:val="00A81778"/>
    <w:rsid w:val="00A85687"/>
    <w:rsid w:val="00A93B22"/>
    <w:rsid w:val="00AA33EE"/>
    <w:rsid w:val="00AA4568"/>
    <w:rsid w:val="00AD22CE"/>
    <w:rsid w:val="00AD7B7C"/>
    <w:rsid w:val="00AF2CE3"/>
    <w:rsid w:val="00AF6D0B"/>
    <w:rsid w:val="00AF6FA8"/>
    <w:rsid w:val="00B2268A"/>
    <w:rsid w:val="00B62C20"/>
    <w:rsid w:val="00B802B1"/>
    <w:rsid w:val="00B81EEB"/>
    <w:rsid w:val="00B83994"/>
    <w:rsid w:val="00B95445"/>
    <w:rsid w:val="00BA4180"/>
    <w:rsid w:val="00BB25DA"/>
    <w:rsid w:val="00C126E7"/>
    <w:rsid w:val="00C35E0E"/>
    <w:rsid w:val="00C675C5"/>
    <w:rsid w:val="00C709CE"/>
    <w:rsid w:val="00C75EC1"/>
    <w:rsid w:val="00CA7070"/>
    <w:rsid w:val="00CE3050"/>
    <w:rsid w:val="00D401D1"/>
    <w:rsid w:val="00D427A9"/>
    <w:rsid w:val="00D50052"/>
    <w:rsid w:val="00D51D00"/>
    <w:rsid w:val="00D60F00"/>
    <w:rsid w:val="00D640A2"/>
    <w:rsid w:val="00D843B2"/>
    <w:rsid w:val="00DF439D"/>
    <w:rsid w:val="00E90143"/>
    <w:rsid w:val="00EB48F6"/>
    <w:rsid w:val="00EF16CD"/>
    <w:rsid w:val="00F02FDA"/>
    <w:rsid w:val="00F94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C9B65"/>
  <w15:docId w15:val="{18C2CE0E-198D-4444-A9B0-BF9F0BAC4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44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44DB"/>
    <w:rPr>
      <w:rFonts w:ascii="Tahoma" w:hAnsi="Tahoma" w:cs="Tahoma"/>
      <w:sz w:val="16"/>
      <w:szCs w:val="16"/>
    </w:rPr>
  </w:style>
  <w:style w:type="character" w:styleId="Hyperlink">
    <w:name w:val="Hyperlink"/>
    <w:basedOn w:val="DefaultParagraphFont"/>
    <w:uiPriority w:val="99"/>
    <w:unhideWhenUsed/>
    <w:rsid w:val="005244DB"/>
    <w:rPr>
      <w:color w:val="0000FF" w:themeColor="hyperlink"/>
      <w:u w:val="single"/>
    </w:rPr>
  </w:style>
  <w:style w:type="paragraph" w:styleId="ListParagraph">
    <w:name w:val="List Paragraph"/>
    <w:basedOn w:val="Normal"/>
    <w:uiPriority w:val="34"/>
    <w:qFormat/>
    <w:rsid w:val="00EF16CD"/>
    <w:pPr>
      <w:ind w:left="720"/>
      <w:contextualSpacing/>
    </w:pPr>
  </w:style>
  <w:style w:type="character" w:styleId="FollowedHyperlink">
    <w:name w:val="FollowedHyperlink"/>
    <w:basedOn w:val="DefaultParagraphFont"/>
    <w:uiPriority w:val="99"/>
    <w:semiHidden/>
    <w:unhideWhenUsed/>
    <w:rsid w:val="005C335B"/>
    <w:rPr>
      <w:color w:val="800080" w:themeColor="followedHyperlink"/>
      <w:u w:val="single"/>
    </w:rPr>
  </w:style>
  <w:style w:type="character" w:styleId="UnresolvedMention">
    <w:name w:val="Unresolved Mention"/>
    <w:basedOn w:val="DefaultParagraphFont"/>
    <w:uiPriority w:val="99"/>
    <w:semiHidden/>
    <w:unhideWhenUsed/>
    <w:rsid w:val="00EB48F6"/>
    <w:rPr>
      <w:color w:val="605E5C"/>
      <w:shd w:val="clear" w:color="auto" w:fill="E1DFDD"/>
    </w:rPr>
  </w:style>
  <w:style w:type="paragraph" w:styleId="Header">
    <w:name w:val="header"/>
    <w:basedOn w:val="Normal"/>
    <w:link w:val="HeaderChar"/>
    <w:uiPriority w:val="99"/>
    <w:unhideWhenUsed/>
    <w:rsid w:val="00B62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C20"/>
  </w:style>
  <w:style w:type="paragraph" w:styleId="Footer">
    <w:name w:val="footer"/>
    <w:basedOn w:val="Normal"/>
    <w:link w:val="FooterChar"/>
    <w:uiPriority w:val="99"/>
    <w:unhideWhenUsed/>
    <w:rsid w:val="00B62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4610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8369391211009698" TargetMode="External"/><Relationship Id="rId18" Type="http://schemas.openxmlformats.org/officeDocument/2006/relationships/hyperlink" Target="https://help-for-early-years-providers.education.gov.uk/get-help-to-improve-your-practice/meeting-the-needs-of-all-children#:~:text=It%20is%20crucial%20that%20settings" TargetMode="External"/><Relationship Id="rId26" Type="http://schemas.openxmlformats.org/officeDocument/2006/relationships/hyperlink" Target="https://www.vecteezy.com/free-vector/children-holding-hands" TargetMode="External"/><Relationship Id="rId3" Type="http://schemas.openxmlformats.org/officeDocument/2006/relationships/settings" Target="settings.xml"/><Relationship Id="rId21" Type="http://schemas.openxmlformats.org/officeDocument/2006/relationships/hyperlink" Target="https://www.structural-learning.com/post/bowlbys-attachment-theory#:~:text=Bowlby"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rotel.pressbooks.pub/whole-child/chapter/ecological-theory-2/" TargetMode="External"/><Relationship Id="rId17" Type="http://schemas.openxmlformats.org/officeDocument/2006/relationships/hyperlink" Target="https://www.gov.wales/sites/default/files/publications/2019-07/flying-start-transition-guidance-for-professionals.pdf" TargetMode="External"/><Relationship Id="rId25" Type="http://schemas.openxmlformats.org/officeDocument/2006/relationships/hyperlink" Target="https://www.savethechildren.org.uk/what-we-do/childrens-rights/united-nations-convention-of-the-rights-of-the-child"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irthto5matters.org.uk/transitions/#:~:text=Transitions%20include%20not%20just%20movements" TargetMode="External"/><Relationship Id="rId20" Type="http://schemas.openxmlformats.org/officeDocument/2006/relationships/hyperlink" Target="https://www.structural-learning.com/post/the-zone-of-proximal-development-a-teachers-guide" TargetMode="External"/><Relationship Id="rId29" Type="http://schemas.openxmlformats.org/officeDocument/2006/relationships/hyperlink" Target="https://www.letsgolearn.com/reading-assessment/what-is-the-zone-of-proximal-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yalliance.org.uk/hello-big-school-managing-transitions#:~:text=Partnerships%20are%20key&amp;text=Strong%20bonds%20have%20been%20formed"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arlyyearsmatters.co.uk/eyfs/positive-relationships/transitions/" TargetMode="External"/><Relationship Id="rId23" Type="http://schemas.openxmlformats.org/officeDocument/2006/relationships/hyperlink" Target="https://practicalpie.com/maslows-hierarchy-of-needs/" TargetMode="External"/><Relationship Id="rId28" Type="http://schemas.openxmlformats.org/officeDocument/2006/relationships/hyperlink" Target="https://www.gov.wales/sites/default/files/publications/2023-11/national-minimum-standards-for-regulated-childcare_0.pdf" TargetMode="External"/><Relationship Id="rId10" Type="http://schemas.openxmlformats.org/officeDocument/2006/relationships/image" Target="media/image3.png"/><Relationship Id="rId19" Type="http://schemas.openxmlformats.org/officeDocument/2006/relationships/hyperlink" Target="https://www.simplypsychology.org/Bronfenbrenner.html"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tsgolearn.com/reading-assessment/what-is-the-zone-of-proximal-development/" TargetMode="External"/><Relationship Id="rId14" Type="http://schemas.openxmlformats.org/officeDocument/2006/relationships/hyperlink" Target="https://www.earlyyearseducator.co.uk/features/article/hierarchy-of-needs-the-marvellous-maslow#:~:text=Let%20us%20have%20a%20look" TargetMode="External"/><Relationship Id="rId22" Type="http://schemas.openxmlformats.org/officeDocument/2006/relationships/hyperlink" Target="https://www.teachearlyyears.com/a-unique-child/view/supporting-transitions-in-the-early-years" TargetMode="External"/><Relationship Id="rId27" Type="http://schemas.openxmlformats.org/officeDocument/2006/relationships/hyperlink" Target="https://hwb.gov.wales/storage/d5d8e39c-b534-40cb-a3f5-7e2e126d8077/foundation-phase-framework.pdf" TargetMode="External"/><Relationship Id="rId30" Type="http://schemas.openxmlformats.org/officeDocument/2006/relationships/hyperlink" Target="https://www.pengreen.org/early-year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16</Pages>
  <Words>3844</Words>
  <Characters>21913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Gill</dc:creator>
  <cp:lastModifiedBy>Lindsey Edwards (2216694)</cp:lastModifiedBy>
  <cp:revision>2</cp:revision>
  <dcterms:created xsi:type="dcterms:W3CDTF">2024-01-05T20:10:00Z</dcterms:created>
  <dcterms:modified xsi:type="dcterms:W3CDTF">2024-01-05T20:10:00Z</dcterms:modified>
</cp:coreProperties>
</file>