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3B01F28">
      <w:pPr>
        <w:pStyle w:val="13"/>
        <w:jc w:val="left"/>
      </w:pPr>
      <w:bookmarkStart w:id="0" w:name="_7fu2nh2qbihw" w:colFirst="0" w:colLast="0"/>
      <w:bookmarkEnd w:id="0"/>
      <w:bookmarkStart w:id="1" w:name="_h21dqsvp32w" w:colFirst="0" w:colLast="0"/>
      <w:bookmarkEnd w:id="1"/>
      <w:bookmarkStart w:id="2" w:name="_ghiuvmfz5rre" w:colFirst="0" w:colLast="0"/>
      <w:bookmarkEnd w:id="2"/>
    </w:p>
    <w:p w14:paraId="66A7F514">
      <w:pPr>
        <w:pStyle w:val="13"/>
      </w:pPr>
      <w:bookmarkStart w:id="3" w:name="_m0h22ci7r82m" w:colFirst="0" w:colLast="0"/>
      <w:bookmarkEnd w:id="3"/>
      <w:r>
        <w:drawing>
          <wp:inline distT="114300" distB="114300" distL="114300" distR="114300">
            <wp:extent cx="3581400" cy="12954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referRelativeResize="0"/>
                  </pic:nvPicPr>
                  <pic:blipFill>
                    <a:blip r:embed="rId10"/>
                    <a:srcRect/>
                    <a:stretch>
                      <a:fillRect/>
                    </a:stretch>
                  </pic:blipFill>
                  <pic:spPr>
                    <a:xfrm>
                      <a:off x="0" y="0"/>
                      <a:ext cx="3581400" cy="1295400"/>
                    </a:xfrm>
                    <a:prstGeom prst="rect">
                      <a:avLst/>
                    </a:prstGeom>
                  </pic:spPr>
                </pic:pic>
              </a:graphicData>
            </a:graphic>
          </wp:inline>
        </w:drawing>
      </w:r>
    </w:p>
    <w:p w14:paraId="5471FF45">
      <w:pPr>
        <w:pStyle w:val="13"/>
      </w:pPr>
      <w:bookmarkStart w:id="4" w:name="_p3fiyfdrd9vr" w:colFirst="0" w:colLast="0"/>
      <w:bookmarkEnd w:id="4"/>
    </w:p>
    <w:p w14:paraId="345ACF56">
      <w:pPr>
        <w:pStyle w:val="13"/>
      </w:pPr>
      <w:bookmarkStart w:id="5" w:name="_52j36njrp20u" w:colFirst="0" w:colLast="0"/>
      <w:bookmarkEnd w:id="5"/>
      <w:bookmarkStart w:id="76" w:name="_GoBack"/>
      <w:bookmarkEnd w:id="76"/>
    </w:p>
    <w:p w14:paraId="5B0F247E">
      <w:pPr>
        <w:pStyle w:val="13"/>
      </w:pPr>
      <w:bookmarkStart w:id="6" w:name="_751hseav7vm5" w:colFirst="0" w:colLast="0"/>
      <w:bookmarkEnd w:id="6"/>
    </w:p>
    <w:p w14:paraId="6AB982F9">
      <w:pPr>
        <w:pStyle w:val="13"/>
        <w:spacing w:after="240"/>
      </w:pPr>
      <w:r>
        <w:t>MODULE CODE: ACHA 7013</w:t>
      </w:r>
    </w:p>
    <w:p w14:paraId="431315D6">
      <w:pPr>
        <w:pStyle w:val="13"/>
        <w:spacing w:after="240"/>
      </w:pPr>
      <w:r>
        <w:t>MODULE NAME: LEAN SIX SIGMA</w:t>
      </w:r>
    </w:p>
    <w:p w14:paraId="0098C9E8">
      <w:pPr>
        <w:pStyle w:val="13"/>
        <w:spacing w:after="240"/>
      </w:pPr>
      <w:r>
        <w:t>ASSIGNMENT TITLE: CARRYING OUT LEAN SIX-SIGMA EXERCISES</w:t>
      </w:r>
    </w:p>
    <w:p w14:paraId="54FF7ED2"/>
    <w:p w14:paraId="56B9E73E"/>
    <w:p w14:paraId="10D384AD"/>
    <w:p w14:paraId="1CB829A2">
      <w:pPr>
        <w:pStyle w:val="13"/>
        <w:spacing w:after="240"/>
      </w:pPr>
      <w:r>
        <w:t xml:space="preserve">STUDENT NAME: </w:t>
      </w:r>
      <w:r>
        <w:rPr>
          <w:rFonts w:hint="default"/>
        </w:rPr>
        <w:t>:</w:t>
      </w:r>
      <w:r>
        <w:rPr>
          <w:rFonts w:hint="default"/>
          <w:lang w:val="en-GB"/>
        </w:rPr>
        <w:t xml:space="preserve">  </w:t>
      </w:r>
      <w:r>
        <w:rPr>
          <w:rFonts w:hint="default"/>
        </w:rPr>
        <w:t xml:space="preserve">Aminur Islam Tonmoy </w:t>
      </w:r>
    </w:p>
    <w:p w14:paraId="1AD0E4D8">
      <w:pPr>
        <w:pStyle w:val="13"/>
        <w:spacing w:after="240"/>
      </w:pPr>
      <w:r>
        <w:t>STUDENT ID:</w:t>
      </w:r>
      <w:r>
        <w:rPr>
          <w:rFonts w:hint="default"/>
          <w:lang w:val="en-GB"/>
        </w:rPr>
        <w:t xml:space="preserve"> 2522779</w:t>
      </w:r>
      <w:r>
        <w:br w:type="page"/>
      </w:r>
    </w:p>
    <w:p w14:paraId="5AE7FAB3">
      <w:pPr>
        <w:pStyle w:val="2"/>
        <w:jc w:val="center"/>
      </w:pPr>
      <w:bookmarkStart w:id="7" w:name="_Toc240149210"/>
      <w:r>
        <w:t>Executive Summary</w:t>
      </w:r>
      <w:bookmarkEnd w:id="7"/>
    </w:p>
    <w:p w14:paraId="108982C4">
      <w:r>
        <w:t>Three different approaches to waste reduction are strategically considered for warehousing, discrete textile manufacturing and continuous food production. Waste of physical movement and wasting time are precisely measured and clearly identified to reveal significant inefficiencies in the supply chain. To overcome the identified issues, standardised work procedure and advanced quality control system are strongly recommended. The planners are realistic in their acceptance of the implementation disruption of these facility changes in the short-term. So, through this process, financial sustainability is achieved over the long term when operational shortcomings and material damage are significantly reduced.</w:t>
      </w:r>
      <w:r>
        <w:br w:type="page"/>
      </w:r>
    </w:p>
    <w:sdt>
      <w:sdtPr>
        <w:rPr>
          <w:rFonts w:ascii="Times New Roman" w:hAnsi="Times New Roman" w:eastAsia="Times New Roman" w:cs="Times New Roman"/>
          <w:b w:val="0"/>
          <w:bCs w:val="0"/>
          <w:color w:val="auto"/>
          <w:sz w:val="24"/>
          <w:szCs w:val="24"/>
          <w:lang w:val="en-GB"/>
        </w:rPr>
        <w:id w:val="1416357659"/>
        <w:docPartObj>
          <w:docPartGallery w:val="Table of Contents"/>
          <w:docPartUnique/>
        </w:docPartObj>
      </w:sdtPr>
      <w:sdtEndPr>
        <w:rPr>
          <w:rFonts w:ascii="Times New Roman" w:hAnsi="Times New Roman" w:eastAsia="Times New Roman" w:cs="Times New Roman"/>
          <w:b w:val="0"/>
          <w:bCs w:val="0"/>
          <w:color w:val="auto"/>
          <w:sz w:val="24"/>
          <w:szCs w:val="24"/>
          <w:lang w:val="en-GB"/>
        </w:rPr>
      </w:sdtEndPr>
      <w:sdtContent>
        <w:p w14:paraId="066A5599">
          <w:pPr>
            <w:pStyle w:val="31"/>
            <w:spacing w:line="360" w:lineRule="auto"/>
            <w:jc w:val="center"/>
            <w:rPr>
              <w:rFonts w:ascii="Times New Roman" w:hAnsi="Times New Roman" w:cs="Times New Roman"/>
              <w:color w:val="000000" w:themeColor="text1"/>
              <w:lang w:val="en-GB"/>
              <w14:textFill>
                <w14:solidFill>
                  <w14:schemeClr w14:val="tx1"/>
                </w14:solidFill>
              </w14:textFill>
            </w:rPr>
          </w:pPr>
          <w:r>
            <w:rPr>
              <w:rFonts w:ascii="Times New Roman" w:hAnsi="Times New Roman" w:cs="Times New Roman"/>
              <w:color w:val="000000" w:themeColor="text1"/>
              <w:lang w:val="en-GB"/>
              <w14:textFill>
                <w14:solidFill>
                  <w14:schemeClr w14:val="tx1"/>
                </w14:solidFill>
              </w14:textFill>
            </w:rPr>
            <w:t>Table of Contents</w:t>
          </w:r>
        </w:p>
        <w:p w14:paraId="35A7A323">
          <w:pPr>
            <w:pStyle w:val="14"/>
            <w:tabs>
              <w:tab w:val="right" w:leader="dot" w:pos="9019"/>
            </w:tabs>
            <w:jc w:val="both"/>
            <w:rPr>
              <w:rFonts w:ascii="Times New Roman" w:hAnsi="Times New Roman" w:eastAsiaTheme="minorEastAsia"/>
              <w:b w:val="0"/>
              <w:bCs w:val="0"/>
              <w:i w:val="0"/>
              <w:iCs w:val="0"/>
              <w:kern w:val="2"/>
              <w:lang w:val="en-IN" w:eastAsia="en-IN"/>
              <w14:ligatures w14:val="standardContextual"/>
            </w:rPr>
          </w:pPr>
          <w:r>
            <w:rPr>
              <w:rFonts w:ascii="Times New Roman" w:hAnsi="Times New Roman"/>
              <w:b w:val="0"/>
              <w:bCs w:val="0"/>
              <w:i w:val="0"/>
              <w:iCs w:val="0"/>
            </w:rPr>
            <w:fldChar w:fldCharType="begin"/>
          </w:r>
          <w:r>
            <w:rPr>
              <w:rFonts w:ascii="Times New Roman" w:hAnsi="Times New Roman"/>
              <w:b w:val="0"/>
              <w:bCs w:val="0"/>
              <w:i w:val="0"/>
              <w:iCs w:val="0"/>
            </w:rPr>
            <w:instrText xml:space="preserve"> TOC \o "1-3" \h \z \u </w:instrText>
          </w:r>
          <w:r>
            <w:rPr>
              <w:rFonts w:ascii="Times New Roman" w:hAnsi="Times New Roman"/>
              <w:b w:val="0"/>
              <w:bCs w:val="0"/>
              <w:i w:val="0"/>
              <w:iCs w:val="0"/>
            </w:rPr>
            <w:fldChar w:fldCharType="separate"/>
          </w:r>
          <w:r>
            <w:fldChar w:fldCharType="begin"/>
          </w:r>
          <w:r>
            <w:instrText xml:space="preserve"> HYPERLINK \l "_Toc240149210" </w:instrText>
          </w:r>
          <w:r>
            <w:fldChar w:fldCharType="separate"/>
          </w:r>
          <w:r>
            <w:rPr>
              <w:rStyle w:val="10"/>
              <w:rFonts w:ascii="Times New Roman" w:hAnsi="Times New Roman"/>
              <w:b w:val="0"/>
              <w:bCs w:val="0"/>
              <w:i w:val="0"/>
              <w:iCs w:val="0"/>
            </w:rPr>
            <w:t>Executive Summary</w:t>
          </w:r>
          <w:r>
            <w:rPr>
              <w:rFonts w:ascii="Times New Roman" w:hAnsi="Times New Roman"/>
              <w:b w:val="0"/>
              <w:bCs w:val="0"/>
              <w:i w:val="0"/>
              <w:iCs w:val="0"/>
            </w:rPr>
            <w:tab/>
          </w:r>
          <w:r>
            <w:rPr>
              <w:rFonts w:ascii="Times New Roman" w:hAnsi="Times New Roman"/>
              <w:b w:val="0"/>
              <w:bCs w:val="0"/>
              <w:i w:val="0"/>
              <w:iCs w:val="0"/>
            </w:rPr>
            <w:fldChar w:fldCharType="begin"/>
          </w:r>
          <w:r>
            <w:rPr>
              <w:rFonts w:ascii="Times New Roman" w:hAnsi="Times New Roman"/>
              <w:b w:val="0"/>
              <w:bCs w:val="0"/>
              <w:i w:val="0"/>
              <w:iCs w:val="0"/>
            </w:rPr>
            <w:instrText xml:space="preserve"> PAGEREF _Toc240149210 \h </w:instrText>
          </w:r>
          <w:r>
            <w:rPr>
              <w:rFonts w:ascii="Times New Roman" w:hAnsi="Times New Roman"/>
              <w:b w:val="0"/>
              <w:bCs w:val="0"/>
              <w:i w:val="0"/>
              <w:iCs w:val="0"/>
            </w:rPr>
            <w:fldChar w:fldCharType="separate"/>
          </w:r>
          <w:r>
            <w:rPr>
              <w:rFonts w:ascii="Times New Roman" w:hAnsi="Times New Roman"/>
              <w:b w:val="0"/>
              <w:bCs w:val="0"/>
              <w:i w:val="0"/>
              <w:iCs w:val="0"/>
            </w:rPr>
            <w:t>2</w:t>
          </w:r>
          <w:r>
            <w:rPr>
              <w:rFonts w:ascii="Times New Roman" w:hAnsi="Times New Roman"/>
              <w:b w:val="0"/>
              <w:bCs w:val="0"/>
              <w:i w:val="0"/>
              <w:iCs w:val="0"/>
            </w:rPr>
            <w:fldChar w:fldCharType="end"/>
          </w:r>
          <w:r>
            <w:rPr>
              <w:rFonts w:ascii="Times New Roman" w:hAnsi="Times New Roman"/>
              <w:b w:val="0"/>
              <w:bCs w:val="0"/>
              <w:i w:val="0"/>
              <w:iCs w:val="0"/>
            </w:rPr>
            <w:fldChar w:fldCharType="end"/>
          </w:r>
        </w:p>
        <w:p w14:paraId="7B2A49EE">
          <w:pPr>
            <w:pStyle w:val="14"/>
            <w:tabs>
              <w:tab w:val="right" w:leader="dot" w:pos="9019"/>
            </w:tabs>
            <w:jc w:val="both"/>
            <w:rPr>
              <w:rFonts w:ascii="Times New Roman" w:hAnsi="Times New Roman" w:eastAsiaTheme="minorEastAsia"/>
              <w:b w:val="0"/>
              <w:bCs w:val="0"/>
              <w:i w:val="0"/>
              <w:iCs w:val="0"/>
              <w:kern w:val="2"/>
              <w:lang w:val="en-IN" w:eastAsia="en-IN"/>
              <w14:ligatures w14:val="standardContextual"/>
            </w:rPr>
          </w:pPr>
          <w:r>
            <w:fldChar w:fldCharType="begin"/>
          </w:r>
          <w:r>
            <w:instrText xml:space="preserve"> HYPERLINK \l "_Toc240149211" </w:instrText>
          </w:r>
          <w:r>
            <w:fldChar w:fldCharType="separate"/>
          </w:r>
          <w:r>
            <w:rPr>
              <w:rStyle w:val="10"/>
              <w:rFonts w:ascii="Times New Roman" w:hAnsi="Times New Roman"/>
              <w:b w:val="0"/>
              <w:bCs w:val="0"/>
              <w:i w:val="0"/>
              <w:iCs w:val="0"/>
            </w:rPr>
            <w:t>Introduction</w:t>
          </w:r>
          <w:r>
            <w:rPr>
              <w:rFonts w:ascii="Times New Roman" w:hAnsi="Times New Roman"/>
              <w:b w:val="0"/>
              <w:bCs w:val="0"/>
              <w:i w:val="0"/>
              <w:iCs w:val="0"/>
            </w:rPr>
            <w:tab/>
          </w:r>
          <w:r>
            <w:rPr>
              <w:rFonts w:ascii="Times New Roman" w:hAnsi="Times New Roman"/>
              <w:b w:val="0"/>
              <w:bCs w:val="0"/>
              <w:i w:val="0"/>
              <w:iCs w:val="0"/>
            </w:rPr>
            <w:fldChar w:fldCharType="begin"/>
          </w:r>
          <w:r>
            <w:rPr>
              <w:rFonts w:ascii="Times New Roman" w:hAnsi="Times New Roman"/>
              <w:b w:val="0"/>
              <w:bCs w:val="0"/>
              <w:i w:val="0"/>
              <w:iCs w:val="0"/>
            </w:rPr>
            <w:instrText xml:space="preserve"> PAGEREF _Toc240149211 \h </w:instrText>
          </w:r>
          <w:r>
            <w:rPr>
              <w:rFonts w:ascii="Times New Roman" w:hAnsi="Times New Roman"/>
              <w:b w:val="0"/>
              <w:bCs w:val="0"/>
              <w:i w:val="0"/>
              <w:iCs w:val="0"/>
            </w:rPr>
            <w:fldChar w:fldCharType="separate"/>
          </w:r>
          <w:r>
            <w:rPr>
              <w:rFonts w:ascii="Times New Roman" w:hAnsi="Times New Roman"/>
              <w:b w:val="0"/>
              <w:bCs w:val="0"/>
              <w:i w:val="0"/>
              <w:iCs w:val="0"/>
            </w:rPr>
            <w:t>7</w:t>
          </w:r>
          <w:r>
            <w:rPr>
              <w:rFonts w:ascii="Times New Roman" w:hAnsi="Times New Roman"/>
              <w:b w:val="0"/>
              <w:bCs w:val="0"/>
              <w:i w:val="0"/>
              <w:iCs w:val="0"/>
            </w:rPr>
            <w:fldChar w:fldCharType="end"/>
          </w:r>
          <w:r>
            <w:rPr>
              <w:rFonts w:ascii="Times New Roman" w:hAnsi="Times New Roman"/>
              <w:b w:val="0"/>
              <w:bCs w:val="0"/>
              <w:i w:val="0"/>
              <w:iCs w:val="0"/>
            </w:rPr>
            <w:fldChar w:fldCharType="end"/>
          </w:r>
        </w:p>
        <w:p w14:paraId="206335F6">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"_Toc240149212" </w:instrText>
          </w:r>
          <w:r>
            <w:fldChar w:fldCharType="separate"/>
          </w:r>
          <w:r>
            <w:rPr>
              <w:rStyle w:val="10"/>
              <w:rFonts w:ascii="Times New Roman" w:hAnsi="Times New Roman"/>
              <w:b w:val="0"/>
              <w:bCs w:val="0"/>
              <w:sz w:val="24"/>
              <w:szCs w:val="24"/>
            </w:rPr>
            <w:t>Warehousing Operations for an Online Retailer</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_Toc240149212 \h </w:instrText>
          </w:r>
          <w:r>
            <w:rPr>
              <w:rFonts w:ascii="Times New Roman" w:hAnsi="Times New Roman"/>
              <w:b w:val="0"/>
              <w:bCs w:val="0"/>
              <w:sz w:val="24"/>
              <w:szCs w:val="24"/>
            </w:rPr>
            <w:fldChar w:fldCharType="separate"/>
          </w:r>
          <w:r>
            <w:rPr>
              <w:rFonts w:ascii="Times New Roman" w:hAnsi="Times New Roman"/>
              <w:b w:val="0"/>
              <w:bCs w:val="0"/>
              <w:sz w:val="24"/>
              <w:szCs w:val="24"/>
            </w:rPr>
            <w:t>7</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1919D3A5">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"_Toc240149213" </w:instrText>
          </w:r>
          <w:r>
            <w:fldChar w:fldCharType="separate"/>
          </w:r>
          <w:r>
            <w:rPr>
              <w:rStyle w:val="10"/>
              <w:rFonts w:ascii="Times New Roman" w:hAnsi="Times New Roman"/>
              <w:b w:val="0"/>
              <w:bCs w:val="0"/>
              <w:sz w:val="24"/>
              <w:szCs w:val="24"/>
            </w:rPr>
            <w:t>Textile Manufacturing Operation Producing Clothes</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_Toc240149213 \h </w:instrText>
          </w:r>
          <w:r>
            <w:rPr>
              <w:rFonts w:ascii="Times New Roman" w:hAnsi="Times New Roman"/>
              <w:b w:val="0"/>
              <w:bCs w:val="0"/>
              <w:sz w:val="24"/>
              <w:szCs w:val="24"/>
            </w:rPr>
            <w:fldChar w:fldCharType="separate"/>
          </w:r>
          <w:r>
            <w:rPr>
              <w:rFonts w:ascii="Times New Roman" w:hAnsi="Times New Roman"/>
              <w:b w:val="0"/>
              <w:bCs w:val="0"/>
              <w:sz w:val="24"/>
              <w:szCs w:val="24"/>
            </w:rPr>
            <w:t>7</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0ED91A0A">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"_Toc240149214" </w:instrText>
          </w:r>
          <w:r>
            <w:fldChar w:fldCharType="separate"/>
          </w:r>
          <w:r>
            <w:rPr>
              <w:rStyle w:val="10"/>
              <w:rFonts w:ascii="Times New Roman" w:hAnsi="Times New Roman"/>
              <w:b w:val="0"/>
              <w:bCs w:val="0"/>
              <w:sz w:val="24"/>
              <w:szCs w:val="24"/>
            </w:rPr>
            <w:t>Food Production- Baked Beans</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_Toc240149214 \h </w:instrText>
          </w:r>
          <w:r>
            <w:rPr>
              <w:rFonts w:ascii="Times New Roman" w:hAnsi="Times New Roman"/>
              <w:b w:val="0"/>
              <w:bCs w:val="0"/>
              <w:sz w:val="24"/>
              <w:szCs w:val="24"/>
            </w:rPr>
            <w:fldChar w:fldCharType="separate"/>
          </w:r>
          <w:r>
            <w:rPr>
              <w:rFonts w:ascii="Times New Roman" w:hAnsi="Times New Roman"/>
              <w:b w:val="0"/>
              <w:bCs w:val="0"/>
              <w:sz w:val="24"/>
              <w:szCs w:val="24"/>
            </w:rPr>
            <w:t>7</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39C8B4D8">
          <w:pPr>
            <w:pStyle w:val="14"/>
            <w:tabs>
              <w:tab w:val="right" w:leader="dot" w:pos="9019"/>
            </w:tabs>
            <w:jc w:val="both"/>
            <w:rPr>
              <w:rFonts w:ascii="Times New Roman" w:hAnsi="Times New Roman" w:eastAsiaTheme="minorEastAsia"/>
              <w:b w:val="0"/>
              <w:bCs w:val="0"/>
              <w:i w:val="0"/>
              <w:iCs w:val="0"/>
              <w:kern w:val="2"/>
              <w:lang w:val="en-IN" w:eastAsia="en-IN"/>
              <w14:ligatures w14:val="standardContextual"/>
            </w:rPr>
          </w:pPr>
          <w:r>
            <w:fldChar w:fldCharType="begin"/>
          </w:r>
          <w:r>
            <w:instrText xml:space="preserve"> HYPERLINK \l "_Toc240149215" </w:instrText>
          </w:r>
          <w:r>
            <w:fldChar w:fldCharType="separate"/>
          </w:r>
          <w:r>
            <w:rPr>
              <w:rStyle w:val="10"/>
              <w:rFonts w:ascii="Times New Roman" w:hAnsi="Times New Roman"/>
              <w:b w:val="0"/>
              <w:bCs w:val="0"/>
              <w:i w:val="0"/>
              <w:iCs w:val="0"/>
            </w:rPr>
            <w:t>Waste Investigation</w:t>
          </w:r>
          <w:r>
            <w:rPr>
              <w:rFonts w:ascii="Times New Roman" w:hAnsi="Times New Roman"/>
              <w:b w:val="0"/>
              <w:bCs w:val="0"/>
              <w:i w:val="0"/>
              <w:iCs w:val="0"/>
            </w:rPr>
            <w:tab/>
          </w:r>
          <w:r>
            <w:rPr>
              <w:rFonts w:ascii="Times New Roman" w:hAnsi="Times New Roman"/>
              <w:b w:val="0"/>
              <w:bCs w:val="0"/>
              <w:i w:val="0"/>
              <w:iCs w:val="0"/>
            </w:rPr>
            <w:fldChar w:fldCharType="begin"/>
          </w:r>
          <w:r>
            <w:rPr>
              <w:rFonts w:ascii="Times New Roman" w:hAnsi="Times New Roman"/>
              <w:b w:val="0"/>
              <w:bCs w:val="0"/>
              <w:i w:val="0"/>
              <w:iCs w:val="0"/>
            </w:rPr>
            <w:instrText xml:space="preserve"> PAGEREF _Toc240149215 \h </w:instrText>
          </w:r>
          <w:r>
            <w:rPr>
              <w:rFonts w:ascii="Times New Roman" w:hAnsi="Times New Roman"/>
              <w:b w:val="0"/>
              <w:bCs w:val="0"/>
              <w:i w:val="0"/>
              <w:iCs w:val="0"/>
            </w:rPr>
            <w:fldChar w:fldCharType="separate"/>
          </w:r>
          <w:r>
            <w:rPr>
              <w:rFonts w:ascii="Times New Roman" w:hAnsi="Times New Roman"/>
              <w:b w:val="0"/>
              <w:bCs w:val="0"/>
              <w:i w:val="0"/>
              <w:iCs w:val="0"/>
            </w:rPr>
            <w:t>8</w:t>
          </w:r>
          <w:r>
            <w:rPr>
              <w:rFonts w:ascii="Times New Roman" w:hAnsi="Times New Roman"/>
              <w:b w:val="0"/>
              <w:bCs w:val="0"/>
              <w:i w:val="0"/>
              <w:iCs w:val="0"/>
            </w:rPr>
            <w:fldChar w:fldCharType="end"/>
          </w:r>
          <w:r>
            <w:rPr>
              <w:rFonts w:ascii="Times New Roman" w:hAnsi="Times New Roman"/>
              <w:b w:val="0"/>
              <w:bCs w:val="0"/>
              <w:i w:val="0"/>
              <w:iCs w:val="0"/>
            </w:rPr>
            <w:fldChar w:fldCharType="end"/>
          </w:r>
        </w:p>
        <w:p w14:paraId="63CE99AF">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"_Toc240149216" </w:instrText>
          </w:r>
          <w:r>
            <w:fldChar w:fldCharType="separate"/>
          </w:r>
          <w:r>
            <w:rPr>
              <w:rStyle w:val="10"/>
              <w:rFonts w:ascii="Times New Roman" w:hAnsi="Times New Roman"/>
              <w:b w:val="0"/>
              <w:bCs w:val="0"/>
              <w:sz w:val="24"/>
              <w:szCs w:val="24"/>
            </w:rPr>
            <w:t>Warehousing Operations for an Online Retailer</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_Toc240149216 \h </w:instrText>
          </w:r>
          <w:r>
            <w:rPr>
              <w:rFonts w:ascii="Times New Roman" w:hAnsi="Times New Roman"/>
              <w:b w:val="0"/>
              <w:bCs w:val="0"/>
              <w:sz w:val="24"/>
              <w:szCs w:val="24"/>
            </w:rPr>
            <w:fldChar w:fldCharType="separate"/>
          </w:r>
          <w:r>
            <w:rPr>
              <w:rFonts w:ascii="Times New Roman" w:hAnsi="Times New Roman"/>
              <w:b w:val="0"/>
              <w:bCs w:val="0"/>
              <w:sz w:val="24"/>
              <w:szCs w:val="24"/>
            </w:rPr>
            <w:t>8</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07EAB8E7">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"_Toc240149217" </w:instrText>
          </w:r>
          <w:r>
            <w:fldChar w:fldCharType="separate"/>
          </w:r>
          <w:r>
            <w:rPr>
              <w:rStyle w:val="10"/>
              <w:rFonts w:ascii="Times New Roman" w:hAnsi="Times New Roman"/>
              <w:b w:val="0"/>
              <w:bCs w:val="0"/>
              <w:sz w:val="24"/>
              <w:szCs w:val="24"/>
            </w:rPr>
            <w:t>Textile Manufacturing Operation: Producing Clothes</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_Toc240149217 \h </w:instrText>
          </w:r>
          <w:r>
            <w:rPr>
              <w:rFonts w:ascii="Times New Roman" w:hAnsi="Times New Roman"/>
              <w:b w:val="0"/>
              <w:bCs w:val="0"/>
              <w:sz w:val="24"/>
              <w:szCs w:val="24"/>
            </w:rPr>
            <w:fldChar w:fldCharType="separate"/>
          </w:r>
          <w:r>
            <w:rPr>
              <w:rFonts w:ascii="Times New Roman" w:hAnsi="Times New Roman"/>
              <w:b w:val="0"/>
              <w:bCs w:val="0"/>
              <w:sz w:val="24"/>
              <w:szCs w:val="24"/>
            </w:rPr>
            <w:t>9</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52C41FBA">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"_Toc240149218" </w:instrText>
          </w:r>
          <w:r>
            <w:fldChar w:fldCharType="separate"/>
          </w:r>
          <w:r>
            <w:rPr>
              <w:rStyle w:val="10"/>
              <w:rFonts w:ascii="Times New Roman" w:hAnsi="Times New Roman"/>
              <w:b w:val="0"/>
              <w:bCs w:val="0"/>
              <w:sz w:val="24"/>
              <w:szCs w:val="24"/>
            </w:rPr>
            <w:t>Food Production – Baked Beans</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_Toc240149218 \h </w:instrText>
          </w:r>
          <w:r>
            <w:rPr>
              <w:rFonts w:ascii="Times New Roman" w:hAnsi="Times New Roman"/>
              <w:b w:val="0"/>
              <w:bCs w:val="0"/>
              <w:sz w:val="24"/>
              <w:szCs w:val="24"/>
            </w:rPr>
            <w:fldChar w:fldCharType="separate"/>
          </w:r>
          <w:r>
            <w:rPr>
              <w:rFonts w:ascii="Times New Roman" w:hAnsi="Times New Roman"/>
              <w:b w:val="0"/>
              <w:bCs w:val="0"/>
              <w:sz w:val="24"/>
              <w:szCs w:val="24"/>
            </w:rPr>
            <w:t>11</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49020A0C">
          <w:pPr>
            <w:pStyle w:val="14"/>
            <w:tabs>
              <w:tab w:val="right" w:leader="dot" w:pos="9019"/>
            </w:tabs>
            <w:jc w:val="both"/>
            <w:rPr>
              <w:rFonts w:ascii="Times New Roman" w:hAnsi="Times New Roman" w:eastAsiaTheme="minorEastAsia"/>
              <w:b w:val="0"/>
              <w:bCs w:val="0"/>
              <w:i w:val="0"/>
              <w:iCs w:val="0"/>
              <w:kern w:val="2"/>
              <w:lang w:val="en-IN" w:eastAsia="en-IN"/>
              <w14:ligatures w14:val="standardContextual"/>
            </w:rPr>
          </w:pPr>
          <w:r>
            <w:fldChar w:fldCharType="begin"/>
          </w:r>
          <w:r>
            <w:instrText xml:space="preserve"> HYPERLINK \l "_Toc240149219" </w:instrText>
          </w:r>
          <w:r>
            <w:fldChar w:fldCharType="separate"/>
          </w:r>
          <w:r>
            <w:rPr>
              <w:rStyle w:val="10"/>
              <w:rFonts w:ascii="Times New Roman" w:hAnsi="Times New Roman"/>
              <w:b w:val="0"/>
              <w:bCs w:val="0"/>
              <w:i w:val="0"/>
              <w:iCs w:val="0"/>
            </w:rPr>
            <w:t>Waste Quantification</w:t>
          </w:r>
          <w:r>
            <w:rPr>
              <w:rFonts w:ascii="Times New Roman" w:hAnsi="Times New Roman"/>
              <w:b w:val="0"/>
              <w:bCs w:val="0"/>
              <w:i w:val="0"/>
              <w:iCs w:val="0"/>
            </w:rPr>
            <w:tab/>
          </w:r>
          <w:r>
            <w:rPr>
              <w:rFonts w:ascii="Times New Roman" w:hAnsi="Times New Roman"/>
              <w:b w:val="0"/>
              <w:bCs w:val="0"/>
              <w:i w:val="0"/>
              <w:iCs w:val="0"/>
            </w:rPr>
            <w:fldChar w:fldCharType="begin"/>
          </w:r>
          <w:r>
            <w:rPr>
              <w:rFonts w:ascii="Times New Roman" w:hAnsi="Times New Roman"/>
              <w:b w:val="0"/>
              <w:bCs w:val="0"/>
              <w:i w:val="0"/>
              <w:iCs w:val="0"/>
            </w:rPr>
            <w:instrText xml:space="preserve"> PAGEREF _Toc240149219 \h </w:instrText>
          </w:r>
          <w:r>
            <w:rPr>
              <w:rFonts w:ascii="Times New Roman" w:hAnsi="Times New Roman"/>
              <w:b w:val="0"/>
              <w:bCs w:val="0"/>
              <w:i w:val="0"/>
              <w:iCs w:val="0"/>
            </w:rPr>
            <w:fldChar w:fldCharType="separate"/>
          </w:r>
          <w:r>
            <w:rPr>
              <w:rFonts w:ascii="Times New Roman" w:hAnsi="Times New Roman"/>
              <w:b w:val="0"/>
              <w:bCs w:val="0"/>
              <w:i w:val="0"/>
              <w:iCs w:val="0"/>
            </w:rPr>
            <w:t>12</w:t>
          </w:r>
          <w:r>
            <w:rPr>
              <w:rFonts w:ascii="Times New Roman" w:hAnsi="Times New Roman"/>
              <w:b w:val="0"/>
              <w:bCs w:val="0"/>
              <w:i w:val="0"/>
              <w:iCs w:val="0"/>
            </w:rPr>
            <w:fldChar w:fldCharType="end"/>
          </w:r>
          <w:r>
            <w:rPr>
              <w:rFonts w:ascii="Times New Roman" w:hAnsi="Times New Roman"/>
              <w:b w:val="0"/>
              <w:bCs w:val="0"/>
              <w:i w:val="0"/>
              <w:iCs w:val="0"/>
            </w:rPr>
            <w:fldChar w:fldCharType="end"/>
          </w:r>
        </w:p>
        <w:p w14:paraId="6E484247">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"_Toc240149220" </w:instrText>
          </w:r>
          <w:r>
            <w:fldChar w:fldCharType="separate"/>
          </w:r>
          <w:r>
            <w:rPr>
              <w:rStyle w:val="10"/>
              <w:rFonts w:ascii="Times New Roman" w:hAnsi="Times New Roman"/>
              <w:b w:val="0"/>
              <w:bCs w:val="0"/>
              <w:sz w:val="24"/>
              <w:szCs w:val="24"/>
            </w:rPr>
            <w:t>Quantification of Warehouse Waste</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_Toc240149220 \h </w:instrText>
          </w:r>
          <w:r>
            <w:rPr>
              <w:rFonts w:ascii="Times New Roman" w:hAnsi="Times New Roman"/>
              <w:b w:val="0"/>
              <w:bCs w:val="0"/>
              <w:sz w:val="24"/>
              <w:szCs w:val="24"/>
            </w:rPr>
            <w:fldChar w:fldCharType="separate"/>
          </w:r>
          <w:r>
            <w:rPr>
              <w:rFonts w:ascii="Times New Roman" w:hAnsi="Times New Roman"/>
              <w:b w:val="0"/>
              <w:bCs w:val="0"/>
              <w:sz w:val="24"/>
              <w:szCs w:val="24"/>
            </w:rPr>
            <w:t>12</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6523886A">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"_Toc240149221" </w:instrText>
          </w:r>
          <w:r>
            <w:fldChar w:fldCharType="separate"/>
          </w:r>
          <w:r>
            <w:rPr>
              <w:rStyle w:val="10"/>
              <w:rFonts w:ascii="Times New Roman" w:hAnsi="Times New Roman"/>
              <w:b w:val="0"/>
              <w:bCs w:val="0"/>
              <w:sz w:val="24"/>
              <w:szCs w:val="24"/>
            </w:rPr>
            <w:t>Quantification of Textile Manufacturing Waste</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_Toc240149221 \h </w:instrText>
          </w:r>
          <w:r>
            <w:rPr>
              <w:rFonts w:ascii="Times New Roman" w:hAnsi="Times New Roman"/>
              <w:b w:val="0"/>
              <w:bCs w:val="0"/>
              <w:sz w:val="24"/>
              <w:szCs w:val="24"/>
            </w:rPr>
            <w:fldChar w:fldCharType="separate"/>
          </w:r>
          <w:r>
            <w:rPr>
              <w:rFonts w:ascii="Times New Roman" w:hAnsi="Times New Roman"/>
              <w:b w:val="0"/>
              <w:bCs w:val="0"/>
              <w:sz w:val="24"/>
              <w:szCs w:val="24"/>
            </w:rPr>
            <w:t>13</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1F3536A2">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"_Toc240149222" </w:instrText>
          </w:r>
          <w:r>
            <w:fldChar w:fldCharType="separate"/>
          </w:r>
          <w:r>
            <w:rPr>
              <w:rStyle w:val="10"/>
              <w:rFonts w:ascii="Times New Roman" w:hAnsi="Times New Roman"/>
              <w:b w:val="0"/>
              <w:bCs w:val="0"/>
              <w:sz w:val="24"/>
              <w:szCs w:val="24"/>
            </w:rPr>
            <w:t>Quantification of Food Production Waste</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_Toc240149222 \h </w:instrText>
          </w:r>
          <w:r>
            <w:rPr>
              <w:rFonts w:ascii="Times New Roman" w:hAnsi="Times New Roman"/>
              <w:b w:val="0"/>
              <w:bCs w:val="0"/>
              <w:sz w:val="24"/>
              <w:szCs w:val="24"/>
            </w:rPr>
            <w:fldChar w:fldCharType="separate"/>
          </w:r>
          <w:r>
            <w:rPr>
              <w:rFonts w:ascii="Times New Roman" w:hAnsi="Times New Roman"/>
              <w:b w:val="0"/>
              <w:bCs w:val="0"/>
              <w:sz w:val="24"/>
              <w:szCs w:val="24"/>
            </w:rPr>
            <w:t>14</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577D9C72">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"_Toc240149223" </w:instrText>
          </w:r>
          <w:r>
            <w:fldChar w:fldCharType="separate"/>
          </w:r>
          <w:r>
            <w:rPr>
              <w:rStyle w:val="10"/>
              <w:rFonts w:ascii="Times New Roman" w:hAnsi="Times New Roman"/>
              <w:b w:val="0"/>
              <w:bCs w:val="0"/>
              <w:sz w:val="24"/>
              <w:szCs w:val="24"/>
            </w:rPr>
            <w:t>Cross-Business Comparison</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_Toc240149223 \h </w:instrText>
          </w:r>
          <w:r>
            <w:rPr>
              <w:rFonts w:ascii="Times New Roman" w:hAnsi="Times New Roman"/>
              <w:b w:val="0"/>
              <w:bCs w:val="0"/>
              <w:sz w:val="24"/>
              <w:szCs w:val="24"/>
            </w:rPr>
            <w:fldChar w:fldCharType="separate"/>
          </w:r>
          <w:r>
            <w:rPr>
              <w:rFonts w:ascii="Times New Roman" w:hAnsi="Times New Roman"/>
              <w:b w:val="0"/>
              <w:bCs w:val="0"/>
              <w:sz w:val="24"/>
              <w:szCs w:val="24"/>
            </w:rPr>
            <w:t>15</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08E7B914">
          <w:pPr>
            <w:pStyle w:val="14"/>
            <w:tabs>
              <w:tab w:val="right" w:leader="dot" w:pos="9019"/>
            </w:tabs>
            <w:jc w:val="both"/>
            <w:rPr>
              <w:rFonts w:ascii="Times New Roman" w:hAnsi="Times New Roman" w:eastAsiaTheme="minorEastAsia"/>
              <w:b w:val="0"/>
              <w:bCs w:val="0"/>
              <w:i w:val="0"/>
              <w:iCs w:val="0"/>
              <w:kern w:val="2"/>
              <w:lang w:val="en-IN" w:eastAsia="en-IN"/>
              <w14:ligatures w14:val="standardContextual"/>
            </w:rPr>
          </w:pPr>
          <w:r>
            <w:fldChar w:fldCharType="begin"/>
          </w:r>
          <w:r>
            <w:instrText xml:space="preserve"> HYPERLINK \l "_Toc240149224" </w:instrText>
          </w:r>
          <w:r>
            <w:fldChar w:fldCharType="separate"/>
          </w:r>
          <w:r>
            <w:rPr>
              <w:rStyle w:val="10"/>
              <w:rFonts w:ascii="Times New Roman" w:hAnsi="Times New Roman"/>
              <w:b w:val="0"/>
              <w:bCs w:val="0"/>
              <w:i w:val="0"/>
              <w:iCs w:val="0"/>
            </w:rPr>
            <w:t>Evaluation of Improvements</w:t>
          </w:r>
          <w:r>
            <w:rPr>
              <w:rFonts w:ascii="Times New Roman" w:hAnsi="Times New Roman"/>
              <w:b w:val="0"/>
              <w:bCs w:val="0"/>
              <w:i w:val="0"/>
              <w:iCs w:val="0"/>
            </w:rPr>
            <w:tab/>
          </w:r>
          <w:r>
            <w:rPr>
              <w:rFonts w:ascii="Times New Roman" w:hAnsi="Times New Roman"/>
              <w:b w:val="0"/>
              <w:bCs w:val="0"/>
              <w:i w:val="0"/>
              <w:iCs w:val="0"/>
            </w:rPr>
            <w:fldChar w:fldCharType="begin"/>
          </w:r>
          <w:r>
            <w:rPr>
              <w:rFonts w:ascii="Times New Roman" w:hAnsi="Times New Roman"/>
              <w:b w:val="0"/>
              <w:bCs w:val="0"/>
              <w:i w:val="0"/>
              <w:iCs w:val="0"/>
            </w:rPr>
            <w:instrText xml:space="preserve"> PAGEREF _Toc240149224 \h </w:instrText>
          </w:r>
          <w:r>
            <w:rPr>
              <w:rFonts w:ascii="Times New Roman" w:hAnsi="Times New Roman"/>
              <w:b w:val="0"/>
              <w:bCs w:val="0"/>
              <w:i w:val="0"/>
              <w:iCs w:val="0"/>
            </w:rPr>
            <w:fldChar w:fldCharType="separate"/>
          </w:r>
          <w:r>
            <w:rPr>
              <w:rFonts w:ascii="Times New Roman" w:hAnsi="Times New Roman"/>
              <w:b w:val="0"/>
              <w:bCs w:val="0"/>
              <w:i w:val="0"/>
              <w:iCs w:val="0"/>
            </w:rPr>
            <w:t>16</w:t>
          </w:r>
          <w:r>
            <w:rPr>
              <w:rFonts w:ascii="Times New Roman" w:hAnsi="Times New Roman"/>
              <w:b w:val="0"/>
              <w:bCs w:val="0"/>
              <w:i w:val="0"/>
              <w:iCs w:val="0"/>
            </w:rPr>
            <w:fldChar w:fldCharType="end"/>
          </w:r>
          <w:r>
            <w:rPr>
              <w:rFonts w:ascii="Times New Roman" w:hAnsi="Times New Roman"/>
              <w:b w:val="0"/>
              <w:bCs w:val="0"/>
              <w:i w:val="0"/>
              <w:iCs w:val="0"/>
            </w:rPr>
            <w:fldChar w:fldCharType="end"/>
          </w:r>
        </w:p>
        <w:p w14:paraId="3CB3EAD0">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"_Toc240149225" </w:instrText>
          </w:r>
          <w:r>
            <w:fldChar w:fldCharType="separate"/>
          </w:r>
          <w:r>
            <w:rPr>
              <w:rStyle w:val="10"/>
              <w:rFonts w:ascii="Times New Roman" w:hAnsi="Times New Roman"/>
              <w:b w:val="0"/>
              <w:bCs w:val="0"/>
              <w:sz w:val="24"/>
              <w:szCs w:val="24"/>
            </w:rPr>
            <w:t>Improvements for Online Retail Warehousing</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_Toc240149225 \h </w:instrText>
          </w:r>
          <w:r>
            <w:rPr>
              <w:rFonts w:ascii="Times New Roman" w:hAnsi="Times New Roman"/>
              <w:b w:val="0"/>
              <w:bCs w:val="0"/>
              <w:sz w:val="24"/>
              <w:szCs w:val="24"/>
            </w:rPr>
            <w:fldChar w:fldCharType="separate"/>
          </w:r>
          <w:r>
            <w:rPr>
              <w:rFonts w:ascii="Times New Roman" w:hAnsi="Times New Roman"/>
              <w:b w:val="0"/>
              <w:bCs w:val="0"/>
              <w:sz w:val="24"/>
              <w:szCs w:val="24"/>
            </w:rPr>
            <w:t>16</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5D441064">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"_Toc240149226" </w:instrText>
          </w:r>
          <w:r>
            <w:fldChar w:fldCharType="separate"/>
          </w:r>
          <w:r>
            <w:rPr>
              <w:rStyle w:val="10"/>
              <w:rFonts w:ascii="Times New Roman" w:hAnsi="Times New Roman"/>
              <w:b w:val="0"/>
              <w:bCs w:val="0"/>
              <w:sz w:val="24"/>
              <w:szCs w:val="24"/>
            </w:rPr>
            <w:t>Improvements for Textile Manufacturing</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_Toc240149226 \h </w:instrText>
          </w:r>
          <w:r>
            <w:rPr>
              <w:rFonts w:ascii="Times New Roman" w:hAnsi="Times New Roman"/>
              <w:b w:val="0"/>
              <w:bCs w:val="0"/>
              <w:sz w:val="24"/>
              <w:szCs w:val="24"/>
            </w:rPr>
            <w:fldChar w:fldCharType="separate"/>
          </w:r>
          <w:r>
            <w:rPr>
              <w:rFonts w:ascii="Times New Roman" w:hAnsi="Times New Roman"/>
              <w:b w:val="0"/>
              <w:bCs w:val="0"/>
              <w:sz w:val="24"/>
              <w:szCs w:val="24"/>
            </w:rPr>
            <w:t>16</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1735BC93">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"_Toc240149227" </w:instrText>
          </w:r>
          <w:r>
            <w:fldChar w:fldCharType="separate"/>
          </w:r>
          <w:r>
            <w:rPr>
              <w:rStyle w:val="10"/>
              <w:rFonts w:ascii="Times New Roman" w:hAnsi="Times New Roman"/>
              <w:b w:val="0"/>
              <w:bCs w:val="0"/>
              <w:sz w:val="24"/>
              <w:szCs w:val="24"/>
            </w:rPr>
            <w:t>Improvements for Baked Beans Production</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_Toc240149227 \h </w:instrText>
          </w:r>
          <w:r>
            <w:rPr>
              <w:rFonts w:ascii="Times New Roman" w:hAnsi="Times New Roman"/>
              <w:b w:val="0"/>
              <w:bCs w:val="0"/>
              <w:sz w:val="24"/>
              <w:szCs w:val="24"/>
            </w:rPr>
            <w:fldChar w:fldCharType="separate"/>
          </w:r>
          <w:r>
            <w:rPr>
              <w:rFonts w:ascii="Times New Roman" w:hAnsi="Times New Roman"/>
              <w:b w:val="0"/>
              <w:bCs w:val="0"/>
              <w:sz w:val="24"/>
              <w:szCs w:val="24"/>
            </w:rPr>
            <w:t>17</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03900AA1">
          <w:pPr>
            <w:pStyle w:val="14"/>
            <w:tabs>
              <w:tab w:val="right" w:leader="dot" w:pos="9019"/>
            </w:tabs>
            <w:jc w:val="both"/>
            <w:rPr>
              <w:rFonts w:ascii="Times New Roman" w:hAnsi="Times New Roman" w:eastAsiaTheme="minorEastAsia"/>
              <w:b w:val="0"/>
              <w:bCs w:val="0"/>
              <w:i w:val="0"/>
              <w:iCs w:val="0"/>
              <w:kern w:val="2"/>
              <w:lang w:val="en-IN" w:eastAsia="en-IN"/>
              <w14:ligatures w14:val="standardContextual"/>
            </w:rPr>
          </w:pPr>
          <w:r>
            <w:fldChar w:fldCharType="begin"/>
          </w:r>
          <w:r>
            <w:instrText xml:space="preserve"> HYPERLINK \l "_Toc240149228" </w:instrText>
          </w:r>
          <w:r>
            <w:fldChar w:fldCharType="separate"/>
          </w:r>
          <w:r>
            <w:rPr>
              <w:rStyle w:val="10"/>
              <w:rFonts w:ascii="Times New Roman" w:hAnsi="Times New Roman"/>
              <w:b w:val="0"/>
              <w:bCs w:val="0"/>
              <w:i w:val="0"/>
              <w:iCs w:val="0"/>
            </w:rPr>
            <w:t>Costs &amp; Implementation Issues</w:t>
          </w:r>
          <w:r>
            <w:rPr>
              <w:rFonts w:ascii="Times New Roman" w:hAnsi="Times New Roman"/>
              <w:b w:val="0"/>
              <w:bCs w:val="0"/>
              <w:i w:val="0"/>
              <w:iCs w:val="0"/>
            </w:rPr>
            <w:tab/>
          </w:r>
          <w:r>
            <w:rPr>
              <w:rFonts w:ascii="Times New Roman" w:hAnsi="Times New Roman"/>
              <w:b w:val="0"/>
              <w:bCs w:val="0"/>
              <w:i w:val="0"/>
              <w:iCs w:val="0"/>
            </w:rPr>
            <w:fldChar w:fldCharType="begin"/>
          </w:r>
          <w:r>
            <w:rPr>
              <w:rFonts w:ascii="Times New Roman" w:hAnsi="Times New Roman"/>
              <w:b w:val="0"/>
              <w:bCs w:val="0"/>
              <w:i w:val="0"/>
              <w:iCs w:val="0"/>
            </w:rPr>
            <w:instrText xml:space="preserve"> PAGEREF _Toc240149228 \h </w:instrText>
          </w:r>
          <w:r>
            <w:rPr>
              <w:rFonts w:ascii="Times New Roman" w:hAnsi="Times New Roman"/>
              <w:b w:val="0"/>
              <w:bCs w:val="0"/>
              <w:i w:val="0"/>
              <w:iCs w:val="0"/>
            </w:rPr>
            <w:fldChar w:fldCharType="separate"/>
          </w:r>
          <w:r>
            <w:rPr>
              <w:rFonts w:ascii="Times New Roman" w:hAnsi="Times New Roman"/>
              <w:b w:val="0"/>
              <w:bCs w:val="0"/>
              <w:i w:val="0"/>
              <w:iCs w:val="0"/>
            </w:rPr>
            <w:t>17</w:t>
          </w:r>
          <w:r>
            <w:rPr>
              <w:rFonts w:ascii="Times New Roman" w:hAnsi="Times New Roman"/>
              <w:b w:val="0"/>
              <w:bCs w:val="0"/>
              <w:i w:val="0"/>
              <w:iCs w:val="0"/>
            </w:rPr>
            <w:fldChar w:fldCharType="end"/>
          </w:r>
          <w:r>
            <w:rPr>
              <w:rFonts w:ascii="Times New Roman" w:hAnsi="Times New Roman"/>
              <w:b w:val="0"/>
              <w:bCs w:val="0"/>
              <w:i w:val="0"/>
              <w:iCs w:val="0"/>
            </w:rPr>
            <w:fldChar w:fldCharType="end"/>
          </w:r>
        </w:p>
        <w:p w14:paraId="47F470F2">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"_Toc240149229" </w:instrText>
          </w:r>
          <w:r>
            <w:fldChar w:fldCharType="separate"/>
          </w:r>
          <w:r>
            <w:rPr>
              <w:rStyle w:val="10"/>
              <w:rFonts w:ascii="Times New Roman" w:hAnsi="Times New Roman"/>
              <w:b w:val="0"/>
              <w:bCs w:val="0"/>
              <w:sz w:val="24"/>
              <w:szCs w:val="24"/>
            </w:rPr>
            <w:t>Warehouse Improvement Cost and Issue</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_Toc240149229 \h </w:instrText>
          </w:r>
          <w:r>
            <w:rPr>
              <w:rFonts w:ascii="Times New Roman" w:hAnsi="Times New Roman"/>
              <w:b w:val="0"/>
              <w:bCs w:val="0"/>
              <w:sz w:val="24"/>
              <w:szCs w:val="24"/>
            </w:rPr>
            <w:fldChar w:fldCharType="separate"/>
          </w:r>
          <w:r>
            <w:rPr>
              <w:rFonts w:ascii="Times New Roman" w:hAnsi="Times New Roman"/>
              <w:b w:val="0"/>
              <w:bCs w:val="0"/>
              <w:sz w:val="24"/>
              <w:szCs w:val="24"/>
            </w:rPr>
            <w:t>17</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079DBF12">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"_Toc240149230" </w:instrText>
          </w:r>
          <w:r>
            <w:fldChar w:fldCharType="separate"/>
          </w:r>
          <w:r>
            <w:rPr>
              <w:rStyle w:val="10"/>
              <w:rFonts w:ascii="Times New Roman" w:hAnsi="Times New Roman"/>
              <w:b w:val="0"/>
              <w:bCs w:val="0"/>
              <w:sz w:val="24"/>
              <w:szCs w:val="24"/>
            </w:rPr>
            <w:t>Textile Manufacturing Improvement Cost and Issue</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_Toc240149230 \h </w:instrText>
          </w:r>
          <w:r>
            <w:rPr>
              <w:rFonts w:ascii="Times New Roman" w:hAnsi="Times New Roman"/>
              <w:b w:val="0"/>
              <w:bCs w:val="0"/>
              <w:sz w:val="24"/>
              <w:szCs w:val="24"/>
            </w:rPr>
            <w:fldChar w:fldCharType="separate"/>
          </w:r>
          <w:r>
            <w:rPr>
              <w:rFonts w:ascii="Times New Roman" w:hAnsi="Times New Roman"/>
              <w:b w:val="0"/>
              <w:bCs w:val="0"/>
              <w:sz w:val="24"/>
              <w:szCs w:val="24"/>
            </w:rPr>
            <w:t>18</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49B7D022">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"_Toc240149231" </w:instrText>
          </w:r>
          <w:r>
            <w:fldChar w:fldCharType="separate"/>
          </w:r>
          <w:r>
            <w:rPr>
              <w:rStyle w:val="10"/>
              <w:rFonts w:ascii="Times New Roman" w:hAnsi="Times New Roman"/>
              <w:b w:val="0"/>
              <w:bCs w:val="0"/>
              <w:sz w:val="24"/>
              <w:szCs w:val="24"/>
            </w:rPr>
            <w:t>Food Production Improvement Costs and Issues</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_Toc240149231 \h </w:instrText>
          </w:r>
          <w:r>
            <w:rPr>
              <w:rFonts w:ascii="Times New Roman" w:hAnsi="Times New Roman"/>
              <w:b w:val="0"/>
              <w:bCs w:val="0"/>
              <w:sz w:val="24"/>
              <w:szCs w:val="24"/>
            </w:rPr>
            <w:fldChar w:fldCharType="separate"/>
          </w:r>
          <w:r>
            <w:rPr>
              <w:rFonts w:ascii="Times New Roman" w:hAnsi="Times New Roman"/>
              <w:b w:val="0"/>
              <w:bCs w:val="0"/>
              <w:sz w:val="24"/>
              <w:szCs w:val="24"/>
            </w:rPr>
            <w:t>18</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2BB883D7">
          <w:pPr>
            <w:pStyle w:val="15"/>
            <w:tabs>
              <w:tab w:val="right" w:leader="dot" w:pos="9019"/>
            </w:tabs>
            <w:jc w:val="both"/>
            <w:rPr>
              <w:rFonts w:ascii="Times New Roman" w:hAnsi="Times New Roman" w:eastAsiaTheme="minorEastAsia"/>
              <w:b w:val="0"/>
              <w:bCs w:val="0"/>
              <w:kern w:val="2"/>
              <w:sz w:val="24"/>
              <w:szCs w:val="24"/>
              <w:lang w:val="en-IN" w:eastAsia="en-IN"/>
              <w14:ligatures w14:val="standardContextual"/>
            </w:rPr>
          </w:pPr>
          <w:r>
            <w:fldChar w:fldCharType="begin"/>
          </w:r>
          <w:r>
            <w:instrText xml:space="preserve"> HYPERLINK \l "_Toc240149232" </w:instrText>
          </w:r>
          <w:r>
            <w:fldChar w:fldCharType="separate"/>
          </w:r>
          <w:r>
            <w:rPr>
              <w:rStyle w:val="10"/>
              <w:rFonts w:ascii="Times New Roman" w:hAnsi="Times New Roman"/>
              <w:b w:val="0"/>
              <w:bCs w:val="0"/>
              <w:sz w:val="24"/>
              <w:szCs w:val="24"/>
            </w:rPr>
            <w:t>Cost-Benefit Evaluation</w:t>
          </w:r>
          <w:r>
            <w:rPr>
              <w:rFonts w:ascii="Times New Roman" w:hAnsi="Times New Roman"/>
              <w:b w:val="0"/>
              <w:bCs w:val="0"/>
              <w:sz w:val="24"/>
              <w:szCs w:val="24"/>
            </w:rPr>
            <w:tab/>
          </w:r>
          <w:r>
            <w:rPr>
              <w:rFonts w:ascii="Times New Roman" w:hAnsi="Times New Roman"/>
              <w:b w:val="0"/>
              <w:bCs w:val="0"/>
              <w:sz w:val="24"/>
              <w:szCs w:val="24"/>
            </w:rPr>
            <w:fldChar w:fldCharType="begin"/>
          </w:r>
          <w:r>
            <w:rPr>
              <w:rFonts w:ascii="Times New Roman" w:hAnsi="Times New Roman"/>
              <w:b w:val="0"/>
              <w:bCs w:val="0"/>
              <w:sz w:val="24"/>
              <w:szCs w:val="24"/>
            </w:rPr>
            <w:instrText xml:space="preserve"> PAGEREF _Toc240149232 \h </w:instrText>
          </w:r>
          <w:r>
            <w:rPr>
              <w:rFonts w:ascii="Times New Roman" w:hAnsi="Times New Roman"/>
              <w:b w:val="0"/>
              <w:bCs w:val="0"/>
              <w:sz w:val="24"/>
              <w:szCs w:val="24"/>
            </w:rPr>
            <w:fldChar w:fldCharType="separate"/>
          </w:r>
          <w:r>
            <w:rPr>
              <w:rFonts w:ascii="Times New Roman" w:hAnsi="Times New Roman"/>
              <w:b w:val="0"/>
              <w:bCs w:val="0"/>
              <w:sz w:val="24"/>
              <w:szCs w:val="24"/>
            </w:rPr>
            <w:t>19</w:t>
          </w:r>
          <w:r>
            <w:rPr>
              <w:rFonts w:ascii="Times New Roman" w:hAnsi="Times New Roman"/>
              <w:b w:val="0"/>
              <w:bCs w:val="0"/>
              <w:sz w:val="24"/>
              <w:szCs w:val="24"/>
            </w:rPr>
            <w:fldChar w:fldCharType="end"/>
          </w:r>
          <w:r>
            <w:rPr>
              <w:rFonts w:ascii="Times New Roman" w:hAnsi="Times New Roman"/>
              <w:b w:val="0"/>
              <w:bCs w:val="0"/>
              <w:sz w:val="24"/>
              <w:szCs w:val="24"/>
            </w:rPr>
            <w:fldChar w:fldCharType="end"/>
          </w:r>
        </w:p>
        <w:p w14:paraId="60A6A0A0">
          <w:pPr>
            <w:pStyle w:val="14"/>
            <w:tabs>
              <w:tab w:val="right" w:leader="dot" w:pos="9019"/>
            </w:tabs>
            <w:jc w:val="both"/>
            <w:rPr>
              <w:rFonts w:ascii="Times New Roman" w:hAnsi="Times New Roman" w:eastAsiaTheme="minorEastAsia"/>
              <w:b w:val="0"/>
              <w:bCs w:val="0"/>
              <w:i w:val="0"/>
              <w:iCs w:val="0"/>
              <w:kern w:val="2"/>
              <w:lang w:val="en-IN" w:eastAsia="en-IN"/>
              <w14:ligatures w14:val="standardContextual"/>
            </w:rPr>
          </w:pPr>
          <w:r>
            <w:fldChar w:fldCharType="begin"/>
          </w:r>
          <w:r>
            <w:instrText xml:space="preserve"> HYPERLINK \l "_Toc240149233" </w:instrText>
          </w:r>
          <w:r>
            <w:fldChar w:fldCharType="separate"/>
          </w:r>
          <w:r>
            <w:rPr>
              <w:rStyle w:val="10"/>
              <w:rFonts w:ascii="Times New Roman" w:hAnsi="Times New Roman"/>
              <w:b w:val="0"/>
              <w:bCs w:val="0"/>
              <w:i w:val="0"/>
              <w:iCs w:val="0"/>
            </w:rPr>
            <w:t>Conclusion</w:t>
          </w:r>
          <w:r>
            <w:rPr>
              <w:rFonts w:ascii="Times New Roman" w:hAnsi="Times New Roman"/>
              <w:b w:val="0"/>
              <w:bCs w:val="0"/>
              <w:i w:val="0"/>
              <w:iCs w:val="0"/>
            </w:rPr>
            <w:tab/>
          </w:r>
          <w:r>
            <w:rPr>
              <w:rFonts w:ascii="Times New Roman" w:hAnsi="Times New Roman"/>
              <w:b w:val="0"/>
              <w:bCs w:val="0"/>
              <w:i w:val="0"/>
              <w:iCs w:val="0"/>
            </w:rPr>
            <w:fldChar w:fldCharType="begin"/>
          </w:r>
          <w:r>
            <w:rPr>
              <w:rFonts w:ascii="Times New Roman" w:hAnsi="Times New Roman"/>
              <w:b w:val="0"/>
              <w:bCs w:val="0"/>
              <w:i w:val="0"/>
              <w:iCs w:val="0"/>
            </w:rPr>
            <w:instrText xml:space="preserve"> PAGEREF _Toc240149233 \h </w:instrText>
          </w:r>
          <w:r>
            <w:rPr>
              <w:rFonts w:ascii="Times New Roman" w:hAnsi="Times New Roman"/>
              <w:b w:val="0"/>
              <w:bCs w:val="0"/>
              <w:i w:val="0"/>
              <w:iCs w:val="0"/>
            </w:rPr>
            <w:fldChar w:fldCharType="separate"/>
          </w:r>
          <w:r>
            <w:rPr>
              <w:rFonts w:ascii="Times New Roman" w:hAnsi="Times New Roman"/>
              <w:b w:val="0"/>
              <w:bCs w:val="0"/>
              <w:i w:val="0"/>
              <w:iCs w:val="0"/>
            </w:rPr>
            <w:t>19</w:t>
          </w:r>
          <w:r>
            <w:rPr>
              <w:rFonts w:ascii="Times New Roman" w:hAnsi="Times New Roman"/>
              <w:b w:val="0"/>
              <w:bCs w:val="0"/>
              <w:i w:val="0"/>
              <w:iCs w:val="0"/>
            </w:rPr>
            <w:fldChar w:fldCharType="end"/>
          </w:r>
          <w:r>
            <w:rPr>
              <w:rFonts w:ascii="Times New Roman" w:hAnsi="Times New Roman"/>
              <w:b w:val="0"/>
              <w:bCs w:val="0"/>
              <w:i w:val="0"/>
              <w:iCs w:val="0"/>
            </w:rPr>
            <w:fldChar w:fldCharType="end"/>
          </w:r>
        </w:p>
        <w:p w14:paraId="736D0BF0">
          <w:pPr>
            <w:pStyle w:val="14"/>
            <w:tabs>
              <w:tab w:val="right" w:leader="dot" w:pos="9019"/>
            </w:tabs>
            <w:jc w:val="both"/>
            <w:rPr>
              <w:rFonts w:ascii="Times New Roman" w:hAnsi="Times New Roman" w:eastAsiaTheme="minorEastAsia"/>
              <w:b w:val="0"/>
              <w:bCs w:val="0"/>
              <w:i w:val="0"/>
              <w:iCs w:val="0"/>
              <w:kern w:val="2"/>
              <w:lang w:val="en-IN" w:eastAsia="en-IN"/>
              <w14:ligatures w14:val="standardContextual"/>
            </w:rPr>
          </w:pPr>
          <w:r>
            <w:fldChar w:fldCharType="begin"/>
          </w:r>
          <w:r>
            <w:instrText xml:space="preserve"> HYPERLINK \l "_Toc240149234" </w:instrText>
          </w:r>
          <w:r>
            <w:fldChar w:fldCharType="separate"/>
          </w:r>
          <w:r>
            <w:rPr>
              <w:rStyle w:val="10"/>
              <w:rFonts w:ascii="Times New Roman" w:hAnsi="Times New Roman"/>
              <w:b w:val="0"/>
              <w:bCs w:val="0"/>
              <w:i w:val="0"/>
              <w:iCs w:val="0"/>
            </w:rPr>
            <w:t>References</w:t>
          </w:r>
          <w:r>
            <w:rPr>
              <w:rFonts w:ascii="Times New Roman" w:hAnsi="Times New Roman"/>
              <w:b w:val="0"/>
              <w:bCs w:val="0"/>
              <w:i w:val="0"/>
              <w:iCs w:val="0"/>
            </w:rPr>
            <w:tab/>
          </w:r>
          <w:r>
            <w:rPr>
              <w:rFonts w:ascii="Times New Roman" w:hAnsi="Times New Roman"/>
              <w:b w:val="0"/>
              <w:bCs w:val="0"/>
              <w:i w:val="0"/>
              <w:iCs w:val="0"/>
            </w:rPr>
            <w:fldChar w:fldCharType="begin"/>
          </w:r>
          <w:r>
            <w:rPr>
              <w:rFonts w:ascii="Times New Roman" w:hAnsi="Times New Roman"/>
              <w:b w:val="0"/>
              <w:bCs w:val="0"/>
              <w:i w:val="0"/>
              <w:iCs w:val="0"/>
            </w:rPr>
            <w:instrText xml:space="preserve"> PAGEREF _Toc240149234 \h </w:instrText>
          </w:r>
          <w:r>
            <w:rPr>
              <w:rFonts w:ascii="Times New Roman" w:hAnsi="Times New Roman"/>
              <w:b w:val="0"/>
              <w:bCs w:val="0"/>
              <w:i w:val="0"/>
              <w:iCs w:val="0"/>
            </w:rPr>
            <w:fldChar w:fldCharType="separate"/>
          </w:r>
          <w:r>
            <w:rPr>
              <w:rFonts w:ascii="Times New Roman" w:hAnsi="Times New Roman"/>
              <w:b w:val="0"/>
              <w:bCs w:val="0"/>
              <w:i w:val="0"/>
              <w:iCs w:val="0"/>
            </w:rPr>
            <w:t>20</w:t>
          </w:r>
          <w:r>
            <w:rPr>
              <w:rFonts w:ascii="Times New Roman" w:hAnsi="Times New Roman"/>
              <w:b w:val="0"/>
              <w:bCs w:val="0"/>
              <w:i w:val="0"/>
              <w:iCs w:val="0"/>
            </w:rPr>
            <w:fldChar w:fldCharType="end"/>
          </w:r>
          <w:r>
            <w:rPr>
              <w:rFonts w:ascii="Times New Roman" w:hAnsi="Times New Roman"/>
              <w:b w:val="0"/>
              <w:bCs w:val="0"/>
              <w:i w:val="0"/>
              <w:iCs w:val="0"/>
            </w:rPr>
            <w:fldChar w:fldCharType="end"/>
          </w:r>
        </w:p>
        <w:p w14:paraId="396FF305">
          <w:pPr>
            <w:pStyle w:val="14"/>
            <w:tabs>
              <w:tab w:val="right" w:leader="dot" w:pos="9019"/>
            </w:tabs>
            <w:jc w:val="both"/>
            <w:rPr>
              <w:rFonts w:ascii="Times New Roman" w:hAnsi="Times New Roman" w:eastAsiaTheme="minorEastAsia"/>
              <w:b w:val="0"/>
              <w:bCs w:val="0"/>
              <w:i w:val="0"/>
              <w:iCs w:val="0"/>
              <w:kern w:val="2"/>
              <w:lang w:val="en-IN" w:eastAsia="en-IN"/>
              <w14:ligatures w14:val="standardContextual"/>
            </w:rPr>
          </w:pPr>
          <w:r>
            <w:fldChar w:fldCharType="begin"/>
          </w:r>
          <w:r>
            <w:instrText xml:space="preserve"> HYPERLINK \l "_Toc240149235" </w:instrText>
          </w:r>
          <w:r>
            <w:fldChar w:fldCharType="separate"/>
          </w:r>
          <w:r>
            <w:rPr>
              <w:rStyle w:val="10"/>
              <w:rFonts w:ascii="Times New Roman" w:hAnsi="Times New Roman"/>
              <w:b w:val="0"/>
              <w:bCs w:val="0"/>
              <w:i w:val="0"/>
              <w:iCs w:val="0"/>
            </w:rPr>
            <w:t>Appendices</w:t>
          </w:r>
          <w:r>
            <w:rPr>
              <w:rFonts w:ascii="Times New Roman" w:hAnsi="Times New Roman"/>
              <w:b w:val="0"/>
              <w:bCs w:val="0"/>
              <w:i w:val="0"/>
              <w:iCs w:val="0"/>
            </w:rPr>
            <w:tab/>
          </w:r>
          <w:r>
            <w:rPr>
              <w:rFonts w:ascii="Times New Roman" w:hAnsi="Times New Roman"/>
              <w:b w:val="0"/>
              <w:bCs w:val="0"/>
              <w:i w:val="0"/>
              <w:iCs w:val="0"/>
            </w:rPr>
            <w:fldChar w:fldCharType="begin"/>
          </w:r>
          <w:r>
            <w:rPr>
              <w:rFonts w:ascii="Times New Roman" w:hAnsi="Times New Roman"/>
              <w:b w:val="0"/>
              <w:bCs w:val="0"/>
              <w:i w:val="0"/>
              <w:iCs w:val="0"/>
            </w:rPr>
            <w:instrText xml:space="preserve"> PAGEREF _Toc240149235 \h </w:instrText>
          </w:r>
          <w:r>
            <w:rPr>
              <w:rFonts w:ascii="Times New Roman" w:hAnsi="Times New Roman"/>
              <w:b w:val="0"/>
              <w:bCs w:val="0"/>
              <w:i w:val="0"/>
              <w:iCs w:val="0"/>
            </w:rPr>
            <w:fldChar w:fldCharType="separate"/>
          </w:r>
          <w:r>
            <w:rPr>
              <w:rFonts w:ascii="Times New Roman" w:hAnsi="Times New Roman"/>
              <w:b w:val="0"/>
              <w:bCs w:val="0"/>
              <w:i w:val="0"/>
              <w:iCs w:val="0"/>
            </w:rPr>
            <w:t>23</w:t>
          </w:r>
          <w:r>
            <w:rPr>
              <w:rFonts w:ascii="Times New Roman" w:hAnsi="Times New Roman"/>
              <w:b w:val="0"/>
              <w:bCs w:val="0"/>
              <w:i w:val="0"/>
              <w:iCs w:val="0"/>
            </w:rPr>
            <w:fldChar w:fldCharType="end"/>
          </w:r>
          <w:r>
            <w:rPr>
              <w:rFonts w:ascii="Times New Roman" w:hAnsi="Times New Roman"/>
              <w:b w:val="0"/>
              <w:bCs w:val="0"/>
              <w:i w:val="0"/>
              <w:iCs w:val="0"/>
            </w:rPr>
            <w:fldChar w:fldCharType="end"/>
          </w:r>
        </w:p>
        <w:p w14:paraId="183E2A8C">
          <w:r>
            <w:fldChar w:fldCharType="end"/>
          </w:r>
        </w:p>
      </w:sdtContent>
    </w:sdt>
    <w:p w14:paraId="31F4C338">
      <w:pPr>
        <w:rPr>
          <w:b/>
          <w:sz w:val="28"/>
          <w:szCs w:val="28"/>
        </w:rPr>
      </w:pPr>
      <w:r>
        <w:rPr>
          <w:b/>
          <w:sz w:val="28"/>
          <w:szCs w:val="28"/>
        </w:rPr>
        <w:br w:type="page"/>
      </w:r>
    </w:p>
    <w:p w14:paraId="23F30DEF">
      <w:pPr>
        <w:jc w:val="center"/>
        <w:rPr>
          <w:b/>
          <w:sz w:val="28"/>
          <w:szCs w:val="28"/>
        </w:rPr>
      </w:pPr>
      <w:r>
        <w:rPr>
          <w:b/>
          <w:sz w:val="28"/>
          <w:szCs w:val="28"/>
        </w:rPr>
        <w:t>List of Figures</w:t>
      </w:r>
    </w:p>
    <w:p w14:paraId="3E6A51D5">
      <w:pPr>
        <w:pStyle w:val="12"/>
        <w:tabs>
          <w:tab w:val="right" w:leader="dot" w:pos="9019"/>
        </w:tabs>
        <w:rPr>
          <w:rFonts w:asciiTheme="minorHAnsi" w:hAnsiTheme="minorHAnsi" w:eastAsiaTheme="minorEastAsia" w:cstheme="minorBidi"/>
        </w:rPr>
      </w:pPr>
      <w:r>
        <w:rPr>
          <w:b/>
          <w:sz w:val="28"/>
          <w:szCs w:val="28"/>
        </w:rPr>
        <w:fldChar w:fldCharType="begin"/>
      </w:r>
      <w:r>
        <w:rPr>
          <w:b/>
          <w:sz w:val="28"/>
          <w:szCs w:val="28"/>
        </w:rPr>
        <w:instrText xml:space="preserve"> TOC \h \z \t "Heading 4" \c </w:instrText>
      </w:r>
      <w:r>
        <w:rPr>
          <w:b/>
          <w:sz w:val="28"/>
          <w:szCs w:val="28"/>
        </w:rPr>
        <w:fldChar w:fldCharType="separate"/>
      </w:r>
      <w:r>
        <w:fldChar w:fldCharType="begin"/>
      </w:r>
      <w:r>
        <w:instrText xml:space="preserve"> HYPERLINK \l "_Toc240147641" </w:instrText>
      </w:r>
      <w:r>
        <w:fldChar w:fldCharType="separate"/>
      </w:r>
      <w:r>
        <w:rPr>
          <w:rStyle w:val="10"/>
        </w:rPr>
        <w:t>Figure 1: Warehousing Process Flow</w:t>
      </w:r>
      <w:r>
        <w:tab/>
      </w:r>
      <w:r>
        <w:fldChar w:fldCharType="begin"/>
      </w:r>
      <w:r>
        <w:instrText xml:space="preserve"> PAGEREF _Toc240147641 \h </w:instrText>
      </w:r>
      <w:r>
        <w:fldChar w:fldCharType="separate"/>
      </w:r>
      <w:r>
        <w:t>8</w:t>
      </w:r>
      <w:r>
        <w:fldChar w:fldCharType="end"/>
      </w:r>
      <w:r>
        <w:fldChar w:fldCharType="end"/>
      </w:r>
    </w:p>
    <w:p w14:paraId="0FD22136">
      <w:pPr>
        <w:pStyle w:val="12"/>
        <w:tabs>
          <w:tab w:val="right" w:leader="dot" w:pos="9019"/>
        </w:tabs>
        <w:rPr>
          <w:rFonts w:asciiTheme="minorHAnsi" w:hAnsiTheme="minorHAnsi" w:eastAsiaTheme="minorEastAsia" w:cstheme="minorBidi"/>
        </w:rPr>
      </w:pPr>
      <w:r>
        <w:fldChar w:fldCharType="begin"/>
      </w:r>
      <w:r>
        <w:instrText xml:space="preserve"> HYPERLINK \l "_Toc240147642" </w:instrText>
      </w:r>
      <w:r>
        <w:fldChar w:fldCharType="separate"/>
      </w:r>
      <w:r>
        <w:rPr>
          <w:rStyle w:val="10"/>
        </w:rPr>
        <w:t>Figure 2: Textile Manufacturing Process Flow</w:t>
      </w:r>
      <w:r>
        <w:tab/>
      </w:r>
      <w:r>
        <w:fldChar w:fldCharType="begin"/>
      </w:r>
      <w:r>
        <w:instrText xml:space="preserve"> PAGEREF _Toc240147642 \h </w:instrText>
      </w:r>
      <w:r>
        <w:fldChar w:fldCharType="separate"/>
      </w:r>
      <w:r>
        <w:t>9</w:t>
      </w:r>
      <w:r>
        <w:fldChar w:fldCharType="end"/>
      </w:r>
      <w:r>
        <w:fldChar w:fldCharType="end"/>
      </w:r>
    </w:p>
    <w:p w14:paraId="0B50DD60">
      <w:pPr>
        <w:pStyle w:val="12"/>
        <w:tabs>
          <w:tab w:val="right" w:leader="dot" w:pos="9019"/>
        </w:tabs>
        <w:rPr>
          <w:rFonts w:asciiTheme="minorHAnsi" w:hAnsiTheme="minorHAnsi" w:eastAsiaTheme="minorEastAsia" w:cstheme="minorBidi"/>
        </w:rPr>
      </w:pPr>
      <w:r>
        <w:fldChar w:fldCharType="begin"/>
      </w:r>
      <w:r>
        <w:instrText xml:space="preserve"> HYPERLINK \l "_Toc240147643" </w:instrText>
      </w:r>
      <w:r>
        <w:fldChar w:fldCharType="separate"/>
      </w:r>
      <w:r>
        <w:rPr>
          <w:rStyle w:val="10"/>
        </w:rPr>
        <w:t>Figure 3: Baked Beans Production Process Flow</w:t>
      </w:r>
      <w:r>
        <w:tab/>
      </w:r>
      <w:r>
        <w:fldChar w:fldCharType="begin"/>
      </w:r>
      <w:r>
        <w:instrText xml:space="preserve"> PAGEREF _Toc240147643 \h </w:instrText>
      </w:r>
      <w:r>
        <w:fldChar w:fldCharType="separate"/>
      </w:r>
      <w:r>
        <w:t>11</w:t>
      </w:r>
      <w:r>
        <w:fldChar w:fldCharType="end"/>
      </w:r>
      <w:r>
        <w:fldChar w:fldCharType="end"/>
      </w:r>
    </w:p>
    <w:p w14:paraId="38496DAA">
      <w:pPr>
        <w:pStyle w:val="12"/>
        <w:tabs>
          <w:tab w:val="right" w:leader="dot" w:pos="9019"/>
        </w:tabs>
        <w:rPr>
          <w:rFonts w:asciiTheme="minorHAnsi" w:hAnsiTheme="minorHAnsi" w:eastAsiaTheme="minorEastAsia" w:cstheme="minorBidi"/>
        </w:rPr>
      </w:pPr>
      <w:r>
        <w:fldChar w:fldCharType="begin"/>
      </w:r>
      <w:r>
        <w:instrText xml:space="preserve"> HYPERLINK \l "_Toc240147644" </w:instrText>
      </w:r>
      <w:r>
        <w:fldChar w:fldCharType="separate"/>
      </w:r>
      <w:r>
        <w:rPr>
          <w:rStyle w:val="10"/>
        </w:rPr>
        <w:t>Figure 4: Comparison of Waste Levels</w:t>
      </w:r>
      <w:r>
        <w:tab/>
      </w:r>
      <w:r>
        <w:fldChar w:fldCharType="begin"/>
      </w:r>
      <w:r>
        <w:instrText xml:space="preserve"> PAGEREF _Toc240147644 \h </w:instrText>
      </w:r>
      <w:r>
        <w:fldChar w:fldCharType="separate"/>
      </w:r>
      <w:r>
        <w:t>15</w:t>
      </w:r>
      <w:r>
        <w:fldChar w:fldCharType="end"/>
      </w:r>
      <w:r>
        <w:fldChar w:fldCharType="end"/>
      </w:r>
    </w:p>
    <w:p w14:paraId="7400D8AA">
      <w:pPr>
        <w:rPr>
          <w:b/>
          <w:sz w:val="28"/>
          <w:szCs w:val="28"/>
        </w:rPr>
      </w:pPr>
      <w:r>
        <w:rPr>
          <w:b/>
          <w:sz w:val="28"/>
          <w:szCs w:val="28"/>
        </w:rPr>
        <w:fldChar w:fldCharType="end"/>
      </w:r>
    </w:p>
    <w:p w14:paraId="5F84DDA7"/>
    <w:p w14:paraId="07383F17">
      <w:pPr>
        <w:jc w:val="center"/>
        <w:rPr>
          <w:b/>
          <w:sz w:val="28"/>
          <w:szCs w:val="28"/>
        </w:rPr>
      </w:pPr>
      <w:r>
        <w:br w:type="page"/>
      </w:r>
      <w:r>
        <w:rPr>
          <w:b/>
          <w:color w:val="000000" w:themeColor="text1"/>
          <w:sz w:val="28"/>
          <w:szCs w:val="28"/>
          <w14:textFill>
            <w14:solidFill>
              <w14:schemeClr w14:val="tx1"/>
            </w14:solidFill>
          </w14:textFill>
        </w:rPr>
        <w:t>List of Tables</w:t>
      </w:r>
    </w:p>
    <w:p w14:paraId="13D90CA8">
      <w:pPr>
        <w:pStyle w:val="12"/>
        <w:tabs>
          <w:tab w:val="right" w:leader="dot" w:pos="9019"/>
        </w:tabs>
        <w:rPr>
          <w:rFonts w:asciiTheme="minorHAnsi" w:hAnsiTheme="minorHAnsi" w:eastAsiaTheme="minorEastAsia" w:cstheme="minorBidi"/>
        </w:rPr>
      </w:pPr>
      <w:r>
        <w:fldChar w:fldCharType="begin"/>
      </w:r>
      <w:r>
        <w:instrText xml:space="preserve"> TOC \h \z \t "Heading 5" \c </w:instrText>
      </w:r>
      <w:r>
        <w:fldChar w:fldCharType="separate"/>
      </w:r>
      <w:r>
        <w:fldChar w:fldCharType="begin"/>
      </w:r>
      <w:r>
        <w:instrText xml:space="preserve"> HYPERLINK \l "_Toc240147680" </w:instrText>
      </w:r>
      <w:r>
        <w:fldChar w:fldCharType="separate"/>
      </w:r>
      <w:r>
        <w:rPr>
          <w:rStyle w:val="10"/>
        </w:rPr>
        <w:t>Table 1: TIMWOOD Waste Identification – Online Retail Warehouse</w:t>
      </w:r>
      <w:r>
        <w:tab/>
      </w:r>
      <w:r>
        <w:fldChar w:fldCharType="begin"/>
      </w:r>
      <w:r>
        <w:instrText xml:space="preserve"> PAGEREF _Toc240147680 \h </w:instrText>
      </w:r>
      <w:r>
        <w:fldChar w:fldCharType="separate"/>
      </w:r>
      <w:r>
        <w:t>9</w:t>
      </w:r>
      <w:r>
        <w:fldChar w:fldCharType="end"/>
      </w:r>
      <w:r>
        <w:fldChar w:fldCharType="end"/>
      </w:r>
    </w:p>
    <w:p w14:paraId="08C73E75">
      <w:pPr>
        <w:pStyle w:val="12"/>
        <w:tabs>
          <w:tab w:val="right" w:leader="dot" w:pos="9019"/>
        </w:tabs>
        <w:rPr>
          <w:rFonts w:asciiTheme="minorHAnsi" w:hAnsiTheme="minorHAnsi" w:eastAsiaTheme="minorEastAsia" w:cstheme="minorBidi"/>
        </w:rPr>
      </w:pPr>
      <w:r>
        <w:fldChar w:fldCharType="begin"/>
      </w:r>
      <w:r>
        <w:instrText xml:space="preserve"> HYPERLINK \l "_Toc240147681" </w:instrText>
      </w:r>
      <w:r>
        <w:fldChar w:fldCharType="separate"/>
      </w:r>
      <w:r>
        <w:rPr>
          <w:rStyle w:val="10"/>
        </w:rPr>
        <w:t>Table 2: TIMWOOD Waste Identification in Textile Manufacturing</w:t>
      </w:r>
      <w:r>
        <w:tab/>
      </w:r>
      <w:r>
        <w:fldChar w:fldCharType="begin"/>
      </w:r>
      <w:r>
        <w:instrText xml:space="preserve"> PAGEREF _Toc240147681 \h </w:instrText>
      </w:r>
      <w:r>
        <w:fldChar w:fldCharType="separate"/>
      </w:r>
      <w:r>
        <w:t>10</w:t>
      </w:r>
      <w:r>
        <w:fldChar w:fldCharType="end"/>
      </w:r>
      <w:r>
        <w:fldChar w:fldCharType="end"/>
      </w:r>
    </w:p>
    <w:p w14:paraId="5EB3D589">
      <w:pPr>
        <w:pStyle w:val="12"/>
        <w:tabs>
          <w:tab w:val="right" w:leader="dot" w:pos="9019"/>
        </w:tabs>
        <w:rPr>
          <w:rFonts w:asciiTheme="minorHAnsi" w:hAnsiTheme="minorHAnsi" w:eastAsiaTheme="minorEastAsia" w:cstheme="minorBidi"/>
        </w:rPr>
      </w:pPr>
      <w:r>
        <w:fldChar w:fldCharType="begin"/>
      </w:r>
      <w:r>
        <w:instrText xml:space="preserve"> HYPERLINK \l "_Toc240147682" </w:instrText>
      </w:r>
      <w:r>
        <w:fldChar w:fldCharType="separate"/>
      </w:r>
      <w:r>
        <w:rPr>
          <w:rStyle w:val="10"/>
        </w:rPr>
        <w:t>Table 3: TIMWOOD Waste Identification in Baked Beans Production</w:t>
      </w:r>
      <w:r>
        <w:tab/>
      </w:r>
      <w:r>
        <w:fldChar w:fldCharType="begin"/>
      </w:r>
      <w:r>
        <w:instrText xml:space="preserve"> PAGEREF _Toc240147682 \h </w:instrText>
      </w:r>
      <w:r>
        <w:fldChar w:fldCharType="separate"/>
      </w:r>
      <w:r>
        <w:t>12</w:t>
      </w:r>
      <w:r>
        <w:fldChar w:fldCharType="end"/>
      </w:r>
      <w:r>
        <w:fldChar w:fldCharType="end"/>
      </w:r>
    </w:p>
    <w:p w14:paraId="3413CA1A">
      <w:pPr>
        <w:pStyle w:val="12"/>
        <w:tabs>
          <w:tab w:val="right" w:leader="dot" w:pos="9019"/>
        </w:tabs>
        <w:rPr>
          <w:rFonts w:asciiTheme="minorHAnsi" w:hAnsiTheme="minorHAnsi" w:eastAsiaTheme="minorEastAsia" w:cstheme="minorBidi"/>
        </w:rPr>
      </w:pPr>
      <w:r>
        <w:fldChar w:fldCharType="begin"/>
      </w:r>
      <w:r>
        <w:instrText xml:space="preserve"> HYPERLINK \l "_Toc240147683" </w:instrText>
      </w:r>
      <w:r>
        <w:fldChar w:fldCharType="separate"/>
      </w:r>
      <w:r>
        <w:rPr>
          <w:rStyle w:val="10"/>
        </w:rPr>
        <w:t>Table 4: Quantification of Warehouse Waste</w:t>
      </w:r>
      <w:r>
        <w:tab/>
      </w:r>
      <w:r>
        <w:fldChar w:fldCharType="begin"/>
      </w:r>
      <w:r>
        <w:instrText xml:space="preserve"> PAGEREF _Toc240147683 \h </w:instrText>
      </w:r>
      <w:r>
        <w:fldChar w:fldCharType="separate"/>
      </w:r>
      <w:r>
        <w:t>13</w:t>
      </w:r>
      <w:r>
        <w:fldChar w:fldCharType="end"/>
      </w:r>
      <w:r>
        <w:fldChar w:fldCharType="end"/>
      </w:r>
    </w:p>
    <w:p w14:paraId="763D1F68">
      <w:pPr>
        <w:pStyle w:val="12"/>
        <w:tabs>
          <w:tab w:val="right" w:leader="dot" w:pos="9019"/>
        </w:tabs>
        <w:rPr>
          <w:rFonts w:asciiTheme="minorHAnsi" w:hAnsiTheme="minorHAnsi" w:eastAsiaTheme="minorEastAsia" w:cstheme="minorBidi"/>
        </w:rPr>
      </w:pPr>
      <w:r>
        <w:fldChar w:fldCharType="begin"/>
      </w:r>
      <w:r>
        <w:instrText xml:space="preserve"> HYPERLINK \l "_Toc240147684" </w:instrText>
      </w:r>
      <w:r>
        <w:fldChar w:fldCharType="separate"/>
      </w:r>
      <w:r>
        <w:rPr>
          <w:rStyle w:val="10"/>
        </w:rPr>
        <w:t>Table 5: Quantification of Textile Manufacturing Waste</w:t>
      </w:r>
      <w:r>
        <w:tab/>
      </w:r>
      <w:r>
        <w:fldChar w:fldCharType="begin"/>
      </w:r>
      <w:r>
        <w:instrText xml:space="preserve"> PAGEREF _Toc240147684 \h </w:instrText>
      </w:r>
      <w:r>
        <w:fldChar w:fldCharType="separate"/>
      </w:r>
      <w:r>
        <w:t>13</w:t>
      </w:r>
      <w:r>
        <w:fldChar w:fldCharType="end"/>
      </w:r>
      <w:r>
        <w:fldChar w:fldCharType="end"/>
      </w:r>
    </w:p>
    <w:p w14:paraId="21EAE26D">
      <w:pPr>
        <w:pStyle w:val="12"/>
        <w:tabs>
          <w:tab w:val="right" w:leader="dot" w:pos="9019"/>
        </w:tabs>
        <w:rPr>
          <w:rFonts w:asciiTheme="minorHAnsi" w:hAnsiTheme="minorHAnsi" w:eastAsiaTheme="minorEastAsia" w:cstheme="minorBidi"/>
        </w:rPr>
      </w:pPr>
      <w:r>
        <w:fldChar w:fldCharType="begin"/>
      </w:r>
      <w:r>
        <w:instrText xml:space="preserve"> HYPERLINK \l "_Toc240147685" </w:instrText>
      </w:r>
      <w:r>
        <w:fldChar w:fldCharType="separate"/>
      </w:r>
      <w:r>
        <w:rPr>
          <w:rStyle w:val="10"/>
        </w:rPr>
        <w:t>Table 6: Quantification of Food Production Waste</w:t>
      </w:r>
      <w:r>
        <w:tab/>
      </w:r>
      <w:r>
        <w:fldChar w:fldCharType="begin"/>
      </w:r>
      <w:r>
        <w:instrText xml:space="preserve"> PAGEREF _Toc240147685 \h </w:instrText>
      </w:r>
      <w:r>
        <w:fldChar w:fldCharType="separate"/>
      </w:r>
      <w:r>
        <w:t>14</w:t>
      </w:r>
      <w:r>
        <w:fldChar w:fldCharType="end"/>
      </w:r>
      <w:r>
        <w:fldChar w:fldCharType="end"/>
      </w:r>
    </w:p>
    <w:p w14:paraId="4AFD3D00">
      <w:pPr>
        <w:pStyle w:val="12"/>
        <w:tabs>
          <w:tab w:val="right" w:leader="dot" w:pos="9019"/>
        </w:tabs>
        <w:rPr>
          <w:rFonts w:asciiTheme="minorHAnsi" w:hAnsiTheme="minorHAnsi" w:eastAsiaTheme="minorEastAsia" w:cstheme="minorBidi"/>
        </w:rPr>
      </w:pPr>
      <w:r>
        <w:fldChar w:fldCharType="begin"/>
      </w:r>
      <w:r>
        <w:instrText xml:space="preserve"> HYPERLINK \l "_Toc240147686" </w:instrText>
      </w:r>
      <w:r>
        <w:fldChar w:fldCharType="separate"/>
      </w:r>
      <w:r>
        <w:rPr>
          <w:rStyle w:val="10"/>
        </w:rPr>
        <w:t>Table 7: Overall Comparison of Proposed Improvements</w:t>
      </w:r>
      <w:r>
        <w:tab/>
      </w:r>
      <w:r>
        <w:fldChar w:fldCharType="begin"/>
      </w:r>
      <w:r>
        <w:instrText xml:space="preserve"> PAGEREF _Toc240147686 \h </w:instrText>
      </w:r>
      <w:r>
        <w:fldChar w:fldCharType="separate"/>
      </w:r>
      <w:r>
        <w:t>16</w:t>
      </w:r>
      <w:r>
        <w:fldChar w:fldCharType="end"/>
      </w:r>
      <w:r>
        <w:fldChar w:fldCharType="end"/>
      </w:r>
    </w:p>
    <w:p w14:paraId="7019F4D3">
      <w:r>
        <w:fldChar w:fldCharType="end"/>
      </w:r>
      <w:r>
        <w:br w:type="page"/>
      </w:r>
    </w:p>
    <w:p w14:paraId="2ED23BF6">
      <w:pPr>
        <w:pStyle w:val="2"/>
      </w:pPr>
      <w:bookmarkStart w:id="8" w:name="_Toc240149211"/>
      <w:r>
        <w:t>Introduction</w:t>
      </w:r>
      <w:bookmarkEnd w:id="8"/>
    </w:p>
    <w:p w14:paraId="52532934">
      <w:pPr>
        <w:pStyle w:val="3"/>
      </w:pPr>
      <w:bookmarkStart w:id="9" w:name="_i0eprdm9i6az" w:colFirst="0" w:colLast="0"/>
      <w:bookmarkEnd w:id="9"/>
      <w:bookmarkStart w:id="10" w:name="_Toc240149212"/>
      <w:r>
        <w:t>Warehousing Operations for an Online Retailer</w:t>
      </w:r>
      <w:bookmarkEnd w:id="10"/>
    </w:p>
    <w:p w14:paraId="5B608BC0">
      <w:r>
        <w:t>The first environment chosen is a warehousing task of an e-commerce retailer. Logistics is a very fast-paced environment where everything is about getting these things here, putting them in storage, picking them up, packing and then getting them dispatched. The company has been carefully selected as it operates in a dynamic logistics and supply chain environment that's different from manufacturing. Rapid order fulfilment is the key to customer satisfaction in an e-commerce business. This is an ideal micro sample of material handling and order picking, allowing Lean Six Sigma principles to be used to examine how the elimination of waste in these activities can directly affect cycle time and service delivery using a high-volume distribution network.</w:t>
      </w:r>
    </w:p>
    <w:p w14:paraId="21DE391E">
      <w:pPr>
        <w:pStyle w:val="3"/>
      </w:pPr>
      <w:bookmarkStart w:id="11" w:name="_3n0mcy7zj11c" w:colFirst="0" w:colLast="0"/>
      <w:bookmarkEnd w:id="11"/>
      <w:bookmarkStart w:id="12" w:name="_Toc240149213"/>
      <w:r>
        <w:t>Textile Manufacturing Operation Producing Clothes</w:t>
      </w:r>
      <w:bookmarkEnd w:id="12"/>
    </w:p>
    <w:p w14:paraId="6541EABE">
      <w:r>
        <w:t>The second target is a textile production place which is making clothes. This setting was chosen as an example of a discrete manufacturing facility, which is a factory with clearly identifiable production stages. Operation highlights include fabric cutting, sewing, inspection, moving material from one workstation to another and handling finished goods. The textile industry is traditionally labour-intensive and subject to batch and queue processing, so it can often suffer from bottlenecks, excessive work in progress and rework. Study of this operation reveals the application of Lean Six Sigma (Six Sigma) concepts to coordinate manual processes, balance the lines and ensure excellent quality at the source in a multi-stage discrete manufacturing facility.</w:t>
      </w:r>
    </w:p>
    <w:p w14:paraId="2CD779BB">
      <w:pPr>
        <w:pStyle w:val="3"/>
      </w:pPr>
      <w:bookmarkStart w:id="13" w:name="_m5oy4rfv8c7c" w:colFirst="0" w:colLast="0"/>
      <w:bookmarkEnd w:id="13"/>
      <w:bookmarkStart w:id="14" w:name="_Toc240149214"/>
      <w:r>
        <w:t>Food Production- Baked Beans</w:t>
      </w:r>
      <w:bookmarkEnd w:id="14"/>
    </w:p>
    <w:p w14:paraId="6165B454">
      <w:r>
        <w:t>The third chosen site is a food production site that produces baked beans. This environment has been carefully selected to highlight the route of continuous process manufacturing, which is quite different to discrete manufacturing and logistics. Topics under investigation include raw material handling, preparation, cooking, filling, sealing, packaging and inspection. Food processing is highly regulated by both health and safety guidelines, and there could be a lot of waste because of product spoilage, process variation or non-compliance with the guidelines. The use of Lean Six Sigma in this automated, high-volume environment demonstrates how to eliminate over-processing while reducing equipment downtime to improve continuous flows, minimise losses of material and ensure high quality control standards are met.</w:t>
      </w:r>
    </w:p>
    <w:p w14:paraId="15C3D99A">
      <w:pPr>
        <w:pStyle w:val="2"/>
      </w:pPr>
      <w:bookmarkStart w:id="15" w:name="_Toc240149215"/>
      <w:r>
        <w:t>Waste Investigation</w:t>
      </w:r>
      <w:bookmarkEnd w:id="15"/>
    </w:p>
    <w:p w14:paraId="157FAFAE">
      <w:pPr>
        <w:pStyle w:val="3"/>
      </w:pPr>
      <w:bookmarkStart w:id="16" w:name="_31yf1emnojzw" w:colFirst="0" w:colLast="0"/>
      <w:bookmarkEnd w:id="16"/>
      <w:bookmarkStart w:id="17" w:name="_Toc240149216"/>
      <w:r>
        <w:t>Warehousing Operations for an Online Retailer</w:t>
      </w:r>
      <w:bookmarkEnd w:id="17"/>
    </w:p>
    <w:p w14:paraId="5E836BAB">
      <w:pPr>
        <w:rPr>
          <w:b/>
          <w:bCs/>
          <w:i/>
          <w:iCs/>
        </w:rPr>
      </w:pPr>
      <w:r>
        <w:rPr>
          <w:b/>
          <w:bCs/>
          <w:i/>
          <w:iCs/>
        </w:rPr>
        <w:t>Current Process</w:t>
      </w:r>
    </w:p>
    <w:p w14:paraId="72C66791">
      <w:r>
        <w:t xml:space="preserve">The current warehousing process starts at the receiving dock, where goods are unloaded from trucks. Items are unloaded, inspected and stored according to product demand by staff before being moved to storage aisles. Picking staff roam the aisles when a customer orders something to get the correct items. The items are next transferred to a packing station where they are boxed, closed, and labelled. Lastly, the packages are set in the dispatch zone for pickup by the outbound carriers to the customer (Năstase </w:t>
      </w:r>
      <w:r>
        <w:rPr>
          <w:i/>
          <w:iCs/>
        </w:rPr>
        <w:t xml:space="preserve">et al. </w:t>
      </w:r>
      <w:r>
        <w:t>2023).</w:t>
      </w:r>
    </w:p>
    <w:p w14:paraId="40802DD2">
      <w:pPr>
        <w:jc w:val="center"/>
      </w:pPr>
      <w:r>
        <w:drawing>
          <wp:inline distT="114300" distB="114300" distL="114300" distR="114300">
            <wp:extent cx="5730875" cy="5715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11"/>
                    <a:srcRect/>
                    <a:stretch>
                      <a:fillRect/>
                    </a:stretch>
                  </pic:blipFill>
                  <pic:spPr>
                    <a:xfrm>
                      <a:off x="0" y="0"/>
                      <a:ext cx="5731200" cy="571500"/>
                    </a:xfrm>
                    <a:prstGeom prst="rect">
                      <a:avLst/>
                    </a:prstGeom>
                    <a:ln w="12700">
                      <a:solidFill>
                        <a:srgbClr val="000000"/>
                      </a:solidFill>
                      <a:prstDash val="solid"/>
                    </a:ln>
                  </pic:spPr>
                </pic:pic>
              </a:graphicData>
            </a:graphic>
          </wp:inline>
        </w:drawing>
      </w:r>
    </w:p>
    <w:p w14:paraId="106AACC8">
      <w:pPr>
        <w:pStyle w:val="5"/>
      </w:pPr>
      <w:bookmarkStart w:id="18" w:name="_e5at7bcq17rn" w:colFirst="0" w:colLast="0"/>
      <w:bookmarkEnd w:id="18"/>
      <w:bookmarkStart w:id="19" w:name="_Toc240147641"/>
      <w:r>
        <w:t>Figure 1: Warehousing Process Flow</w:t>
      </w:r>
      <w:bookmarkEnd w:id="19"/>
    </w:p>
    <w:p w14:paraId="67731FD0">
      <w:pPr>
        <w:jc w:val="center"/>
      </w:pPr>
      <w:r>
        <w:t>(Source: Self-made in draw.io)</w:t>
      </w:r>
    </w:p>
    <w:p w14:paraId="46986061">
      <w:r>
        <w:t xml:space="preserve">Figure 1 shows the sequence by which the goods are moved in a system. It highlights receiving, storage, picking, packing, and dispatch activities of an online retailer. </w:t>
      </w:r>
    </w:p>
    <w:p w14:paraId="5EB63FB4">
      <w:pPr>
        <w:rPr>
          <w:b/>
          <w:bCs/>
          <w:i/>
          <w:iCs/>
        </w:rPr>
      </w:pPr>
      <w:r>
        <w:rPr>
          <w:b/>
          <w:bCs/>
          <w:i/>
          <w:iCs/>
        </w:rPr>
        <w:t>TIMWOOD Waste Investigation</w:t>
      </w:r>
    </w:p>
    <w:p w14:paraId="10B6CDC3">
      <w:r>
        <w:t>Applying the TIMWOOD framework reveals multiple inefficiencies within the warehouse workflow, identifying key areas where non-value-added activities occur (Habib and Hassanein, 2023).</w:t>
      </w:r>
    </w:p>
    <w:tbl>
      <w:tblPr>
        <w:tblStyle w:val="24"/>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1854"/>
        <w:gridCol w:w="7375"/>
      </w:tblGrid>
      <w:tr w14:paraId="6A58426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95B3D7" w:themeFill="accent1" w:themeFillTint="99"/>
            <w:tcMar>
              <w:top w:w="100" w:type="dxa"/>
              <w:left w:w="100" w:type="dxa"/>
              <w:bottom w:w="100" w:type="dxa"/>
              <w:right w:w="100" w:type="dxa"/>
            </w:tcMar>
          </w:tcPr>
          <w:p w14:paraId="50005E7F">
            <w:pPr>
              <w:jc w:val="center"/>
            </w:pPr>
            <w:r>
              <w:rPr>
                <w:b/>
                <w:bCs/>
              </w:rPr>
              <w:t>Waste</w:t>
            </w:r>
          </w:p>
        </w:tc>
        <w:tc>
          <w:tcPr>
            <w:tcW w:w="0" w:type="auto"/>
            <w:tcBorders>
              <w:top w:val="single" w:color="000000" w:sz="4" w:space="0"/>
              <w:left w:val="single" w:color="000000" w:sz="4" w:space="0"/>
              <w:bottom w:val="single" w:color="000000" w:sz="4" w:space="0"/>
              <w:right w:val="single" w:color="000000" w:sz="4" w:space="0"/>
            </w:tcBorders>
            <w:shd w:val="clear" w:color="auto" w:fill="95B3D7" w:themeFill="accent1" w:themeFillTint="99"/>
            <w:tcMar>
              <w:top w:w="100" w:type="dxa"/>
              <w:left w:w="100" w:type="dxa"/>
              <w:bottom w:w="100" w:type="dxa"/>
              <w:right w:w="100" w:type="dxa"/>
            </w:tcMar>
          </w:tcPr>
          <w:p w14:paraId="393611DE">
            <w:pPr>
              <w:jc w:val="center"/>
            </w:pPr>
            <w:r>
              <w:rPr>
                <w:b/>
                <w:bCs/>
              </w:rPr>
              <w:t>Warehouse Examples</w:t>
            </w:r>
          </w:p>
        </w:tc>
      </w:tr>
      <w:tr w14:paraId="69D5748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6F8FBBB">
            <w:r>
              <w:rPr>
                <w:b/>
                <w:bCs/>
              </w:rPr>
              <w:t>Transportation</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8DE0E40">
            <w:r>
              <w:t>Moving goods excessively between receiving, storage, picking, packing and dispatch zones.</w:t>
            </w:r>
          </w:p>
        </w:tc>
      </w:tr>
      <w:tr w14:paraId="72EA24C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CE36F1A">
            <w:r>
              <w:rPr>
                <w:b/>
                <w:bCs/>
              </w:rPr>
              <w:t>Inventory</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C2A040B">
            <w:r>
              <w:t>Holding excess stock that occupies warehouse space and increases storage requirements.</w:t>
            </w:r>
          </w:p>
        </w:tc>
      </w:tr>
      <w:tr w14:paraId="464BA30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B9135F7">
            <w:r>
              <w:rPr>
                <w:b/>
                <w:bCs/>
              </w:rPr>
              <w:t>Motion</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CD01894">
            <w:r>
              <w:t>Unnecessary walking and searching by picking staff when retrieving customer orders.</w:t>
            </w:r>
          </w:p>
        </w:tc>
      </w:tr>
      <w:tr w14:paraId="2B86B46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EBB4041">
            <w:r>
              <w:rPr>
                <w:b/>
                <w:bCs/>
              </w:rPr>
              <w:t>Waiting</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09CD43B">
            <w:r>
              <w:t>Packers waiting for picked items, replenishment or stock availability.</w:t>
            </w:r>
          </w:p>
        </w:tc>
      </w:tr>
      <w:tr w14:paraId="768BB38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9C291A7">
            <w:r>
              <w:rPr>
                <w:b/>
                <w:bCs/>
              </w:rPr>
              <w:t>Overproduction</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85A9825">
            <w:r>
              <w:t>Picking or preparing items before they are required for customer orders or dispatch.</w:t>
            </w:r>
          </w:p>
        </w:tc>
      </w:tr>
      <w:tr w14:paraId="0FAB7A1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8735E6B">
            <w:r>
              <w:rPr>
                <w:b/>
                <w:bCs/>
              </w:rPr>
              <w:t>Overprocessing</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CFA0C02">
            <w:r>
              <w:t>Repeated scanning, checking or recording of the same item or order.</w:t>
            </w:r>
          </w:p>
        </w:tc>
      </w:tr>
      <w:tr w14:paraId="175BA98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077F4F6">
            <w:r>
              <w:rPr>
                <w:b/>
                <w:bCs/>
              </w:rPr>
              <w:t>Defects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4FD6013">
            <w:r>
              <w:t>Picking incorrect items, quantities or products, resulting in corrections and rework.</w:t>
            </w:r>
          </w:p>
        </w:tc>
      </w:tr>
    </w:tbl>
    <w:p w14:paraId="32832D62">
      <w:pPr>
        <w:pStyle w:val="6"/>
      </w:pPr>
      <w:bookmarkStart w:id="20" w:name="_krulohukrwu4" w:colFirst="0" w:colLast="0"/>
      <w:bookmarkEnd w:id="20"/>
      <w:bookmarkStart w:id="21" w:name="_Toc240147680"/>
      <w:r>
        <w:t>Table 1: TIMWOOD Waste Identification – Online Retail Warehouse</w:t>
      </w:r>
      <w:bookmarkEnd w:id="21"/>
    </w:p>
    <w:p w14:paraId="6D70C8D0">
      <w:pPr>
        <w:jc w:val="center"/>
      </w:pPr>
      <w:r>
        <w:t>(Source: Self-made)</w:t>
      </w:r>
    </w:p>
    <w:p w14:paraId="1AD4C6F4">
      <w:r>
        <w:t>The table identifies the seven types of Lean waste occurring within the online retail warehouse. This links each TIMWOOD category to a specific example from receiving, storage, picking, packing and dispatch activities.</w:t>
      </w:r>
    </w:p>
    <w:p w14:paraId="6FE14DFD">
      <w:pPr>
        <w:rPr>
          <w:b/>
          <w:bCs/>
          <w:i/>
          <w:iCs/>
        </w:rPr>
      </w:pPr>
      <w:r>
        <w:rPr>
          <w:b/>
          <w:bCs/>
          <w:i/>
          <w:iCs/>
        </w:rPr>
        <w:t>Two Priority Waste Areas</w:t>
      </w:r>
    </w:p>
    <w:p w14:paraId="3179CA76">
      <w:pPr>
        <w:numPr>
          <w:ilvl w:val="0"/>
          <w:numId w:val="1"/>
        </w:numPr>
      </w:pPr>
      <w:r>
        <w:t xml:space="preserve">Motion is one of the two most urgent waste areas that needs urgency which occurs in the warehouse environment. The need to reduce motion is critical, because picking to bring motion to staff sends good orders to the detriment of labour costs, since each unnecessary walk is an additional sum to be paid. From an operational point of view, it is important to minimise this movement (Adeodu </w:t>
      </w:r>
      <w:r>
        <w:rPr>
          <w:i/>
          <w:iCs/>
        </w:rPr>
        <w:t>et al.</w:t>
      </w:r>
      <w:r>
        <w:t xml:space="preserve"> 2023). </w:t>
      </w:r>
    </w:p>
    <w:p w14:paraId="2858EBE8">
      <w:pPr>
        <w:numPr>
          <w:ilvl w:val="0"/>
          <w:numId w:val="1"/>
        </w:numPr>
      </w:pPr>
      <w:r>
        <w:t xml:space="preserve">Waiting can be as much of a problem too, as waiting time for picked items and idle labour time when stock is being replenished adds no customer value (Năstase </w:t>
      </w:r>
      <w:r>
        <w:rPr>
          <w:i/>
          <w:iCs/>
        </w:rPr>
        <w:t>et al.</w:t>
      </w:r>
      <w:r>
        <w:t xml:space="preserve"> 2023). </w:t>
      </w:r>
    </w:p>
    <w:p w14:paraId="765EF15B">
      <w:pPr>
        <w:pStyle w:val="3"/>
      </w:pPr>
      <w:bookmarkStart w:id="22" w:name="_3xp26775p97" w:colFirst="0" w:colLast="0"/>
      <w:bookmarkEnd w:id="22"/>
      <w:bookmarkStart w:id="23" w:name="_Toc240149217"/>
      <w:r>
        <w:t>Textile Manufacturing Operation: Producing Clothes</w:t>
      </w:r>
      <w:bookmarkEnd w:id="23"/>
      <w:r>
        <w:t xml:space="preserve"> </w:t>
      </w:r>
    </w:p>
    <w:p w14:paraId="335E143D">
      <w:pPr>
        <w:rPr>
          <w:b/>
          <w:bCs/>
          <w:i/>
          <w:iCs/>
        </w:rPr>
      </w:pPr>
      <w:r>
        <w:rPr>
          <w:b/>
          <w:bCs/>
          <w:i/>
          <w:iCs/>
        </w:rPr>
        <w:t>Current Process</w:t>
      </w:r>
    </w:p>
    <w:p w14:paraId="3B3B3C75">
      <w:r>
        <w:t>The primary processes in textile manufacturing start with receiving raw fabric. The material is delivered to the cutting area, is layered, and cut into garment patterns. These combined units are carried to the sewing area where a series of operators form the garments (Sheel, 2025). After being assembled, clothing is subjected to quality checking to verify that the stitching is correct. Appropriate dress is taken to the completion station where it is ironed and folded. Finally, the completed garments are packed and moved to the finished goods room for dispatch (Issa, 2026).</w:t>
      </w:r>
    </w:p>
    <w:p w14:paraId="6A8B153D">
      <w:pPr>
        <w:jc w:val="center"/>
      </w:pPr>
      <w:r>
        <w:drawing>
          <wp:inline distT="114300" distB="114300" distL="114300" distR="114300">
            <wp:extent cx="5730875" cy="584200"/>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referRelativeResize="0"/>
                  </pic:nvPicPr>
                  <pic:blipFill>
                    <a:blip r:embed="rId12"/>
                    <a:srcRect/>
                    <a:stretch>
                      <a:fillRect/>
                    </a:stretch>
                  </pic:blipFill>
                  <pic:spPr>
                    <a:xfrm>
                      <a:off x="0" y="0"/>
                      <a:ext cx="5731200" cy="584200"/>
                    </a:xfrm>
                    <a:prstGeom prst="rect">
                      <a:avLst/>
                    </a:prstGeom>
                    <a:ln w="12700">
                      <a:solidFill>
                        <a:srgbClr val="000000"/>
                      </a:solidFill>
                      <a:prstDash val="solid"/>
                    </a:ln>
                  </pic:spPr>
                </pic:pic>
              </a:graphicData>
            </a:graphic>
          </wp:inline>
        </w:drawing>
      </w:r>
    </w:p>
    <w:p w14:paraId="74BAC2F6">
      <w:pPr>
        <w:pStyle w:val="5"/>
      </w:pPr>
      <w:bookmarkStart w:id="24" w:name="_lwl0jgt2ak7" w:colFirst="0" w:colLast="0"/>
      <w:bookmarkEnd w:id="24"/>
      <w:bookmarkStart w:id="25" w:name="_Toc240147642"/>
      <w:r>
        <w:t>Figure 2: Textile Manufacturing Process Flow</w:t>
      </w:r>
      <w:bookmarkEnd w:id="25"/>
    </w:p>
    <w:p w14:paraId="3BD65699">
      <w:pPr>
        <w:jc w:val="center"/>
      </w:pPr>
      <w:r>
        <w:t>(Source: Self-made in draw.io)</w:t>
      </w:r>
    </w:p>
    <w:p w14:paraId="28C4EF8B">
      <w:r>
        <w:t xml:space="preserve">The diagram shown in Figure 2 maps the discrete manufacturing stages for clothing production. It tracks fabric from cutting through to final packaging in a manufacturing operation. </w:t>
      </w:r>
    </w:p>
    <w:p w14:paraId="262677AC">
      <w:pPr>
        <w:rPr>
          <w:b/>
          <w:bCs/>
          <w:i/>
          <w:iCs/>
        </w:rPr>
      </w:pPr>
      <w:r>
        <w:rPr>
          <w:b/>
          <w:bCs/>
          <w:i/>
          <w:iCs/>
        </w:rPr>
        <w:t>TIMWOOD Waste Investigation</w:t>
      </w:r>
    </w:p>
    <w:p w14:paraId="2CC9C299">
      <w:r>
        <w:t xml:space="preserve">Evaluating the textile operation using the TIMWOOD framework identifies several specific non-value-added activities that disrupt the overall manufacturing flow (Hameed </w:t>
      </w:r>
      <w:r>
        <w:rPr>
          <w:i/>
          <w:iCs/>
        </w:rPr>
        <w:t>et al.</w:t>
      </w:r>
      <w:r>
        <w:t xml:space="preserve"> 2024).</w:t>
      </w:r>
    </w:p>
    <w:tbl>
      <w:tblPr>
        <w:tblStyle w:val="25"/>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1854"/>
        <w:gridCol w:w="7375"/>
      </w:tblGrid>
      <w:tr w14:paraId="5280F94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C2D69B" w:themeFill="accent3" w:themeFillTint="99"/>
            <w:tcMar>
              <w:top w:w="100" w:type="dxa"/>
              <w:left w:w="100" w:type="dxa"/>
              <w:bottom w:w="100" w:type="dxa"/>
              <w:right w:w="100" w:type="dxa"/>
            </w:tcMar>
          </w:tcPr>
          <w:p w14:paraId="533B3B80">
            <w:pPr>
              <w:jc w:val="center"/>
            </w:pPr>
            <w:r>
              <w:rPr>
                <w:b/>
                <w:bCs/>
              </w:rPr>
              <w:t>Waste</w:t>
            </w:r>
          </w:p>
        </w:tc>
        <w:tc>
          <w:tcPr>
            <w:tcW w:w="0" w:type="auto"/>
            <w:tcBorders>
              <w:top w:val="single" w:color="000000" w:sz="4" w:space="0"/>
              <w:left w:val="single" w:color="000000" w:sz="4" w:space="0"/>
              <w:bottom w:val="single" w:color="000000" w:sz="4" w:space="0"/>
              <w:right w:val="single" w:color="000000" w:sz="4" w:space="0"/>
            </w:tcBorders>
            <w:shd w:val="clear" w:color="auto" w:fill="C2D69B" w:themeFill="accent3" w:themeFillTint="99"/>
            <w:tcMar>
              <w:top w:w="100" w:type="dxa"/>
              <w:left w:w="100" w:type="dxa"/>
              <w:bottom w:w="100" w:type="dxa"/>
              <w:right w:w="100" w:type="dxa"/>
            </w:tcMar>
          </w:tcPr>
          <w:p w14:paraId="22668820">
            <w:pPr>
              <w:jc w:val="center"/>
            </w:pPr>
            <w:r>
              <w:rPr>
                <w:b/>
                <w:bCs/>
              </w:rPr>
              <w:t>Textile Manufacturing Examples</w:t>
            </w:r>
          </w:p>
        </w:tc>
      </w:tr>
      <w:tr w14:paraId="7B1C306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8E922B1">
            <w:r>
              <w:rPr>
                <w:b/>
                <w:bCs/>
              </w:rPr>
              <w:t>Transportation</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2E4B5B8">
            <w:r>
              <w:t>Moving fabric batches and semi-finished garments unnecessarily between departments.</w:t>
            </w:r>
          </w:p>
        </w:tc>
      </w:tr>
      <w:tr w14:paraId="1368DF1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378DF98">
            <w:r>
              <w:rPr>
                <w:b/>
                <w:bCs/>
              </w:rPr>
              <w:t>Inventory</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F26827D">
            <w:r>
              <w:t>Excess work-in-progress accumulating between cutting, sewing and inspection stages.</w:t>
            </w:r>
          </w:p>
        </w:tc>
      </w:tr>
      <w:tr w14:paraId="22C962A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94220A3">
            <w:r>
              <w:rPr>
                <w:b/>
                <w:bCs/>
              </w:rPr>
              <w:t>Motion</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8EACD0E">
            <w:r>
              <w:t>Operators making unnecessary movements or reaching repeatedly to collect materials and tools.</w:t>
            </w:r>
          </w:p>
        </w:tc>
      </w:tr>
      <w:tr w14:paraId="57CDA61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2D9C4CF">
            <w:r>
              <w:rPr>
                <w:b/>
                <w:bCs/>
              </w:rPr>
              <w:t>Waiting</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75FF884">
            <w:r>
              <w:t>Operators remaining idle while waiting for materials, previous production stages or inspections.</w:t>
            </w:r>
          </w:p>
        </w:tc>
      </w:tr>
      <w:tr w14:paraId="09430F3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769746F">
            <w:r>
              <w:rPr>
                <w:b/>
                <w:bCs/>
              </w:rPr>
              <w:t>Overproduction</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3A48303">
            <w:r>
              <w:t>Producing garments before confirmed customer demand or production requirements.</w:t>
            </w:r>
          </w:p>
        </w:tc>
      </w:tr>
      <w:tr w14:paraId="2C4B1E5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CAC6874">
            <w:r>
              <w:rPr>
                <w:b/>
                <w:bCs/>
              </w:rPr>
              <w:t>Overprocessing</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D302D6B">
            <w:r>
              <w:t>Repeated inspections, unnecessary finishing activities or avoidable rework.</w:t>
            </w:r>
          </w:p>
        </w:tc>
      </w:tr>
      <w:tr w14:paraId="2C72C6A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8D7B97C">
            <w:r>
              <w:rPr>
                <w:b/>
                <w:bCs/>
              </w:rPr>
              <w:t>Defects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6F3A7A1">
            <w:r>
              <w:t>Incorrect stitching, sizing errors, fabric damage or other garment quality problems.</w:t>
            </w:r>
          </w:p>
        </w:tc>
      </w:tr>
    </w:tbl>
    <w:p w14:paraId="4A3C7FA3">
      <w:pPr>
        <w:pStyle w:val="6"/>
      </w:pPr>
      <w:bookmarkStart w:id="26" w:name="_43nwxj6vvfac" w:colFirst="0" w:colLast="0"/>
      <w:bookmarkEnd w:id="26"/>
      <w:bookmarkStart w:id="27" w:name="_Toc240147681"/>
      <w:r>
        <w:t>Table 2: TIMWOOD Waste Identification in Textile Manufacturing</w:t>
      </w:r>
      <w:bookmarkEnd w:id="27"/>
    </w:p>
    <w:p w14:paraId="0DF9712D">
      <w:pPr>
        <w:jc w:val="center"/>
      </w:pPr>
      <w:r>
        <w:t>(Source: Self-made)</w:t>
      </w:r>
    </w:p>
    <w:p w14:paraId="35778079">
      <w:r>
        <w:t>The table presents the seven TIMWOOD wastes identified in the textile manufacturing process. Each waste category is associated with a specific activity that can reduce production efficiency, increase costs or disrupt garment flow.</w:t>
      </w:r>
    </w:p>
    <w:p w14:paraId="4488737B">
      <w:pPr>
        <w:rPr>
          <w:b/>
          <w:bCs/>
          <w:i/>
          <w:iCs/>
        </w:rPr>
      </w:pPr>
      <w:r>
        <w:rPr>
          <w:b/>
          <w:bCs/>
          <w:i/>
          <w:iCs/>
        </w:rPr>
        <w:t>Two Priority Waste Areas</w:t>
      </w:r>
    </w:p>
    <w:p w14:paraId="41C30123">
      <w:pPr>
        <w:numPr>
          <w:ilvl w:val="0"/>
          <w:numId w:val="2"/>
        </w:numPr>
      </w:pPr>
      <w:r>
        <w:t xml:space="preserve">Defects, such as improper stitching or fabric damage, can significantly affect productivity by increasing rework costs or even requiring material scraps. Every defect reduces product quality or slows delivery (Sheel, 2025). </w:t>
      </w:r>
    </w:p>
    <w:p w14:paraId="710F722E">
      <w:pPr>
        <w:numPr>
          <w:ilvl w:val="0"/>
          <w:numId w:val="2"/>
        </w:numPr>
      </w:pPr>
      <w:r>
        <w:t xml:space="preserve">The second critical priority is waiting, in which unbalanced sewing lines often result in excessive work-in-progress and idle operators. There are no waiting phases in the cutting and sewing process, so garments are produced continuously (Hameed </w:t>
      </w:r>
      <w:r>
        <w:rPr>
          <w:i/>
          <w:iCs/>
        </w:rPr>
        <w:t>et al.</w:t>
      </w:r>
      <w:r>
        <w:t xml:space="preserve"> 2024). </w:t>
      </w:r>
    </w:p>
    <w:p w14:paraId="789C4013">
      <w:pPr>
        <w:pStyle w:val="3"/>
      </w:pPr>
      <w:bookmarkStart w:id="28" w:name="_emtuwemunsb" w:colFirst="0" w:colLast="0"/>
      <w:bookmarkEnd w:id="28"/>
      <w:bookmarkStart w:id="29" w:name="_Toc240149218"/>
      <w:r>
        <w:t>Food Production – Baked Beans</w:t>
      </w:r>
      <w:bookmarkEnd w:id="29"/>
    </w:p>
    <w:p w14:paraId="1D53125D">
      <w:pPr>
        <w:rPr>
          <w:b/>
          <w:bCs/>
          <w:i/>
          <w:iCs/>
        </w:rPr>
      </w:pPr>
      <w:r>
        <w:rPr>
          <w:b/>
          <w:bCs/>
          <w:i/>
          <w:iCs/>
        </w:rPr>
        <w:t>Current Process</w:t>
      </w:r>
    </w:p>
    <w:p w14:paraId="16F43E33">
      <w:r>
        <w:t>Production runs for baked beans begin with receiving and quality control of the raw beans and tomato paste. The beans are prepared to be cleaned, soaked, blanched and more (Hoces-Antesana and Guerrero-Villa, 2024).. At the same time, the tomato sauce is prepared. Beans and sauce are automatically fed to filling machines and fed into the canning cell. These cans are sealed as soon as they have been placed in the cans and are then passed through several pressure cookers for final cooking and sterilisation (Al-dalain, 2026). The cans go through a labelling machine once they cool, then they are shrink-wrapped together in multi-packs and palletised for shipping.</w:t>
      </w:r>
    </w:p>
    <w:p w14:paraId="3302D7C9">
      <w:pPr>
        <w:jc w:val="center"/>
      </w:pPr>
      <w:r>
        <w:drawing>
          <wp:inline distT="114300" distB="114300" distL="114300" distR="114300">
            <wp:extent cx="5730875" cy="558800"/>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referRelativeResize="0"/>
                  </pic:nvPicPr>
                  <pic:blipFill>
                    <a:blip r:embed="rId13"/>
                    <a:srcRect/>
                    <a:stretch>
                      <a:fillRect/>
                    </a:stretch>
                  </pic:blipFill>
                  <pic:spPr>
                    <a:xfrm>
                      <a:off x="0" y="0"/>
                      <a:ext cx="5731200" cy="558800"/>
                    </a:xfrm>
                    <a:prstGeom prst="rect">
                      <a:avLst/>
                    </a:prstGeom>
                    <a:ln w="12700">
                      <a:solidFill>
                        <a:srgbClr val="000000"/>
                      </a:solidFill>
                      <a:prstDash val="solid"/>
                    </a:ln>
                  </pic:spPr>
                </pic:pic>
              </a:graphicData>
            </a:graphic>
          </wp:inline>
        </w:drawing>
      </w:r>
    </w:p>
    <w:p w14:paraId="0F1D08C6">
      <w:pPr>
        <w:pStyle w:val="5"/>
      </w:pPr>
      <w:bookmarkStart w:id="30" w:name="_8ceqmc962yr8" w:colFirst="0" w:colLast="0"/>
      <w:bookmarkEnd w:id="30"/>
      <w:bookmarkStart w:id="31" w:name="_Toc240147643"/>
      <w:r>
        <w:t>Figure 3: Baked Beans Production Process Flow</w:t>
      </w:r>
      <w:bookmarkEnd w:id="31"/>
    </w:p>
    <w:p w14:paraId="67E643BB">
      <w:pPr>
        <w:jc w:val="center"/>
      </w:pPr>
      <w:r>
        <w:t>(Source: Self-made in draw.io)</w:t>
      </w:r>
    </w:p>
    <w:p w14:paraId="07C158CB">
      <w:r>
        <w:t>Figure 3 illustrates the continuous process of manufacturing baked beans. It details the steps from raw preparation to packaging in a food production house.</w:t>
      </w:r>
    </w:p>
    <w:p w14:paraId="1F7820E4">
      <w:pPr>
        <w:rPr>
          <w:b/>
          <w:bCs/>
          <w:i/>
          <w:iCs/>
        </w:rPr>
      </w:pPr>
      <w:r>
        <w:rPr>
          <w:b/>
          <w:bCs/>
          <w:i/>
          <w:iCs/>
        </w:rPr>
        <w:t>TIMWOOD Waste Investigation</w:t>
      </w:r>
    </w:p>
    <w:p w14:paraId="5E9286B2">
      <w:r>
        <w:t xml:space="preserve">Applying the TIMWOOD framework to the food production process highlights various areas of operational waste that hinder continuous flow (McDermott </w:t>
      </w:r>
      <w:r>
        <w:rPr>
          <w:i/>
          <w:iCs/>
        </w:rPr>
        <w:t>et al</w:t>
      </w:r>
      <w:r>
        <w:t>. 2024).</w:t>
      </w:r>
    </w:p>
    <w:tbl>
      <w:tblPr>
        <w:tblStyle w:val="26"/>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1854"/>
        <w:gridCol w:w="7375"/>
      </w:tblGrid>
      <w:tr w14:paraId="5563B9D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C3BD96" w:themeFill="background2" w:themeFillShade="BF"/>
            <w:tcMar>
              <w:top w:w="100" w:type="dxa"/>
              <w:left w:w="100" w:type="dxa"/>
              <w:bottom w:w="100" w:type="dxa"/>
              <w:right w:w="100" w:type="dxa"/>
            </w:tcMar>
          </w:tcPr>
          <w:p w14:paraId="36463986">
            <w:pPr>
              <w:jc w:val="center"/>
            </w:pPr>
            <w:r>
              <w:rPr>
                <w:b/>
                <w:bCs/>
              </w:rPr>
              <w:t>Waste</w:t>
            </w:r>
          </w:p>
        </w:tc>
        <w:tc>
          <w:tcPr>
            <w:tcW w:w="0" w:type="auto"/>
            <w:tcBorders>
              <w:top w:val="single" w:color="000000" w:sz="4" w:space="0"/>
              <w:left w:val="single" w:color="000000" w:sz="4" w:space="0"/>
              <w:bottom w:val="single" w:color="000000" w:sz="4" w:space="0"/>
              <w:right w:val="single" w:color="000000" w:sz="4" w:space="0"/>
            </w:tcBorders>
            <w:shd w:val="clear" w:color="auto" w:fill="C3BD96" w:themeFill="background2" w:themeFillShade="BF"/>
            <w:tcMar>
              <w:top w:w="100" w:type="dxa"/>
              <w:left w:w="100" w:type="dxa"/>
              <w:bottom w:w="100" w:type="dxa"/>
              <w:right w:w="100" w:type="dxa"/>
            </w:tcMar>
          </w:tcPr>
          <w:p w14:paraId="3F19A1DF">
            <w:pPr>
              <w:jc w:val="center"/>
            </w:pPr>
            <w:r>
              <w:rPr>
                <w:b/>
                <w:bCs/>
              </w:rPr>
              <w:t>Food Production Examples</w:t>
            </w:r>
          </w:p>
        </w:tc>
      </w:tr>
      <w:tr w14:paraId="0E5ACF5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DDD07B4">
            <w:r>
              <w:rPr>
                <w:b/>
                <w:bCs/>
              </w:rPr>
              <w:t>Transportation</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37D70BC">
            <w:r>
              <w:t>Unnecessary movement of beans, sauce ingredients, cans and packaging materials between processing areas.</w:t>
            </w:r>
          </w:p>
        </w:tc>
      </w:tr>
      <w:tr w14:paraId="1340666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CD002EF">
            <w:r>
              <w:rPr>
                <w:b/>
                <w:bCs/>
              </w:rPr>
              <w:t>Inventory</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30D609E">
            <w:r>
              <w:t>Excess raw materials, packaging materials, work-in-progress or finished baked beans awaiting dispatch.</w:t>
            </w:r>
          </w:p>
        </w:tc>
      </w:tr>
      <w:tr w14:paraId="5616758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8A5C242">
            <w:r>
              <w:rPr>
                <w:b/>
                <w:bCs/>
              </w:rPr>
              <w:t>Motion</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A1A17F8">
            <w:r>
              <w:t>Unnecessary operator movement around production lines to obtain materials, tools or information.</w:t>
            </w:r>
          </w:p>
        </w:tc>
      </w:tr>
      <w:tr w14:paraId="4411D56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6A8E184">
            <w:r>
              <w:rPr>
                <w:b/>
                <w:bCs/>
              </w:rPr>
              <w:t>Waiting</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7E05462">
            <w:r>
              <w:t>Delays while waiting for filling, cooking, cooling, inspection or packaging stages.</w:t>
            </w:r>
          </w:p>
        </w:tc>
      </w:tr>
      <w:tr w14:paraId="02306F3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B345A75">
            <w:r>
              <w:rPr>
                <w:b/>
                <w:bCs/>
              </w:rPr>
              <w:t>Overproduction</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27F2162">
            <w:r>
              <w:t>Producing quantities beyond current customer orders or production requirements.</w:t>
            </w:r>
          </w:p>
        </w:tc>
      </w:tr>
      <w:tr w14:paraId="66E21BF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72756D1">
            <w:r>
              <w:rPr>
                <w:b/>
                <w:bCs/>
              </w:rPr>
              <w:t>Overprocessing</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B3A4E7E">
            <w:r>
              <w:t>Redundant quality checks, unnecessary processing or excessively long cooking and handling activities.</w:t>
            </w:r>
          </w:p>
        </w:tc>
      </w:tr>
      <w:tr w14:paraId="1DE477A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B5733DD">
            <w:r>
              <w:rPr>
                <w:b/>
                <w:bCs/>
              </w:rPr>
              <w:t>Defects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B6D5F0E">
            <w:r>
              <w:t>Spillage, incorrect filling volumes, poor sealing, damaged cans or labelling errors.</w:t>
            </w:r>
          </w:p>
        </w:tc>
      </w:tr>
    </w:tbl>
    <w:p w14:paraId="60CEF3CB">
      <w:pPr>
        <w:pStyle w:val="6"/>
      </w:pPr>
      <w:bookmarkStart w:id="32" w:name="_lm4rfc4b6b7l" w:colFirst="0" w:colLast="0"/>
      <w:bookmarkEnd w:id="32"/>
      <w:bookmarkStart w:id="33" w:name="_Toc240147682"/>
      <w:r>
        <w:t>Table 3: TIMWOOD Waste Identification in Baked Beans Production</w:t>
      </w:r>
      <w:bookmarkEnd w:id="33"/>
    </w:p>
    <w:p w14:paraId="7E6BA070">
      <w:pPr>
        <w:jc w:val="center"/>
      </w:pPr>
      <w:r>
        <w:t>(Source: Self-made)</w:t>
      </w:r>
    </w:p>
    <w:p w14:paraId="01F6E5E6">
      <w:r>
        <w:t>The table identifies the seven TIMWOOD wastes within the baked beans production process. This shows examples of non-value-added activities associated with raw materials, processing, filling, cooking, inspection and packaging.</w:t>
      </w:r>
    </w:p>
    <w:p w14:paraId="77DE49BF">
      <w:pPr>
        <w:rPr>
          <w:b/>
          <w:bCs/>
          <w:i/>
          <w:iCs/>
        </w:rPr>
      </w:pPr>
      <w:r>
        <w:rPr>
          <w:b/>
          <w:bCs/>
          <w:i/>
          <w:iCs/>
        </w:rPr>
        <w:t>Two Priority Waste Areas</w:t>
      </w:r>
    </w:p>
    <w:p w14:paraId="25C01023">
      <w:pPr>
        <w:numPr>
          <w:ilvl w:val="0"/>
          <w:numId w:val="3"/>
        </w:numPr>
      </w:pPr>
      <w:r>
        <w:t xml:space="preserve">Excessive processing, extra quality checks, unnecessary cooking times, anything that was not necessary, wastes energy and labour resources. This inefficiency directly results in an increase in production costs (Dabic-Miletic, 2025). </w:t>
      </w:r>
    </w:p>
    <w:p w14:paraId="5437E0E9">
      <w:pPr>
        <w:numPr>
          <w:ilvl w:val="0"/>
          <w:numId w:val="3"/>
        </w:numPr>
      </w:pPr>
      <w:r>
        <w:t xml:space="preserve">Defects are also important problems, such as product spillage, the wrong fill volume, or damaged cans, which cause high rejection rates and material losses. Defective products also represent serious issues on the food safety aspect (Hoces-Antesana and Guerrero-Villa, 2024). </w:t>
      </w:r>
    </w:p>
    <w:p w14:paraId="7EBC2E72">
      <w:pPr>
        <w:pStyle w:val="2"/>
      </w:pPr>
      <w:bookmarkStart w:id="34" w:name="_Toc240149219"/>
      <w:r>
        <w:t>Waste Quantification</w:t>
      </w:r>
      <w:bookmarkEnd w:id="34"/>
    </w:p>
    <w:p w14:paraId="144EC985">
      <w:pPr>
        <w:pStyle w:val="3"/>
      </w:pPr>
      <w:bookmarkStart w:id="35" w:name="_s16bnb1lcvfx" w:colFirst="0" w:colLast="0"/>
      <w:bookmarkEnd w:id="35"/>
      <w:bookmarkStart w:id="36" w:name="_Toc240149220"/>
      <w:r>
        <w:t>Quantification of Warehouse Waste</w:t>
      </w:r>
      <w:bookmarkEnd w:id="36"/>
    </w:p>
    <w:p w14:paraId="2D95C1C5">
      <w:r>
        <w:t xml:space="preserve">The size of the warehousing problem has to be determined by measuring the priority wastes (motion and waiting) by tangible measures. The cycle time analysis is a method for comparing value-added work time with non-value-added waiting time (Adeodu </w:t>
      </w:r>
      <w:r>
        <w:rPr>
          <w:i/>
          <w:iCs/>
        </w:rPr>
        <w:t>et al.</w:t>
      </w:r>
      <w:r>
        <w:t xml:space="preserve"> 2023). Walking distance per order and average time spent on order picking saves when the employee is too far walking quantifies this painfully bad operational effect (Năstase</w:t>
      </w:r>
      <w:r>
        <w:rPr>
          <w:i/>
          <w:iCs/>
        </w:rPr>
        <w:t xml:space="preserve"> et al.</w:t>
      </w:r>
      <w:r>
        <w:t xml:space="preserve"> 2023). Also, the waiting time for order packing/stock replenishment can be measured to determine the estimated time lost in a typical shift. The facility can then convert these frequencies and time-loss measures into dollars and derive an accurate monetary measure of the cost of these identified wastes, thus allowing a baseline to define the steps needed to improve waste from these sources (Adeodu </w:t>
      </w:r>
      <w:r>
        <w:rPr>
          <w:i/>
          <w:iCs/>
        </w:rPr>
        <w:t>et al.</w:t>
      </w:r>
      <w:r>
        <w:t xml:space="preserve"> 2023).</w:t>
      </w:r>
    </w:p>
    <w:tbl>
      <w:tblPr>
        <w:tblStyle w:val="27"/>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974"/>
        <w:gridCol w:w="2806"/>
        <w:gridCol w:w="1367"/>
        <w:gridCol w:w="980"/>
      </w:tblGrid>
      <w:tr w14:paraId="302C894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92D050"/>
            <w:tcMar>
              <w:top w:w="100" w:type="dxa"/>
              <w:left w:w="100" w:type="dxa"/>
              <w:bottom w:w="100" w:type="dxa"/>
              <w:right w:w="100" w:type="dxa"/>
            </w:tcMar>
          </w:tcPr>
          <w:p w14:paraId="65375CDC">
            <w:pPr>
              <w:jc w:val="center"/>
            </w:pPr>
            <w:r>
              <w:rPr>
                <w:b/>
                <w:bCs/>
              </w:rPr>
              <w:t>Waste</w:t>
            </w:r>
          </w:p>
        </w:tc>
        <w:tc>
          <w:tcPr>
            <w:tcW w:w="0" w:type="auto"/>
            <w:tcBorders>
              <w:top w:val="single" w:color="000000" w:sz="4" w:space="0"/>
              <w:left w:val="single" w:color="000000" w:sz="4" w:space="0"/>
              <w:bottom w:val="single" w:color="000000" w:sz="4" w:space="0"/>
              <w:right w:val="single" w:color="000000" w:sz="4" w:space="0"/>
            </w:tcBorders>
            <w:shd w:val="clear" w:color="auto" w:fill="92D050"/>
            <w:tcMar>
              <w:top w:w="100" w:type="dxa"/>
              <w:left w:w="100" w:type="dxa"/>
              <w:bottom w:w="100" w:type="dxa"/>
              <w:right w:w="100" w:type="dxa"/>
            </w:tcMar>
          </w:tcPr>
          <w:p w14:paraId="17F249E7">
            <w:pPr>
              <w:jc w:val="center"/>
            </w:pPr>
            <w:r>
              <w:rPr>
                <w:b/>
                <w:bCs/>
              </w:rPr>
              <w:t>Indicator</w:t>
            </w:r>
          </w:p>
        </w:tc>
        <w:tc>
          <w:tcPr>
            <w:tcW w:w="0" w:type="auto"/>
            <w:tcBorders>
              <w:top w:val="single" w:color="000000" w:sz="4" w:space="0"/>
              <w:left w:val="single" w:color="000000" w:sz="4" w:space="0"/>
              <w:bottom w:val="single" w:color="000000" w:sz="4" w:space="0"/>
              <w:right w:val="single" w:color="000000" w:sz="4" w:space="0"/>
            </w:tcBorders>
            <w:shd w:val="clear" w:color="auto" w:fill="92D050"/>
            <w:tcMar>
              <w:top w:w="100" w:type="dxa"/>
              <w:left w:w="100" w:type="dxa"/>
              <w:bottom w:w="100" w:type="dxa"/>
              <w:right w:w="100" w:type="dxa"/>
            </w:tcMar>
          </w:tcPr>
          <w:p w14:paraId="4509DE90">
            <w:pPr>
              <w:jc w:val="center"/>
            </w:pPr>
            <w:r>
              <w:rPr>
                <w:b/>
                <w:bCs/>
              </w:rPr>
              <w:t>Current</w:t>
            </w:r>
          </w:p>
        </w:tc>
        <w:tc>
          <w:tcPr>
            <w:tcW w:w="0" w:type="auto"/>
            <w:tcBorders>
              <w:top w:val="single" w:color="000000" w:sz="4" w:space="0"/>
              <w:left w:val="single" w:color="000000" w:sz="4" w:space="0"/>
              <w:bottom w:val="single" w:color="000000" w:sz="4" w:space="0"/>
              <w:right w:val="single" w:color="000000" w:sz="4" w:space="0"/>
            </w:tcBorders>
            <w:shd w:val="clear" w:color="auto" w:fill="92D050"/>
            <w:tcMar>
              <w:top w:w="100" w:type="dxa"/>
              <w:left w:w="100" w:type="dxa"/>
              <w:bottom w:w="100" w:type="dxa"/>
              <w:right w:w="100" w:type="dxa"/>
            </w:tcMar>
          </w:tcPr>
          <w:p w14:paraId="26AC0445">
            <w:pPr>
              <w:jc w:val="center"/>
            </w:pPr>
            <w:r>
              <w:rPr>
                <w:b/>
                <w:bCs/>
              </w:rPr>
              <w:t>Loss</w:t>
            </w:r>
          </w:p>
        </w:tc>
      </w:tr>
      <w:tr w14:paraId="62148F4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79A79AD">
            <w:r>
              <w:t>Motion</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C3AAD60">
            <w:r>
              <w:t>Walking distance per order</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21A1950">
            <w:r>
              <w:t>120 m</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E49D8F2">
            <w:r>
              <w:t>£20,000</w:t>
            </w:r>
          </w:p>
        </w:tc>
      </w:tr>
      <w:tr w14:paraId="403D9A7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9CAA9E8">
            <w:r>
              <w:t>Waiting</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EE50BCF">
            <w:r>
              <w:t>Idle time</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402FEEF">
            <w:r>
              <w:t>30 min/shift</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1FADEAD">
            <w:r>
              <w:t>400 hrs</w:t>
            </w:r>
          </w:p>
        </w:tc>
      </w:tr>
    </w:tbl>
    <w:p w14:paraId="165BBEBE">
      <w:pPr>
        <w:pStyle w:val="6"/>
      </w:pPr>
      <w:bookmarkStart w:id="37" w:name="_69cvs12kvwxh" w:colFirst="0" w:colLast="0"/>
      <w:bookmarkEnd w:id="37"/>
      <w:bookmarkStart w:id="38" w:name="_Toc240147683"/>
      <w:r>
        <w:t>Table 4: Quantification of Warehouse Waste</w:t>
      </w:r>
      <w:bookmarkEnd w:id="38"/>
    </w:p>
    <w:p w14:paraId="58B14DFF">
      <w:pPr>
        <w:jc w:val="center"/>
      </w:pPr>
      <w:r>
        <w:t>(Source: Self-made)</w:t>
      </w:r>
    </w:p>
    <w:p w14:paraId="250A1AB6">
      <w:r>
        <w:t>Table 4 shows the two priority wastes identified in the online retail warehouse by measuring employee movement and waiting time. The indicators establish the current level of waste and its associated operational or financial loss.</w:t>
      </w:r>
    </w:p>
    <w:p w14:paraId="0FAF8140">
      <w:pPr>
        <w:pStyle w:val="3"/>
      </w:pPr>
      <w:bookmarkStart w:id="39" w:name="_c0vbboqj5up6" w:colFirst="0" w:colLast="0"/>
      <w:bookmarkEnd w:id="39"/>
      <w:bookmarkStart w:id="40" w:name="_Toc240149221"/>
      <w:r>
        <w:t>Quantification of Textile Manufacturing Waste</w:t>
      </w:r>
      <w:bookmarkEnd w:id="40"/>
    </w:p>
    <w:p w14:paraId="5AFE3284">
      <w:r>
        <w:t>Defects and waiting are two core wastes of a textile manufacturing operation that require quantification to assess their true impact on productivity, quality, and delivery performance. One way to determine the seriousness of these issues is to monitor the number of defects generated per batch of garments as well as the percentage of rework (Issa, 2026). These defect types are measured as costs of internal failure of product or waste in materials and labour. At the same time, measuring the gap time between sequential production and the work-in-progress quantity(s) shows significant workflow blockages. The operation can record these measurable indicators and determine the operational and financial impact of the waste selected, which serves as evidence for intervention (Sheel, 2025).</w:t>
      </w:r>
    </w:p>
    <w:tbl>
      <w:tblPr>
        <w:tblStyle w:val="28"/>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974"/>
        <w:gridCol w:w="2060"/>
        <w:gridCol w:w="1087"/>
        <w:gridCol w:w="980"/>
      </w:tblGrid>
      <w:tr w14:paraId="33C4F6C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D8D8D8" w:themeFill="background1" w:themeFillShade="D9"/>
            <w:tcMar>
              <w:top w:w="100" w:type="dxa"/>
              <w:left w:w="100" w:type="dxa"/>
              <w:bottom w:w="100" w:type="dxa"/>
              <w:right w:w="100" w:type="dxa"/>
            </w:tcMar>
          </w:tcPr>
          <w:p w14:paraId="64E4C99E">
            <w:pPr>
              <w:jc w:val="center"/>
            </w:pPr>
            <w:r>
              <w:rPr>
                <w:b/>
                <w:bCs/>
              </w:rPr>
              <w:t>Waste</w:t>
            </w:r>
          </w:p>
        </w:tc>
        <w:tc>
          <w:tcPr>
            <w:tcW w:w="0" w:type="auto"/>
            <w:tcBorders>
              <w:top w:val="single" w:color="000000" w:sz="4" w:space="0"/>
              <w:left w:val="single" w:color="000000" w:sz="4" w:space="0"/>
              <w:bottom w:val="single" w:color="000000" w:sz="4" w:space="0"/>
              <w:right w:val="single" w:color="000000" w:sz="4" w:space="0"/>
            </w:tcBorders>
            <w:shd w:val="clear" w:color="auto" w:fill="D8D8D8" w:themeFill="background1" w:themeFillShade="D9"/>
            <w:tcMar>
              <w:top w:w="100" w:type="dxa"/>
              <w:left w:w="100" w:type="dxa"/>
              <w:bottom w:w="100" w:type="dxa"/>
              <w:right w:w="100" w:type="dxa"/>
            </w:tcMar>
          </w:tcPr>
          <w:p w14:paraId="3817A02B">
            <w:pPr>
              <w:jc w:val="center"/>
            </w:pPr>
            <w:r>
              <w:rPr>
                <w:b/>
                <w:bCs/>
              </w:rPr>
              <w:t>Indicator</w:t>
            </w:r>
          </w:p>
        </w:tc>
        <w:tc>
          <w:tcPr>
            <w:tcW w:w="0" w:type="auto"/>
            <w:tcBorders>
              <w:top w:val="single" w:color="000000" w:sz="4" w:space="0"/>
              <w:left w:val="single" w:color="000000" w:sz="4" w:space="0"/>
              <w:bottom w:val="single" w:color="000000" w:sz="4" w:space="0"/>
              <w:right w:val="single" w:color="000000" w:sz="4" w:space="0"/>
            </w:tcBorders>
            <w:shd w:val="clear" w:color="auto" w:fill="D8D8D8" w:themeFill="background1" w:themeFillShade="D9"/>
            <w:tcMar>
              <w:top w:w="100" w:type="dxa"/>
              <w:left w:w="100" w:type="dxa"/>
              <w:bottom w:w="100" w:type="dxa"/>
              <w:right w:w="100" w:type="dxa"/>
            </w:tcMar>
          </w:tcPr>
          <w:p w14:paraId="7D686F6E">
            <w:pPr>
              <w:jc w:val="center"/>
            </w:pPr>
            <w:r>
              <w:rPr>
                <w:b/>
                <w:bCs/>
              </w:rPr>
              <w:t>Current</w:t>
            </w:r>
          </w:p>
        </w:tc>
        <w:tc>
          <w:tcPr>
            <w:tcW w:w="0" w:type="auto"/>
            <w:tcBorders>
              <w:top w:val="single" w:color="000000" w:sz="4" w:space="0"/>
              <w:left w:val="single" w:color="000000" w:sz="4" w:space="0"/>
              <w:bottom w:val="single" w:color="000000" w:sz="4" w:space="0"/>
              <w:right w:val="single" w:color="000000" w:sz="4" w:space="0"/>
            </w:tcBorders>
            <w:shd w:val="clear" w:color="auto" w:fill="D8D8D8" w:themeFill="background1" w:themeFillShade="D9"/>
            <w:tcMar>
              <w:top w:w="100" w:type="dxa"/>
              <w:left w:w="100" w:type="dxa"/>
              <w:bottom w:w="100" w:type="dxa"/>
              <w:right w:w="100" w:type="dxa"/>
            </w:tcMar>
          </w:tcPr>
          <w:p w14:paraId="2A87B8B0">
            <w:pPr>
              <w:jc w:val="center"/>
            </w:pPr>
            <w:r>
              <w:rPr>
                <w:b/>
                <w:bCs/>
              </w:rPr>
              <w:t>Loss</w:t>
            </w:r>
          </w:p>
        </w:tc>
      </w:tr>
      <w:tr w14:paraId="504F77E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63CFF86">
            <w:r>
              <w:t>Defects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D23847C">
            <w:r>
              <w:t>Rework percentage</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69E437E">
            <w:r>
              <w:t>8%</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0900654">
            <w:r>
              <w:t>£35,000</w:t>
            </w:r>
          </w:p>
        </w:tc>
      </w:tr>
      <w:tr w14:paraId="574A503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3B83D14">
            <w:r>
              <w:t>Waiting</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E0BDF6A">
            <w:r>
              <w:t>WIP quantity</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886B35C">
            <w:r>
              <w:t>400 units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29B9FB1">
            <w:r>
              <w:t>600 hrs</w:t>
            </w:r>
          </w:p>
        </w:tc>
      </w:tr>
    </w:tbl>
    <w:p w14:paraId="58F55FF8">
      <w:pPr>
        <w:pStyle w:val="6"/>
      </w:pPr>
      <w:bookmarkStart w:id="41" w:name="_s1eo0079mzsb" w:colFirst="0" w:colLast="0"/>
      <w:bookmarkEnd w:id="41"/>
      <w:bookmarkStart w:id="42" w:name="_Toc240147684"/>
      <w:r>
        <w:t>Table 5: Quantification of Textile Manufacturing Waste</w:t>
      </w:r>
      <w:bookmarkEnd w:id="42"/>
    </w:p>
    <w:p w14:paraId="586F9A30">
      <w:pPr>
        <w:jc w:val="center"/>
      </w:pPr>
      <w:r>
        <w:t>(Source: Self-made)</w:t>
      </w:r>
    </w:p>
    <w:p w14:paraId="4C7B0F42">
      <w:r>
        <w:t>Table 5 shows defects and waiting scenario within the textile manufacturing operation. Rework percentage and work-in-progress levels provide measurable evidence of quality losses and production delays.</w:t>
      </w:r>
    </w:p>
    <w:p w14:paraId="28053F6E">
      <w:pPr>
        <w:pStyle w:val="3"/>
      </w:pPr>
      <w:bookmarkStart w:id="43" w:name="_6rgjbpvv50cj" w:colFirst="0" w:colLast="0"/>
      <w:bookmarkEnd w:id="43"/>
      <w:bookmarkStart w:id="44" w:name="_Toc240149222"/>
      <w:r>
        <w:t>Quantification of Food Production Waste</w:t>
      </w:r>
      <w:bookmarkEnd w:id="44"/>
    </w:p>
    <w:p w14:paraId="6C5F1A60">
      <w:r>
        <w:t xml:space="preserve">Food-production efficiency, quality and cost considerations are related to over-processing and defects in the baked beans plant. Excess processing time and repeated unnecessary inspections during cooking stages are evaluated, and steps are taken to correct waste (Dabic-Miletic, 2025). Defects are measured on the overall product, the proportion of products that must be rejected, and the losses from specific materials or ingredients from the product arising from spillage. These defects are internal failure costs which are detrimental to profits. The plant will be able to analyse this essential information and calculate the estimated annual or monthly financial losses (McDermott </w:t>
      </w:r>
      <w:r>
        <w:rPr>
          <w:i/>
          <w:iCs/>
        </w:rPr>
        <w:t>et al.</w:t>
      </w:r>
      <w:r>
        <w:t xml:space="preserve"> 2024). Measuring these metrics will confirm that the operational impacts are fully understood, prior to making any targeted improvements.</w:t>
      </w:r>
    </w:p>
    <w:tbl>
      <w:tblPr>
        <w:tblStyle w:val="29"/>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1707"/>
        <w:gridCol w:w="2293"/>
        <w:gridCol w:w="1460"/>
        <w:gridCol w:w="980"/>
      </w:tblGrid>
      <w:tr w14:paraId="7561FAC6">
        <w:tblPrEx>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ABF8F" w:themeFill="accent6" w:themeFillTint="99"/>
            <w:tcMar>
              <w:top w:w="100" w:type="dxa"/>
              <w:left w:w="100" w:type="dxa"/>
              <w:bottom w:w="100" w:type="dxa"/>
              <w:right w:w="100" w:type="dxa"/>
            </w:tcMar>
          </w:tcPr>
          <w:p w14:paraId="1783D6A7">
            <w:pPr>
              <w:jc w:val="center"/>
            </w:pPr>
            <w:r>
              <w:rPr>
                <w:b/>
                <w:bCs/>
              </w:rPr>
              <w:t>Waste</w:t>
            </w:r>
          </w:p>
        </w:tc>
        <w:tc>
          <w:tcPr>
            <w:tcW w:w="0" w:type="auto"/>
            <w:tcBorders>
              <w:top w:val="single" w:color="000000" w:sz="4" w:space="0"/>
              <w:left w:val="single" w:color="000000" w:sz="4" w:space="0"/>
              <w:bottom w:val="single" w:color="000000" w:sz="4" w:space="0"/>
              <w:right w:val="single" w:color="000000" w:sz="4" w:space="0"/>
            </w:tcBorders>
            <w:shd w:val="clear" w:color="auto" w:fill="FABF8F" w:themeFill="accent6" w:themeFillTint="99"/>
            <w:tcMar>
              <w:top w:w="100" w:type="dxa"/>
              <w:left w:w="100" w:type="dxa"/>
              <w:bottom w:w="100" w:type="dxa"/>
              <w:right w:w="100" w:type="dxa"/>
            </w:tcMar>
          </w:tcPr>
          <w:p w14:paraId="37CE8F39">
            <w:pPr>
              <w:jc w:val="center"/>
            </w:pPr>
            <w:r>
              <w:rPr>
                <w:b/>
                <w:bCs/>
              </w:rPr>
              <w:t>Indicator</w:t>
            </w:r>
          </w:p>
        </w:tc>
        <w:tc>
          <w:tcPr>
            <w:tcW w:w="0" w:type="auto"/>
            <w:tcBorders>
              <w:top w:val="single" w:color="000000" w:sz="4" w:space="0"/>
              <w:left w:val="single" w:color="000000" w:sz="4" w:space="0"/>
              <w:bottom w:val="single" w:color="000000" w:sz="4" w:space="0"/>
              <w:right w:val="single" w:color="000000" w:sz="4" w:space="0"/>
            </w:tcBorders>
            <w:shd w:val="clear" w:color="auto" w:fill="FABF8F" w:themeFill="accent6" w:themeFillTint="99"/>
            <w:tcMar>
              <w:top w:w="100" w:type="dxa"/>
              <w:left w:w="100" w:type="dxa"/>
              <w:bottom w:w="100" w:type="dxa"/>
              <w:right w:w="100" w:type="dxa"/>
            </w:tcMar>
          </w:tcPr>
          <w:p w14:paraId="0A594D49">
            <w:pPr>
              <w:jc w:val="center"/>
            </w:pPr>
            <w:r>
              <w:rPr>
                <w:b/>
                <w:bCs/>
              </w:rPr>
              <w:t>Current</w:t>
            </w:r>
          </w:p>
        </w:tc>
        <w:tc>
          <w:tcPr>
            <w:tcW w:w="0" w:type="auto"/>
            <w:tcBorders>
              <w:top w:val="single" w:color="000000" w:sz="4" w:space="0"/>
              <w:left w:val="single" w:color="000000" w:sz="4" w:space="0"/>
              <w:bottom w:val="single" w:color="000000" w:sz="4" w:space="0"/>
              <w:right w:val="single" w:color="000000" w:sz="4" w:space="0"/>
            </w:tcBorders>
            <w:shd w:val="clear" w:color="auto" w:fill="FABF8F" w:themeFill="accent6" w:themeFillTint="99"/>
            <w:tcMar>
              <w:top w:w="100" w:type="dxa"/>
              <w:left w:w="100" w:type="dxa"/>
              <w:bottom w:w="100" w:type="dxa"/>
              <w:right w:w="100" w:type="dxa"/>
            </w:tcMar>
          </w:tcPr>
          <w:p w14:paraId="1EF69940">
            <w:pPr>
              <w:jc w:val="center"/>
            </w:pPr>
            <w:r>
              <w:rPr>
                <w:b/>
                <w:bCs/>
              </w:rPr>
              <w:t>Loss</w:t>
            </w:r>
          </w:p>
        </w:tc>
      </w:tr>
      <w:tr w14:paraId="4F3155A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ADE658E">
            <w:r>
              <w:t>Overprocessing</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0EADA84">
            <w:r>
              <w:t>Extra processing time</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CCDE34D">
            <w:r>
              <w:t>10 min/batch</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195E9A5">
            <w:r>
              <w:t>£25,000</w:t>
            </w:r>
          </w:p>
        </w:tc>
      </w:tr>
      <w:tr w14:paraId="155DE51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2AED08A">
            <w:r>
              <w:t>Defects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78309CF">
            <w:r>
              <w:t>Can rejection rate</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91C3591">
            <w:r>
              <w:t>4%</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A40071E">
            <w:r>
              <w:t>£40,000</w:t>
            </w:r>
          </w:p>
        </w:tc>
      </w:tr>
    </w:tbl>
    <w:p w14:paraId="4E2A5901">
      <w:pPr>
        <w:pStyle w:val="6"/>
      </w:pPr>
      <w:bookmarkStart w:id="45" w:name="_9dyanmz5eevr" w:colFirst="0" w:colLast="0"/>
      <w:bookmarkEnd w:id="45"/>
      <w:bookmarkStart w:id="46" w:name="_Toc240147685"/>
      <w:r>
        <w:t>Table 6: Quantification of Food Production Waste</w:t>
      </w:r>
      <w:bookmarkEnd w:id="46"/>
    </w:p>
    <w:p w14:paraId="49A5574D">
      <w:pPr>
        <w:jc w:val="center"/>
      </w:pPr>
      <w:r>
        <w:t>(Source: Self-made)</w:t>
      </w:r>
    </w:p>
    <w:p w14:paraId="6712F9F0">
      <w:r>
        <w:t>The table highlights overprocessing and defects in the baked beans production process. Extra processing time and can rejection rates indicate the extent of unnecessary processing, material losses and quality-related costs.</w:t>
      </w:r>
    </w:p>
    <w:p w14:paraId="5E0B6BA4">
      <w:pPr>
        <w:pStyle w:val="3"/>
      </w:pPr>
      <w:bookmarkStart w:id="47" w:name="_s1ccs2wxxu2z" w:colFirst="0" w:colLast="0"/>
      <w:bookmarkEnd w:id="47"/>
      <w:bookmarkStart w:id="48" w:name="_Toc240149223"/>
      <w:r>
        <w:t>Cross-Business Comparison</w:t>
      </w:r>
      <w:bookmarkEnd w:id="48"/>
    </w:p>
    <w:p w14:paraId="772D4B4A">
      <w:pPr>
        <w:jc w:val="center"/>
      </w:pPr>
      <w:r>
        <w:drawing>
          <wp:inline distT="114300" distB="114300" distL="114300" distR="114300">
            <wp:extent cx="5461635" cy="2837180"/>
            <wp:effectExtent l="19050" t="19050" r="24765" b="2032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referRelativeResize="0"/>
                  </pic:nvPicPr>
                  <pic:blipFill>
                    <a:blip r:embed="rId14"/>
                    <a:srcRect/>
                    <a:stretch>
                      <a:fillRect/>
                    </a:stretch>
                  </pic:blipFill>
                  <pic:spPr>
                    <a:xfrm>
                      <a:off x="0" y="0"/>
                      <a:ext cx="5461949" cy="2837343"/>
                    </a:xfrm>
                    <a:prstGeom prst="rect">
                      <a:avLst/>
                    </a:prstGeom>
                    <a:ln w="12700">
                      <a:solidFill>
                        <a:srgbClr val="000000"/>
                      </a:solidFill>
                      <a:prstDash val="solid"/>
                    </a:ln>
                  </pic:spPr>
                </pic:pic>
              </a:graphicData>
            </a:graphic>
          </wp:inline>
        </w:drawing>
      </w:r>
    </w:p>
    <w:p w14:paraId="1FAE587C">
      <w:pPr>
        <w:pStyle w:val="5"/>
      </w:pPr>
      <w:bookmarkStart w:id="49" w:name="_wao4uz49etkq" w:colFirst="0" w:colLast="0"/>
      <w:bookmarkEnd w:id="49"/>
      <w:bookmarkStart w:id="50" w:name="_Toc240147644"/>
      <w:r>
        <w:t>Figure 4: Comparison of Waste Levels</w:t>
      </w:r>
      <w:bookmarkEnd w:id="50"/>
    </w:p>
    <w:p w14:paraId="7E855799">
      <w:pPr>
        <w:jc w:val="center"/>
      </w:pPr>
      <w:r>
        <w:t>(Source: Self-made in draw.io)</w:t>
      </w:r>
    </w:p>
    <w:p w14:paraId="5C7E7E85">
      <w:r>
        <w:t>The figure compares the relative financial impact of the priority wastes identified across the warehouse, textile and food-production operations. The colour coding distinguishes the intervention priority, with green representing low priority, yellow representing medium priority, and red representing high priority.</w:t>
      </w:r>
    </w:p>
    <w:p w14:paraId="7BC88A8E">
      <w:r>
        <w:t>The use of a common basis through a cross-business comparison allows quantification of wastes from the three businesses to be compared and the largest waste operational impacts to be shown. The evaluation matrices show the transition from the waste frequency to the time lost, the amount lost, cost impact and assigned priority. The high overall intervention priority of food production defects is then credible, given their internal failure costs and unrecoverable damages in the form of material scrap that accompany their very high defect frequencies in the warehouse.</w:t>
      </w:r>
    </w:p>
    <w:tbl>
      <w:tblPr>
        <w:tblStyle w:val="30"/>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1280"/>
        <w:gridCol w:w="933"/>
        <w:gridCol w:w="914"/>
        <w:gridCol w:w="680"/>
        <w:gridCol w:w="1067"/>
      </w:tblGrid>
      <w:tr w14:paraId="6A0F117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95B3D7" w:themeFill="accent1" w:themeFillTint="99"/>
            <w:tcMar>
              <w:top w:w="100" w:type="dxa"/>
              <w:left w:w="100" w:type="dxa"/>
              <w:bottom w:w="100" w:type="dxa"/>
              <w:right w:w="100" w:type="dxa"/>
            </w:tcMar>
          </w:tcPr>
          <w:p w14:paraId="57786C69">
            <w:pPr>
              <w:jc w:val="center"/>
            </w:pPr>
            <w:r>
              <w:rPr>
                <w:b/>
                <w:bCs/>
              </w:rPr>
              <w:t>Business</w:t>
            </w:r>
          </w:p>
        </w:tc>
        <w:tc>
          <w:tcPr>
            <w:tcW w:w="0" w:type="auto"/>
            <w:tcBorders>
              <w:top w:val="single" w:color="000000" w:sz="4" w:space="0"/>
              <w:left w:val="single" w:color="000000" w:sz="4" w:space="0"/>
              <w:bottom w:val="single" w:color="000000" w:sz="4" w:space="0"/>
              <w:right w:val="single" w:color="000000" w:sz="4" w:space="0"/>
            </w:tcBorders>
            <w:shd w:val="clear" w:color="auto" w:fill="95B3D7" w:themeFill="accent1" w:themeFillTint="99"/>
            <w:tcMar>
              <w:top w:w="100" w:type="dxa"/>
              <w:left w:w="100" w:type="dxa"/>
              <w:bottom w:w="100" w:type="dxa"/>
              <w:right w:w="100" w:type="dxa"/>
            </w:tcMar>
          </w:tcPr>
          <w:p w14:paraId="41E3D7AE">
            <w:pPr>
              <w:jc w:val="center"/>
            </w:pPr>
            <w:r>
              <w:rPr>
                <w:b/>
                <w:bCs/>
              </w:rPr>
              <w:t>Waste</w:t>
            </w:r>
          </w:p>
        </w:tc>
        <w:tc>
          <w:tcPr>
            <w:tcW w:w="0" w:type="auto"/>
            <w:tcBorders>
              <w:top w:val="single" w:color="000000" w:sz="4" w:space="0"/>
              <w:left w:val="single" w:color="000000" w:sz="4" w:space="0"/>
              <w:bottom w:val="single" w:color="000000" w:sz="4" w:space="0"/>
              <w:right w:val="single" w:color="000000" w:sz="4" w:space="0"/>
            </w:tcBorders>
            <w:shd w:val="clear" w:color="auto" w:fill="95B3D7" w:themeFill="accent1" w:themeFillTint="99"/>
            <w:tcMar>
              <w:top w:w="100" w:type="dxa"/>
              <w:left w:w="100" w:type="dxa"/>
              <w:bottom w:w="100" w:type="dxa"/>
              <w:right w:w="100" w:type="dxa"/>
            </w:tcMar>
          </w:tcPr>
          <w:p w14:paraId="5CD5F863">
            <w:pPr>
              <w:jc w:val="center"/>
            </w:pPr>
            <w:r>
              <w:rPr>
                <w:b/>
                <w:bCs/>
              </w:rPr>
              <w:t>Time</w:t>
            </w:r>
          </w:p>
        </w:tc>
        <w:tc>
          <w:tcPr>
            <w:tcW w:w="0" w:type="auto"/>
            <w:tcBorders>
              <w:top w:val="single" w:color="000000" w:sz="4" w:space="0"/>
              <w:left w:val="single" w:color="000000" w:sz="4" w:space="0"/>
              <w:bottom w:val="single" w:color="000000" w:sz="4" w:space="0"/>
              <w:right w:val="single" w:color="000000" w:sz="4" w:space="0"/>
            </w:tcBorders>
            <w:shd w:val="clear" w:color="auto" w:fill="95B3D7" w:themeFill="accent1" w:themeFillTint="99"/>
            <w:tcMar>
              <w:top w:w="100" w:type="dxa"/>
              <w:left w:w="100" w:type="dxa"/>
              <w:bottom w:w="100" w:type="dxa"/>
              <w:right w:w="100" w:type="dxa"/>
            </w:tcMar>
          </w:tcPr>
          <w:p w14:paraId="17A6E76D">
            <w:pPr>
              <w:jc w:val="center"/>
            </w:pPr>
            <w:r>
              <w:rPr>
                <w:b/>
                <w:bCs/>
              </w:rPr>
              <w:t>Cost</w:t>
            </w:r>
          </w:p>
        </w:tc>
        <w:tc>
          <w:tcPr>
            <w:tcW w:w="0" w:type="auto"/>
            <w:tcBorders>
              <w:top w:val="single" w:color="000000" w:sz="4" w:space="0"/>
              <w:left w:val="single" w:color="000000" w:sz="4" w:space="0"/>
              <w:bottom w:val="single" w:color="000000" w:sz="4" w:space="0"/>
              <w:right w:val="single" w:color="000000" w:sz="4" w:space="0"/>
            </w:tcBorders>
            <w:shd w:val="clear" w:color="auto" w:fill="95B3D7" w:themeFill="accent1" w:themeFillTint="99"/>
            <w:tcMar>
              <w:top w:w="100" w:type="dxa"/>
              <w:left w:w="100" w:type="dxa"/>
              <w:bottom w:w="100" w:type="dxa"/>
              <w:right w:w="100" w:type="dxa"/>
            </w:tcMar>
          </w:tcPr>
          <w:p w14:paraId="790904EE">
            <w:pPr>
              <w:jc w:val="center"/>
            </w:pPr>
            <w:r>
              <w:rPr>
                <w:b/>
                <w:bCs/>
              </w:rPr>
              <w:t>Priority</w:t>
            </w:r>
          </w:p>
        </w:tc>
      </w:tr>
      <w:tr w14:paraId="60AB4E9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60"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F1E4844">
            <w:r>
              <w:t>Warehouse</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7C73577">
            <w:r>
              <w:t>Motion</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05AEB20">
            <w:r>
              <w:t>400 hrs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AFAFCBF">
            <w:r>
              <w:t>£20k</w:t>
            </w:r>
          </w:p>
        </w:tc>
        <w:tc>
          <w:tcPr>
            <w:tcW w:w="0" w:type="auto"/>
            <w:tcBorders>
              <w:top w:val="single" w:color="000000" w:sz="4" w:space="0"/>
              <w:left w:val="single" w:color="000000" w:sz="4" w:space="0"/>
              <w:bottom w:val="single" w:color="000000" w:sz="4" w:space="0"/>
              <w:right w:val="single" w:color="000000" w:sz="4" w:space="0"/>
            </w:tcBorders>
            <w:shd w:val="clear" w:color="auto" w:fill="00FF00"/>
            <w:tcMar>
              <w:top w:w="100" w:type="dxa"/>
              <w:left w:w="100" w:type="dxa"/>
              <w:bottom w:w="100" w:type="dxa"/>
              <w:right w:w="100" w:type="dxa"/>
            </w:tcMar>
          </w:tcPr>
          <w:p w14:paraId="69BF0838">
            <w:r>
              <w:rPr>
                <w:b/>
                <w:bCs/>
              </w:rPr>
              <w:t>Low</w:t>
            </w:r>
            <w:r>
              <w:t xml:space="preserve"> </w:t>
            </w:r>
          </w:p>
        </w:tc>
      </w:tr>
      <w:tr w14:paraId="1AAB861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60"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6F2050B">
            <w:r>
              <w:t>Textile</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DB82DD8">
            <w:r>
              <w:t>Defects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DC38FD0">
            <w:r>
              <w:t>600 hrs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270D7F6">
            <w:r>
              <w:t>£35k</w:t>
            </w:r>
          </w:p>
        </w:tc>
        <w:tc>
          <w:tcPr>
            <w:tcW w:w="0" w:type="auto"/>
            <w:tcBorders>
              <w:top w:val="single" w:color="000000" w:sz="4" w:space="0"/>
              <w:left w:val="single" w:color="000000" w:sz="4" w:space="0"/>
              <w:bottom w:val="single" w:color="000000" w:sz="4" w:space="0"/>
              <w:right w:val="single" w:color="000000" w:sz="4" w:space="0"/>
            </w:tcBorders>
            <w:shd w:val="clear" w:color="auto" w:fill="FF9900"/>
            <w:tcMar>
              <w:top w:w="100" w:type="dxa"/>
              <w:left w:w="100" w:type="dxa"/>
              <w:bottom w:w="100" w:type="dxa"/>
              <w:right w:w="100" w:type="dxa"/>
            </w:tcMar>
          </w:tcPr>
          <w:p w14:paraId="5E19B116">
            <w:r>
              <w:rPr>
                <w:b/>
                <w:bCs/>
              </w:rPr>
              <w:t>Medium</w:t>
            </w:r>
            <w:r>
              <w:t xml:space="preserve"> </w:t>
            </w:r>
          </w:p>
        </w:tc>
      </w:tr>
      <w:tr w14:paraId="085C36B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60" w:hRule="atLeast"/>
          <w:jc w:val="center"/>
        </w:trPr>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143E5D0">
            <w:r>
              <w:t>Food</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4D44503">
            <w:r>
              <w:t>Defects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E6865DF">
            <w:r>
              <w:t>10 hrs</w:t>
            </w:r>
          </w:p>
        </w:tc>
        <w:tc>
          <w:tcPr>
            <w:tcW w:w="0" w:type="auto"/>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618F76D">
            <w:r>
              <w:t>£40k</w:t>
            </w:r>
          </w:p>
        </w:tc>
        <w:tc>
          <w:tcPr>
            <w:tcW w:w="0" w:type="auto"/>
            <w:tcBorders>
              <w:top w:val="single" w:color="000000" w:sz="4" w:space="0"/>
              <w:left w:val="single" w:color="000000" w:sz="4" w:space="0"/>
              <w:bottom w:val="single" w:color="000000" w:sz="4" w:space="0"/>
              <w:right w:val="single" w:color="000000" w:sz="4" w:space="0"/>
            </w:tcBorders>
            <w:shd w:val="clear" w:color="auto" w:fill="FF0000"/>
            <w:tcMar>
              <w:top w:w="100" w:type="dxa"/>
              <w:left w:w="100" w:type="dxa"/>
              <w:bottom w:w="100" w:type="dxa"/>
              <w:right w:w="100" w:type="dxa"/>
            </w:tcMar>
          </w:tcPr>
          <w:p w14:paraId="46D8DB27">
            <w:r>
              <w:rPr>
                <w:b/>
                <w:bCs/>
              </w:rPr>
              <w:t>High</w:t>
            </w:r>
            <w:r>
              <w:t xml:space="preserve"> </w:t>
            </w:r>
          </w:p>
        </w:tc>
      </w:tr>
    </w:tbl>
    <w:p w14:paraId="54ACED1D">
      <w:pPr>
        <w:pStyle w:val="6"/>
      </w:pPr>
      <w:bookmarkStart w:id="51" w:name="_o82fj9m3i3zj" w:colFirst="0" w:colLast="0"/>
      <w:bookmarkEnd w:id="51"/>
      <w:bookmarkStart w:id="52" w:name="_Toc240147686"/>
      <w:r>
        <w:t>Table 7: Overall Comparison of Proposed Improvements</w:t>
      </w:r>
      <w:bookmarkEnd w:id="52"/>
    </w:p>
    <w:p w14:paraId="0911666D">
      <w:pPr>
        <w:jc w:val="center"/>
      </w:pPr>
      <w:r>
        <w:t>(Source: Self-made)</w:t>
      </w:r>
    </w:p>
    <w:p w14:paraId="7B9324DB">
      <w:r>
        <w:t>The table provides a cross-business comparison of the identified priority wastes using time, cost and priority indicators. It establishes a common basis for determining which waste requires the greatest level of intervention.</w:t>
      </w:r>
    </w:p>
    <w:p w14:paraId="56F9EDC7">
      <w:pPr>
        <w:pStyle w:val="2"/>
      </w:pPr>
      <w:bookmarkStart w:id="53" w:name="_Toc240149224"/>
      <w:r>
        <w:t>Evaluation of Improvements</w:t>
      </w:r>
      <w:bookmarkEnd w:id="53"/>
      <w:r>
        <w:t xml:space="preserve">  </w:t>
      </w:r>
    </w:p>
    <w:p w14:paraId="4D23CDD3">
      <w:pPr>
        <w:pStyle w:val="3"/>
      </w:pPr>
      <w:bookmarkStart w:id="54" w:name="_j6t02ms5w8uz" w:colFirst="0" w:colLast="0"/>
      <w:bookmarkEnd w:id="54"/>
      <w:bookmarkStart w:id="55" w:name="_Toc240149225"/>
      <w:r>
        <w:t>Improvements for Online Retail Warehousing</w:t>
      </w:r>
      <w:bookmarkEnd w:id="55"/>
    </w:p>
    <w:p w14:paraId="719BEC05">
      <w:pPr>
        <w:rPr>
          <w:b/>
          <w:bCs/>
          <w:i/>
          <w:iCs/>
        </w:rPr>
      </w:pPr>
      <w:r>
        <w:rPr>
          <w:b/>
          <w:bCs/>
          <w:i/>
          <w:iCs/>
        </w:rPr>
        <w:t xml:space="preserve">Improvement 1: Reduce Motion </w:t>
      </w:r>
    </w:p>
    <w:p w14:paraId="05BA69E4">
      <w:r>
        <w:t xml:space="preserve">The first enhancement is suggested to minimise employee motion at the warehouse. The warehouse layout is improved by management in order to effectively reduce unnecessary physical movement.  ABC-based storage systems are implemented by the facility to decrease the total walking distance significantly (Rahman and Kirby, 2024). The newly designed layout has a positive impact on order accuracy and effectively reduces employee fatigue. </w:t>
      </w:r>
    </w:p>
    <w:p w14:paraId="5B7CFCDC">
      <w:pPr>
        <w:rPr>
          <w:b/>
          <w:bCs/>
          <w:i/>
          <w:iCs/>
        </w:rPr>
      </w:pPr>
      <w:r>
        <w:rPr>
          <w:b/>
          <w:bCs/>
          <w:i/>
          <w:iCs/>
        </w:rPr>
        <w:t xml:space="preserve">Improvement 2: Reduce Waiting </w:t>
      </w:r>
    </w:p>
    <w:p w14:paraId="64FD6421">
      <w:r>
        <w:t xml:space="preserve">The second improvement is assessed to be highly significant in achieving an almost complete elimination of idle waiting time by highly coordinated operational workflows. Warehouse managers also improve coordination to ensure a very smooth, continuous flow (Batarlienė and Jarašūnienė, 2024). Staff use visual management tools to immediately recognise and address any operational issues. These changes have a positive impact on labour productivity because workers' waiting time is drastically cut down each day. </w:t>
      </w:r>
    </w:p>
    <w:p w14:paraId="67F72884">
      <w:pPr>
        <w:pStyle w:val="3"/>
      </w:pPr>
      <w:bookmarkStart w:id="56" w:name="_xi1zvy35afk" w:colFirst="0" w:colLast="0"/>
      <w:bookmarkEnd w:id="56"/>
      <w:bookmarkStart w:id="57" w:name="_Toc240149226"/>
      <w:r>
        <w:t>Improvements for Textile Manufacturing</w:t>
      </w:r>
      <w:bookmarkEnd w:id="57"/>
    </w:p>
    <w:p w14:paraId="0FDA4AB0">
      <w:pPr>
        <w:rPr>
          <w:b/>
          <w:bCs/>
          <w:i/>
          <w:iCs/>
        </w:rPr>
      </w:pPr>
      <w:r>
        <w:rPr>
          <w:b/>
          <w:bCs/>
          <w:i/>
          <w:iCs/>
        </w:rPr>
        <w:t xml:space="preserve">Improvement 1: Reduce Defects </w:t>
      </w:r>
    </w:p>
    <w:p w14:paraId="447009A5">
      <w:r>
        <w:t xml:space="preserve">The first improvement is estimated to be the reduction in serious defects that occur in garments by adopting a standard approach to quality control. The garment defect rate is greatly reduced by introducing standardised work instructions by production managers. The quality-at-source inspection method is applied by the facility to identify the risky stitching defects at an early stage. The quality team uses root cause analysis to completely remove the ongoing fabric damage problems. </w:t>
      </w:r>
    </w:p>
    <w:p w14:paraId="192ED244">
      <w:pPr>
        <w:rPr>
          <w:b/>
          <w:bCs/>
          <w:i/>
          <w:iCs/>
        </w:rPr>
      </w:pPr>
      <w:r>
        <w:rPr>
          <w:b/>
          <w:bCs/>
          <w:i/>
          <w:iCs/>
        </w:rPr>
        <w:t xml:space="preserve">Improvement 2: Reduce Waiting </w:t>
      </w:r>
    </w:p>
    <w:p w14:paraId="34452D95">
      <w:r>
        <w:t xml:space="preserve">The second textile improvement proposed involves a substantial decrease in the waiting time of the operators by adding line balancing. Production line balancing is improved by the manufacturing engineers to seamlessly maintain a continuous garment workflow (Quiroz-Cueva </w:t>
      </w:r>
      <w:r>
        <w:rPr>
          <w:i/>
          <w:iCs/>
        </w:rPr>
        <w:t>et al.</w:t>
      </w:r>
      <w:r>
        <w:t xml:space="preserve"> 2026). The logistics team guarantees the availability of the materials, ensuring that there is no waiting for the materials. The planners optimise production scheduling to achieve the complete elimination of excess work-in-progress inventory. </w:t>
      </w:r>
    </w:p>
    <w:p w14:paraId="5CF26D6A">
      <w:pPr>
        <w:pStyle w:val="3"/>
      </w:pPr>
      <w:bookmarkStart w:id="58" w:name="_k0idhv4b6gax" w:colFirst="0" w:colLast="0"/>
      <w:bookmarkEnd w:id="58"/>
      <w:bookmarkStart w:id="59" w:name="_Toc240149227"/>
      <w:r>
        <w:t>Improvements for Baked Beans Production</w:t>
      </w:r>
      <w:bookmarkEnd w:id="59"/>
      <w:r>
        <w:t xml:space="preserve"> </w:t>
      </w:r>
    </w:p>
    <w:p w14:paraId="5B5C75DD">
      <w:pPr>
        <w:rPr>
          <w:b/>
          <w:bCs/>
          <w:i/>
          <w:iCs/>
        </w:rPr>
      </w:pPr>
      <w:r>
        <w:rPr>
          <w:b/>
          <w:bCs/>
          <w:i/>
          <w:iCs/>
        </w:rPr>
        <w:t>Improvement 1: Reduce Overprocessing</w:t>
      </w:r>
    </w:p>
    <w:p w14:paraId="052290E1">
      <w:r>
        <w:t xml:space="preserve">The first food production improvement is assessed and is successful in reducing over-processing waste through standard operating procedures. The quality team systematically reviews production and inspection activities to detail process mapping techniques (Papanikolaou </w:t>
      </w:r>
      <w:r>
        <w:rPr>
          <w:i/>
          <w:iCs/>
        </w:rPr>
        <w:t>et al.</w:t>
      </w:r>
      <w:r>
        <w:t xml:space="preserve"> 2024). The facility managers introduce standardised operational procedures with great rigour to effectively remove redundant cooking checks. The factory can effectively reduce unnecessary material processing, and continuous large-scale energy savings are realised. Some constraints are observed regarding the Start-up Equipment Calibration Times for the new processing standards.</w:t>
      </w:r>
    </w:p>
    <w:p w14:paraId="1A1CC94E">
      <w:pPr>
        <w:rPr>
          <w:b/>
          <w:bCs/>
          <w:i/>
          <w:iCs/>
        </w:rPr>
      </w:pPr>
      <w:r>
        <w:rPr>
          <w:b/>
          <w:bCs/>
          <w:i/>
          <w:iCs/>
        </w:rPr>
        <w:t xml:space="preserve">Improvement 2: Reduce Defects </w:t>
      </w:r>
    </w:p>
    <w:p w14:paraId="5D636656">
      <w:r>
        <w:t>The second food production enhancement is added to drastically decrease the can rejection rates with the help of automated monitoring. The engineering team is proactively implementing enhanced quality control mechanisms to reduce defects in products and the resulting expenses. The maintenance personnel strategically place the process monitoring equipment to ensure that no product is spilt. The quality department uses root cause analysis extensively to uncover and remove deep-seated equipment issues. There is a significant decrease in the amount of material loss, while the overall food quality implications are positively controlled by the supervisors.</w:t>
      </w:r>
    </w:p>
    <w:p w14:paraId="4959E980">
      <w:pPr>
        <w:pStyle w:val="2"/>
      </w:pPr>
      <w:bookmarkStart w:id="60" w:name="_Toc240149228"/>
      <w:r>
        <w:t>Costs &amp; Implementation Issues</w:t>
      </w:r>
      <w:bookmarkEnd w:id="60"/>
      <w:r>
        <w:t xml:space="preserve"> </w:t>
      </w:r>
    </w:p>
    <w:p w14:paraId="195FC1CC">
      <w:pPr>
        <w:pStyle w:val="3"/>
      </w:pPr>
      <w:bookmarkStart w:id="61" w:name="_e7fld4ocyjuw" w:colFirst="0" w:colLast="0"/>
      <w:bookmarkEnd w:id="61"/>
      <w:bookmarkStart w:id="62" w:name="_Toc240149229"/>
      <w:r>
        <w:t>Warehouse Improvement Cost and Issue</w:t>
      </w:r>
      <w:bookmarkEnd w:id="62"/>
    </w:p>
    <w:p w14:paraId="099A70FA">
      <w:r>
        <w:t>The facility management team performs careful analysis of the improvement costs in the warehouse and other potential issues.</w:t>
      </w:r>
    </w:p>
    <w:p w14:paraId="04ECCD56">
      <w:pPr>
        <w:rPr>
          <w:b/>
          <w:bCs/>
          <w:i/>
          <w:iCs/>
        </w:rPr>
      </w:pPr>
      <w:r>
        <w:rPr>
          <w:b/>
          <w:bCs/>
          <w:i/>
          <w:iCs/>
        </w:rPr>
        <w:t>Improvement Cost</w:t>
      </w:r>
    </w:p>
    <w:p w14:paraId="0B8E1DA8">
      <w:pPr>
        <w:numPr>
          <w:ilvl w:val="0"/>
          <w:numId w:val="4"/>
        </w:numPr>
      </w:pPr>
      <w:r>
        <w:t>A lot of capital is invested in the organisation to ensure that the storage systems are suitably modified.</w:t>
      </w:r>
    </w:p>
    <w:p w14:paraId="66147F75">
      <w:pPr>
        <w:numPr>
          <w:ilvl w:val="0"/>
          <w:numId w:val="4"/>
        </w:numPr>
      </w:pPr>
      <w:r>
        <w:t>The leadership proactively deals with employee resistance to new working practices to ensure smooth transitions.</w:t>
      </w:r>
    </w:p>
    <w:p w14:paraId="3B6AAC02">
      <w:pPr>
        <w:numPr>
          <w:ilvl w:val="0"/>
          <w:numId w:val="4"/>
        </w:numPr>
      </w:pPr>
      <w:r>
        <w:t>The financial investments are continually monitored by the planners, and the logistics budget is maintained (Voronova, 2022) .</w:t>
      </w:r>
    </w:p>
    <w:p w14:paraId="06558FEA">
      <w:pPr>
        <w:rPr>
          <w:b/>
          <w:bCs/>
          <w:i/>
          <w:iCs/>
        </w:rPr>
      </w:pPr>
      <w:r>
        <w:rPr>
          <w:b/>
          <w:bCs/>
          <w:i/>
          <w:iCs/>
        </w:rPr>
        <w:t>Issue</w:t>
      </w:r>
    </w:p>
    <w:p w14:paraId="1B7EA68D">
      <w:pPr>
        <w:numPr>
          <w:ilvl w:val="0"/>
          <w:numId w:val="5"/>
        </w:numPr>
      </w:pPr>
      <w:r>
        <w:t>The first issue is that the warehouse is bound to suffer temporary disruption when it is being reconfigured.</w:t>
      </w:r>
    </w:p>
    <w:p w14:paraId="64C83EF2">
      <w:pPr>
        <w:numPr>
          <w:ilvl w:val="0"/>
          <w:numId w:val="5"/>
        </w:numPr>
      </w:pPr>
      <w:r>
        <w:t>The second issue is that there is a high level of employee resistance to new working practices, which is often manifested by employees.</w:t>
      </w:r>
    </w:p>
    <w:p w14:paraId="7123ADF1">
      <w:pPr>
        <w:pStyle w:val="3"/>
      </w:pPr>
      <w:bookmarkStart w:id="63" w:name="_3zk22w8mbcsh" w:colFirst="0" w:colLast="0"/>
      <w:bookmarkEnd w:id="63"/>
      <w:bookmarkStart w:id="64" w:name="_Toc240149230"/>
      <w:r>
        <w:t>Textile Manufacturing Improvement Cost and Issue</w:t>
      </w:r>
      <w:bookmarkEnd w:id="64"/>
    </w:p>
    <w:p w14:paraId="00D4E333">
      <w:r>
        <w:t>A detailed feasibility study of the costs of improving the production of textiles and the problems of implementing the improvements is highlighted.</w:t>
      </w:r>
    </w:p>
    <w:p w14:paraId="021CDDB1">
      <w:r>
        <w:rPr>
          <w:b/>
          <w:bCs/>
          <w:i/>
          <w:iCs/>
        </w:rPr>
        <w:t>Improvement Cost</w:t>
      </w:r>
    </w:p>
    <w:p w14:paraId="287191B1">
      <w:pPr>
        <w:numPr>
          <w:ilvl w:val="0"/>
          <w:numId w:val="6"/>
        </w:numPr>
      </w:pPr>
      <w:r>
        <w:t>High training costs are incurred by the factory so that the standardised work instructions are adopted.</w:t>
      </w:r>
    </w:p>
    <w:p w14:paraId="27EEEFBB">
      <w:pPr>
        <w:numPr>
          <w:ilvl w:val="0"/>
          <w:numId w:val="6"/>
        </w:numPr>
      </w:pPr>
      <w:r>
        <w:t xml:space="preserve">The purchasing department buys new quality control equipment to make sure that defects are detected (Butturi </w:t>
      </w:r>
      <w:r>
        <w:rPr>
          <w:i/>
          <w:iCs/>
        </w:rPr>
        <w:t>et al.</w:t>
      </w:r>
      <w:r>
        <w:t xml:space="preserve"> 2025).</w:t>
      </w:r>
    </w:p>
    <w:p w14:paraId="146F9B83">
      <w:pPr>
        <w:numPr>
          <w:ilvl w:val="0"/>
          <w:numId w:val="6"/>
        </w:numPr>
      </w:pPr>
      <w:r>
        <w:t>The planners carefully monitor the variability of supplier materials since a continuous operation of the process is desired.</w:t>
      </w:r>
    </w:p>
    <w:p w14:paraId="18AD9FC3">
      <w:r>
        <w:rPr>
          <w:b/>
          <w:bCs/>
          <w:i/>
          <w:iCs/>
        </w:rPr>
        <w:t>Issue</w:t>
      </w:r>
    </w:p>
    <w:p w14:paraId="57D6A948">
      <w:pPr>
        <w:numPr>
          <w:ilvl w:val="0"/>
          <w:numId w:val="7"/>
        </w:numPr>
      </w:pPr>
      <w:r>
        <w:t>Unfortunately, the facility is facing temporary production disruption as the production lines are being properly balanced.</w:t>
      </w:r>
    </w:p>
    <w:p w14:paraId="61292282">
      <w:pPr>
        <w:numPr>
          <w:ilvl w:val="0"/>
          <w:numId w:val="7"/>
        </w:numPr>
      </w:pPr>
      <w:r>
        <w:t>The second problem is that the factory is considering some material variations from suppliers in the manufacturing process.</w:t>
      </w:r>
    </w:p>
    <w:p w14:paraId="021DB43D">
      <w:pPr>
        <w:pStyle w:val="3"/>
      </w:pPr>
      <w:bookmarkStart w:id="65" w:name="_c5dzymcc0epp" w:colFirst="0" w:colLast="0"/>
      <w:bookmarkEnd w:id="65"/>
      <w:bookmarkStart w:id="66" w:name="_Toc240149231"/>
      <w:r>
        <w:t>Food Production Improvement Costs and Issues</w:t>
      </w:r>
      <w:bookmarkEnd w:id="66"/>
      <w:r>
        <w:t xml:space="preserve"> </w:t>
      </w:r>
    </w:p>
    <w:p w14:paraId="489847ED">
      <w:r>
        <w:t>The directors are critically working on the implementation issues and production improvement costs in the baked beans production.</w:t>
      </w:r>
    </w:p>
    <w:p w14:paraId="150C18AF">
      <w:r>
        <w:rPr>
          <w:b/>
          <w:bCs/>
          <w:i/>
          <w:iCs/>
        </w:rPr>
        <w:t>Improvement Cost</w:t>
      </w:r>
    </w:p>
    <w:p w14:paraId="0C1BA3EE">
      <w:pPr>
        <w:numPr>
          <w:ilvl w:val="0"/>
          <w:numId w:val="8"/>
        </w:numPr>
      </w:pPr>
      <w:r>
        <w:t xml:space="preserve">Advanced process monitoring equipment is strategically acquired by the plant so that quality control is enhanced (Diaz </w:t>
      </w:r>
      <w:r>
        <w:rPr>
          <w:i/>
          <w:iCs/>
        </w:rPr>
        <w:t>et al.</w:t>
      </w:r>
      <w:r>
        <w:t xml:space="preserve"> 2023).</w:t>
      </w:r>
    </w:p>
    <w:p w14:paraId="1B6C9756">
      <w:pPr>
        <w:numPr>
          <w:ilvl w:val="0"/>
          <w:numId w:val="8"/>
        </w:numPr>
      </w:pPr>
      <w:r>
        <w:t>Specialized employee training is heavily provided by the organization because the new safety systems are introduced.</w:t>
      </w:r>
    </w:p>
    <w:p w14:paraId="2FF688B9">
      <w:pPr>
        <w:numPr>
          <w:ilvl w:val="0"/>
          <w:numId w:val="8"/>
        </w:numPr>
      </w:pPr>
      <w:r>
        <w:t>The entire financial outlay is closely monitored by the bookkeepers to ensure that profitability is maintained.</w:t>
      </w:r>
    </w:p>
    <w:p w14:paraId="1FE7E9D1">
      <w:r>
        <w:rPr>
          <w:b/>
          <w:bCs/>
          <w:i/>
          <w:iCs/>
        </w:rPr>
        <w:t>Issue</w:t>
      </w:r>
    </w:p>
    <w:p w14:paraId="1F01AAC7">
      <w:pPr>
        <w:numPr>
          <w:ilvl w:val="0"/>
          <w:numId w:val="9"/>
        </w:numPr>
      </w:pPr>
      <w:r>
        <w:t>The first issue is that the auditors very strictly scrutinise the hygienic conditions during remodelling.</w:t>
      </w:r>
    </w:p>
    <w:p w14:paraId="1E016272">
      <w:pPr>
        <w:numPr>
          <w:ilvl w:val="0"/>
          <w:numId w:val="9"/>
        </w:numPr>
      </w:pPr>
      <w:r>
        <w:t>The other problem is that the production line is temporarily shut down at the facility when installing the machines.</w:t>
      </w:r>
    </w:p>
    <w:p w14:paraId="362A7433">
      <w:pPr>
        <w:pStyle w:val="3"/>
      </w:pPr>
      <w:bookmarkStart w:id="67" w:name="_1964fw9invbx" w:colFirst="0" w:colLast="0"/>
      <w:bookmarkEnd w:id="67"/>
      <w:bookmarkStart w:id="68" w:name="_Toc240149232"/>
      <w:r>
        <w:t>Cost-Benefit Evaluation</w:t>
      </w:r>
      <w:bookmarkEnd w:id="68"/>
      <w:r>
        <w:t xml:space="preserve"> </w:t>
      </w:r>
    </w:p>
    <w:p w14:paraId="15B898A1">
      <w:r>
        <w:t>The management has a detailed financial cost-benefit analysis which is systematically carried out to justify the proposed operational improvement. Financial analysts compare the estimated implementation costs with the labour time savings that are expected. The factories are able to reduce material waste to a certain extent, and the initial investment will be recovered in a short period of time. With the complete elimination of unnecessary waiting times, the supervisors have a clear idea of increased productivity. The businesses make a conscious effort to improve customer service with very high order accuracy. The executives use a detailed financial matrix to understand which operational improvements are prioritised.</w:t>
      </w:r>
    </w:p>
    <w:p w14:paraId="65C412A1">
      <w:pPr>
        <w:pStyle w:val="2"/>
      </w:pPr>
      <w:bookmarkStart w:id="69" w:name="_av37ywpc8a7o" w:colFirst="0" w:colLast="0"/>
      <w:bookmarkEnd w:id="69"/>
      <w:bookmarkStart w:id="70" w:name="_Toc240149233"/>
      <w:r>
        <w:t>Conclusion</w:t>
      </w:r>
      <w:bookmarkEnd w:id="70"/>
    </w:p>
    <w:p w14:paraId="2E0BA8E5">
      <w:r>
        <w:t>Three different business operating environments are used to illustrate the successful implementation of Lean Six Sigma principles. The significant operational wastes are identified by management teams with the help of the all-encompassing TIMWOOD analytical framework. Continuous improvement strategies are suggested to remove severe productivity bottlenecks permanently. Significant capital costs are weighed against the expected labour time savings and material savings. The facilities ensure that quality standards are fulfilled, so process efficiency is improved in the end. These particular lean methods are strictly adhered to by businesses to provide maximum customer satisfaction.</w:t>
      </w:r>
    </w:p>
    <w:p w14:paraId="105B1D14">
      <w:pPr>
        <w:pStyle w:val="2"/>
        <w:jc w:val="left"/>
      </w:pPr>
      <w:bookmarkStart w:id="71" w:name="_mkaxshyh9iei" w:colFirst="0" w:colLast="0"/>
      <w:bookmarkEnd w:id="71"/>
      <w:r>
        <w:br w:type="page"/>
      </w:r>
    </w:p>
    <w:p w14:paraId="12775179">
      <w:pPr>
        <w:pStyle w:val="2"/>
        <w:jc w:val="left"/>
      </w:pPr>
      <w:bookmarkStart w:id="72" w:name="_Toc240149234"/>
      <w:r>
        <w:t>References</w:t>
      </w:r>
      <w:bookmarkEnd w:id="72"/>
    </w:p>
    <w:p w14:paraId="067D5432">
      <w:pPr>
        <w:spacing w:after="240"/>
      </w:pPr>
      <w:r>
        <w:t xml:space="preserve">Adeodu, A., Maladzhi, R., Katumba, M.G.K.K. and Daniyan, I., 2023. Development of an improvement framework for warehouse processes using lean six sigma (DMAIC) approach. A case of third party logistics (3PL) services. </w:t>
      </w:r>
      <w:r>
        <w:rPr>
          <w:i/>
          <w:iCs/>
        </w:rPr>
        <w:t>Heliyon</w:t>
      </w:r>
      <w:r>
        <w:t xml:space="preserve">, </w:t>
      </w:r>
      <w:r>
        <w:rPr>
          <w:i/>
          <w:iCs/>
        </w:rPr>
        <w:t>9</w:t>
      </w:r>
      <w:r>
        <w:t xml:space="preserve">(4). </w:t>
      </w:r>
      <w:r>
        <w:rPr>
          <w:color w:val="0000FF"/>
        </w:rPr>
        <w:fldChar w:fldCharType="begin"/>
      </w:r>
      <w:r>
        <w:rPr>
          <w:color w:val="0000FF"/>
        </w:rPr>
        <w:instrText xml:space="preserve"> HYPERLINK "https://www.cell.com/heliyon/pdf/S2405-8440(23)02122-9.pdf" \h </w:instrText>
      </w:r>
      <w:r>
        <w:rPr>
          <w:color w:val="0000FF"/>
        </w:rPr>
        <w:fldChar w:fldCharType="separate"/>
      </w:r>
      <w:r>
        <w:rPr>
          <w:color w:val="0000FF"/>
          <w:u w:val="single"/>
        </w:rPr>
        <w:t>https://www.cell.com/heliyon/pdf/S2405-8440(23)02122-9.pdf</w:t>
      </w:r>
      <w:r>
        <w:rPr>
          <w:color w:val="0000FF"/>
          <w:u w:val="single"/>
        </w:rPr>
        <w:fldChar w:fldCharType="end"/>
      </w:r>
    </w:p>
    <w:p w14:paraId="1113AF59">
      <w:pPr>
        <w:spacing w:after="240"/>
      </w:pPr>
      <w:r>
        <w:t xml:space="preserve">Al-dalain, R., 2026. Exploring Lean Manufacturing Integration and Performance Evaluation for Process Optimization in the Food Processing Industry. </w:t>
      </w:r>
      <w:r>
        <w:rPr>
          <w:i/>
          <w:iCs/>
        </w:rPr>
        <w:t>Production Engineering Archives</w:t>
      </w:r>
      <w:r>
        <w:t xml:space="preserve">, </w:t>
      </w:r>
      <w:r>
        <w:rPr>
          <w:i/>
          <w:iCs/>
        </w:rPr>
        <w:t>32</w:t>
      </w:r>
      <w:r>
        <w:t xml:space="preserve">(1), pp.87-95. </w:t>
      </w:r>
      <w:r>
        <w:rPr>
          <w:color w:val="0000FF"/>
        </w:rPr>
        <w:fldChar w:fldCharType="begin"/>
      </w:r>
      <w:r>
        <w:rPr>
          <w:color w:val="0000FF"/>
        </w:rPr>
        <w:instrText xml:space="preserve"> HYPERLINK "https://reference-global.com/download/article/10.30657/pea.2026.32.7.pdf" \h </w:instrText>
      </w:r>
      <w:r>
        <w:rPr>
          <w:color w:val="0000FF"/>
        </w:rPr>
        <w:fldChar w:fldCharType="separate"/>
      </w:r>
      <w:r>
        <w:rPr>
          <w:color w:val="0000FF"/>
          <w:u w:val="single"/>
        </w:rPr>
        <w:t>https://reference-global.com/download/article/10.30657/pea.2026.32.7.pdf</w:t>
      </w:r>
      <w:r>
        <w:rPr>
          <w:color w:val="0000FF"/>
          <w:u w:val="single"/>
        </w:rPr>
        <w:fldChar w:fldCharType="end"/>
      </w:r>
    </w:p>
    <w:p w14:paraId="3B3AB11D">
      <w:pPr>
        <w:spacing w:after="240"/>
      </w:pPr>
      <w:r>
        <w:t xml:space="preserve">Batarlienė, N. and Jarašūnienė, A., 2024. Improving the quality of warehousing processes in the context of the logistics sector. </w:t>
      </w:r>
      <w:r>
        <w:rPr>
          <w:i/>
          <w:iCs/>
        </w:rPr>
        <w:t>Sustainability</w:t>
      </w:r>
      <w:r>
        <w:t xml:space="preserve">, </w:t>
      </w:r>
      <w:r>
        <w:rPr>
          <w:i/>
          <w:iCs/>
        </w:rPr>
        <w:t>16</w:t>
      </w:r>
      <w:r>
        <w:t>(6), p.2595.</w:t>
      </w:r>
      <w:r>
        <w:rPr>
          <w:color w:val="0000FF"/>
        </w:rPr>
        <w:t xml:space="preserve"> </w:t>
      </w:r>
      <w:r>
        <w:rPr>
          <w:color w:val="0000FF"/>
        </w:rPr>
        <w:fldChar w:fldCharType="begin"/>
      </w:r>
      <w:r>
        <w:rPr>
          <w:color w:val="0000FF"/>
        </w:rPr>
        <w:instrText xml:space="preserve"> HYPERLINK "https://www.mdpi.com/2071-1050/16/6/2595" \h </w:instrText>
      </w:r>
      <w:r>
        <w:rPr>
          <w:color w:val="0000FF"/>
        </w:rPr>
        <w:fldChar w:fldCharType="separate"/>
      </w:r>
      <w:r>
        <w:rPr>
          <w:color w:val="0000FF"/>
          <w:u w:val="single"/>
        </w:rPr>
        <w:t>https://www.mdpi.com/2071-1050/16/6/2595</w:t>
      </w:r>
      <w:r>
        <w:rPr>
          <w:color w:val="0000FF"/>
          <w:u w:val="single"/>
        </w:rPr>
        <w:fldChar w:fldCharType="end"/>
      </w:r>
      <w:r>
        <w:rPr>
          <w:color w:val="0000FF"/>
        </w:rPr>
        <w:t xml:space="preserve"> </w:t>
      </w:r>
    </w:p>
    <w:p w14:paraId="55A97FD3">
      <w:pPr>
        <w:spacing w:after="240"/>
      </w:pPr>
      <w:r>
        <w:t xml:space="preserve">Butturi, M.A., Neri, A., Mercalli, F. and Gamberini, R., 2025. Sustainability-oriented innovation in the textile manufacturing industry: Pre-consumer waste recovery and circular patterns. </w:t>
      </w:r>
      <w:r>
        <w:rPr>
          <w:i/>
          <w:iCs/>
        </w:rPr>
        <w:t>Environments</w:t>
      </w:r>
      <w:r>
        <w:t xml:space="preserve">, </w:t>
      </w:r>
      <w:r>
        <w:rPr>
          <w:i/>
          <w:iCs/>
        </w:rPr>
        <w:t>12</w:t>
      </w:r>
      <w:r>
        <w:t>(3), p.82.</w:t>
      </w:r>
      <w:r>
        <w:rPr>
          <w:color w:val="0000FF"/>
        </w:rPr>
        <w:fldChar w:fldCharType="begin"/>
      </w:r>
      <w:r>
        <w:rPr>
          <w:color w:val="0000FF"/>
        </w:rPr>
        <w:instrText xml:space="preserve"> HYPERLINK "https://www.mdpi.com/2076-3298/12/3/82" \h </w:instrText>
      </w:r>
      <w:r>
        <w:rPr>
          <w:color w:val="0000FF"/>
        </w:rPr>
        <w:fldChar w:fldCharType="separate"/>
      </w:r>
      <w:r>
        <w:rPr>
          <w:color w:val="0000FF"/>
          <w:u w:val="single"/>
        </w:rPr>
        <w:t>https://www.mdpi.com/2076-3298/12/3/82</w:t>
      </w:r>
      <w:r>
        <w:rPr>
          <w:color w:val="0000FF"/>
          <w:u w:val="single"/>
        </w:rPr>
        <w:fldChar w:fldCharType="end"/>
      </w:r>
      <w:r>
        <w:rPr>
          <w:color w:val="0000FF"/>
        </w:rPr>
        <w:t xml:space="preserve"> </w:t>
      </w:r>
    </w:p>
    <w:p w14:paraId="629996C5">
      <w:pPr>
        <w:spacing w:after="240"/>
      </w:pPr>
      <w:r>
        <w:t xml:space="preserve">Dabic-Miletic, S., 2025. Industrial food process improvement by waste minimization in pasta packaging using DMAIC methodology. </w:t>
      </w:r>
      <w:r>
        <w:rPr>
          <w:i/>
          <w:iCs/>
        </w:rPr>
        <w:t>J. Ind Intell</w:t>
      </w:r>
      <w:r>
        <w:t xml:space="preserve">, </w:t>
      </w:r>
      <w:r>
        <w:rPr>
          <w:i/>
          <w:iCs/>
        </w:rPr>
        <w:t>3</w:t>
      </w:r>
      <w:r>
        <w:t xml:space="preserve">(1), pp.20-30. </w:t>
      </w:r>
      <w:r>
        <w:rPr>
          <w:color w:val="0000FF"/>
        </w:rPr>
        <w:fldChar w:fldCharType="begin"/>
      </w:r>
      <w:r>
        <w:rPr>
          <w:color w:val="0000FF"/>
        </w:rPr>
        <w:instrText xml:space="preserve"> HYPERLINK "https://library.acadlore.com/JII/2025/3/1/JII_03.01_03.pdf" \h </w:instrText>
      </w:r>
      <w:r>
        <w:rPr>
          <w:color w:val="0000FF"/>
        </w:rPr>
        <w:fldChar w:fldCharType="separate"/>
      </w:r>
      <w:r>
        <w:rPr>
          <w:color w:val="0000FF"/>
          <w:u w:val="single"/>
        </w:rPr>
        <w:t>https://library.acadlore.com/JII/2025/3/1/JII_03.01_03.pdf</w:t>
      </w:r>
      <w:r>
        <w:rPr>
          <w:color w:val="0000FF"/>
          <w:u w:val="single"/>
        </w:rPr>
        <w:fldChar w:fldCharType="end"/>
      </w:r>
    </w:p>
    <w:p w14:paraId="3939EA98">
      <w:pPr>
        <w:spacing w:after="240"/>
      </w:pPr>
      <w:r>
        <w:t xml:space="preserve">Diaz, C.J., Douglas, K.J., Kang, K., Kolarik, A.L., Malinovski, R., Torres-Tiji, Y., Molino, J.V., Badary, A. and Mayfield, S.P., 2023. Developing algae as a sustainable food source. </w:t>
      </w:r>
      <w:r>
        <w:rPr>
          <w:i/>
          <w:iCs/>
        </w:rPr>
        <w:t>Frontiers in Nutrition</w:t>
      </w:r>
      <w:r>
        <w:t xml:space="preserve">, </w:t>
      </w:r>
      <w:r>
        <w:rPr>
          <w:i/>
          <w:iCs/>
        </w:rPr>
        <w:t>9</w:t>
      </w:r>
      <w:r>
        <w:t>, p.1029841.</w:t>
      </w:r>
      <w:r>
        <w:rPr>
          <w:color w:val="0000FF"/>
        </w:rPr>
        <w:fldChar w:fldCharType="begin"/>
      </w:r>
      <w:r>
        <w:rPr>
          <w:color w:val="0000FF"/>
        </w:rPr>
        <w:instrText xml:space="preserve"> HYPERLINK "https://www.frontiersin.org/journals/nutrition/articles/10.3389/fnut.2022.1029841/full" \h </w:instrText>
      </w:r>
      <w:r>
        <w:rPr>
          <w:color w:val="0000FF"/>
        </w:rPr>
        <w:fldChar w:fldCharType="separate"/>
      </w:r>
      <w:r>
        <w:rPr>
          <w:color w:val="0000FF"/>
          <w:u w:val="single"/>
        </w:rPr>
        <w:t>https://www.frontiersin.org/journals/nutrition/articles/10.3389/fnut.2022.1029841/full</w:t>
      </w:r>
      <w:r>
        <w:rPr>
          <w:color w:val="0000FF"/>
          <w:u w:val="single"/>
        </w:rPr>
        <w:fldChar w:fldCharType="end"/>
      </w:r>
      <w:r>
        <w:rPr>
          <w:color w:val="0000FF"/>
        </w:rPr>
        <w:t xml:space="preserve"> </w:t>
      </w:r>
    </w:p>
    <w:p w14:paraId="7DE999B0">
      <w:pPr>
        <w:spacing w:after="240"/>
      </w:pPr>
      <w:r>
        <w:t xml:space="preserve">Habib, E.E. and Hassanein, A.G., 2023. THE EFFECT OF APPLYING LEAN SIX SIGMA (LSS) ON WAREHOUSE WASTE LEVEL A CASE STUDY ON IVL DHUNSERI POLYESTER COMPANY SAE. </w:t>
      </w:r>
      <w:r>
        <w:rPr>
          <w:i/>
          <w:iCs/>
        </w:rPr>
        <w:t>Journal of Supply Chain Management: Research and Practice</w:t>
      </w:r>
      <w:r>
        <w:t xml:space="preserve">, </w:t>
      </w:r>
      <w:r>
        <w:rPr>
          <w:i/>
          <w:iCs/>
        </w:rPr>
        <w:t>17</w:t>
      </w:r>
      <w:r>
        <w:t xml:space="preserve">(2), pp.27-44. </w:t>
      </w:r>
      <w:r>
        <w:rPr>
          <w:color w:val="0000FF"/>
        </w:rPr>
        <w:fldChar w:fldCharType="begin"/>
      </w:r>
      <w:r>
        <w:rPr>
          <w:color w:val="0000FF"/>
        </w:rPr>
        <w:instrText xml:space="preserve"> HYPERLINK "https://jscm.au.edu/index.php/jscm/article/download/228/157" \h </w:instrText>
      </w:r>
      <w:r>
        <w:rPr>
          <w:color w:val="0000FF"/>
        </w:rPr>
        <w:fldChar w:fldCharType="separate"/>
      </w:r>
      <w:r>
        <w:rPr>
          <w:color w:val="0000FF"/>
          <w:u w:val="single"/>
        </w:rPr>
        <w:t>https://jscm.au.edu/index.php/jscm/article/download/228/157</w:t>
      </w:r>
      <w:r>
        <w:rPr>
          <w:color w:val="0000FF"/>
          <w:u w:val="single"/>
        </w:rPr>
        <w:fldChar w:fldCharType="end"/>
      </w:r>
    </w:p>
    <w:p w14:paraId="05B9F84A">
      <w:pPr>
        <w:spacing w:after="240"/>
      </w:pPr>
      <w:r>
        <w:t xml:space="preserve">Hameed, S., Khan, M.S., Jaleel, A.A. and Abdin, Z.U., 2024. Beyond Green washing: Profit with Purpose Measuring sustainable textile manufacturing for business excellence. </w:t>
      </w:r>
      <w:r>
        <w:rPr>
          <w:i/>
          <w:iCs/>
        </w:rPr>
        <w:t>Pakistan Business Review</w:t>
      </w:r>
      <w:r>
        <w:t xml:space="preserve">, </w:t>
      </w:r>
      <w:r>
        <w:rPr>
          <w:i/>
          <w:iCs/>
        </w:rPr>
        <w:t>26</w:t>
      </w:r>
      <w:r>
        <w:t xml:space="preserve">(2), pp.104-124. </w:t>
      </w:r>
      <w:r>
        <w:rPr>
          <w:color w:val="0000FF"/>
        </w:rPr>
        <w:fldChar w:fldCharType="begin"/>
      </w:r>
      <w:r>
        <w:rPr>
          <w:color w:val="0000FF"/>
        </w:rPr>
        <w:instrText xml:space="preserve"> HYPERLINK "https://journals.iobm.edu.pk/index.php/pbr/article/download/1183/720" \h </w:instrText>
      </w:r>
      <w:r>
        <w:rPr>
          <w:color w:val="0000FF"/>
        </w:rPr>
        <w:fldChar w:fldCharType="separate"/>
      </w:r>
      <w:r>
        <w:rPr>
          <w:color w:val="0000FF"/>
          <w:u w:val="single"/>
        </w:rPr>
        <w:t>https://journals.iobm.edu.pk/index.php/pbr/article/download/1183/720</w:t>
      </w:r>
      <w:r>
        <w:rPr>
          <w:color w:val="0000FF"/>
          <w:u w:val="single"/>
        </w:rPr>
        <w:fldChar w:fldCharType="end"/>
      </w:r>
    </w:p>
    <w:p w14:paraId="4A76F265">
      <w:pPr>
        <w:spacing w:after="240"/>
      </w:pPr>
      <w:r>
        <w:t xml:space="preserve">Hoces-Antesana, K.S. and Guerrero-Villa, C.D., 2024, October. Implementing Lean Six Sigma to enhance operational efficiency and reduce waste in essential food storage SMEs: A case study. In </w:t>
      </w:r>
      <w:r>
        <w:rPr>
          <w:i/>
          <w:iCs/>
        </w:rPr>
        <w:t>Proceedings of the 1st World Congress on Industrial Engineering and Operations Management (Paper No. WC01. 20240026). IEOM Society International. https://doi. org/10.46254/WC01</w:t>
      </w:r>
      <w:r>
        <w:t xml:space="preserve"> (Vol. 20240026). </w:t>
      </w:r>
      <w:r>
        <w:rPr>
          <w:color w:val="0000FF"/>
        </w:rPr>
        <w:fldChar w:fldCharType="begin"/>
      </w:r>
      <w:r>
        <w:rPr>
          <w:color w:val="0000FF"/>
        </w:rPr>
        <w:instrText xml:space="preserve"> HYPERLINK "https://ieomsociety.org/proceedings/2024worldcongress/26.pdf" \h </w:instrText>
      </w:r>
      <w:r>
        <w:rPr>
          <w:color w:val="0000FF"/>
        </w:rPr>
        <w:fldChar w:fldCharType="separate"/>
      </w:r>
      <w:r>
        <w:rPr>
          <w:color w:val="0000FF"/>
          <w:u w:val="single"/>
        </w:rPr>
        <w:t>https://ieomsociety.org/proceedings/2024worldcongress/26.pdf</w:t>
      </w:r>
      <w:r>
        <w:rPr>
          <w:color w:val="0000FF"/>
          <w:u w:val="single"/>
        </w:rPr>
        <w:fldChar w:fldCharType="end"/>
      </w:r>
    </w:p>
    <w:p w14:paraId="503DD96B">
      <w:pPr>
        <w:spacing w:after="240"/>
      </w:pPr>
      <w:r>
        <w:t xml:space="preserve">Issa, I., 2026. A Blueprint of Digital Dashboard to Integrate Lean Six Sigma Principles for SMEs in Textile Industry in the Middle East. </w:t>
      </w:r>
      <w:r>
        <w:rPr>
          <w:color w:val="0000FF"/>
        </w:rPr>
        <w:fldChar w:fldCharType="begin"/>
      </w:r>
      <w:r>
        <w:rPr>
          <w:color w:val="0000FF"/>
        </w:rPr>
        <w:instrText xml:space="preserve"> HYPERLINK "https://www.theseus.fi/bitstream/handle/10024/929353/Issa_Ibrahim.pdf?sequence=2" \h </w:instrText>
      </w:r>
      <w:r>
        <w:rPr>
          <w:color w:val="0000FF"/>
        </w:rPr>
        <w:fldChar w:fldCharType="separate"/>
      </w:r>
      <w:r>
        <w:rPr>
          <w:color w:val="0000FF"/>
          <w:u w:val="single"/>
        </w:rPr>
        <w:t>https://www.theseus.fi/bitstream/handle/10024/929353/Issa_Ibrahim.pdf?sequence=2</w:t>
      </w:r>
      <w:r>
        <w:rPr>
          <w:color w:val="0000FF"/>
          <w:u w:val="single"/>
        </w:rPr>
        <w:fldChar w:fldCharType="end"/>
      </w:r>
    </w:p>
    <w:p w14:paraId="6FCAB7B5">
      <w:pPr>
        <w:spacing w:after="240"/>
      </w:pPr>
      <w:r>
        <w:t xml:space="preserve">McDermott, O., Moloney, C., Noonan, J. and Rosa, A., 2024. Green lean six sigma in the food industry: a systematic literature review. </w:t>
      </w:r>
      <w:r>
        <w:rPr>
          <w:i/>
          <w:iCs/>
        </w:rPr>
        <w:t>British Food Journal</w:t>
      </w:r>
      <w:r>
        <w:t xml:space="preserve">, </w:t>
      </w:r>
      <w:r>
        <w:rPr>
          <w:i/>
          <w:iCs/>
        </w:rPr>
        <w:t>126</w:t>
      </w:r>
      <w:r>
        <w:t xml:space="preserve">(13), pp.455-469. </w:t>
      </w:r>
      <w:r>
        <w:rPr>
          <w:color w:val="0000FF"/>
        </w:rPr>
        <w:fldChar w:fldCharType="begin"/>
      </w:r>
      <w:r>
        <w:rPr>
          <w:color w:val="0000FF"/>
        </w:rPr>
        <w:instrText xml:space="preserve"> HYPERLINK "https://www.emerald.com/bfj/article-pdf/126/13/455/9588843/bfj-01-2024-0100.pdf" \h </w:instrText>
      </w:r>
      <w:r>
        <w:rPr>
          <w:color w:val="0000FF"/>
        </w:rPr>
        <w:fldChar w:fldCharType="separate"/>
      </w:r>
      <w:r>
        <w:rPr>
          <w:color w:val="0000FF"/>
          <w:u w:val="single"/>
        </w:rPr>
        <w:t>https://www.emerald.com/bfj/article-pdf/126/13/455/9588843/bfj-01-2024-0100.pdf</w:t>
      </w:r>
      <w:r>
        <w:rPr>
          <w:color w:val="0000FF"/>
          <w:u w:val="single"/>
        </w:rPr>
        <w:fldChar w:fldCharType="end"/>
      </w:r>
    </w:p>
    <w:p w14:paraId="4EF692CA">
      <w:pPr>
        <w:spacing w:after="240"/>
      </w:pPr>
      <w:r>
        <w:t xml:space="preserve">Năstase, I.A., Bucur, M., Grosu, R.M., Zgură, I.D. and Negruțiu, C., Implementation of Lean Six Sigma-DMAIC Methodology in Logistics. A Case Study from Romania. </w:t>
      </w:r>
      <w:r>
        <w:rPr>
          <w:color w:val="0000FF"/>
        </w:rPr>
        <w:fldChar w:fldCharType="begin"/>
      </w:r>
      <w:r>
        <w:rPr>
          <w:color w:val="0000FF"/>
        </w:rPr>
        <w:instrText xml:space="preserve"> HYPERLINK "https://www.researchgate.net/profile/Mihaela-Bucur-2/publication/395251792_Implementation_of_Lean_Six_Sigma-DMAIC_Methodology_in_Logistics_A_Case_Study_from_Romania/links/68b95e1dd9261f6f51b13e13/Implementation-of-Lean-Six-Sigma-DMAIC-Methodology-in-Logistics-A-Case-Study-from-Romania.pdf" \h </w:instrText>
      </w:r>
      <w:r>
        <w:rPr>
          <w:color w:val="0000FF"/>
        </w:rPr>
        <w:fldChar w:fldCharType="separate"/>
      </w:r>
      <w:r>
        <w:rPr>
          <w:color w:val="0000FF"/>
          <w:u w:val="single"/>
        </w:rPr>
        <w:t>https://www.researchgate.net/profile/Mihaela-Bucur-2/publication/395251792_Implementation_of_Lean_Six_Sigma-DMAIC_Methodology_in_Logistics_A_Case_Study_from_Romania/links/68b95e1dd9261f6f51b13e13/Implementation-of-Lean-Six-Sigma-DMAIC-Methodology-in-Logistics-A-Case-Study-from-Romania.pdf</w:t>
      </w:r>
      <w:r>
        <w:rPr>
          <w:color w:val="0000FF"/>
          <w:u w:val="single"/>
        </w:rPr>
        <w:fldChar w:fldCharType="end"/>
      </w:r>
    </w:p>
    <w:p w14:paraId="646A28EC">
      <w:pPr>
        <w:spacing w:after="240"/>
      </w:pPr>
      <w:r>
        <w:t xml:space="preserve">Papanikolaou, Y., Slavin, J. and Fulgoni III, V.L., 2024. Adult dietary patterns with increased bean consumption are associated with greater overall shortfall nutrient intakes, lower added sugar, improved weight-related outcomes and better diet quality. </w:t>
      </w:r>
      <w:r>
        <w:rPr>
          <w:i/>
          <w:iCs/>
        </w:rPr>
        <w:t>Nutrition Journal</w:t>
      </w:r>
      <w:r>
        <w:t xml:space="preserve">, </w:t>
      </w:r>
      <w:r>
        <w:rPr>
          <w:i/>
          <w:iCs/>
        </w:rPr>
        <w:t>23</w:t>
      </w:r>
      <w:r>
        <w:t>(1), p.36.</w:t>
      </w:r>
      <w:r>
        <w:rPr>
          <w:color w:val="0000FF"/>
        </w:rPr>
        <w:fldChar w:fldCharType="begin"/>
      </w:r>
      <w:r>
        <w:rPr>
          <w:color w:val="0000FF"/>
        </w:rPr>
        <w:instrText xml:space="preserve"> HYPERLINK "https://link.springer.com/content/pdf/10.1186/s12937-024-00937-1.pdf" \h </w:instrText>
      </w:r>
      <w:r>
        <w:rPr>
          <w:color w:val="0000FF"/>
        </w:rPr>
        <w:fldChar w:fldCharType="separate"/>
      </w:r>
      <w:r>
        <w:rPr>
          <w:color w:val="0000FF"/>
          <w:u w:val="single"/>
        </w:rPr>
        <w:t>https://link.springer.com/content/pdf/10.1186/s12937-024-00937-1.pdf</w:t>
      </w:r>
      <w:r>
        <w:rPr>
          <w:color w:val="0000FF"/>
          <w:u w:val="single"/>
        </w:rPr>
        <w:fldChar w:fldCharType="end"/>
      </w:r>
      <w:r>
        <w:rPr>
          <w:color w:val="0000FF"/>
        </w:rPr>
        <w:t xml:space="preserve"> </w:t>
      </w:r>
    </w:p>
    <w:p w14:paraId="57B0C1E5">
      <w:pPr>
        <w:spacing w:after="240"/>
      </w:pPr>
      <w:r>
        <w:t xml:space="preserve">Quiroz-Cueva, A., Simbron-Guillen, M. and Saenz-Moron, M., 2023. Improvement proposal to increase the production efficiency of garment with lean manufacturing tools for the textile sector in Lima. </w:t>
      </w:r>
      <w:r>
        <w:rPr>
          <w:i/>
          <w:iCs/>
        </w:rPr>
        <w:t>LACCEI</w:t>
      </w:r>
      <w:r>
        <w:t xml:space="preserve">, </w:t>
      </w:r>
      <w:r>
        <w:rPr>
          <w:i/>
          <w:iCs/>
        </w:rPr>
        <w:t>1</w:t>
      </w:r>
      <w:r>
        <w:t>(8).</w:t>
      </w:r>
      <w:r>
        <w:rPr>
          <w:color w:val="0000FF"/>
        </w:rPr>
        <w:fldChar w:fldCharType="begin"/>
      </w:r>
      <w:r>
        <w:rPr>
          <w:color w:val="0000FF"/>
        </w:rPr>
        <w:instrText xml:space="preserve"> HYPERLINK "https://proceedings.laccei.org/index.php/laccei/article/download/3220/3215" \h </w:instrText>
      </w:r>
      <w:r>
        <w:rPr>
          <w:color w:val="0000FF"/>
        </w:rPr>
        <w:fldChar w:fldCharType="separate"/>
      </w:r>
      <w:r>
        <w:rPr>
          <w:color w:val="0000FF"/>
          <w:u w:val="single"/>
        </w:rPr>
        <w:t>https://proceedings.laccei.org/index.php/laccei/article/download/3220/3215</w:t>
      </w:r>
      <w:r>
        <w:rPr>
          <w:color w:val="0000FF"/>
          <w:u w:val="single"/>
        </w:rPr>
        <w:fldChar w:fldCharType="end"/>
      </w:r>
      <w:r>
        <w:rPr>
          <w:color w:val="0000FF"/>
        </w:rPr>
        <w:t xml:space="preserve"> </w:t>
      </w:r>
    </w:p>
    <w:p w14:paraId="330B5811">
      <w:pPr>
        <w:spacing w:after="240"/>
      </w:pPr>
      <w:r>
        <w:t xml:space="preserve">Rahman, M.A. and Kirby, E.D., 2024. The Lean advantage: Transforming e-commerce warehouse operations for competitive success. </w:t>
      </w:r>
      <w:r>
        <w:rPr>
          <w:i/>
          <w:iCs/>
        </w:rPr>
        <w:t>Logistics</w:t>
      </w:r>
      <w:r>
        <w:t xml:space="preserve">, </w:t>
      </w:r>
      <w:r>
        <w:rPr>
          <w:i/>
          <w:iCs/>
        </w:rPr>
        <w:t>8</w:t>
      </w:r>
      <w:r>
        <w:t>(4), p.129.</w:t>
      </w:r>
      <w:r>
        <w:rPr>
          <w:color w:val="0000FF"/>
        </w:rPr>
        <w:fldChar w:fldCharType="begin"/>
      </w:r>
      <w:r>
        <w:rPr>
          <w:color w:val="0000FF"/>
        </w:rPr>
        <w:instrText xml:space="preserve"> HYPERLINK "https://www.mdpi.com/2305-6290/8/4/129" \h </w:instrText>
      </w:r>
      <w:r>
        <w:rPr>
          <w:color w:val="0000FF"/>
        </w:rPr>
        <w:fldChar w:fldCharType="separate"/>
      </w:r>
      <w:r>
        <w:rPr>
          <w:color w:val="0000FF"/>
          <w:u w:val="single"/>
        </w:rPr>
        <w:t>https://www.mdpi.com/2305-6290/8/4/129</w:t>
      </w:r>
      <w:r>
        <w:rPr>
          <w:color w:val="0000FF"/>
          <w:u w:val="single"/>
        </w:rPr>
        <w:fldChar w:fldCharType="end"/>
      </w:r>
      <w:r>
        <w:rPr>
          <w:color w:val="0000FF"/>
        </w:rPr>
        <w:t xml:space="preserve"> </w:t>
      </w:r>
    </w:p>
    <w:p w14:paraId="553E50E7">
      <w:pPr>
        <w:spacing w:after="240"/>
      </w:pPr>
      <w:r>
        <w:t xml:space="preserve">Sheel, C.C., 2025. A systematic approach and mathematical review to textile production optimization: implementing lean six sigma DMAIC for enhanced product consistency and quality in the field of industrial engineering management. </w:t>
      </w:r>
      <w:r>
        <w:rPr>
          <w:i/>
          <w:iCs/>
        </w:rPr>
        <w:t>Big data and computing visions</w:t>
      </w:r>
      <w:r>
        <w:t xml:space="preserve">, </w:t>
      </w:r>
      <w:r>
        <w:rPr>
          <w:i/>
          <w:iCs/>
        </w:rPr>
        <w:t>5</w:t>
      </w:r>
      <w:r>
        <w:t xml:space="preserve">(1), pp.37-51. </w:t>
      </w:r>
      <w:r>
        <w:rPr>
          <w:color w:val="0000FF"/>
        </w:rPr>
        <w:fldChar w:fldCharType="begin"/>
      </w:r>
      <w:r>
        <w:rPr>
          <w:color w:val="0000FF"/>
        </w:rPr>
        <w:instrText xml:space="preserve"> HYPERLINK "https://www.bidacv.com/article_208611_50f65a33940b8998f5468e1676532c38.pdf" \h </w:instrText>
      </w:r>
      <w:r>
        <w:rPr>
          <w:color w:val="0000FF"/>
        </w:rPr>
        <w:fldChar w:fldCharType="separate"/>
      </w:r>
      <w:r>
        <w:rPr>
          <w:color w:val="0000FF"/>
          <w:u w:val="single"/>
        </w:rPr>
        <w:t>https://www.bidacv.com/article_208611_50f65a33940b8998f5468e1676532c38.pdf</w:t>
      </w:r>
      <w:r>
        <w:rPr>
          <w:color w:val="0000FF"/>
          <w:u w:val="single"/>
        </w:rPr>
        <w:fldChar w:fldCharType="end"/>
      </w:r>
    </w:p>
    <w:p w14:paraId="52B287C2">
      <w:pPr>
        <w:spacing w:after="240"/>
      </w:pPr>
      <w:r>
        <w:t xml:space="preserve">Voronova, O., 2022. Improvement of warehouse logistics based on the introduction of lean manufacturing principles. </w:t>
      </w:r>
      <w:r>
        <w:rPr>
          <w:i/>
          <w:iCs/>
        </w:rPr>
        <w:t>Transportation Research Procedia</w:t>
      </w:r>
      <w:r>
        <w:t xml:space="preserve">, </w:t>
      </w:r>
      <w:r>
        <w:rPr>
          <w:i/>
          <w:iCs/>
        </w:rPr>
        <w:t>63</w:t>
      </w:r>
      <w:r>
        <w:t>, pp.919-928.</w:t>
      </w:r>
      <w:r>
        <w:rPr>
          <w:color w:val="0000FF"/>
        </w:rPr>
        <w:fldChar w:fldCharType="begin"/>
      </w:r>
      <w:r>
        <w:rPr>
          <w:color w:val="0000FF"/>
        </w:rPr>
        <w:instrText xml:space="preserve"> HYPERLINK "https://www.sciencedirect.com/science/article/pii/S2352146522003453/pdf?md5=9cc2cbf24993dc365f9c200aee001a57&amp;pid=1-s2.0-S2352146522003453-main.pdf" \h </w:instrText>
      </w:r>
      <w:r>
        <w:rPr>
          <w:color w:val="0000FF"/>
        </w:rPr>
        <w:fldChar w:fldCharType="separate"/>
      </w:r>
      <w:r>
        <w:rPr>
          <w:color w:val="0000FF"/>
          <w:u w:val="single"/>
        </w:rPr>
        <w:t>https://www.sciencedirect.com/science/article/pii/S2352146522003453/pdf?md5=9cc2cbf24993dc365f9c200aee001a57&amp;pid=1-s2.0-S2352146522003453-main.pdf</w:t>
      </w:r>
      <w:r>
        <w:rPr>
          <w:color w:val="0000FF"/>
          <w:u w:val="single"/>
        </w:rPr>
        <w:fldChar w:fldCharType="end"/>
      </w:r>
      <w:r>
        <w:rPr>
          <w:color w:val="0000FF"/>
        </w:rPr>
        <w:t xml:space="preserve"> </w:t>
      </w:r>
    </w:p>
    <w:p w14:paraId="260EEF26">
      <w:pPr>
        <w:jc w:val="left"/>
      </w:pPr>
    </w:p>
    <w:p w14:paraId="67221926">
      <w:pPr>
        <w:rPr>
          <w:b/>
          <w:bCs/>
          <w:sz w:val="28"/>
          <w:szCs w:val="28"/>
        </w:rPr>
      </w:pPr>
      <w:bookmarkStart w:id="73" w:name="_qaetbtd3jbet" w:colFirst="0" w:colLast="0"/>
      <w:bookmarkEnd w:id="73"/>
      <w:r>
        <w:br w:type="page"/>
      </w:r>
    </w:p>
    <w:p w14:paraId="25F95E32">
      <w:pPr>
        <w:pStyle w:val="2"/>
      </w:pPr>
      <w:bookmarkStart w:id="74" w:name="_Toc240149235"/>
      <w:r>
        <w:t>Appendices</w:t>
      </w:r>
      <w:bookmarkEnd w:id="74"/>
    </w:p>
    <w:p w14:paraId="6A9F7263">
      <w:pPr>
        <w:jc w:val="center"/>
      </w:pPr>
      <w:r>
        <w:drawing>
          <wp:inline distT="114300" distB="114300" distL="114300" distR="114300">
            <wp:extent cx="5730875" cy="3276600"/>
            <wp:effectExtent l="12700" t="12700" r="12700" b="12700"/>
            <wp:docPr id="8" name="image5.png"/>
            <wp:cNvGraphicFramePr/>
            <a:graphic xmlns:a="http://schemas.openxmlformats.org/drawingml/2006/main">
              <a:graphicData uri="http://schemas.openxmlformats.org/drawingml/2006/picture">
                <pic:pic xmlns:pic="http://schemas.openxmlformats.org/drawingml/2006/picture">
                  <pic:nvPicPr>
                    <pic:cNvPr id="8" name="image5.png"/>
                    <pic:cNvPicPr preferRelativeResize="0"/>
                  </pic:nvPicPr>
                  <pic:blipFill>
                    <a:blip r:embed="rId14"/>
                    <a:srcRect/>
                    <a:stretch>
                      <a:fillRect/>
                    </a:stretch>
                  </pic:blipFill>
                  <pic:spPr>
                    <a:xfrm>
                      <a:off x="0" y="0"/>
                      <a:ext cx="5731200" cy="3276600"/>
                    </a:xfrm>
                    <a:prstGeom prst="rect">
                      <a:avLst/>
                    </a:prstGeom>
                    <a:ln w="12700">
                      <a:solidFill>
                        <a:srgbClr val="000000"/>
                      </a:solidFill>
                      <a:prstDash val="solid"/>
                    </a:ln>
                  </pic:spPr>
                </pic:pic>
              </a:graphicData>
            </a:graphic>
          </wp:inline>
        </w:drawing>
      </w:r>
    </w:p>
    <w:p w14:paraId="01F43216">
      <w:pPr>
        <w:jc w:val="center"/>
      </w:pPr>
      <w:r>
        <w:drawing>
          <wp:inline distT="114300" distB="114300" distL="114300" distR="114300">
            <wp:extent cx="5730875" cy="571500"/>
            <wp:effectExtent l="12700" t="12700" r="12700" b="1270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referRelativeResize="0"/>
                  </pic:nvPicPr>
                  <pic:blipFill>
                    <a:blip r:embed="rId11"/>
                    <a:srcRect/>
                    <a:stretch>
                      <a:fillRect/>
                    </a:stretch>
                  </pic:blipFill>
                  <pic:spPr>
                    <a:xfrm>
                      <a:off x="0" y="0"/>
                      <a:ext cx="5731200" cy="571500"/>
                    </a:xfrm>
                    <a:prstGeom prst="rect">
                      <a:avLst/>
                    </a:prstGeom>
                    <a:ln w="12700">
                      <a:solidFill>
                        <a:srgbClr val="000000"/>
                      </a:solidFill>
                      <a:prstDash val="solid"/>
                    </a:ln>
                  </pic:spPr>
                </pic:pic>
              </a:graphicData>
            </a:graphic>
          </wp:inline>
        </w:drawing>
      </w:r>
    </w:p>
    <w:p w14:paraId="10321B9C">
      <w:pPr>
        <w:jc w:val="center"/>
      </w:pPr>
      <w:r>
        <w:drawing>
          <wp:inline distT="114300" distB="114300" distL="114300" distR="114300">
            <wp:extent cx="5730875" cy="5588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13"/>
                    <a:srcRect/>
                    <a:stretch>
                      <a:fillRect/>
                    </a:stretch>
                  </pic:blipFill>
                  <pic:spPr>
                    <a:xfrm>
                      <a:off x="0" y="0"/>
                      <a:ext cx="5731200" cy="558800"/>
                    </a:xfrm>
                    <a:prstGeom prst="rect">
                      <a:avLst/>
                    </a:prstGeom>
                    <a:ln w="12700">
                      <a:solidFill>
                        <a:srgbClr val="000000"/>
                      </a:solidFill>
                      <a:prstDash val="solid"/>
                    </a:ln>
                  </pic:spPr>
                </pic:pic>
              </a:graphicData>
            </a:graphic>
          </wp:inline>
        </w:drawing>
      </w:r>
    </w:p>
    <w:p w14:paraId="6D59EA31">
      <w:pPr>
        <w:pStyle w:val="13"/>
      </w:pPr>
      <w:bookmarkStart w:id="75" w:name="_2seknig4uyqz" w:colFirst="0" w:colLast="0"/>
      <w:bookmarkEnd w:id="75"/>
    </w:p>
    <w:sectPr>
      <w:headerReference r:id="rId6" w:type="first"/>
      <w:footerReference r:id="rId8" w:type="first"/>
      <w:headerReference r:id="rId5" w:type="default"/>
      <w:footerReference r:id="rId7" w:type="default"/>
      <w:pgSz w:w="11909" w:h="16834"/>
      <w:pgMar w:top="1440" w:right="1440" w:bottom="1440" w:left="1440" w:header="720" w:footer="720" w:gutter="0"/>
      <w:pgBorders w:offsetFrom="page">
        <w:top w:val="none" w:sz="0" w:space="0"/>
        <w:left w:val="none" w:sz="0" w:space="0"/>
        <w:bottom w:val="none" w:sz="0" w:space="0"/>
        <w:right w:val="none" w:sz="0" w:space="0"/>
      </w:pgBorders>
      <w:pgNumType w:start="1"/>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73011E7C-B7C4-4930-A827-6F6590A15CDA}"/>
  </w:font>
  <w:font w:name="Arial">
    <w:panose1 w:val="020B0604020202020204"/>
    <w:charset w:val="00"/>
    <w:family w:val="swiss"/>
    <w:pitch w:val="default"/>
    <w:sig w:usb0="E0002EFF" w:usb1="C000785B" w:usb2="00000009" w:usb3="00000000" w:csb0="400001FF" w:csb1="FFFF0000"/>
    <w:embedRegular r:id="rId2" w:fontKey="{3AE68217-6340-4A9A-AF73-A1AFC66C7184}"/>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F1F6896D-EA9B-41ED-8871-C6FE2D228F7C}"/>
  </w:font>
  <w:font w:name="Wingdings">
    <w:panose1 w:val="05000000000000000000"/>
    <w:charset w:val="02"/>
    <w:family w:val="auto"/>
    <w:pitch w:val="default"/>
    <w:sig w:usb0="00000000" w:usb1="00000000" w:usb2="00000000" w:usb3="00000000" w:csb0="80000000" w:csb1="00000000"/>
    <w:embedRegular r:id="rId4" w:fontKey="{3EE9619C-63EF-4F06-AABB-0C2F65DCCDD1}"/>
  </w:font>
  <w:font w:name="Calibri">
    <w:panose1 w:val="020F0502020204030204"/>
    <w:charset w:val="00"/>
    <w:family w:val="swiss"/>
    <w:pitch w:val="default"/>
    <w:sig w:usb0="E4002EFF" w:usb1="C200247B" w:usb2="00000009" w:usb3="00000000" w:csb0="200001FF" w:csb1="00000000"/>
    <w:embedRegular r:id="rId5" w:fontKey="{938AF8C9-00D4-4BBF-82D5-41987C47CEBF}"/>
  </w:font>
  <w:font w:name="等线">
    <w:altName w:val="Arial Unicode MS"/>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6" w:fontKey="{18085804-D859-46F1-8D8A-CD7E2B09445B}"/>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9B8D30">
    <w:pPr>
      <w:jc w:val="right"/>
      <w:rPr>
        <w:sz w:val="20"/>
        <w:szCs w:val="20"/>
      </w:rPr>
    </w:pPr>
    <w:r>
      <w:rPr>
        <w:sz w:val="20"/>
        <w:szCs w:val="20"/>
      </w:rPr>
      <w:fldChar w:fldCharType="begin"/>
    </w:r>
    <w:r>
      <w:rPr>
        <w:sz w:val="20"/>
        <w:szCs w:val="20"/>
      </w:rPr>
      <w:instrText xml:space="preserve">PAGE</w:instrText>
    </w:r>
    <w:r>
      <w:rPr>
        <w:sz w:val="20"/>
        <w:szCs w:val="20"/>
      </w:rPr>
      <w:fldChar w:fldCharType="separate"/>
    </w:r>
    <w:r>
      <w:rPr>
        <w:sz w:val="20"/>
        <w:szCs w:val="20"/>
      </w:rPr>
      <w:t>2</w:t>
    </w:r>
    <w:r>
      <w:rPr>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D6CEFBF"/>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8DAA1EE">
    <w:pPr>
      <w:jc w:val="righ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260AE4F">
    <w:pP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8055850"/>
    <w:multiLevelType w:val="multilevel"/>
    <w:tmpl w:val="0805585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143B3E8C"/>
    <w:multiLevelType w:val="multilevel"/>
    <w:tmpl w:val="143B3E8C"/>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2B8D0A1A"/>
    <w:multiLevelType w:val="multilevel"/>
    <w:tmpl w:val="2B8D0A1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3D9A0AB0"/>
    <w:multiLevelType w:val="multilevel"/>
    <w:tmpl w:val="3D9A0AB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4BFD798C"/>
    <w:multiLevelType w:val="multilevel"/>
    <w:tmpl w:val="4BFD798C"/>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nsid w:val="4C2029BB"/>
    <w:multiLevelType w:val="multilevel"/>
    <w:tmpl w:val="4C2029BB"/>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6">
    <w:nsid w:val="532E620F"/>
    <w:multiLevelType w:val="multilevel"/>
    <w:tmpl w:val="532E620F"/>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7">
    <w:nsid w:val="5D4C7632"/>
    <w:multiLevelType w:val="multilevel"/>
    <w:tmpl w:val="5D4C763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8">
    <w:nsid w:val="7B705990"/>
    <w:multiLevelType w:val="multilevel"/>
    <w:tmpl w:val="7B70599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 w:numId="2">
    <w:abstractNumId w:val="2"/>
  </w:num>
  <w:num w:numId="3">
    <w:abstractNumId w:val="1"/>
  </w:num>
  <w:num w:numId="4">
    <w:abstractNumId w:val="3"/>
  </w:num>
  <w:num w:numId="5">
    <w:abstractNumId w:val="5"/>
  </w:num>
  <w:num w:numId="6">
    <w:abstractNumId w:val="8"/>
  </w:num>
  <w:num w:numId="7">
    <w:abstractNumId w:val="7"/>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0514"/>
    <w:rsid w:val="001B0035"/>
    <w:rsid w:val="001F0834"/>
    <w:rsid w:val="00280BDE"/>
    <w:rsid w:val="002B4C55"/>
    <w:rsid w:val="002D5201"/>
    <w:rsid w:val="003C7B62"/>
    <w:rsid w:val="004B32A6"/>
    <w:rsid w:val="00592EB0"/>
    <w:rsid w:val="005E0816"/>
    <w:rsid w:val="008404B5"/>
    <w:rsid w:val="008D0514"/>
    <w:rsid w:val="00955A47"/>
    <w:rsid w:val="009E144B"/>
    <w:rsid w:val="00C97C52"/>
    <w:rsid w:val="00DE4893"/>
    <w:rsid w:val="00E70C40"/>
    <w:rsid w:val="00F04FAF"/>
    <w:rsid w:val="00F25BBF"/>
    <w:rsid w:val="00FF7BA4"/>
    <w:rsid w:val="01F87C32"/>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GB" w:eastAsia="en-US" w:bidi="ar-SA"/>
    </w:rPr>
  </w:style>
  <w:style w:type="paragraph" w:styleId="2">
    <w:name w:val="heading 1"/>
    <w:basedOn w:val="1"/>
    <w:next w:val="1"/>
    <w:qFormat/>
    <w:uiPriority w:val="9"/>
    <w:pPr>
      <w:keepNext/>
      <w:keepLines/>
      <w:outlineLvl w:val="0"/>
    </w:pPr>
    <w:rPr>
      <w:b/>
      <w:bCs/>
      <w:sz w:val="28"/>
      <w:szCs w:val="28"/>
    </w:rPr>
  </w:style>
  <w:style w:type="paragraph" w:styleId="3">
    <w:name w:val="heading 2"/>
    <w:basedOn w:val="1"/>
    <w:next w:val="1"/>
    <w:unhideWhenUsed/>
    <w:qFormat/>
    <w:uiPriority w:val="9"/>
    <w:pPr>
      <w:keepNext/>
      <w:keepLines/>
      <w:outlineLvl w:val="1"/>
    </w:pPr>
    <w:rPr>
      <w:b/>
      <w:bCs/>
      <w:sz w:val="26"/>
      <w:szCs w:val="26"/>
    </w:rPr>
  </w:style>
  <w:style w:type="paragraph" w:styleId="4">
    <w:name w:val="heading 3"/>
    <w:basedOn w:val="1"/>
    <w:next w:val="1"/>
    <w:unhideWhenUsed/>
    <w:qFormat/>
    <w:uiPriority w:val="9"/>
    <w:pPr>
      <w:keepNext/>
      <w:keepLines/>
      <w:jc w:val="center"/>
      <w:outlineLvl w:val="2"/>
    </w:pPr>
    <w:rPr>
      <w:b/>
      <w:bCs/>
    </w:rPr>
  </w:style>
  <w:style w:type="paragraph" w:styleId="5">
    <w:name w:val="heading 4"/>
    <w:basedOn w:val="4"/>
    <w:next w:val="1"/>
    <w:unhideWhenUsed/>
    <w:qFormat/>
    <w:uiPriority w:val="9"/>
    <w:pPr>
      <w:outlineLvl w:val="3"/>
    </w:pPr>
  </w:style>
  <w:style w:type="paragraph" w:styleId="6">
    <w:name w:val="heading 5"/>
    <w:basedOn w:val="5"/>
    <w:next w:val="1"/>
    <w:unhideWhenUsed/>
    <w:qFormat/>
    <w:uiPriority w:val="9"/>
    <w:pPr>
      <w:outlineLvl w:val="4"/>
    </w:p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semiHidden/>
    <w:unhideWhenUsed/>
    <w:qFormat/>
    <w:uiPriority w:val="1"/>
  </w:style>
  <w:style w:type="table" w:default="1" w:styleId="9">
    <w:name w:val="Normal Table"/>
    <w:semiHidden/>
    <w:unhideWhenUsed/>
    <w:uiPriority w:val="99"/>
    <w:tblPr>
      <w:tblCellMar>
        <w:top w:w="0" w:type="dxa"/>
        <w:left w:w="108" w:type="dxa"/>
        <w:bottom w:w="0" w:type="dxa"/>
        <w:right w:w="108" w:type="dxa"/>
      </w:tblCellMar>
    </w:tblPr>
  </w:style>
  <w:style w:type="character" w:styleId="10">
    <w:name w:val="Hyperlink"/>
    <w:basedOn w:val="8"/>
    <w:unhideWhenUsed/>
    <w:uiPriority w:val="99"/>
    <w:rPr>
      <w:color w:val="0000FF" w:themeColor="hyperlink"/>
      <w:u w:val="single"/>
      <w14:textFill>
        <w14:solidFill>
          <w14:schemeClr w14:val="hlink"/>
        </w14:solidFill>
      </w14:textFill>
    </w:rPr>
  </w:style>
  <w:style w:type="paragraph" w:styleId="11">
    <w:name w:val="Subtitle"/>
    <w:basedOn w:val="1"/>
    <w:next w:val="1"/>
    <w:qFormat/>
    <w:uiPriority w:val="11"/>
    <w:pPr>
      <w:keepNext/>
      <w:keepLines/>
      <w:spacing w:after="320"/>
    </w:pPr>
    <w:rPr>
      <w:rFonts w:ascii="Arial" w:hAnsi="Arial" w:eastAsia="Arial" w:cs="Arial"/>
      <w:color w:val="666666"/>
      <w:sz w:val="30"/>
      <w:szCs w:val="30"/>
    </w:rPr>
  </w:style>
  <w:style w:type="paragraph" w:styleId="12">
    <w:name w:val="table of figures"/>
    <w:basedOn w:val="1"/>
    <w:next w:val="1"/>
    <w:unhideWhenUsed/>
    <w:uiPriority w:val="99"/>
  </w:style>
  <w:style w:type="paragraph" w:styleId="13">
    <w:name w:val="Title"/>
    <w:basedOn w:val="1"/>
    <w:next w:val="1"/>
    <w:qFormat/>
    <w:uiPriority w:val="10"/>
    <w:pPr>
      <w:keepNext/>
      <w:keepLines/>
      <w:jc w:val="center"/>
    </w:pPr>
    <w:rPr>
      <w:b/>
      <w:bCs/>
      <w:sz w:val="32"/>
      <w:szCs w:val="32"/>
    </w:rPr>
  </w:style>
  <w:style w:type="paragraph" w:styleId="14">
    <w:name w:val="toc 1"/>
    <w:basedOn w:val="1"/>
    <w:next w:val="1"/>
    <w:autoRedefine/>
    <w:unhideWhenUsed/>
    <w:uiPriority w:val="39"/>
    <w:pPr>
      <w:spacing w:before="120"/>
      <w:jc w:val="left"/>
    </w:pPr>
    <w:rPr>
      <w:rFonts w:asciiTheme="minorHAnsi" w:hAnsiTheme="minorHAnsi"/>
      <w:b/>
      <w:bCs/>
      <w:i/>
      <w:iCs/>
    </w:rPr>
  </w:style>
  <w:style w:type="paragraph" w:styleId="15">
    <w:name w:val="toc 2"/>
    <w:basedOn w:val="1"/>
    <w:next w:val="1"/>
    <w:autoRedefine/>
    <w:unhideWhenUsed/>
    <w:uiPriority w:val="39"/>
    <w:pPr>
      <w:spacing w:before="120"/>
      <w:ind w:left="240"/>
      <w:jc w:val="left"/>
    </w:pPr>
    <w:rPr>
      <w:rFonts w:asciiTheme="minorHAnsi" w:hAnsiTheme="minorHAnsi"/>
      <w:b/>
      <w:bCs/>
      <w:sz w:val="22"/>
      <w:szCs w:val="22"/>
    </w:rPr>
  </w:style>
  <w:style w:type="paragraph" w:styleId="16">
    <w:name w:val="toc 3"/>
    <w:basedOn w:val="1"/>
    <w:next w:val="1"/>
    <w:autoRedefine/>
    <w:unhideWhenUsed/>
    <w:uiPriority w:val="39"/>
    <w:pPr>
      <w:ind w:left="480"/>
      <w:jc w:val="left"/>
    </w:pPr>
    <w:rPr>
      <w:rFonts w:asciiTheme="minorHAnsi" w:hAnsiTheme="minorHAnsi"/>
      <w:sz w:val="20"/>
      <w:szCs w:val="20"/>
    </w:rPr>
  </w:style>
  <w:style w:type="paragraph" w:styleId="17">
    <w:name w:val="toc 4"/>
    <w:basedOn w:val="1"/>
    <w:next w:val="1"/>
    <w:autoRedefine/>
    <w:semiHidden/>
    <w:unhideWhenUsed/>
    <w:uiPriority w:val="39"/>
    <w:pPr>
      <w:ind w:left="720"/>
      <w:jc w:val="left"/>
    </w:pPr>
    <w:rPr>
      <w:rFonts w:asciiTheme="minorHAnsi" w:hAnsiTheme="minorHAnsi"/>
      <w:sz w:val="20"/>
      <w:szCs w:val="20"/>
    </w:rPr>
  </w:style>
  <w:style w:type="paragraph" w:styleId="18">
    <w:name w:val="toc 5"/>
    <w:basedOn w:val="1"/>
    <w:next w:val="1"/>
    <w:autoRedefine/>
    <w:semiHidden/>
    <w:unhideWhenUsed/>
    <w:uiPriority w:val="39"/>
    <w:pPr>
      <w:ind w:left="960"/>
      <w:jc w:val="left"/>
    </w:pPr>
    <w:rPr>
      <w:rFonts w:asciiTheme="minorHAnsi" w:hAnsiTheme="minorHAnsi"/>
      <w:sz w:val="20"/>
      <w:szCs w:val="20"/>
    </w:rPr>
  </w:style>
  <w:style w:type="paragraph" w:styleId="19">
    <w:name w:val="toc 6"/>
    <w:basedOn w:val="1"/>
    <w:next w:val="1"/>
    <w:autoRedefine/>
    <w:semiHidden/>
    <w:unhideWhenUsed/>
    <w:uiPriority w:val="39"/>
    <w:pPr>
      <w:ind w:left="1200"/>
      <w:jc w:val="left"/>
    </w:pPr>
    <w:rPr>
      <w:rFonts w:asciiTheme="minorHAnsi" w:hAnsiTheme="minorHAnsi"/>
      <w:sz w:val="20"/>
      <w:szCs w:val="20"/>
    </w:rPr>
  </w:style>
  <w:style w:type="paragraph" w:styleId="20">
    <w:name w:val="toc 7"/>
    <w:basedOn w:val="1"/>
    <w:next w:val="1"/>
    <w:autoRedefine/>
    <w:semiHidden/>
    <w:unhideWhenUsed/>
    <w:uiPriority w:val="39"/>
    <w:pPr>
      <w:ind w:left="1440"/>
      <w:jc w:val="left"/>
    </w:pPr>
    <w:rPr>
      <w:rFonts w:asciiTheme="minorHAnsi" w:hAnsiTheme="minorHAnsi"/>
      <w:sz w:val="20"/>
      <w:szCs w:val="20"/>
    </w:rPr>
  </w:style>
  <w:style w:type="paragraph" w:styleId="21">
    <w:name w:val="toc 8"/>
    <w:basedOn w:val="1"/>
    <w:next w:val="1"/>
    <w:autoRedefine/>
    <w:semiHidden/>
    <w:unhideWhenUsed/>
    <w:uiPriority w:val="39"/>
    <w:pPr>
      <w:ind w:left="1680"/>
      <w:jc w:val="left"/>
    </w:pPr>
    <w:rPr>
      <w:rFonts w:asciiTheme="minorHAnsi" w:hAnsiTheme="minorHAnsi"/>
      <w:sz w:val="20"/>
      <w:szCs w:val="20"/>
    </w:rPr>
  </w:style>
  <w:style w:type="paragraph" w:styleId="22">
    <w:name w:val="toc 9"/>
    <w:basedOn w:val="1"/>
    <w:next w:val="1"/>
    <w:autoRedefine/>
    <w:semiHidden/>
    <w:unhideWhenUsed/>
    <w:uiPriority w:val="39"/>
    <w:pPr>
      <w:ind w:left="1920"/>
      <w:jc w:val="left"/>
    </w:pPr>
    <w:rPr>
      <w:rFonts w:asciiTheme="minorHAnsi" w:hAnsiTheme="minorHAnsi"/>
      <w:sz w:val="20"/>
      <w:szCs w:val="20"/>
    </w:rPr>
  </w:style>
  <w:style w:type="table" w:customStyle="1" w:styleId="23">
    <w:name w:val="TableNormal"/>
    <w:qFormat/>
    <w:uiPriority w:val="0"/>
    <w:tblPr>
      <w:tblCellMar>
        <w:top w:w="100" w:type="dxa"/>
        <w:left w:w="100" w:type="dxa"/>
        <w:bottom w:w="100" w:type="dxa"/>
        <w:right w:w="100" w:type="dxa"/>
      </w:tblCellMar>
    </w:tblPr>
  </w:style>
  <w:style w:type="table" w:customStyle="1" w:styleId="24">
    <w:name w:val="_Style 12"/>
    <w:basedOn w:val="23"/>
    <w:qFormat/>
    <w:uiPriority w:val="0"/>
  </w:style>
  <w:style w:type="table" w:customStyle="1" w:styleId="25">
    <w:name w:val="_Style 13"/>
    <w:basedOn w:val="23"/>
    <w:qFormat/>
    <w:uiPriority w:val="0"/>
  </w:style>
  <w:style w:type="table" w:customStyle="1" w:styleId="26">
    <w:name w:val="_Style 14"/>
    <w:basedOn w:val="23"/>
    <w:uiPriority w:val="0"/>
  </w:style>
  <w:style w:type="table" w:customStyle="1" w:styleId="27">
    <w:name w:val="_Style 15"/>
    <w:basedOn w:val="23"/>
    <w:uiPriority w:val="0"/>
  </w:style>
  <w:style w:type="table" w:customStyle="1" w:styleId="28">
    <w:name w:val="_Style 16"/>
    <w:basedOn w:val="23"/>
    <w:uiPriority w:val="0"/>
  </w:style>
  <w:style w:type="table" w:customStyle="1" w:styleId="29">
    <w:name w:val="_Style 17"/>
    <w:basedOn w:val="23"/>
    <w:uiPriority w:val="0"/>
  </w:style>
  <w:style w:type="table" w:customStyle="1" w:styleId="30">
    <w:name w:val="_Style 18"/>
    <w:basedOn w:val="23"/>
    <w:qFormat/>
    <w:uiPriority w:val="0"/>
  </w:style>
  <w:style w:type="paragraph" w:customStyle="1" w:styleId="31">
    <w:name w:val="TOC Heading"/>
    <w:basedOn w:val="2"/>
    <w:next w:val="1"/>
    <w:unhideWhenUsed/>
    <w:qFormat/>
    <w:uiPriority w:val="39"/>
    <w:pPr>
      <w:spacing w:before="480" w:line="276" w:lineRule="auto"/>
      <w:jc w:val="left"/>
      <w:outlineLvl w:val="9"/>
    </w:pPr>
    <w:rPr>
      <w:rFonts w:asciiTheme="majorHAnsi" w:hAnsiTheme="majorHAnsi" w:eastAsiaTheme="majorEastAsia" w:cstheme="majorBidi"/>
      <w:color w:val="376092" w:themeColor="accent1" w:themeShade="BF"/>
      <w:lang w:val="en-US"/>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1.xml"/><Relationship Id="rId15" Type="http://schemas.openxmlformats.org/officeDocument/2006/relationships/numbering" Target="numbering.xml"/><Relationship Id="rId14" Type="http://schemas.openxmlformats.org/officeDocument/2006/relationships/image" Target="media/image5.png"/><Relationship Id="rId13" Type="http://schemas.openxmlformats.org/officeDocument/2006/relationships/image" Target="media/image4.png"/><Relationship Id="rId12" Type="http://schemas.openxmlformats.org/officeDocument/2006/relationships/image" Target="media/image3.png"/><Relationship Id="rId11" Type="http://schemas.openxmlformats.org/officeDocument/2006/relationships/image" Target="media/image2.png"/><Relationship Id="rId10" Type="http://schemas.openxmlformats.org/officeDocument/2006/relationships/image" Target="media/image1.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B09CF2-43E1-E646-8BE5-1C60F5B0F14E}">
  <ds:schemaRefs/>
</ds:datastoreItem>
</file>

<file path=docProps/app.xml><?xml version="1.0" encoding="utf-8"?>
<Properties xmlns="http://schemas.openxmlformats.org/officeDocument/2006/extended-properties" xmlns:vt="http://schemas.openxmlformats.org/officeDocument/2006/docPropsVTypes">
  <Template>Normal</Template>
  <Pages>23</Pages>
  <Words>4140</Words>
  <Characters>26476</Characters>
  <Lines>246</Lines>
  <Paragraphs>69</Paragraphs>
  <TotalTime>28</TotalTime>
  <ScaleCrop>false</ScaleCrop>
  <LinksUpToDate>false</LinksUpToDate>
  <CharactersWithSpaces>30412</CharactersWithSpaces>
  <Application>WPS Office_12.1.0.28485_F1E327BC-269C-435d-A152-05C5408002CA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2026-09-12T17:46:00Z</dcterms:created>
  <dcterms:modified xsi:type="dcterms:W3CDTF">2026-09-14T14:50:06Z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eyJoZGlkIjoiNjQ0OGQzYTY3NWZjMzBmY2Y5NmQzNWM2ZjMyZWExNmEiLCJ1c2VySWQiOiI1Njc2NDE0NjA1NjUifQ==</vt:lpwstr>
  </property>
  <property fmtid="{D5CDD505-2E9C-101B-9397-08002B2CF9AE}" pid="3" name="KSOProductBuildVer">
    <vt:lpwstr>1033-12.1.0.28485</vt:lpwstr>
  </property>
  <property fmtid="{D5CDD505-2E9C-101B-9397-08002B2CF9AE}" pid="4" name="ICV">
    <vt:lpwstr>38B605F6AEFC4DFAB467C37C1DD386DE_13</vt:lpwstr>
  </property>
</Properties>
</file>