
<file path=[Content_Types].xml><?xml version="1.0" encoding="utf-8"?>
<Types xmlns="http://schemas.openxmlformats.org/package/2006/content-types">
  <Default Extension="xml" ContentType="application/xml"/>
  <Default Extension="rels" ContentType="application/vnd.openxmlformats-package.relationships+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1.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spacing w:line="360" w:lineRule="auto"/>
        <w:jc w:val="center"/>
        <w:rPr>
          <w:rFonts w:ascii="Times New Roman" w:cs="Times New Roman" w:hAnsi="Times New Roman"/>
          <w:b/>
          <w:sz w:val="24"/>
          <w:szCs w:val="24"/>
        </w:rPr>
      </w:pPr>
    </w:p>
    <w:p>
      <w:pPr>
        <w:spacing w:line="360" w:lineRule="auto"/>
        <w:jc w:val="center"/>
        <w:rPr>
          <w:rFonts w:ascii="Times New Roman" w:cs="Times New Roman" w:hAnsi="Times New Roman"/>
          <w:b/>
          <w:sz w:val="24"/>
          <w:szCs w:val="24"/>
        </w:rPr>
      </w:pPr>
    </w:p>
    <w:p>
      <w:pPr>
        <w:spacing w:line="360" w:lineRule="auto"/>
        <w:jc w:val="center"/>
        <w:rPr>
          <w:rFonts w:ascii="Times New Roman" w:cs="Times New Roman" w:hAnsi="Times New Roman"/>
          <w:b/>
          <w:sz w:val="24"/>
          <w:szCs w:val="24"/>
        </w:rPr>
      </w:pPr>
    </w:p>
    <w:p>
      <w:pPr>
        <w:spacing w:line="360" w:lineRule="auto"/>
        <w:jc w:val="center"/>
        <w:rPr>
          <w:rFonts w:ascii="Times New Roman" w:cs="Times New Roman" w:hAnsi="Times New Roman"/>
          <w:b/>
          <w:sz w:val="24"/>
          <w:szCs w:val="24"/>
        </w:rPr>
      </w:pPr>
    </w:p>
    <w:p>
      <w:pPr>
        <w:spacing w:line="360" w:lineRule="auto"/>
        <w:jc w:val="center"/>
        <w:rPr>
          <w:rFonts w:ascii="Times New Roman" w:cs="Times New Roman" w:hAnsi="Times New Roman"/>
          <w:b/>
          <w:sz w:val="24"/>
          <w:szCs w:val="24"/>
        </w:rPr>
      </w:pPr>
    </w:p>
    <w:p>
      <w:pPr>
        <w:spacing w:line="360" w:lineRule="auto"/>
        <w:jc w:val="center"/>
        <w:rPr>
          <w:rFonts w:ascii="Times New Roman" w:cs="Times New Roman" w:hAnsi="Times New Roman"/>
          <w:b/>
          <w:sz w:val="24"/>
          <w:szCs w:val="24"/>
        </w:rPr>
      </w:pPr>
    </w:p>
    <w:p>
      <w:pPr>
        <w:spacing w:line="360" w:lineRule="auto"/>
        <w:jc w:val="center"/>
        <w:rPr>
          <w:rFonts w:ascii="Times New Roman" w:cs="Times New Roman" w:hAnsi="Times New Roman"/>
          <w:b/>
          <w:sz w:val="24"/>
          <w:szCs w:val="24"/>
        </w:rPr>
      </w:pPr>
    </w:p>
    <w:p>
      <w:pPr>
        <w:spacing w:line="360" w:lineRule="auto"/>
        <w:jc w:val="center"/>
        <w:rPr>
          <w:rFonts w:ascii="Times New Roman" w:cs="Times New Roman" w:hAnsi="Times New Roman"/>
          <w:b/>
          <w:sz w:val="24"/>
          <w:szCs w:val="24"/>
        </w:rPr>
      </w:pPr>
    </w:p>
    <w:p>
      <w:pPr>
        <w:spacing w:line="360" w:lineRule="auto"/>
        <w:jc w:val="center"/>
        <w:rPr>
          <w:rFonts w:ascii="Times New Roman" w:cs="Times New Roman" w:hAnsi="Times New Roman"/>
          <w:b/>
          <w:sz w:val="24"/>
          <w:szCs w:val="24"/>
        </w:rPr>
      </w:pPr>
    </w:p>
    <w:p>
      <w:pPr>
        <w:spacing w:line="360" w:lineRule="auto"/>
        <w:jc w:val="center"/>
        <w:rPr>
          <w:rFonts w:ascii="Times New Roman" w:cs="Times New Roman" w:hAnsi="Times New Roman"/>
          <w:b/>
          <w:sz w:val="24"/>
          <w:szCs w:val="24"/>
        </w:rPr>
      </w:pPr>
    </w:p>
    <w:p>
      <w:pPr>
        <w:spacing w:line="360" w:lineRule="auto"/>
        <w:jc w:val="center"/>
        <w:rPr>
          <w:rFonts w:ascii="Times New Roman" w:cs="Times New Roman" w:hAnsi="Times New Roman"/>
          <w:b/>
          <w:sz w:val="24"/>
          <w:szCs w:val="24"/>
        </w:rPr>
      </w:pPr>
    </w:p>
    <w:p>
      <w:pPr>
        <w:pStyle w:val="Normal1"/>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center"/>
        <w:rPr>
          <w:rFonts w:ascii="Times New Roman" w:cs="Times New Roman" w:eastAsia="Arial"/>
          <w:b/>
          <w:sz w:val="32"/>
          <w:szCs w:val="32"/>
          <w:rtl w:val="off"/>
          <w:lang w:val="en-GB" w:eastAsia="en-IN"/>
        </w:rPr>
      </w:pPr>
      <w:r>
        <w:rPr>
          <w:rFonts w:ascii="Times New Roman" w:cs="Times New Roman" w:eastAsia="Arial"/>
          <w:b/>
          <w:sz w:val="32"/>
          <w:szCs w:val="32"/>
          <w:rtl w:val="off"/>
          <w:lang w:val="en-GB" w:eastAsia="en-IN"/>
        </w:rPr>
        <w:t xml:space="preserve">Module: </w:t>
      </w:r>
      <w:r>
        <w:rPr>
          <w:rFonts w:ascii="Times New Roman" w:cs="Times New Roman" w:eastAsia="Arial"/>
          <w:b/>
          <w:sz w:val="32"/>
          <w:szCs w:val="32"/>
          <w:rtl w:val="off"/>
          <w:lang w:val="en-GB" w:eastAsia="en-IN"/>
        </w:rPr>
        <w:t>Project Management</w:t>
      </w:r>
    </w:p>
    <w:p>
      <w:pPr>
        <w:pStyle w:val="Normal1"/>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center"/>
        <w:rPr>
          <w:rFonts w:ascii="Times New Roman" w:cs="Times New Roman" w:eastAsia="Arial"/>
          <w:b/>
          <w:sz w:val="32"/>
          <w:szCs w:val="32"/>
          <w:rtl w:val="off"/>
          <w:lang w:val="en-GB" w:eastAsia="en-IN"/>
        </w:rPr>
      </w:pPr>
      <w:r>
        <w:rPr>
          <w:rFonts w:ascii="Times New Roman" w:cs="Times New Roman" w:eastAsia="Arial"/>
          <w:b/>
          <w:sz w:val="32"/>
          <w:szCs w:val="32"/>
          <w:rtl w:val="off"/>
          <w:lang w:val="en-GB" w:eastAsia="en-IN"/>
        </w:rPr>
        <w:t>Module number: LCBB5005</w:t>
      </w:r>
    </w:p>
    <w:p>
      <w:pPr>
        <w:pStyle w:val="Normal1"/>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center"/>
        <w:rPr>
          <w:rFonts w:ascii="Times New Roman" w:cs="Times New Roman" w:eastAsia="Arial"/>
          <w:b/>
          <w:sz w:val="32"/>
          <w:szCs w:val="32"/>
          <w:rtl w:val="off"/>
          <w:lang w:val="en-GB" w:eastAsia="en-IN"/>
        </w:rPr>
      </w:pPr>
      <w:r>
        <w:rPr>
          <w:rFonts w:ascii="Times New Roman" w:cs="Times New Roman" w:eastAsia="Arial"/>
          <w:b/>
          <w:sz w:val="32"/>
          <w:szCs w:val="32"/>
          <w:rtl w:val="off"/>
          <w:lang w:val="en-GB" w:eastAsia="en-IN"/>
        </w:rPr>
        <w:t>Lecturer’s name: Dr. Molly Jack</w:t>
      </w:r>
    </w:p>
    <w:p>
      <w:pPr>
        <w:spacing w:line="360" w:lineRule="auto"/>
        <w:rPr>
          <w:rFonts w:ascii="Times New Roman" w:cs="Times New Roman" w:hAnsi="Times New Roman"/>
          <w:sz w:val="24"/>
          <w:szCs w:val="24"/>
        </w:rPr>
      </w:pPr>
      <w:r>
        <w:rPr>
          <w:rFonts w:ascii="Times New Roman" w:cs="Times New Roman" w:hAnsi="Times New Roman"/>
          <w:sz w:val="24"/>
          <w:szCs w:val="24"/>
        </w:rPr>
        <w:br w:type="page"/>
      </w:r>
    </w:p>
    <w:p>
      <w:pPr>
        <w:pStyle w:val="TOCHeading"/>
        <w:spacing w:line="360" w:lineRule="auto"/>
        <w:jc w:val="center"/>
        <w:rPr>
          <w:rFonts w:ascii="Times New Roman" w:cs="Times New Roman" w:hAnsi="Times New Roman"/>
          <w:sz w:val="32"/>
          <w:szCs w:val="32"/>
        </w:rPr>
      </w:pPr>
      <w:r>
        <w:rPr>
          <w:rFonts w:ascii="Times New Roman" w:cs="Times New Roman" w:hAnsi="Times New Roman"/>
          <w:color w:val="000000" w:themeColor="text1"/>
          <w:sz w:val="32"/>
          <w:szCs w:val="32"/>
        </w:rPr>
        <w:t>Table of Contents</w:t>
      </w:r>
    </w:p>
    <w:p>
      <w:pPr>
        <w:pStyle w:val="Toc1"/>
        <w:tabs>
          <w:tab w:val="right" w:leader="dot" w:pos="9350"/>
        </w:tabs>
        <w:spacing w:line="360" w:lineRule="auto"/>
        <w:rPr>
          <w:rFonts w:ascii="Times New Roman" w:cs="Times New Roman" w:eastAsiaTheme="minorEastAsia" w:hAnsi="Times New Roman"/>
          <w:sz w:val="28"/>
          <w:szCs w:val="28"/>
        </w:rPr>
      </w:pPr>
      <w:r>
        <w:fldChar w:fldCharType="begin"/>
      </w:r>
      <w:r>
        <w:instrText xml:space="preserve"> TOC \o "1-3" \h \z \u </w:instrText>
      </w:r>
      <w:r>
        <w:fldChar w:fldCharType="separate"/>
      </w:r>
      <w:r>
        <w:fldChar w:fldCharType="begin"/>
      </w:r>
      <w:r>
        <w:instrText xml:space="preserve">HYPERLINK \l "_Toc120724798" </w:instrText>
      </w:r>
      <w:r>
        <w:fldChar w:fldCharType="separate"/>
      </w:r>
      <w:r>
        <w:rPr>
          <w:rStyle w:val="Hyperlink"/>
          <w:rFonts w:ascii="Times New Roman" w:cs="Times New Roman" w:hAnsi="Times New Roman"/>
          <w:sz w:val="28"/>
          <w:szCs w:val="28"/>
          <w:lang w:val="en-GB"/>
        </w:rPr>
        <w:t>Introduction</w:t>
      </w:r>
      <w:r>
        <w:rPr>
          <w:rFonts w:ascii="Times New Roman" w:cs="Times New Roman" w:hAnsi="Times New Roman"/>
          <w:sz w:val="28"/>
          <w:szCs w:val="28"/>
        </w:rPr>
        <w:tab/>
      </w:r>
      <w:r>
        <w:fldChar w:fldCharType="begin"/>
      </w:r>
      <w:r>
        <w:instrText xml:space="preserve"> PAGEREF _Toc120724798 \h </w:instrText>
      </w:r>
      <w:r>
        <w:fldChar w:fldCharType="separate"/>
      </w:r>
      <w:r>
        <w:rPr>
          <w:rFonts w:ascii="Times New Roman" w:cs="Times New Roman" w:hAnsi="Times New Roman"/>
          <w:sz w:val="28"/>
          <w:szCs w:val="28"/>
        </w:rPr>
        <w:t>3</w:t>
      </w:r>
      <w:r>
        <w:fldChar w:fldCharType="end"/>
      </w:r>
      <w:r>
        <w:fldChar w:fldCharType="end"/>
      </w:r>
    </w:p>
    <w:p>
      <w:pPr>
        <w:pStyle w:val="Toc1"/>
        <w:tabs>
          <w:tab w:val="right" w:leader="dot" w:pos="9350"/>
        </w:tabs>
        <w:spacing w:line="360" w:lineRule="auto"/>
        <w:rPr>
          <w:rFonts w:ascii="Times New Roman" w:cs="Times New Roman" w:eastAsiaTheme="minorEastAsia" w:hAnsi="Times New Roman"/>
          <w:sz w:val="28"/>
          <w:szCs w:val="28"/>
        </w:rPr>
      </w:pPr>
      <w:r>
        <w:fldChar w:fldCharType="begin"/>
      </w:r>
      <w:r>
        <w:instrText xml:space="preserve">HYPERLINK \l "_Toc120724799" </w:instrText>
      </w:r>
      <w:r>
        <w:fldChar w:fldCharType="separate"/>
      </w:r>
      <w:r>
        <w:rPr>
          <w:rStyle w:val="Hyperlink"/>
          <w:rFonts w:ascii="Times New Roman" w:cs="Times New Roman" w:eastAsia="Times New Roman" w:hAnsi="Times New Roman"/>
          <w:sz w:val="28"/>
          <w:szCs w:val="28"/>
          <w:lang w:val="en-GB"/>
        </w:rPr>
        <w:t>The Body:</w:t>
      </w:r>
      <w:r>
        <w:rPr>
          <w:rFonts w:ascii="Times New Roman" w:cs="Times New Roman" w:hAnsi="Times New Roman"/>
          <w:sz w:val="28"/>
          <w:szCs w:val="28"/>
        </w:rPr>
        <w:tab/>
      </w:r>
      <w:r>
        <w:fldChar w:fldCharType="begin"/>
      </w:r>
      <w:r>
        <w:instrText xml:space="preserve"> PAGEREF _Toc120724799 \h </w:instrText>
      </w:r>
      <w:r>
        <w:fldChar w:fldCharType="separate"/>
      </w:r>
      <w:r>
        <w:rPr>
          <w:rFonts w:ascii="Times New Roman" w:cs="Times New Roman" w:hAnsi="Times New Roman"/>
          <w:sz w:val="28"/>
          <w:szCs w:val="28"/>
        </w:rPr>
        <w:t>3</w:t>
      </w:r>
      <w:r>
        <w:fldChar w:fldCharType="end"/>
      </w:r>
      <w:r>
        <w:fldChar w:fldCharType="end"/>
      </w:r>
    </w:p>
    <w:p>
      <w:pPr>
        <w:pStyle w:val="Toc2"/>
        <w:tabs>
          <w:tab w:val="right" w:leader="dot" w:pos="9350"/>
        </w:tabs>
        <w:spacing w:line="360" w:lineRule="auto"/>
        <w:rPr>
          <w:rFonts w:ascii="Times New Roman" w:cs="Times New Roman" w:eastAsiaTheme="minorEastAsia" w:hAnsi="Times New Roman"/>
          <w:sz w:val="28"/>
          <w:szCs w:val="28"/>
        </w:rPr>
      </w:pPr>
      <w:r>
        <w:fldChar w:fldCharType="begin"/>
      </w:r>
      <w:r>
        <w:instrText xml:space="preserve">HYPERLINK \l "_Toc120724800" </w:instrText>
      </w:r>
      <w:r>
        <w:fldChar w:fldCharType="separate"/>
      </w:r>
      <w:r>
        <w:rPr>
          <w:rStyle w:val="Hyperlink"/>
          <w:rFonts w:ascii="Times New Roman" w:cs="Times New Roman" w:hAnsi="Times New Roman"/>
          <w:sz w:val="28"/>
          <w:szCs w:val="28"/>
          <w:lang w:val="en-GB"/>
        </w:rPr>
        <w:t>Budget for project</w:t>
      </w:r>
      <w:r>
        <w:rPr>
          <w:rFonts w:ascii="Times New Roman" w:cs="Times New Roman" w:hAnsi="Times New Roman"/>
          <w:sz w:val="28"/>
          <w:szCs w:val="28"/>
        </w:rPr>
        <w:tab/>
      </w:r>
      <w:r>
        <w:fldChar w:fldCharType="begin"/>
      </w:r>
      <w:r>
        <w:instrText xml:space="preserve"> PAGEREF _Toc120724800 \h </w:instrText>
      </w:r>
      <w:r>
        <w:fldChar w:fldCharType="separate"/>
      </w:r>
      <w:r>
        <w:rPr>
          <w:rFonts w:ascii="Times New Roman" w:cs="Times New Roman" w:hAnsi="Times New Roman"/>
          <w:sz w:val="28"/>
          <w:szCs w:val="28"/>
        </w:rPr>
        <w:t>3</w:t>
      </w:r>
      <w:r>
        <w:fldChar w:fldCharType="end"/>
      </w:r>
      <w:r>
        <w:fldChar w:fldCharType="end"/>
      </w:r>
    </w:p>
    <w:p>
      <w:pPr>
        <w:pStyle w:val="Toc2"/>
        <w:tabs>
          <w:tab w:val="right" w:leader="dot" w:pos="9350"/>
        </w:tabs>
        <w:spacing w:line="360" w:lineRule="auto"/>
        <w:rPr>
          <w:rFonts w:ascii="Times New Roman" w:cs="Times New Roman" w:eastAsiaTheme="minorEastAsia" w:hAnsi="Times New Roman"/>
          <w:sz w:val="28"/>
          <w:szCs w:val="28"/>
        </w:rPr>
      </w:pPr>
      <w:r>
        <w:fldChar w:fldCharType="begin"/>
      </w:r>
      <w:r>
        <w:instrText xml:space="preserve">HYPERLINK \l "_Toc120724801" </w:instrText>
      </w:r>
      <w:r>
        <w:fldChar w:fldCharType="separate"/>
      </w:r>
      <w:r>
        <w:rPr>
          <w:rStyle w:val="Hyperlink"/>
          <w:rFonts w:ascii="Times New Roman" w:cs="Times New Roman" w:hAnsi="Times New Roman"/>
          <w:sz w:val="28"/>
          <w:szCs w:val="28"/>
          <w:lang w:val="en-GB"/>
        </w:rPr>
        <w:t>Time</w:t>
      </w:r>
      <w:r>
        <w:rPr>
          <w:rFonts w:ascii="Times New Roman" w:cs="Times New Roman" w:hAnsi="Times New Roman"/>
          <w:sz w:val="28"/>
          <w:szCs w:val="28"/>
        </w:rPr>
        <w:tab/>
      </w:r>
      <w:r>
        <w:fldChar w:fldCharType="begin"/>
      </w:r>
      <w:r>
        <w:instrText xml:space="preserve"> PAGEREF _Toc120724801 \h </w:instrText>
      </w:r>
      <w:r>
        <w:fldChar w:fldCharType="separate"/>
      </w:r>
      <w:r>
        <w:rPr>
          <w:rFonts w:ascii="Times New Roman" w:cs="Times New Roman" w:hAnsi="Times New Roman"/>
          <w:sz w:val="28"/>
          <w:szCs w:val="28"/>
        </w:rPr>
        <w:t>4</w:t>
      </w:r>
      <w:r>
        <w:fldChar w:fldCharType="end"/>
      </w:r>
      <w:r>
        <w:fldChar w:fldCharType="end"/>
      </w:r>
    </w:p>
    <w:p>
      <w:pPr>
        <w:pStyle w:val="Toc2"/>
        <w:tabs>
          <w:tab w:val="right" w:leader="dot" w:pos="9350"/>
        </w:tabs>
        <w:spacing w:line="360" w:lineRule="auto"/>
        <w:rPr>
          <w:rFonts w:ascii="Times New Roman" w:cs="Times New Roman" w:eastAsiaTheme="minorEastAsia" w:hAnsi="Times New Roman"/>
          <w:sz w:val="28"/>
          <w:szCs w:val="28"/>
        </w:rPr>
      </w:pPr>
      <w:r>
        <w:fldChar w:fldCharType="begin"/>
      </w:r>
      <w:r>
        <w:instrText xml:space="preserve">HYPERLINK \l "_Toc120724802" </w:instrText>
      </w:r>
      <w:r>
        <w:fldChar w:fldCharType="separate"/>
      </w:r>
      <w:r>
        <w:rPr>
          <w:rStyle w:val="Hyperlink"/>
          <w:rFonts w:ascii="Times New Roman" w:cs="Times New Roman" w:hAnsi="Times New Roman"/>
          <w:sz w:val="28"/>
          <w:szCs w:val="28"/>
          <w:lang w:val="en-GB"/>
        </w:rPr>
        <w:t>Quality stakeholder</w:t>
      </w:r>
      <w:r>
        <w:rPr>
          <w:rFonts w:ascii="Times New Roman" w:cs="Times New Roman" w:hAnsi="Times New Roman"/>
          <w:sz w:val="28"/>
          <w:szCs w:val="28"/>
        </w:rPr>
        <w:tab/>
      </w:r>
      <w:r>
        <w:fldChar w:fldCharType="begin"/>
      </w:r>
      <w:r>
        <w:instrText xml:space="preserve"> PAGEREF _Toc120724802 \h </w:instrText>
      </w:r>
      <w:r>
        <w:fldChar w:fldCharType="separate"/>
      </w:r>
      <w:r>
        <w:rPr>
          <w:rFonts w:ascii="Times New Roman" w:cs="Times New Roman" w:hAnsi="Times New Roman"/>
          <w:sz w:val="28"/>
          <w:szCs w:val="28"/>
        </w:rPr>
        <w:t>5</w:t>
      </w:r>
      <w:r>
        <w:fldChar w:fldCharType="end"/>
      </w:r>
      <w:r>
        <w:fldChar w:fldCharType="end"/>
      </w:r>
    </w:p>
    <w:p>
      <w:pPr>
        <w:pStyle w:val="Toc2"/>
        <w:tabs>
          <w:tab w:val="right" w:leader="dot" w:pos="9350"/>
        </w:tabs>
        <w:spacing w:line="360" w:lineRule="auto"/>
        <w:rPr>
          <w:rFonts w:ascii="Times New Roman" w:cs="Times New Roman" w:eastAsiaTheme="minorEastAsia" w:hAnsi="Times New Roman"/>
          <w:sz w:val="28"/>
          <w:szCs w:val="28"/>
        </w:rPr>
      </w:pPr>
      <w:r>
        <w:fldChar w:fldCharType="begin"/>
      </w:r>
      <w:r>
        <w:instrText xml:space="preserve">HYPERLINK \l "_Toc120724803" </w:instrText>
      </w:r>
      <w:r>
        <w:fldChar w:fldCharType="separate"/>
      </w:r>
      <w:r>
        <w:rPr>
          <w:rStyle w:val="Hyperlink"/>
          <w:rFonts w:ascii="Times New Roman" w:cs="Times New Roman" w:hAnsi="Times New Roman"/>
          <w:sz w:val="28"/>
          <w:szCs w:val="28"/>
          <w:lang w:val="en-GB"/>
        </w:rPr>
        <w:t>Impact on economy</w:t>
      </w:r>
      <w:r>
        <w:rPr>
          <w:rFonts w:ascii="Times New Roman" w:cs="Times New Roman" w:hAnsi="Times New Roman"/>
          <w:sz w:val="28"/>
          <w:szCs w:val="28"/>
        </w:rPr>
        <w:tab/>
      </w:r>
      <w:r>
        <w:fldChar w:fldCharType="begin"/>
      </w:r>
      <w:r>
        <w:instrText xml:space="preserve"> PAGEREF _Toc120724803 \h </w:instrText>
      </w:r>
      <w:r>
        <w:fldChar w:fldCharType="separate"/>
      </w:r>
      <w:r>
        <w:rPr>
          <w:rFonts w:ascii="Times New Roman" w:cs="Times New Roman" w:hAnsi="Times New Roman"/>
          <w:sz w:val="28"/>
          <w:szCs w:val="28"/>
        </w:rPr>
        <w:t>6</w:t>
      </w:r>
      <w:r>
        <w:fldChar w:fldCharType="end"/>
      </w:r>
      <w:r>
        <w:fldChar w:fldCharType="end"/>
      </w:r>
    </w:p>
    <w:p>
      <w:pPr>
        <w:pStyle w:val="Toc2"/>
        <w:tabs>
          <w:tab w:val="right" w:leader="dot" w:pos="9350"/>
        </w:tabs>
        <w:spacing w:line="360" w:lineRule="auto"/>
        <w:rPr>
          <w:rFonts w:ascii="Times New Roman" w:cs="Times New Roman" w:eastAsiaTheme="minorEastAsia" w:hAnsi="Times New Roman"/>
          <w:sz w:val="28"/>
          <w:szCs w:val="28"/>
        </w:rPr>
      </w:pPr>
      <w:r>
        <w:fldChar w:fldCharType="begin"/>
      </w:r>
      <w:r>
        <w:instrText xml:space="preserve">HYPERLINK \l "_Toc120724804" </w:instrText>
      </w:r>
      <w:r>
        <w:fldChar w:fldCharType="separate"/>
      </w:r>
      <w:r>
        <w:rPr>
          <w:rStyle w:val="Hyperlink"/>
          <w:rFonts w:ascii="Times New Roman" w:cs="Times New Roman" w:hAnsi="Times New Roman"/>
          <w:sz w:val="28"/>
          <w:szCs w:val="28"/>
        </w:rPr>
        <w:t>Technological impact</w:t>
      </w:r>
      <w:r>
        <w:rPr>
          <w:rFonts w:ascii="Times New Roman" w:cs="Times New Roman" w:hAnsi="Times New Roman"/>
          <w:sz w:val="28"/>
          <w:szCs w:val="28"/>
        </w:rPr>
        <w:tab/>
      </w:r>
      <w:r>
        <w:fldChar w:fldCharType="begin"/>
      </w:r>
      <w:r>
        <w:instrText xml:space="preserve"> PAGEREF _Toc120724804 \h </w:instrText>
      </w:r>
      <w:r>
        <w:fldChar w:fldCharType="separate"/>
      </w:r>
      <w:r>
        <w:rPr>
          <w:rFonts w:ascii="Times New Roman" w:cs="Times New Roman" w:hAnsi="Times New Roman"/>
          <w:sz w:val="28"/>
          <w:szCs w:val="28"/>
        </w:rPr>
        <w:t>7</w:t>
      </w:r>
      <w:r>
        <w:fldChar w:fldCharType="end"/>
      </w:r>
      <w:r>
        <w:fldChar w:fldCharType="end"/>
      </w:r>
    </w:p>
    <w:p>
      <w:pPr>
        <w:pStyle w:val="Toc1"/>
        <w:tabs>
          <w:tab w:val="right" w:leader="dot" w:pos="9350"/>
        </w:tabs>
        <w:spacing w:line="360" w:lineRule="auto"/>
        <w:rPr>
          <w:rFonts w:ascii="Times New Roman" w:cs="Times New Roman" w:eastAsiaTheme="minorEastAsia" w:hAnsi="Times New Roman"/>
          <w:sz w:val="28"/>
          <w:szCs w:val="28"/>
        </w:rPr>
      </w:pPr>
      <w:r>
        <w:fldChar w:fldCharType="begin"/>
      </w:r>
      <w:r>
        <w:instrText xml:space="preserve">HYPERLINK \l "_Toc120724805" </w:instrText>
      </w:r>
      <w:r>
        <w:fldChar w:fldCharType="separate"/>
      </w:r>
      <w:r>
        <w:rPr>
          <w:rStyle w:val="Hyperlink"/>
          <w:rFonts w:ascii="Times New Roman" w:cs="Times New Roman" w:hAnsi="Times New Roman"/>
          <w:sz w:val="28"/>
          <w:szCs w:val="28"/>
        </w:rPr>
        <w:t>Conclusion</w:t>
      </w:r>
      <w:r>
        <w:rPr>
          <w:rFonts w:ascii="Times New Roman" w:cs="Times New Roman" w:hAnsi="Times New Roman"/>
          <w:sz w:val="28"/>
          <w:szCs w:val="28"/>
        </w:rPr>
        <w:tab/>
      </w:r>
      <w:r>
        <w:fldChar w:fldCharType="begin"/>
      </w:r>
      <w:r>
        <w:instrText xml:space="preserve"> PAGEREF _Toc120724805 \h </w:instrText>
      </w:r>
      <w:r>
        <w:fldChar w:fldCharType="separate"/>
      </w:r>
      <w:r>
        <w:rPr>
          <w:rFonts w:ascii="Times New Roman" w:cs="Times New Roman" w:hAnsi="Times New Roman"/>
          <w:sz w:val="28"/>
          <w:szCs w:val="28"/>
        </w:rPr>
        <w:t>8</w:t>
      </w:r>
      <w:r>
        <w:fldChar w:fldCharType="end"/>
      </w:r>
      <w:r>
        <w:fldChar w:fldCharType="end"/>
      </w:r>
    </w:p>
    <w:p>
      <w:pPr>
        <w:pStyle w:val="Toc2"/>
        <w:tabs>
          <w:tab w:val="right" w:leader="dot" w:pos="9350"/>
        </w:tabs>
        <w:spacing w:line="360" w:lineRule="auto"/>
        <w:rPr>
          <w:rFonts w:ascii="Times New Roman" w:cs="Times New Roman" w:eastAsiaTheme="minorEastAsia" w:hAnsi="Times New Roman"/>
          <w:sz w:val="28"/>
          <w:szCs w:val="28"/>
        </w:rPr>
      </w:pPr>
      <w:r>
        <w:fldChar w:fldCharType="begin"/>
      </w:r>
      <w:r>
        <w:instrText xml:space="preserve">HYPERLINK \l "_Toc120724806" </w:instrText>
      </w:r>
      <w:r>
        <w:fldChar w:fldCharType="separate"/>
      </w:r>
      <w:r>
        <w:rPr>
          <w:rStyle w:val="Hyperlink"/>
          <w:rFonts w:ascii="Times New Roman" w:cs="Times New Roman" w:hAnsi="Times New Roman"/>
          <w:sz w:val="28"/>
          <w:szCs w:val="28"/>
        </w:rPr>
        <w:t>Recommendations</w:t>
      </w:r>
      <w:r>
        <w:rPr>
          <w:rFonts w:ascii="Times New Roman" w:cs="Times New Roman" w:hAnsi="Times New Roman"/>
          <w:sz w:val="28"/>
          <w:szCs w:val="28"/>
        </w:rPr>
        <w:tab/>
      </w:r>
      <w:r>
        <w:fldChar w:fldCharType="begin"/>
      </w:r>
      <w:r>
        <w:instrText xml:space="preserve"> PAGEREF _Toc120724806 \h </w:instrText>
      </w:r>
      <w:r>
        <w:fldChar w:fldCharType="separate"/>
      </w:r>
      <w:r>
        <w:rPr>
          <w:rFonts w:ascii="Times New Roman" w:cs="Times New Roman" w:hAnsi="Times New Roman"/>
          <w:sz w:val="28"/>
          <w:szCs w:val="28"/>
        </w:rPr>
        <w:t>8</w:t>
      </w:r>
      <w:r>
        <w:fldChar w:fldCharType="end"/>
      </w:r>
      <w:r>
        <w:fldChar w:fldCharType="end"/>
      </w:r>
    </w:p>
    <w:p>
      <w:pPr>
        <w:pStyle w:val="Toc1"/>
        <w:tabs>
          <w:tab w:val="right" w:leader="dot" w:pos="9350"/>
        </w:tabs>
        <w:spacing w:line="360" w:lineRule="auto"/>
        <w:rPr>
          <w:rFonts w:ascii="Times New Roman" w:cs="Times New Roman" w:eastAsiaTheme="minorEastAsia" w:hAnsi="Times New Roman"/>
          <w:sz w:val="24"/>
          <w:szCs w:val="24"/>
        </w:rPr>
      </w:pPr>
      <w:r>
        <w:fldChar w:fldCharType="begin"/>
      </w:r>
      <w:r>
        <w:instrText xml:space="preserve">HYPERLINK \l "_Toc120724807" </w:instrText>
      </w:r>
      <w:r>
        <w:fldChar w:fldCharType="separate"/>
      </w:r>
      <w:r>
        <w:rPr>
          <w:rStyle w:val="Hyperlink"/>
          <w:rFonts w:ascii="Times New Roman" w:cs="Times New Roman" w:hAnsi="Times New Roman"/>
          <w:sz w:val="28"/>
          <w:szCs w:val="28"/>
          <w:lang w:val="en-GB"/>
        </w:rPr>
        <w:t>Reference</w:t>
      </w:r>
      <w:r>
        <w:rPr>
          <w:rFonts w:ascii="Times New Roman" w:cs="Times New Roman" w:hAnsi="Times New Roman"/>
          <w:sz w:val="28"/>
          <w:szCs w:val="28"/>
        </w:rPr>
        <w:tab/>
      </w:r>
      <w:r>
        <w:fldChar w:fldCharType="begin"/>
      </w:r>
      <w:r>
        <w:instrText xml:space="preserve"> PAGEREF _Toc120724807 \h </w:instrText>
      </w:r>
      <w:r>
        <w:fldChar w:fldCharType="separate"/>
      </w:r>
      <w:r>
        <w:rPr>
          <w:rFonts w:ascii="Times New Roman" w:cs="Times New Roman" w:hAnsi="Times New Roman"/>
          <w:sz w:val="28"/>
          <w:szCs w:val="28"/>
        </w:rPr>
        <w:t>9</w:t>
      </w:r>
      <w:r>
        <w:fldChar w:fldCharType="end"/>
      </w:r>
      <w:r>
        <w:fldChar w:fldCharType="end"/>
      </w:r>
    </w:p>
    <w:p>
      <w:pPr>
        <w:spacing w:line="360" w:lineRule="auto"/>
        <w:jc w:val="both"/>
        <w:rPr>
          <w:rFonts w:ascii="Times New Roman" w:cs="Times New Roman" w:hAnsi="Times New Roman"/>
          <w:sz w:val="24"/>
          <w:szCs w:val="24"/>
        </w:rPr>
      </w:pPr>
      <w:r>
        <w:fldChar w:fldCharType="end"/>
      </w:r>
    </w:p>
    <w:p>
      <w:pPr>
        <w:spacing w:line="360" w:lineRule="auto"/>
        <w:rPr>
          <w:rFonts w:ascii="Times New Roman" w:cs="Times New Roman" w:hAnsi="Times New Roman"/>
          <w:sz w:val="24"/>
          <w:szCs w:val="24"/>
        </w:rPr>
      </w:pPr>
      <w:r>
        <w:rPr>
          <w:rFonts w:ascii="Times New Roman" w:cs="Times New Roman" w:hAnsi="Times New Roman"/>
          <w:sz w:val="24"/>
          <w:szCs w:val="24"/>
        </w:rPr>
        <w:br w:type="page"/>
      </w:r>
    </w:p>
    <w:p>
      <w:pPr>
        <w:pStyle w:val="Heading1"/>
        <w:rPr>
          <w:sz w:val="32"/>
          <w:szCs w:val="32"/>
        </w:rPr>
      </w:pPr>
      <w:bookmarkStart w:id="0" w:name="_Toc120724798"/>
      <w:bookmarkStart w:id="1" w:name="_i8bjb8x7sa3h"/>
      <w:bookmarkEnd w:id="1"/>
      <w:r>
        <w:rPr>
          <w:sz w:val="32"/>
          <w:szCs w:val="32"/>
        </w:rPr>
        <w:t>I</w:t>
      </w:r>
      <w:r>
        <w:rPr>
          <w:sz w:val="32"/>
          <w:szCs w:val="32"/>
        </w:rPr>
        <w:t>ntroduction</w:t>
      </w:r>
      <w:bookmarkEnd w:id="0"/>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8"/>
          <w:szCs w:val="28"/>
          <w:lang w:val="en-GB"/>
        </w:rPr>
        <w:t xml:space="preserve">While assessing a project there are various types of factors </w:t>
      </w:r>
      <w:r>
        <w:rPr>
          <w:rFonts w:ascii="Times New Roman" w:cs="Times New Roman" w:eastAsia="Times New Roman" w:hAnsi="Times New Roman"/>
          <w:sz w:val="28"/>
          <w:szCs w:val="28"/>
          <w:lang w:val="en-GB"/>
        </w:rPr>
        <w:t>that,</w:t>
      </w:r>
      <w:r>
        <w:rPr>
          <w:rFonts w:ascii="Times New Roman" w:cs="Times New Roman" w:eastAsia="Times New Roman" w:hAnsi="Times New Roman"/>
          <w:sz w:val="28"/>
          <w:szCs w:val="28"/>
          <w:lang w:val="en-GB"/>
        </w:rPr>
        <w:t xml:space="preserve"> need to be evaluated to analyse the success or the failure of the project.  The purpose of this assignment is to evaluate the project management of the cross-rail project of the Elizabeth line that helps to evaluate the various factor in the project. Factors such as the budget of the project play an important role in evaluating the other factors in the project and it helps to maintain the constant supply of other factors in a project. In addition, the assignment helps to evaluate the importance of quality stakeholders, in the Elizabeth line project. It also helps to evaluate the effect of the project on the economy of the UK.  In addition, it also helps to evaluate the budget of the project and analyse the cause of the increase in the cost of the project.  In this way, this project helps to evaluate the overall aspect of the project and figure out its importance in the economy of UK.</w:t>
      </w:r>
      <w:r>
        <w:rPr>
          <w:rFonts w:ascii="Times New Roman" w:cs="Times New Roman" w:eastAsia="Times New Roman" w:hAnsi="Times New Roman"/>
          <w:sz w:val="24"/>
          <w:szCs w:val="24"/>
          <w:lang w:val="en-GB"/>
        </w:rPr>
        <w:t xml:space="preserve"> </w:t>
      </w:r>
    </w:p>
    <w:p>
      <w:pPr>
        <w:pStyle w:val="Heading1"/>
        <w:rPr>
          <w:lang w:val="en-GB"/>
        </w:rPr>
      </w:pPr>
      <w:bookmarkStart w:id="2" w:name="_Toc120724799"/>
      <w:bookmarkStart w:id="3" w:name="_jtsvz0wbgzpw"/>
      <w:bookmarkEnd w:id="3"/>
      <w:r>
        <w:rPr>
          <w:sz w:val="32"/>
          <w:szCs w:val="32"/>
          <w:lang w:val="en-GB"/>
        </w:rPr>
        <w:t>T</w:t>
      </w:r>
      <w:r>
        <w:rPr>
          <w:sz w:val="32"/>
          <w:szCs w:val="32"/>
          <w:lang w:val="en-GB"/>
        </w:rPr>
        <w:t>he Body:</w:t>
      </w:r>
      <w:bookmarkEnd w:id="2"/>
      <w:r>
        <w:rPr>
          <w:sz w:val="32"/>
          <w:szCs w:val="32"/>
          <w:lang w:val="en-GB"/>
        </w:rPr>
        <w:t xml:space="preserve"> </w:t>
      </w:r>
    </w:p>
    <w:p>
      <w:pPr>
        <w:pStyle w:val="Heading2"/>
        <w:rPr>
          <w:rFonts w:cs="Times New Roman"/>
          <w:sz w:val="28"/>
          <w:szCs w:val="28"/>
          <w:lang w:val="en-GB"/>
        </w:rPr>
      </w:pPr>
      <w:bookmarkStart w:id="4" w:name="_Toc120724800"/>
      <w:bookmarkStart w:id="5" w:name="_ge3uuch9dq7y"/>
      <w:bookmarkEnd w:id="5"/>
      <w:r>
        <w:rPr>
          <w:rFonts w:cs="Times New Roman"/>
          <w:sz w:val="32"/>
          <w:szCs w:val="32"/>
          <w:lang w:val="en-GB"/>
        </w:rPr>
        <w:t>B</w:t>
      </w:r>
      <w:r>
        <w:rPr>
          <w:rFonts w:cs="Times New Roman"/>
          <w:sz w:val="32"/>
          <w:szCs w:val="32"/>
          <w:lang w:val="en-GB"/>
        </w:rPr>
        <w:t>udget for project</w:t>
      </w:r>
      <w:bookmarkEnd w:id="4"/>
      <w:r>
        <w:rPr>
          <w:rFonts w:cs="Times New Roman"/>
          <w:sz w:val="28"/>
          <w:szCs w:val="28"/>
          <w:lang w:val="en-GB"/>
        </w:rPr>
        <w:t xml:space="preserve">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 xml:space="preserve">The budget for a project plays an essential role in maintaining the propeller supply of materials in the project. At the beginning of the planning phase of the cross-line project, the estimation of the project was valued at £15.8 billion in 2009. However, due to several reasons, the project has been delayed. That led to increasing in the cost of the project. In </w:t>
      </w:r>
      <w:r>
        <w:rPr>
          <w:rFonts w:ascii="Times New Roman" w:cs="Times New Roman" w:eastAsia="Times New Roman" w:hAnsi="Times New Roman"/>
          <w:sz w:val="28"/>
          <w:szCs w:val="28"/>
          <w:lang w:val="en-GB"/>
        </w:rPr>
        <w:t>2018 £</w:t>
      </w:r>
      <w:r>
        <w:rPr>
          <w:rFonts w:ascii="Times New Roman" w:cs="Times New Roman" w:eastAsia="Times New Roman" w:hAnsi="Times New Roman"/>
          <w:sz w:val="28"/>
          <w:szCs w:val="28"/>
          <w:lang w:val="en-GB"/>
        </w:rPr>
        <w:t>825 million pounds was added to the project finally leading to an increase in the cost of the project £18.6 billion in 2021 (</w:t>
      </w:r>
      <w:r>
        <w:rPr>
          <w:rFonts w:ascii="Times New Roman" w:cs="Times New Roman" w:eastAsia="Times New Roman" w:hAnsi="Times New Roman"/>
          <w:color w:val="222222"/>
          <w:sz w:val="28"/>
          <w:szCs w:val="28"/>
          <w:highlight w:val="white"/>
          <w:lang w:val="en-GB"/>
        </w:rPr>
        <w:t>Sergeeva and Winch, 2021</w:t>
      </w:r>
      <w:r>
        <w:rPr>
          <w:rFonts w:ascii="Times New Roman" w:cs="Times New Roman" w:eastAsia="Times New Roman" w:hAnsi="Times New Roman"/>
          <w:sz w:val="28"/>
          <w:szCs w:val="28"/>
          <w:lang w:val="en-GB"/>
        </w:rPr>
        <w:t xml:space="preserve">). Therefore, it can clearly be seen that the increase in time and the change in the structure of the project led to increasing the overall cost of the project.  It can be observed that the increase in the inflation rate from 2010 to 2021 led to increasing in the cost of raw materials used in the project.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In terms of evaluating the funding for the project, it is important to evaluate the sources of funding for the cross-line project that can help to evaluate the stakeholders of the project. As opinion by</w:t>
      </w:r>
      <w:r>
        <w:rPr>
          <w:rFonts w:ascii="Times New Roman" w:cs="Times New Roman" w:eastAsia="Times New Roman" w:hAnsi="Times New Roman"/>
          <w:sz w:val="28"/>
          <w:szCs w:val="28"/>
          <w:lang w:val="en-GB"/>
        </w:rPr>
        <w:t xml:space="preserve"> Hutton and Allen, (2022), the biggest source of funding is the DFT funding which contributes about 5110 million pounds to the project. Additionally, the finding was done </w:t>
      </w:r>
      <w:r>
        <w:rPr>
          <w:rFonts w:ascii="Times New Roman" w:cs="Times New Roman" w:eastAsia="Times New Roman" w:hAnsi="Times New Roman"/>
          <w:sz w:val="28"/>
          <w:szCs w:val="28"/>
          <w:lang w:val="en-GB"/>
        </w:rPr>
        <w:t>based on</w:t>
      </w:r>
      <w:r>
        <w:rPr>
          <w:rFonts w:ascii="Times New Roman" w:cs="Times New Roman" w:eastAsia="Times New Roman" w:hAnsi="Times New Roman"/>
          <w:sz w:val="28"/>
          <w:szCs w:val="28"/>
          <w:lang w:val="en-GB"/>
        </w:rPr>
        <w:t xml:space="preserve"> business rate supplement and direct contribution that was business in London.  This type of funding contributes about 4100 million pounds were contributed in the project. About  2980 million pounds were raised from NR funding that helps to contribute to the project.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About 100 million pounds was also donated by the business situated in London in order to complete the project. There are various other sources for funds in the project that help to maintain the flow of find in the business and help to project to be done as per the planning and with the advanced technology (</w:t>
      </w:r>
      <w:r>
        <w:rPr>
          <w:rFonts w:ascii="Times New Roman" w:cs="Times New Roman" w:eastAsia="Times New Roman" w:hAnsi="Times New Roman"/>
          <w:color w:val="222222"/>
          <w:sz w:val="28"/>
          <w:szCs w:val="28"/>
          <w:highlight w:val="white"/>
          <w:lang w:val="en-GB"/>
        </w:rPr>
        <w:t>Roehrich and Kivleniece, 2022</w:t>
      </w:r>
      <w:r>
        <w:rPr>
          <w:rFonts w:ascii="Times New Roman" w:cs="Times New Roman" w:eastAsia="Times New Roman" w:hAnsi="Times New Roman"/>
          <w:sz w:val="28"/>
          <w:szCs w:val="28"/>
          <w:lang w:val="en-GB"/>
        </w:rPr>
        <w:t xml:space="preserve">). </w:t>
      </w:r>
    </w:p>
    <w:p>
      <w:pPr>
        <w:spacing w:line="360" w:lineRule="auto"/>
        <w:jc w:val="both"/>
        <w:rPr>
          <w:rFonts w:ascii="Times New Roman" w:cs="Times New Roman" w:eastAsia="Times New Roman" w:hAnsi="Times New Roman"/>
          <w:sz w:val="28"/>
          <w:szCs w:val="28"/>
          <w:lang w:val="en-GB"/>
        </w:rPr>
      </w:pPr>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8"/>
          <w:szCs w:val="28"/>
          <w:lang w:val="en-GB"/>
        </w:rPr>
        <w:t xml:space="preserve">As per the research, it can be observed that a new management team was hired in </w:t>
      </w:r>
      <w:r>
        <w:rPr>
          <w:rFonts w:ascii="Times New Roman" w:cs="Times New Roman" w:eastAsia="Times New Roman" w:hAnsi="Times New Roman"/>
          <w:sz w:val="28"/>
          <w:szCs w:val="28"/>
          <w:lang w:val="en-GB"/>
        </w:rPr>
        <w:t xml:space="preserve">November 2018 was started their work from scratch they liked to miss the deadline of the project. Cross rail Ltd estimated a pause in construction activity for more than nine weeks from 24 March 2020, following an announcement of the first lockdown for Covid-19. It estimates that about £228 million (15%) out of the £1,510 million increase in Crossrail </w:t>
      </w:r>
      <w:r>
        <w:rPr>
          <w:rFonts w:ascii="Times New Roman" w:cs="Times New Roman" w:eastAsia="Times New Roman" w:hAnsi="Times New Roman"/>
          <w:sz w:val="28"/>
          <w:szCs w:val="28"/>
          <w:lang w:val="en-GB"/>
        </w:rPr>
        <w:t>Ltd’s costs since April 2019 is due to social distancing and various other Covid-19 factors. In response to the delays caused due to pandemic, and the measures required to be maintained in the sites and workspaces safe, Crossrail Ltd worked closely with the contractors involved to plan and re-schedule the remaining work, which includes using dedicated periods for 24-hour-a-day construction, known as blockades for better safety of the workers. Therefore all these factors together bled to increase the cost of the project (</w:t>
      </w:r>
      <w:r>
        <w:rPr>
          <w:rFonts w:ascii="Times New Roman" w:cs="Times New Roman" w:eastAsia="Times New Roman" w:hAnsi="Times New Roman"/>
          <w:color w:val="222222"/>
          <w:sz w:val="28"/>
          <w:szCs w:val="28"/>
          <w:highlight w:val="white"/>
          <w:lang w:val="en-GB"/>
        </w:rPr>
        <w:t>van Oort and Yap, 2021</w:t>
      </w:r>
      <w:r>
        <w:rPr>
          <w:rFonts w:ascii="Times New Roman" w:cs="Times New Roman" w:eastAsia="Times New Roman" w:hAnsi="Times New Roman"/>
          <w:sz w:val="28"/>
          <w:szCs w:val="28"/>
          <w:lang w:val="en-GB"/>
        </w:rPr>
        <w:t>).</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b/>
          <w:sz w:val="24"/>
          <w:szCs w:val="24"/>
          <w:lang w:val="en-GB"/>
        </w:rPr>
        <w:t>[Refer to appendix]</w:t>
      </w:r>
    </w:p>
    <w:p>
      <w:pPr>
        <w:pStyle w:val="Heading2"/>
        <w:rPr>
          <w:rFonts w:cs="Times New Roman"/>
          <w:sz w:val="24"/>
          <w:szCs w:val="24"/>
          <w:lang w:val="en-GB"/>
        </w:rPr>
      </w:pPr>
      <w:bookmarkStart w:id="6" w:name="_Toc120724801"/>
      <w:bookmarkStart w:id="7" w:name="_7mtibmol2qmi"/>
      <w:bookmarkEnd w:id="7"/>
      <w:r>
        <w:rPr>
          <w:rFonts w:cs="Times New Roman"/>
          <w:sz w:val="32"/>
          <w:szCs w:val="32"/>
          <w:lang w:val="en-GB"/>
        </w:rPr>
        <w:t>T</w:t>
      </w:r>
      <w:r>
        <w:rPr>
          <w:rFonts w:cs="Times New Roman"/>
          <w:sz w:val="32"/>
          <w:szCs w:val="32"/>
          <w:lang w:val="en-GB"/>
        </w:rPr>
        <w:t>ime</w:t>
      </w:r>
      <w:bookmarkEnd w:id="6"/>
      <w:r>
        <w:rPr>
          <w:rFonts w:cs="Times New Roman"/>
          <w:sz w:val="24"/>
          <w:szCs w:val="24"/>
          <w:lang w:val="en-GB"/>
        </w:rPr>
        <w:t xml:space="preserve">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The cross-rail project or the Elizabeth line project is one of the ambitious projects that helps to connect a variety of parts of London to central London. It can help to carry about 1.5 million people at a time from one part of London to another just in 45 minutes. By the research, it can be observed that the first proposal for the project was raised in 1991. However, the proposal was rejected at that time. Latter in 2005, the project was reintroduced as the Crossrail bill in the parliament of the UK.  In 2008, the project got royal assent or permission from the monarchy officially (</w:t>
      </w:r>
      <w:r>
        <w:rPr>
          <w:rFonts w:ascii="Times New Roman" w:cs="Times New Roman" w:eastAsia="Times New Roman" w:hAnsi="Times New Roman"/>
          <w:color w:val="222222"/>
          <w:sz w:val="28"/>
          <w:szCs w:val="28"/>
          <w:highlight w:val="white"/>
          <w:lang w:val="en-GB"/>
        </w:rPr>
        <w:t>Ricaud et al 2021</w:t>
      </w:r>
      <w:r>
        <w:rPr>
          <w:rFonts w:ascii="Times New Roman" w:cs="Times New Roman" w:eastAsia="Times New Roman" w:hAnsi="Times New Roman"/>
          <w:sz w:val="28"/>
          <w:szCs w:val="28"/>
          <w:lang w:val="en-GB"/>
        </w:rPr>
        <w:t xml:space="preserve">). Finally, in 2009 the construction for the cross-rail project was started at Canary Wharf. At the beginning of the project in </w:t>
      </w:r>
      <w:r>
        <w:rPr>
          <w:rFonts w:ascii="Times New Roman" w:cs="Times New Roman" w:eastAsia="Times New Roman" w:hAnsi="Times New Roman"/>
          <w:sz w:val="28"/>
          <w:szCs w:val="28"/>
          <w:lang w:val="en-GB"/>
        </w:rPr>
        <w:t>2009,</w:t>
      </w:r>
      <w:r>
        <w:rPr>
          <w:rFonts w:ascii="Times New Roman" w:cs="Times New Roman" w:eastAsia="Times New Roman" w:hAnsi="Times New Roman"/>
          <w:sz w:val="28"/>
          <w:szCs w:val="28"/>
          <w:lang w:val="en-GB"/>
        </w:rPr>
        <w:t xml:space="preserve"> the cost of the project was estimated to be about 15.9 billion pounds.  The project for the construction was delivered to TfL and a fund of £1 billion was transferred to them.  </w:t>
      </w:r>
    </w:p>
    <w:p>
      <w:pPr>
        <w:spacing w:line="360" w:lineRule="auto"/>
        <w:jc w:val="both"/>
        <w:rPr>
          <w:rFonts w:ascii="Times New Roman" w:cs="Times New Roman" w:eastAsia="Times New Roman" w:hAnsi="Times New Roman"/>
          <w:sz w:val="28"/>
          <w:szCs w:val="28"/>
          <w:lang w:val="en-GB"/>
        </w:rPr>
      </w:pP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 xml:space="preserve">As per the plan, the schedule to run the first rain was in the year 2017. Whoever, the work was delayed due to various causes and the first train </w:t>
      </w:r>
      <w:r>
        <w:rPr>
          <w:rFonts w:ascii="Times New Roman" w:cs="Times New Roman" w:eastAsia="Times New Roman" w:hAnsi="Times New Roman"/>
          <w:sz w:val="28"/>
          <w:szCs w:val="28"/>
          <w:lang w:val="en-GB"/>
        </w:rPr>
        <w:t>could</w:t>
      </w:r>
      <w:r>
        <w:rPr>
          <w:rFonts w:ascii="Times New Roman" w:cs="Times New Roman" w:eastAsia="Times New Roman" w:hAnsi="Times New Roman"/>
          <w:sz w:val="28"/>
          <w:szCs w:val="28"/>
          <w:lang w:val="en-GB"/>
        </w:rPr>
        <w:t xml:space="preserve"> be operated in 2022 </w:t>
      </w:r>
      <w:r>
        <w:rPr>
          <w:rFonts w:ascii="Times New Roman" w:cs="Times New Roman" w:eastAsia="Times New Roman" w:hAnsi="Times New Roman"/>
          <w:sz w:val="28"/>
          <w:szCs w:val="28"/>
          <w:lang w:val="en-GB"/>
        </w:rPr>
        <w:t xml:space="preserve">due to the complexity of the works. In addition, </w:t>
      </w:r>
      <w:r>
        <w:rPr>
          <w:rFonts w:ascii="Times New Roman" w:cs="Times New Roman" w:eastAsia="Times New Roman" w:hAnsi="Times New Roman"/>
          <w:sz w:val="28"/>
          <w:szCs w:val="28"/>
          <w:lang w:val="en-GB"/>
        </w:rPr>
        <w:t>a few more factors</w:t>
      </w:r>
      <w:r>
        <w:rPr>
          <w:rFonts w:ascii="Times New Roman" w:cs="Times New Roman" w:eastAsia="Times New Roman" w:hAnsi="Times New Roman"/>
          <w:sz w:val="28"/>
          <w:szCs w:val="28"/>
          <w:lang w:val="en-GB"/>
        </w:rPr>
        <w:t xml:space="preserve"> led to an increase in the timeline of the project. Factors like Covid-19 lead to the distribution of labour </w:t>
      </w:r>
      <w:r>
        <w:rPr>
          <w:rFonts w:ascii="Times New Roman" w:cs="Times New Roman" w:eastAsia="Times New Roman" w:hAnsi="Times New Roman"/>
          <w:sz w:val="28"/>
          <w:szCs w:val="28"/>
          <w:lang w:val="en-GB"/>
        </w:rPr>
        <w:t xml:space="preserve">to the project. </w:t>
      </w:r>
      <w:r>
        <w:rPr>
          <w:rFonts w:ascii="Times New Roman" w:cs="Times New Roman" w:eastAsia="Times New Roman" w:hAnsi="Times New Roman"/>
          <w:sz w:val="28"/>
          <w:szCs w:val="28"/>
          <w:lang w:val="en-GB"/>
        </w:rPr>
        <w:t xml:space="preserve">At that time the work in the project cannot be used in the full phase.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Therefore,</w:t>
      </w:r>
      <w:r>
        <w:rPr>
          <w:rFonts w:ascii="Times New Roman" w:cs="Times New Roman" w:eastAsia="Times New Roman" w:hAnsi="Times New Roman"/>
          <w:sz w:val="28"/>
          <w:szCs w:val="28"/>
          <w:lang w:val="en-GB"/>
        </w:rPr>
        <w:t xml:space="preserve"> it led to a delay in the project and led to the destination of running the first train in 2017 being delayed to 2022. Additionally, there was a remarkable cause for the delay in the project, that is the safety and the signalling system used in the Elizabeth line project was complex therefore, it took time to programme it and integrate it into the cross-line project (</w:t>
      </w:r>
      <w:r>
        <w:rPr>
          <w:rFonts w:ascii="Times New Roman" w:cs="Times New Roman" w:eastAsia="Times New Roman" w:hAnsi="Times New Roman"/>
          <w:color w:val="222222"/>
          <w:sz w:val="28"/>
          <w:szCs w:val="28"/>
          <w:highlight w:val="white"/>
          <w:lang w:val="en-GB"/>
        </w:rPr>
        <w:t>Wroe, 2021</w:t>
      </w:r>
      <w:r>
        <w:rPr>
          <w:rFonts w:ascii="Times New Roman" w:cs="Times New Roman" w:eastAsia="Times New Roman" w:hAnsi="Times New Roman"/>
          <w:sz w:val="28"/>
          <w:szCs w:val="28"/>
          <w:lang w:val="en-GB"/>
        </w:rPr>
        <w:t>). There were various types of challenges while building a massive project like the cross-line project.  The programme repeatedly missed milestones throughout 2019 as well as in 2020 because Crossrail Ltd. continued to uncover various new requirements in the work. Although contractors met around 30% of milestones throughout 2019 as well as in early 2020, Crossrail Ltd continued to fail its other target in the project.  In August 2020 Crossrail Ltd. introduce a  revised plan and continues to estimate the cost and schedule which was set out in that plan made by Crossrail Ltd (</w:t>
      </w:r>
      <w:r>
        <w:rPr>
          <w:rFonts w:ascii="Times New Roman" w:cs="Times New Roman" w:eastAsia="Times New Roman" w:hAnsi="Times New Roman"/>
          <w:color w:val="222222"/>
          <w:sz w:val="28"/>
          <w:szCs w:val="28"/>
          <w:highlight w:val="white"/>
          <w:lang w:val="en-GB"/>
        </w:rPr>
        <w:t>Laurila, and Ahola, 2021</w:t>
      </w:r>
      <w:r>
        <w:rPr>
          <w:rFonts w:ascii="Times New Roman" w:cs="Times New Roman" w:eastAsia="Times New Roman" w:hAnsi="Times New Roman"/>
          <w:sz w:val="28"/>
          <w:szCs w:val="28"/>
          <w:lang w:val="en-GB"/>
        </w:rPr>
        <w:t xml:space="preserve">). It led to a delay in the timeline of the project and </w:t>
      </w:r>
      <w:r>
        <w:rPr>
          <w:rFonts w:ascii="Times New Roman" w:cs="Times New Roman" w:eastAsia="Times New Roman" w:hAnsi="Times New Roman"/>
          <w:sz w:val="28"/>
          <w:szCs w:val="28"/>
          <w:lang w:val="en-GB"/>
        </w:rPr>
        <w:t>it</w:t>
      </w:r>
      <w:r>
        <w:rPr>
          <w:rFonts w:ascii="Times New Roman" w:cs="Times New Roman" w:eastAsia="Times New Roman" w:hAnsi="Times New Roman"/>
          <w:sz w:val="28"/>
          <w:szCs w:val="28"/>
          <w:lang w:val="en-GB"/>
        </w:rPr>
        <w:t xml:space="preserve"> led to an increase in the cost of the project.</w:t>
      </w:r>
    </w:p>
    <w:p>
      <w:pPr>
        <w:pStyle w:val="Heading2"/>
        <w:rPr>
          <w:rFonts w:cs="Times New Roman"/>
          <w:sz w:val="24"/>
          <w:szCs w:val="24"/>
          <w:lang w:val="en-GB"/>
        </w:rPr>
      </w:pPr>
      <w:bookmarkStart w:id="8" w:name="_Toc120724802"/>
      <w:bookmarkStart w:id="9" w:name="_k5tlk7314mzt"/>
      <w:bookmarkEnd w:id="9"/>
      <w:r>
        <w:rPr>
          <w:rFonts w:cs="Times New Roman"/>
          <w:sz w:val="32"/>
          <w:szCs w:val="32"/>
          <w:lang w:val="en-GB"/>
        </w:rPr>
        <w:t>Q</w:t>
      </w:r>
      <w:r>
        <w:rPr>
          <w:rFonts w:cs="Times New Roman"/>
          <w:sz w:val="32"/>
          <w:szCs w:val="32"/>
          <w:lang w:val="en-GB"/>
        </w:rPr>
        <w:t>uality stakeholder</w:t>
      </w:r>
      <w:bookmarkEnd w:id="8"/>
      <w:r>
        <w:rPr>
          <w:rFonts w:cs="Times New Roman"/>
          <w:sz w:val="24"/>
          <w:szCs w:val="24"/>
          <w:lang w:val="en-GB"/>
        </w:rPr>
        <w:t xml:space="preserve">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 xml:space="preserve">Stakeholder in the project plays an essential role in the supply of raw materials in the project. It helps to ensure the ensure supply of raw materials at the right time to complete the project on time. As suggested by Albar and Southcott (2021), 96% of the suppliers of the project were from the UK. Therefore, it led to an increase ass huge amount of contacts to the companies involved in the project. It provides employment to about 15000 workers while contracting these projects. As it was a massive project each of the work in the project was subdivided into small projects based on their functioning in the project. About 62% of the supplier in the project was from outside UK.   Therefore it led to an increase in the earning capability of the company involved in the project.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 xml:space="preserve">About 62% of the suppliers were from small and medium-sized </w:t>
      </w:r>
      <w:r>
        <w:rPr>
          <w:rFonts w:ascii="Times New Roman" w:cs="Times New Roman" w:eastAsia="Times New Roman" w:hAnsi="Times New Roman"/>
          <w:sz w:val="28"/>
          <w:szCs w:val="28"/>
          <w:lang w:val="en-GB"/>
        </w:rPr>
        <w:t>industries that</w:t>
      </w:r>
      <w:r>
        <w:rPr>
          <w:rFonts w:ascii="Times New Roman" w:cs="Times New Roman" w:eastAsia="Times New Roman" w:hAnsi="Times New Roman"/>
          <w:sz w:val="28"/>
          <w:szCs w:val="28"/>
          <w:lang w:val="en-GB"/>
        </w:rPr>
        <w:t xml:space="preserve"> help them to boost their performance and provide a job to a large number of people through the medium size industry. In addition, 72% of the Tire 2 supplier belongs to SMEs outside UK.  Therefore,  it led to an increase in the opportunity for jobs for people outside UK helping them to get opportunities from the project indirectly  (</w:t>
      </w:r>
      <w:r>
        <w:rPr>
          <w:rFonts w:ascii="Times New Roman" w:cs="Times New Roman" w:eastAsia="Times New Roman" w:hAnsi="Times New Roman"/>
          <w:color w:val="222222"/>
          <w:sz w:val="28"/>
          <w:szCs w:val="28"/>
          <w:highlight w:val="white"/>
          <w:lang w:val="en-GB"/>
        </w:rPr>
        <w:t>Li and Love, 2021</w:t>
      </w:r>
      <w:r>
        <w:rPr>
          <w:rFonts w:ascii="Times New Roman" w:cs="Times New Roman" w:eastAsia="Times New Roman" w:hAnsi="Times New Roman"/>
          <w:sz w:val="28"/>
          <w:szCs w:val="28"/>
          <w:lang w:val="en-GB"/>
        </w:rPr>
        <w:t xml:space="preserve">). In addition, various other agencies that were involved in the project </w:t>
      </w:r>
      <w:r>
        <w:rPr>
          <w:rFonts w:ascii="Times New Roman" w:cs="Times New Roman" w:eastAsia="Times New Roman" w:hAnsi="Times New Roman"/>
          <w:sz w:val="28"/>
          <w:szCs w:val="28"/>
          <w:lang w:val="en-GB"/>
        </w:rPr>
        <w:t xml:space="preserve">such as the </w:t>
      </w:r>
      <w:r>
        <w:rPr>
          <w:rFonts w:ascii="Times New Roman" w:cs="Times New Roman" w:eastAsia="Times New Roman" w:hAnsi="Times New Roman"/>
          <w:b/>
          <w:i/>
          <w:sz w:val="28"/>
          <w:szCs w:val="28"/>
          <w:lang w:val="en-GB"/>
        </w:rPr>
        <w:t xml:space="preserve">Crossrail Limited, MTR Elizabeth line, Network Rail and Alstom provided </w:t>
      </w:r>
      <w:r>
        <w:rPr>
          <w:rFonts w:ascii="Times New Roman" w:cs="Times New Roman" w:eastAsia="Times New Roman" w:hAnsi="Times New Roman"/>
          <w:sz w:val="28"/>
          <w:szCs w:val="28"/>
          <w:lang w:val="en-GB"/>
        </w:rPr>
        <w:t>apprenticeships to over 1000 employees who were given training through the project (</w:t>
      </w:r>
      <w:r>
        <w:rPr>
          <w:rFonts w:ascii="Times New Roman" w:cs="Times New Roman" w:eastAsia="Times New Roman" w:hAnsi="Times New Roman"/>
          <w:color w:val="222222"/>
          <w:sz w:val="28"/>
          <w:szCs w:val="28"/>
          <w:highlight w:val="white"/>
          <w:lang w:val="en-GB"/>
        </w:rPr>
        <w:t>Singh and Jackson, 2021</w:t>
      </w:r>
      <w:r>
        <w:rPr>
          <w:rFonts w:ascii="Times New Roman" w:cs="Times New Roman" w:eastAsia="Times New Roman" w:hAnsi="Times New Roman"/>
          <w:sz w:val="28"/>
          <w:szCs w:val="28"/>
          <w:lang w:val="en-GB"/>
        </w:rPr>
        <w:t xml:space="preserve">).  </w:t>
      </w:r>
    </w:p>
    <w:p>
      <w:pPr>
        <w:spacing w:line="360" w:lineRule="auto"/>
        <w:jc w:val="both"/>
        <w:rPr>
          <w:rFonts w:ascii="Times New Roman" w:cs="Times New Roman" w:eastAsia="Times New Roman" w:hAnsi="Times New Roman"/>
          <w:sz w:val="28"/>
          <w:szCs w:val="28"/>
          <w:lang w:val="en-GB"/>
        </w:rPr>
      </w:pP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 xml:space="preserve">Therefore, by the discussion, it can be observed that the Elizebath line was able to provide jobs to over 45000 people in UK.  the </w:t>
      </w:r>
      <w:r>
        <w:rPr>
          <w:rFonts w:ascii="Times New Roman" w:cs="Times New Roman" w:eastAsia="Times New Roman" w:hAnsi="Times New Roman"/>
          <w:b/>
          <w:i/>
          <w:sz w:val="28"/>
          <w:szCs w:val="28"/>
          <w:lang w:val="en-GB"/>
        </w:rPr>
        <w:t xml:space="preserve"> “Tunnelling and Underground Construction Academy (TUCA)”</w:t>
      </w:r>
      <w:r>
        <w:rPr>
          <w:rFonts w:ascii="Times New Roman" w:cs="Times New Roman" w:eastAsia="Times New Roman" w:hAnsi="Times New Roman"/>
          <w:sz w:val="28"/>
          <w:szCs w:val="28"/>
          <w:lang w:val="en-GB"/>
        </w:rPr>
        <w:t xml:space="preserve"> in UK was the body responsible for the construction of the tunnel in the Elizebath line project.  Therefore, some of the key stakeholders in the project help to complete the project as per the </w:t>
      </w:r>
      <w:r>
        <w:rPr>
          <w:rFonts w:ascii="Times New Roman" w:cs="Times New Roman" w:eastAsia="Times New Roman" w:hAnsi="Times New Roman"/>
          <w:sz w:val="28"/>
          <w:szCs w:val="28"/>
          <w:lang w:val="en-GB"/>
        </w:rPr>
        <w:t>plan.</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 xml:space="preserve"> There</w:t>
      </w:r>
      <w:r>
        <w:rPr>
          <w:rFonts w:ascii="Times New Roman" w:cs="Times New Roman" w:eastAsia="Times New Roman" w:hAnsi="Times New Roman"/>
          <w:sz w:val="28"/>
          <w:szCs w:val="28"/>
          <w:lang w:val="en-GB"/>
        </w:rPr>
        <w:t xml:space="preserve"> were various types of challenges while building a massive project like the cross-line project.  </w:t>
      </w:r>
    </w:p>
    <w:p>
      <w:pPr>
        <w:pStyle w:val="Heading2"/>
        <w:rPr>
          <w:sz w:val="32"/>
          <w:szCs w:val="32"/>
        </w:rPr>
      </w:pPr>
      <w:bookmarkStart w:id="10" w:name="_Toc120724803"/>
      <w:bookmarkStart w:id="11" w:name="_r4cmnqlaes9l"/>
      <w:bookmarkEnd w:id="11"/>
      <w:r>
        <w:rPr>
          <w:sz w:val="32"/>
          <w:szCs w:val="32"/>
        </w:rPr>
        <w:t>I</w:t>
      </w:r>
      <w:r>
        <w:rPr>
          <w:sz w:val="32"/>
          <w:szCs w:val="32"/>
        </w:rPr>
        <w:t>mpact on economy</w:t>
      </w:r>
      <w:bookmarkEnd w:id="10"/>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Building a massive project help like the Elizebath line project has a massive impact on the growth of the economy in UK. It has a long and shouts time impact on the economy of the country. For example, the project was able to get jobs to a large number of people in UK. as discussed earlier, the project was able to provide employment to about 45000 people in the country and it help to increase the economic activity in the country (</w:t>
      </w:r>
      <w:r>
        <w:rPr>
          <w:rFonts w:ascii="Times New Roman" w:cs="Times New Roman" w:eastAsia="Times New Roman" w:hAnsi="Times New Roman"/>
          <w:color w:val="222222"/>
          <w:sz w:val="28"/>
          <w:szCs w:val="28"/>
          <w:highlight w:val="white"/>
          <w:lang w:val="en-GB"/>
        </w:rPr>
        <w:t xml:space="preserve">Shiraef </w:t>
      </w:r>
      <w:r>
        <w:rPr>
          <w:rFonts w:ascii="Times New Roman" w:cs="Times New Roman" w:eastAsia="Times New Roman" w:hAnsi="Times New Roman"/>
          <w:i/>
          <w:color w:val="222222"/>
          <w:sz w:val="28"/>
          <w:szCs w:val="28"/>
          <w:highlight w:val="white"/>
          <w:lang w:val="en-GB"/>
        </w:rPr>
        <w:t>et al.</w:t>
      </w:r>
      <w:r>
        <w:rPr>
          <w:rFonts w:ascii="Times New Roman" w:cs="Times New Roman" w:eastAsia="Times New Roman" w:hAnsi="Times New Roman"/>
          <w:color w:val="222222"/>
          <w:sz w:val="28"/>
          <w:szCs w:val="28"/>
          <w:highlight w:val="white"/>
          <w:lang w:val="en-GB"/>
        </w:rPr>
        <w:t xml:space="preserve"> 2021</w:t>
      </w:r>
      <w:r>
        <w:rPr>
          <w:rFonts w:ascii="Times New Roman" w:cs="Times New Roman" w:eastAsia="Times New Roman" w:hAnsi="Times New Roman"/>
          <w:sz w:val="28"/>
          <w:szCs w:val="28"/>
          <w:lang w:val="en-GB"/>
        </w:rPr>
        <w:t xml:space="preserve">).  As most of the companies involved in the supply of the project belong to suppliers outside London therefore, it led to an increase in the circulation of money outside London.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In addition, it can be observed that before the introduction of the project one of the sources of travelling in various parts of London was the roadways (</w:t>
      </w:r>
      <w:r>
        <w:rPr>
          <w:rFonts w:ascii="Times New Roman" w:cs="Times New Roman" w:eastAsia="Times New Roman" w:hAnsi="Times New Roman"/>
          <w:color w:val="222222"/>
          <w:sz w:val="28"/>
          <w:szCs w:val="28"/>
          <w:highlight w:val="white"/>
          <w:lang w:val="en-GB"/>
        </w:rPr>
        <w:t>Chigara, B. and Moyo 2021</w:t>
      </w:r>
      <w:r>
        <w:rPr>
          <w:rFonts w:ascii="Times New Roman" w:cs="Times New Roman" w:eastAsia="Times New Roman" w:hAnsi="Times New Roman"/>
          <w:sz w:val="28"/>
          <w:szCs w:val="28"/>
          <w:lang w:val="en-GB"/>
        </w:rPr>
        <w:t xml:space="preserve">). As most of the buses in London were powered by fuel, therefore, it led to an increase in the emission of CO2 into the air. It also led to an increase in the congestion of traffic on the roadways. In addition, it can help about 1.5 million people to travel from one part of London to the other parts in less than an hour.  In recent </w:t>
      </w:r>
      <w:r>
        <w:rPr>
          <w:rFonts w:ascii="Times New Roman" w:cs="Times New Roman" w:eastAsia="Times New Roman" w:hAnsi="Times New Roman"/>
          <w:sz w:val="28"/>
          <w:szCs w:val="28"/>
          <w:lang w:val="en-GB"/>
        </w:rPr>
        <w:t>times,</w:t>
      </w:r>
      <w:r>
        <w:rPr>
          <w:rFonts w:ascii="Times New Roman" w:cs="Times New Roman" w:eastAsia="Times New Roman" w:hAnsi="Times New Roman"/>
          <w:sz w:val="28"/>
          <w:szCs w:val="28"/>
          <w:lang w:val="en-GB"/>
        </w:rPr>
        <w:t xml:space="preserve"> the increase in the price of oil in the market can have a direct effect on the people travelling from one part of London to another part of the city (</w:t>
      </w:r>
      <w:r>
        <w:rPr>
          <w:rFonts w:ascii="Times New Roman" w:cs="Times New Roman" w:eastAsia="Times New Roman" w:hAnsi="Times New Roman"/>
          <w:color w:val="222222"/>
          <w:sz w:val="28"/>
          <w:szCs w:val="28"/>
          <w:highlight w:val="white"/>
          <w:lang w:val="en-GB"/>
        </w:rPr>
        <w:t xml:space="preserve">Llavero-Valero </w:t>
      </w:r>
      <w:r>
        <w:rPr>
          <w:rFonts w:ascii="Times New Roman" w:cs="Times New Roman" w:eastAsia="Times New Roman" w:hAnsi="Times New Roman"/>
          <w:i/>
          <w:color w:val="222222"/>
          <w:sz w:val="28"/>
          <w:szCs w:val="28"/>
          <w:highlight w:val="white"/>
          <w:lang w:val="en-GB"/>
        </w:rPr>
        <w:t xml:space="preserve">et al. </w:t>
      </w:r>
      <w:r>
        <w:rPr>
          <w:rFonts w:ascii="Times New Roman" w:cs="Times New Roman" w:eastAsia="Times New Roman" w:hAnsi="Times New Roman"/>
          <w:color w:val="222222"/>
          <w:sz w:val="28"/>
          <w:szCs w:val="28"/>
          <w:highlight w:val="white"/>
          <w:lang w:val="en-GB"/>
        </w:rPr>
        <w:t>2021</w:t>
      </w:r>
      <w:r>
        <w:rPr>
          <w:rFonts w:ascii="Times New Roman" w:cs="Times New Roman" w:eastAsia="Times New Roman" w:hAnsi="Times New Roman"/>
          <w:sz w:val="28"/>
          <w:szCs w:val="28"/>
          <w:lang w:val="en-GB"/>
        </w:rPr>
        <w:t xml:space="preserve">). However, this project can help people in London to </w:t>
      </w:r>
      <w:r>
        <w:rPr>
          <w:rFonts w:ascii="Times New Roman" w:cs="Times New Roman" w:eastAsia="Times New Roman" w:hAnsi="Times New Roman"/>
          <w:sz w:val="28"/>
          <w:szCs w:val="28"/>
          <w:lang w:val="en-GB"/>
        </w:rPr>
        <w:t>be</w:t>
      </w:r>
      <w:r>
        <w:rPr>
          <w:rFonts w:ascii="Times New Roman" w:cs="Times New Roman" w:eastAsia="Times New Roman" w:hAnsi="Times New Roman"/>
          <w:sz w:val="28"/>
          <w:szCs w:val="28"/>
          <w:lang w:val="en-GB"/>
        </w:rPr>
        <w:t xml:space="preserve"> connected in better ways and lower the cost of transportation.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 xml:space="preserve">In addition, about 55000 new full-time jobs can be created by the organisation involved in the project. It can help to increase employment opportunities in the country and will help to improve the life of the people, in all aspects.  </w:t>
      </w:r>
    </w:p>
    <w:p>
      <w:pPr>
        <w:spacing w:line="360" w:lineRule="auto"/>
        <w:jc w:val="both"/>
        <w:rPr>
          <w:rFonts w:ascii="Times New Roman" w:cs="Times New Roman" w:eastAsia="Times New Roman" w:hAnsi="Times New Roman"/>
          <w:sz w:val="28"/>
          <w:szCs w:val="28"/>
          <w:lang w:val="en-GB"/>
        </w:rPr>
      </w:pP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 xml:space="preserve">About 22000 people were able to train by the “Tunnelling and Underground Construction Academy” which can help to improve their skills and be a part of the projects in future.  In addition, 44000 students thought about the project and the engineering of the Young Crossrail </w:t>
      </w:r>
      <w:r>
        <w:rPr>
          <w:rFonts w:ascii="Times New Roman" w:cs="Times New Roman" w:eastAsia="Times New Roman" w:hAnsi="Times New Roman"/>
          <w:sz w:val="28"/>
          <w:szCs w:val="28"/>
          <w:lang w:val="en-GB"/>
        </w:rPr>
        <w:t>programme that</w:t>
      </w:r>
      <w:r>
        <w:rPr>
          <w:rFonts w:ascii="Times New Roman" w:cs="Times New Roman" w:eastAsia="Times New Roman" w:hAnsi="Times New Roman"/>
          <w:sz w:val="28"/>
          <w:szCs w:val="28"/>
          <w:lang w:val="en-GB"/>
        </w:rPr>
        <w:t xml:space="preserve"> can be helping students to learn from the project for future reference. </w:t>
      </w:r>
    </w:p>
    <w:p>
      <w:pPr>
        <w:pStyle w:val="Heading2"/>
        <w:rPr>
          <w:rFonts w:cs="Times New Roman"/>
          <w:sz w:val="24"/>
          <w:szCs w:val="24"/>
        </w:rPr>
      </w:pPr>
      <w:bookmarkStart w:id="12" w:name="_Toc120724804"/>
      <w:bookmarkStart w:id="13" w:name="_8moitohm41iu"/>
      <w:bookmarkEnd w:id="13"/>
      <w:r>
        <w:rPr>
          <w:rFonts w:cs="Times New Roman"/>
          <w:sz w:val="32"/>
          <w:szCs w:val="32"/>
        </w:rPr>
        <w:t>T</w:t>
      </w:r>
      <w:r>
        <w:rPr>
          <w:rFonts w:cs="Times New Roman"/>
          <w:sz w:val="32"/>
          <w:szCs w:val="32"/>
        </w:rPr>
        <w:t>echnological impact</w:t>
      </w:r>
      <w:bookmarkEnd w:id="12"/>
      <w:r>
        <w:rPr>
          <w:rFonts w:cs="Times New Roman"/>
          <w:sz w:val="24"/>
          <w:szCs w:val="24"/>
        </w:rPr>
        <w:t xml:space="preserve">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The technical aspect of the project plays an essential role in determining its importance of the project. It helps to determine the agency of the parties involved in the project.  In addition, it has a direct link to the cost of the project. For example, the cross-rail project uses some crucial technology that helps to improve the quality of the train and provide a better experience to the people travelling in the trains. Features like the built WiFi connectivity in the train can help people travelling by train can get Internet access the train (</w:t>
      </w:r>
      <w:r>
        <w:rPr>
          <w:rFonts w:ascii="Times New Roman" w:cs="Times New Roman" w:eastAsia="Times New Roman" w:hAnsi="Times New Roman"/>
          <w:color w:val="222222"/>
          <w:sz w:val="28"/>
          <w:szCs w:val="28"/>
          <w:highlight w:val="white"/>
          <w:lang w:val="en-GB"/>
        </w:rPr>
        <w:t xml:space="preserve">Jarquin </w:t>
      </w:r>
      <w:r>
        <w:rPr>
          <w:rFonts w:ascii="Times New Roman" w:cs="Times New Roman" w:eastAsia="Times New Roman" w:hAnsi="Times New Roman"/>
          <w:i/>
          <w:color w:val="222222"/>
          <w:sz w:val="28"/>
          <w:szCs w:val="28"/>
          <w:highlight w:val="white"/>
          <w:lang w:val="en-GB"/>
        </w:rPr>
        <w:t>et al.</w:t>
      </w:r>
      <w:r>
        <w:rPr>
          <w:rFonts w:ascii="Times New Roman" w:cs="Times New Roman" w:eastAsia="Times New Roman" w:hAnsi="Times New Roman"/>
          <w:color w:val="222222"/>
          <w:sz w:val="28"/>
          <w:szCs w:val="28"/>
          <w:highlight w:val="white"/>
          <w:lang w:val="en-GB"/>
        </w:rPr>
        <w:t xml:space="preserve"> 2021</w:t>
      </w:r>
      <w:r>
        <w:rPr>
          <w:rFonts w:ascii="Times New Roman" w:cs="Times New Roman" w:eastAsia="Times New Roman" w:hAnsi="Times New Roman"/>
          <w:sz w:val="28"/>
          <w:szCs w:val="28"/>
          <w:lang w:val="en-GB"/>
        </w:rPr>
        <w:t xml:space="preserve">). It was important as most of the project was constructed under the ground. CCTV was introduced in each of the coaches on the </w:t>
      </w:r>
      <w:r>
        <w:rPr>
          <w:rFonts w:ascii="Times New Roman" w:cs="Times New Roman" w:eastAsia="Times New Roman" w:hAnsi="Times New Roman"/>
          <w:sz w:val="28"/>
          <w:szCs w:val="28"/>
          <w:lang w:val="en-GB"/>
        </w:rPr>
        <w:t>train that</w:t>
      </w:r>
      <w:r>
        <w:rPr>
          <w:rFonts w:ascii="Times New Roman" w:cs="Times New Roman" w:eastAsia="Times New Roman" w:hAnsi="Times New Roman"/>
          <w:sz w:val="28"/>
          <w:szCs w:val="28"/>
          <w:lang w:val="en-GB"/>
        </w:rPr>
        <w:t xml:space="preserve"> can help to improve the security of the train.  The setting style of the train has been set </w:t>
      </w:r>
      <w:r>
        <w:rPr>
          <w:rFonts w:ascii="Times New Roman" w:cs="Times New Roman" w:eastAsia="Times New Roman" w:hAnsi="Times New Roman"/>
          <w:sz w:val="28"/>
          <w:szCs w:val="28"/>
          <w:lang w:val="en-GB"/>
        </w:rPr>
        <w:t>based on</w:t>
      </w:r>
      <w:r>
        <w:rPr>
          <w:rFonts w:ascii="Times New Roman" w:cs="Times New Roman" w:eastAsia="Times New Roman" w:hAnsi="Times New Roman"/>
          <w:sz w:val="28"/>
          <w:szCs w:val="28"/>
          <w:lang w:val="en-GB"/>
        </w:rPr>
        <w:t xml:space="preserve"> metro-style sitting that helps passengers to sit comfortably. All the bogies in the train are fitted with an intelligent Real-time travel information system that helps people travel to make their future journey plans easy.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In terms of building the train, the train several new technologies were used that need the train's energy efficiency and faster speed. The train uses the technique of regeneration breaking that help to save 30% of the energy used in running the train and run the train with less power (</w:t>
      </w:r>
      <w:r>
        <w:rPr>
          <w:rFonts w:ascii="Times New Roman" w:cs="Times New Roman" w:eastAsia="Times New Roman" w:hAnsi="Times New Roman"/>
          <w:color w:val="222222"/>
          <w:sz w:val="28"/>
          <w:szCs w:val="28"/>
          <w:highlight w:val="white"/>
          <w:lang w:val="en-GB"/>
        </w:rPr>
        <w:t xml:space="preserve">Sabik </w:t>
      </w:r>
      <w:r>
        <w:rPr>
          <w:rFonts w:ascii="Times New Roman" w:cs="Times New Roman" w:eastAsia="Times New Roman" w:hAnsi="Times New Roman"/>
          <w:i/>
          <w:color w:val="222222"/>
          <w:sz w:val="28"/>
          <w:szCs w:val="28"/>
          <w:highlight w:val="white"/>
          <w:lang w:val="en-GB"/>
        </w:rPr>
        <w:t xml:space="preserve">et al. </w:t>
      </w:r>
      <w:r>
        <w:rPr>
          <w:rFonts w:ascii="Times New Roman" w:cs="Times New Roman" w:eastAsia="Times New Roman" w:hAnsi="Times New Roman"/>
          <w:color w:val="222222"/>
          <w:sz w:val="28"/>
          <w:szCs w:val="28"/>
          <w:highlight w:val="white"/>
          <w:lang w:val="en-GB"/>
        </w:rPr>
        <w:t>2021</w:t>
      </w:r>
      <w:r>
        <w:rPr>
          <w:rFonts w:ascii="Times New Roman" w:cs="Times New Roman" w:eastAsia="Times New Roman" w:hAnsi="Times New Roman"/>
          <w:sz w:val="28"/>
          <w:szCs w:val="28"/>
          <w:lang w:val="en-GB"/>
        </w:rPr>
        <w:t xml:space="preserve">).  In addition, the material used to build their train was lightweight materials like aluminium that help to lower the weight of the train. The aerodynamic design helps to lower the drag of the train in the tunnel and lower the energy used in running the train.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 xml:space="preserve"> The Driver Advisory Systems was able to guide the driver to efficiently use the energy to run the train in an easy manner by the least use of electricity to save energy. </w:t>
      </w:r>
    </w:p>
    <w:p>
      <w:pPr>
        <w:spacing w:line="360" w:lineRule="auto"/>
        <w:jc w:val="both"/>
        <w:rPr>
          <w:rFonts w:ascii="Times New Roman" w:cs="Times New Roman" w:eastAsia="Times New Roman" w:hAnsi="Times New Roman"/>
          <w:sz w:val="28"/>
          <w:szCs w:val="28"/>
          <w:lang w:val="en-GB"/>
        </w:rPr>
      </w:pPr>
      <w:r>
        <w:rPr>
          <w:rFonts w:ascii="Times New Roman" w:cs="Times New Roman" w:eastAsia="Times New Roman" w:hAnsi="Times New Roman"/>
          <w:sz w:val="28"/>
          <w:szCs w:val="28"/>
          <w:lang w:val="en-GB"/>
        </w:rPr>
        <w:t>In addition, the station built under this project was built in such a way that it can able to cope with all types of people. It also has wheelchair access that can help them to get to the station easily. It has a stare as well as lifts that can help people to get better accessibility (</w:t>
      </w:r>
      <w:r>
        <w:rPr>
          <w:rFonts w:ascii="Times New Roman" w:cs="Times New Roman" w:eastAsia="Times New Roman" w:hAnsi="Times New Roman"/>
          <w:color w:val="222222"/>
          <w:sz w:val="28"/>
          <w:szCs w:val="28"/>
          <w:highlight w:val="white"/>
          <w:lang w:val="en-GB"/>
        </w:rPr>
        <w:t>McNaughton, and Banks, 2021</w:t>
      </w:r>
      <w:r>
        <w:rPr>
          <w:rFonts w:ascii="Times New Roman" w:cs="Times New Roman" w:eastAsia="Times New Roman" w:hAnsi="Times New Roman"/>
          <w:sz w:val="28"/>
          <w:szCs w:val="28"/>
          <w:lang w:val="en-GB"/>
        </w:rPr>
        <w:t xml:space="preserve">). Therefore, all these technical factors led to an increase in the cost of the project over time and also led to increasing the timeline of the project. </w:t>
      </w:r>
    </w:p>
    <w:p>
      <w:pPr>
        <w:pStyle w:val="Heading1"/>
        <w:rPr>
          <w:sz w:val="32"/>
          <w:szCs w:val="32"/>
        </w:rPr>
      </w:pPr>
      <w:bookmarkStart w:id="14" w:name="_Toc120724805"/>
      <w:r>
        <w:rPr>
          <w:sz w:val="32"/>
          <w:szCs w:val="32"/>
        </w:rPr>
        <w:t>Conclusion</w:t>
      </w:r>
      <w:bookmarkEnd w:id="14"/>
    </w:p>
    <w:p>
      <w:pPr>
        <w:pStyle w:val="Normal1"/>
        <w:spacing w:before="240" w:after="240" w:line="360" w:lineRule="auto"/>
        <w:jc w:val="both"/>
        <w:rPr>
          <w:rFonts w:ascii="Times New Roman" w:cs="Times New Roman" w:eastAsia="Times New Roman" w:hAnsi="Times New Roman"/>
          <w:sz w:val="24"/>
          <w:szCs w:val="24"/>
        </w:rPr>
      </w:pPr>
      <w:r>
        <w:rPr>
          <w:rFonts w:ascii="Times New Roman" w:cs="Times New Roman" w:eastAsia="Times New Roman" w:hAnsi="Times New Roman"/>
          <w:sz w:val="28"/>
          <w:szCs w:val="28"/>
        </w:rPr>
        <w:t>Conclusively, this essay states the details regarding the cross-rail project that was developed to help people of London to reach their destination on time and without any traffic issues. The Elizabeth line was developed to improve the transport links across London and cut down journey times. The walk-through trains and spacious platform that is developed are going to provide a different customer experience to the people of London. This study also states that the Elizabeth Line is going to play a huge role and contribute to the economy of the country in the coming years. The main reason behind the huge overrun and delay is also provided as well in this study. Thus, this essay shows all the necessary aspects of the cross-rail project with in-depth information.</w:t>
      </w:r>
      <w:r>
        <w:rPr>
          <w:rFonts w:ascii="Times New Roman" w:cs="Times New Roman" w:eastAsia="Times New Roman" w:hAnsi="Times New Roman"/>
          <w:sz w:val="24"/>
          <w:szCs w:val="24"/>
        </w:rPr>
        <w:t xml:space="preserve"> </w:t>
      </w:r>
    </w:p>
    <w:p>
      <w:pPr>
        <w:pStyle w:val="Heading2"/>
        <w:rPr>
          <w:rFonts w:cs="Times New Roman"/>
          <w:sz w:val="32"/>
          <w:szCs w:val="32"/>
        </w:rPr>
      </w:pPr>
      <w:bookmarkStart w:id="15" w:name="_Toc120724806"/>
      <w:r>
        <w:rPr>
          <w:rFonts w:cs="Times New Roman"/>
          <w:sz w:val="32"/>
          <w:szCs w:val="32"/>
        </w:rPr>
        <w:t>Recommendations</w:t>
      </w:r>
      <w:bookmarkEnd w:id="15"/>
    </w:p>
    <w:p>
      <w:pPr>
        <w:pStyle w:val="Normal1"/>
        <w:spacing w:before="240" w:after="240" w:line="360" w:lineRule="auto"/>
        <w:jc w:val="both"/>
        <w:rPr>
          <w:rFonts w:ascii="Times New Roman" w:cs="Times New Roman" w:eastAsia="Times New Roman" w:hAnsi="Times New Roman"/>
          <w:sz w:val="28"/>
          <w:szCs w:val="28"/>
        </w:rPr>
      </w:pPr>
      <w:r>
        <w:rPr>
          <w:rFonts w:ascii="Times New Roman" w:cs="Times New Roman" w:eastAsia="Times New Roman" w:hAnsi="Times New Roman"/>
          <w:b/>
          <w:i/>
          <w:sz w:val="28"/>
          <w:szCs w:val="28"/>
        </w:rPr>
        <w:t>Implementing more trains to provide better services to passengers:</w:t>
      </w:r>
      <w:r>
        <w:rPr>
          <w:rFonts w:ascii="Times New Roman" w:cs="Times New Roman" w:eastAsia="Times New Roman" w:hAnsi="Times New Roman"/>
          <w:sz w:val="28"/>
          <w:szCs w:val="28"/>
        </w:rPr>
        <w:t xml:space="preserve"> As per the view of Milillo </w:t>
      </w:r>
      <w:r>
        <w:rPr>
          <w:rFonts w:ascii="Times New Roman" w:cs="Times New Roman" w:eastAsia="Times New Roman" w:hAnsi="Times New Roman"/>
          <w:i/>
          <w:sz w:val="28"/>
          <w:szCs w:val="28"/>
        </w:rPr>
        <w:t>et al.</w:t>
      </w:r>
      <w:r>
        <w:rPr>
          <w:rFonts w:ascii="Times New Roman" w:cs="Times New Roman" w:eastAsia="Times New Roman" w:hAnsi="Times New Roman"/>
          <w:sz w:val="28"/>
          <w:szCs w:val="28"/>
        </w:rPr>
        <w:t xml:space="preserve"> (2018), the number of trains on the Elizabeth Line, running across London is moderate and requires more trains to deal with the traffic. As London is one of the busiest cities in the UK, it is necessary to implement more trains with better capacity to cope with the number of passengers. However, the cross-rail project has already overrun the allocated budget, which is why implementing more trains can take a lot of time. </w:t>
      </w:r>
    </w:p>
    <w:p>
      <w:pPr>
        <w:pStyle w:val="Normal1"/>
        <w:spacing w:before="240" w:after="240" w:line="360" w:lineRule="auto"/>
        <w:jc w:val="both"/>
        <w:rPr>
          <w:rFonts w:ascii="Times New Roman" w:cs="Times New Roman" w:eastAsia="Times New Roman" w:hAnsi="Times New Roman"/>
          <w:sz w:val="28"/>
          <w:szCs w:val="28"/>
        </w:rPr>
      </w:pPr>
      <w:r>
        <w:rPr>
          <w:rFonts w:ascii="Times New Roman" w:cs="Times New Roman" w:eastAsia="Times New Roman" w:hAnsi="Times New Roman"/>
          <w:b/>
          <w:i/>
          <w:sz w:val="28"/>
          <w:szCs w:val="28"/>
        </w:rPr>
        <w:t>Held regular meeting sessions with stakeholders before adding any feature to the Elizabeth Line:</w:t>
      </w:r>
      <w:r>
        <w:rPr>
          <w:rFonts w:ascii="Times New Roman" w:cs="Times New Roman" w:eastAsia="Times New Roman" w:hAnsi="Times New Roman"/>
          <w:b/>
          <w:i/>
          <w:sz w:val="28"/>
          <w:szCs w:val="28"/>
        </w:rPr>
        <w:t xml:space="preserve"> </w:t>
      </w:r>
      <w:r>
        <w:rPr>
          <w:rFonts w:ascii="Times New Roman" w:cs="Times New Roman" w:eastAsia="Times New Roman" w:hAnsi="Times New Roman"/>
          <w:sz w:val="28"/>
          <w:szCs w:val="28"/>
        </w:rPr>
        <w:t xml:space="preserve">Regular meeting sessions must be held with stakeholders as the cross-rail project faced issues by overrunning the allocated budget and several delays during the project. According to DeJong </w:t>
      </w:r>
      <w:r>
        <w:rPr>
          <w:rFonts w:ascii="Times New Roman" w:cs="Times New Roman" w:eastAsia="Times New Roman" w:hAnsi="Times New Roman"/>
          <w:i/>
          <w:sz w:val="28"/>
          <w:szCs w:val="28"/>
        </w:rPr>
        <w:t>et al.</w:t>
      </w:r>
      <w:r>
        <w:rPr>
          <w:rFonts w:ascii="Times New Roman" w:cs="Times New Roman" w:eastAsia="Times New Roman" w:hAnsi="Times New Roman"/>
          <w:sz w:val="28"/>
          <w:szCs w:val="28"/>
        </w:rPr>
        <w:t xml:space="preserve"> (2019), meeting with stakeholders can ensure efficiency in the process and operations that require a budget to complete. However, the Elizabeth Line is considered to generate huge revenue, which can be utilised to upgrade key features in the coming years and subsequently boost the economy. </w:t>
      </w:r>
    </w:p>
    <w:p>
      <w:pPr>
        <w:spacing w:line="360" w:lineRule="auto"/>
        <w:rPr>
          <w:rFonts w:ascii="Times New Roman" w:cs="Times New Roman" w:eastAsia="Times New Roman" w:hAnsi="Times New Roman"/>
          <w:b/>
          <w:sz w:val="32"/>
          <w:szCs w:val="32"/>
        </w:rPr>
      </w:pPr>
      <w:r>
        <w:rPr>
          <w:rFonts w:ascii="Times New Roman" w:cs="Times New Roman" w:eastAsia="Times New Roman" w:hAnsi="Times New Roman"/>
          <w:b/>
          <w:sz w:val="32"/>
          <w:szCs w:val="32"/>
        </w:rPr>
        <w:br w:type="page"/>
      </w:r>
    </w:p>
    <w:p>
      <w:pPr>
        <w:pStyle w:val="Heading1"/>
        <w:rPr>
          <w:sz w:val="32"/>
          <w:szCs w:val="32"/>
          <w:lang w:val="en-GB"/>
        </w:rPr>
      </w:pPr>
      <w:bookmarkStart w:id="16" w:name="_Toc120724807"/>
      <w:r>
        <w:rPr>
          <w:sz w:val="32"/>
          <w:szCs w:val="32"/>
          <w:lang w:val="en-GB"/>
        </w:rPr>
        <w:t>Reference</w:t>
      </w:r>
      <w:bookmarkEnd w:id="16"/>
      <w:r>
        <w:rPr>
          <w:sz w:val="32"/>
          <w:szCs w:val="32"/>
          <w:lang w:val="en-GB"/>
        </w:rPr>
        <w:t xml:space="preserve"> </w:t>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Albar, S.B. and Southcott, J.E., 2021. Problem and project-based learning through an investigation lesson: Significant gains in creative thinking behaviour within the Australian foundation (preparatory) classroom. </w:t>
      </w:r>
      <w:r>
        <w:rPr>
          <w:rFonts w:ascii="Times New Roman" w:cs="Times New Roman" w:hAnsi="Times New Roman"/>
          <w:i/>
          <w:iCs/>
          <w:color w:val="222222"/>
          <w:sz w:val="28"/>
          <w:szCs w:val="28"/>
          <w:shd w:val="clear" w:color="auto" w:fill="ffffff"/>
        </w:rPr>
        <w:t>Thinking Skills and Creativity</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41</w:t>
      </w:r>
      <w:r>
        <w:rPr>
          <w:rFonts w:ascii="Times New Roman" w:cs="Times New Roman" w:hAnsi="Times New Roman"/>
          <w:color w:val="222222"/>
          <w:sz w:val="28"/>
          <w:szCs w:val="28"/>
          <w:shd w:val="clear" w:color="auto" w:fill="ffffff"/>
        </w:rPr>
        <w:t xml:space="preserve">, p.100853. </w:t>
      </w:r>
      <w:r>
        <w:fldChar w:fldCharType="begin"/>
      </w:r>
      <w:r>
        <w:instrText xml:space="preserve">HYPERLINK "https://doi.org/10.1016/j.tsc.2021.100853" </w:instrText>
      </w:r>
      <w:r>
        <w:fldChar w:fldCharType="separate"/>
      </w:r>
      <w:r>
        <w:rPr>
          <w:rStyle w:val="Hyperlink"/>
          <w:rFonts w:ascii="Times New Roman" w:cs="Times New Roman" w:hAnsi="Times New Roman"/>
          <w:sz w:val="28"/>
          <w:szCs w:val="28"/>
          <w:shd w:val="clear" w:color="auto" w:fill="ffffff"/>
        </w:rPr>
        <w:t>https://doi.org/10.1016/j.tsc.2021.100853</w:t>
      </w:r>
      <w:r>
        <w:fldChar w:fldCharType="end"/>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Chigara, B. and Moyo, T., 2021. Factors affecting the delivery of optimum health and safety on construction projects during the covid-19 pandemic in Zimbabwe. </w:t>
      </w:r>
      <w:r>
        <w:rPr>
          <w:rFonts w:ascii="Times New Roman" w:cs="Times New Roman" w:hAnsi="Times New Roman"/>
          <w:i/>
          <w:iCs/>
          <w:color w:val="222222"/>
          <w:sz w:val="28"/>
          <w:szCs w:val="28"/>
          <w:shd w:val="clear" w:color="auto" w:fill="ffffff"/>
        </w:rPr>
        <w:t>Journal of Engineering, Design and Technology</w:t>
      </w:r>
      <w:r>
        <w:rPr>
          <w:rFonts w:ascii="Times New Roman" w:cs="Times New Roman" w:hAnsi="Times New Roman"/>
          <w:color w:val="222222"/>
          <w:sz w:val="28"/>
          <w:szCs w:val="28"/>
          <w:shd w:val="clear" w:color="auto" w:fill="ffffff"/>
        </w:rPr>
        <w:t>.</w:t>
      </w:r>
      <w:r>
        <w:rPr>
          <w:rFonts w:ascii="Times New Roman" w:cs="Times New Roman" w:hAnsi="Times New Roman"/>
          <w:sz w:val="28"/>
          <w:szCs w:val="28"/>
        </w:rPr>
        <w:t xml:space="preserve"> </w:t>
      </w:r>
      <w:r>
        <w:rPr>
          <w:rFonts w:ascii="Times New Roman" w:cs="Times New Roman" w:hAnsi="Times New Roman"/>
          <w:color w:val="222222"/>
          <w:sz w:val="28"/>
          <w:szCs w:val="28"/>
          <w:shd w:val="clear" w:color="auto" w:fill="ffffff"/>
        </w:rPr>
        <w:t>https://doi.org/10.1108/JEDT-01-2021-0053</w:t>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DeJong, M.J., Giardina, G., Chalmers, B., Lazarus, D., Ashworth, D. and Mair, R.J., 2019. Impact of the Crossrail tunnelling project on masonry buildings with shallow foundations. </w:t>
      </w:r>
      <w:r>
        <w:rPr>
          <w:rFonts w:ascii="Times New Roman" w:cs="Times New Roman" w:hAnsi="Times New Roman"/>
          <w:i/>
          <w:iCs/>
          <w:color w:val="222222"/>
          <w:sz w:val="28"/>
          <w:szCs w:val="28"/>
          <w:shd w:val="clear" w:color="auto" w:fill="ffffff"/>
        </w:rPr>
        <w:t>Proceedings of the Institution of Civil Engineers-Geotechnical Engineering</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172</w:t>
      </w:r>
      <w:r>
        <w:rPr>
          <w:rFonts w:ascii="Times New Roman" w:cs="Times New Roman" w:hAnsi="Times New Roman"/>
          <w:color w:val="222222"/>
          <w:sz w:val="28"/>
          <w:szCs w:val="28"/>
          <w:shd w:val="clear" w:color="auto" w:fill="ffffff"/>
        </w:rPr>
        <w:t>(5), pp.402-416.</w:t>
      </w:r>
      <w:r>
        <w:rPr>
          <w:rFonts w:ascii="Times New Roman" w:cs="Times New Roman" w:hAnsi="Times New Roman"/>
          <w:sz w:val="28"/>
          <w:szCs w:val="28"/>
        </w:rPr>
        <w:t xml:space="preserve"> </w:t>
      </w:r>
      <w:r>
        <w:fldChar w:fldCharType="begin"/>
      </w:r>
      <w:r>
        <w:instrText xml:space="preserve">HYPERLINK "https://doi.org/10.1680/jgeen.18.00178" </w:instrText>
      </w:r>
      <w:r>
        <w:fldChar w:fldCharType="separate"/>
      </w:r>
      <w:r>
        <w:rPr>
          <w:rStyle w:val="Hyperlink"/>
          <w:rFonts w:ascii="Times New Roman" w:cs="Times New Roman" w:hAnsi="Times New Roman"/>
          <w:sz w:val="28"/>
          <w:szCs w:val="28"/>
          <w:shd w:val="clear" w:color="auto" w:fill="ffffff"/>
        </w:rPr>
        <w:t>https://doi.org/10.1680/jgeen.18.00178</w:t>
      </w:r>
      <w:r>
        <w:fldChar w:fldCharType="end"/>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Hutton, N.S. and Allen, T.R., 2022. Perceptions of visual and in situ representations of sea level rise and tidal flooding: the blue line project, Norfolk, Virginia. </w:t>
      </w:r>
      <w:r>
        <w:rPr>
          <w:rFonts w:ascii="Times New Roman" w:cs="Times New Roman" w:hAnsi="Times New Roman"/>
          <w:i/>
          <w:iCs/>
          <w:color w:val="222222"/>
          <w:sz w:val="28"/>
          <w:szCs w:val="28"/>
          <w:shd w:val="clear" w:color="auto" w:fill="ffffff"/>
        </w:rPr>
        <w:t>Geojournal</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87</w:t>
      </w:r>
      <w:r>
        <w:rPr>
          <w:rFonts w:ascii="Times New Roman" w:cs="Times New Roman" w:hAnsi="Times New Roman"/>
          <w:color w:val="222222"/>
          <w:sz w:val="28"/>
          <w:szCs w:val="28"/>
          <w:shd w:val="clear" w:color="auto" w:fill="ffffff"/>
        </w:rPr>
        <w:t>(3), pp.2081-2099.</w:t>
      </w:r>
      <w:r>
        <w:rPr>
          <w:rFonts w:ascii="Times New Roman" w:cs="Times New Roman" w:hAnsi="Times New Roman"/>
          <w:sz w:val="28"/>
          <w:szCs w:val="28"/>
        </w:rPr>
        <w:t xml:space="preserve"> </w:t>
      </w:r>
      <w:r>
        <w:fldChar w:fldCharType="begin"/>
      </w:r>
      <w:r>
        <w:instrText xml:space="preserve">HYPERLINK "https://doi.org/10.1007/s10708-020-10356-4" </w:instrText>
      </w:r>
      <w:r>
        <w:fldChar w:fldCharType="separate"/>
      </w:r>
      <w:r>
        <w:rPr>
          <w:rStyle w:val="Hyperlink"/>
          <w:rFonts w:ascii="Times New Roman" w:cs="Times New Roman" w:hAnsi="Times New Roman"/>
          <w:sz w:val="28"/>
          <w:szCs w:val="28"/>
          <w:shd w:val="clear" w:color="auto" w:fill="ffffff"/>
        </w:rPr>
        <w:t>https://doi.org/10.1007/s10708-020-10356-4</w:t>
      </w:r>
      <w:r>
        <w:fldChar w:fldCharType="end"/>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Jarquin, D., De Leon, N., Romay, C., Bohn, M., Buckler, E.S., Ciampitti, I., Edwards, J., Ertl, D., Flint-Garcia, S., Gore, M.A. and Graham, C., 2021. Utility of climatic information via combining ability models to improve genomic prediction for yield within the genomes to fields maize project. </w:t>
      </w:r>
      <w:r>
        <w:rPr>
          <w:rFonts w:ascii="Times New Roman" w:cs="Times New Roman" w:hAnsi="Times New Roman"/>
          <w:i/>
          <w:iCs/>
          <w:color w:val="222222"/>
          <w:sz w:val="28"/>
          <w:szCs w:val="28"/>
          <w:shd w:val="clear" w:color="auto" w:fill="ffffff"/>
        </w:rPr>
        <w:t>Frontiers in genetics</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11</w:t>
      </w:r>
      <w:r>
        <w:rPr>
          <w:rFonts w:ascii="Times New Roman" w:cs="Times New Roman" w:hAnsi="Times New Roman"/>
          <w:color w:val="222222"/>
          <w:sz w:val="28"/>
          <w:szCs w:val="28"/>
          <w:shd w:val="clear" w:color="auto" w:fill="ffffff"/>
        </w:rPr>
        <w:t xml:space="preserve">, p.592769. </w:t>
      </w:r>
      <w:r>
        <w:fldChar w:fldCharType="begin"/>
      </w:r>
      <w:r>
        <w:instrText xml:space="preserve">HYPERLINK "https://doi.org/10.3389/fgene.2020.592769" </w:instrText>
      </w:r>
      <w:r>
        <w:fldChar w:fldCharType="separate"/>
      </w:r>
      <w:r>
        <w:rPr>
          <w:rStyle w:val="Hyperlink"/>
          <w:rFonts w:ascii="Times New Roman" w:cs="Times New Roman" w:hAnsi="Times New Roman"/>
          <w:sz w:val="28"/>
          <w:szCs w:val="28"/>
          <w:shd w:val="clear" w:color="auto" w:fill="ffffff"/>
        </w:rPr>
        <w:t>https://doi.org/10.3389/fgene.2020.592769</w:t>
      </w:r>
      <w:r>
        <w:fldChar w:fldCharType="end"/>
      </w:r>
    </w:p>
    <w:p>
      <w:pPr>
        <w:spacing w:before="240" w:line="360" w:lineRule="auto"/>
        <w:jc w:val="both"/>
        <w:rPr>
          <w:rFonts w:ascii="Times New Roman" w:cs="Times New Roman" w:hAnsi="Times New Roman"/>
          <w:color w:val="222222"/>
          <w:sz w:val="28"/>
          <w:szCs w:val="28"/>
          <w:shd w:val="clear" w:color="auto" w:fill="ffffff"/>
        </w:rPr>
      </w:pP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Laurila, J. and Ahola, T., 2021. Vanguard projects as relay races: A historical case study on the building of Eurocan pulp and paper mill, 1965–1970. </w:t>
      </w:r>
      <w:r>
        <w:rPr>
          <w:rFonts w:ascii="Times New Roman" w:cs="Times New Roman" w:hAnsi="Times New Roman"/>
          <w:i/>
          <w:iCs/>
          <w:color w:val="222222"/>
          <w:sz w:val="28"/>
          <w:szCs w:val="28"/>
          <w:shd w:val="clear" w:color="auto" w:fill="ffffff"/>
        </w:rPr>
        <w:t>International Journal of Project Management</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39</w:t>
      </w:r>
      <w:r>
        <w:rPr>
          <w:rFonts w:ascii="Times New Roman" w:cs="Times New Roman" w:hAnsi="Times New Roman"/>
          <w:color w:val="222222"/>
          <w:sz w:val="28"/>
          <w:szCs w:val="28"/>
          <w:shd w:val="clear" w:color="auto" w:fill="ffffff"/>
        </w:rPr>
        <w:t xml:space="preserve">(5), pp.520-535. </w:t>
      </w:r>
      <w:r>
        <w:fldChar w:fldCharType="begin"/>
      </w:r>
      <w:r>
        <w:instrText xml:space="preserve">HYPERLINK "https://doi.org/10.1016/j.ijproman.2021.03.005" </w:instrText>
      </w:r>
      <w:r>
        <w:fldChar w:fldCharType="separate"/>
      </w:r>
      <w:r>
        <w:rPr>
          <w:rStyle w:val="Hyperlink"/>
          <w:rFonts w:ascii="Times New Roman" w:cs="Times New Roman" w:hAnsi="Times New Roman"/>
          <w:sz w:val="28"/>
          <w:szCs w:val="28"/>
          <w:shd w:val="clear" w:color="auto" w:fill="ffffff"/>
        </w:rPr>
        <w:t>https://doi.org/10.1016/j.ijproman.2021.03.005</w:t>
      </w:r>
      <w:r>
        <w:fldChar w:fldCharType="end"/>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Li, X. and Love, P.E., 2022. Procuring urban rail transit infrastructure by integrating land value capture and public-private partnerships: Learning from the cities of Delhi and Hong Kong. </w:t>
      </w:r>
      <w:r>
        <w:rPr>
          <w:rFonts w:ascii="Times New Roman" w:cs="Times New Roman" w:hAnsi="Times New Roman"/>
          <w:i/>
          <w:iCs/>
          <w:color w:val="222222"/>
          <w:sz w:val="28"/>
          <w:szCs w:val="28"/>
          <w:shd w:val="clear" w:color="auto" w:fill="ffffff"/>
        </w:rPr>
        <w:t>Cities</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122</w:t>
      </w:r>
      <w:r>
        <w:rPr>
          <w:rFonts w:ascii="Times New Roman" w:cs="Times New Roman" w:hAnsi="Times New Roman"/>
          <w:color w:val="222222"/>
          <w:sz w:val="28"/>
          <w:szCs w:val="28"/>
          <w:shd w:val="clear" w:color="auto" w:fill="ffffff"/>
        </w:rPr>
        <w:t>, p.103545.</w:t>
      </w:r>
      <w:r>
        <w:rPr>
          <w:rFonts w:ascii="Times New Roman" w:cs="Times New Roman" w:hAnsi="Times New Roman"/>
          <w:sz w:val="28"/>
          <w:szCs w:val="28"/>
        </w:rPr>
        <w:t xml:space="preserve"> </w:t>
      </w:r>
      <w:r>
        <w:fldChar w:fldCharType="begin"/>
      </w:r>
      <w:r>
        <w:instrText xml:space="preserve">HYPERLINK "https://doi.org/10.1016/j.cities.2021.103545" </w:instrText>
      </w:r>
      <w:r>
        <w:fldChar w:fldCharType="separate"/>
      </w:r>
      <w:r>
        <w:rPr>
          <w:rStyle w:val="Hyperlink"/>
          <w:rFonts w:ascii="Times New Roman" w:cs="Times New Roman" w:hAnsi="Times New Roman"/>
          <w:sz w:val="28"/>
          <w:szCs w:val="28"/>
          <w:shd w:val="clear" w:color="auto" w:fill="ffffff"/>
        </w:rPr>
        <w:t>https://doi.org/10.1016/j.cities.2021.103545</w:t>
      </w:r>
      <w:r>
        <w:fldChar w:fldCharType="end"/>
      </w:r>
    </w:p>
    <w:p>
      <w:pPr>
        <w:spacing w:before="240" w:line="360" w:lineRule="auto"/>
        <w:jc w:val="both"/>
        <w:rPr>
          <w:rFonts w:ascii="Times New Roman" w:cs="Times New Roman" w:hAnsi="Times New Roman"/>
          <w:sz w:val="28"/>
          <w:szCs w:val="28"/>
          <w:lang w:val="en-GB"/>
        </w:rPr>
      </w:pPr>
      <w:r>
        <w:rPr>
          <w:rFonts w:ascii="Times New Roman" w:cs="Times New Roman" w:hAnsi="Times New Roman"/>
          <w:color w:val="222222"/>
          <w:sz w:val="28"/>
          <w:szCs w:val="28"/>
          <w:shd w:val="clear" w:color="auto" w:fill="ffffff"/>
        </w:rPr>
        <w:t>Llavero-Valero, M., Escalada-San Martín, J., Martínez-González, M.A., Basterra-Gortari, F.J., de la Fuente-Arrillaga, C. and Bes-Rastrollo, M., 2021. Ultra-processed foods and type-2 diabetes risk in the SUN project: A prospective cohort study. </w:t>
      </w:r>
      <w:r>
        <w:rPr>
          <w:rFonts w:ascii="Times New Roman" w:cs="Times New Roman" w:hAnsi="Times New Roman"/>
          <w:i/>
          <w:iCs/>
          <w:color w:val="222222"/>
          <w:sz w:val="28"/>
          <w:szCs w:val="28"/>
          <w:shd w:val="clear" w:color="auto" w:fill="ffffff"/>
        </w:rPr>
        <w:t>Clinical Nutrition</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40</w:t>
      </w:r>
      <w:r>
        <w:rPr>
          <w:rFonts w:ascii="Times New Roman" w:cs="Times New Roman" w:hAnsi="Times New Roman"/>
          <w:color w:val="222222"/>
          <w:sz w:val="28"/>
          <w:szCs w:val="28"/>
          <w:shd w:val="clear" w:color="auto" w:fill="ffffff"/>
        </w:rPr>
        <w:t>(5), pp.2817-2824. https://doi.org/10.1016/j.clnu.2021.03.039</w:t>
      </w:r>
      <w:r>
        <w:rPr>
          <w:rFonts w:ascii="Times New Roman" w:cs="Times New Roman" w:hAnsi="Times New Roman"/>
          <w:sz w:val="28"/>
          <w:szCs w:val="28"/>
          <w:lang w:val="en-GB"/>
        </w:rPr>
        <w:t xml:space="preserve"> </w:t>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McNaughton, A. and Banks, N., 2021, February. HS2 railway, UK: route optioneering. In </w:t>
      </w:r>
      <w:r>
        <w:rPr>
          <w:rFonts w:ascii="Times New Roman" w:cs="Times New Roman" w:hAnsi="Times New Roman"/>
          <w:i/>
          <w:iCs/>
          <w:color w:val="222222"/>
          <w:sz w:val="28"/>
          <w:szCs w:val="28"/>
          <w:shd w:val="clear" w:color="auto" w:fill="ffffff"/>
        </w:rPr>
        <w:t>Proceedings of the Institution of Civil Engineers-Transport</w:t>
      </w:r>
      <w:r>
        <w:rPr>
          <w:rFonts w:ascii="Times New Roman" w:cs="Times New Roman" w:hAnsi="Times New Roman"/>
          <w:color w:val="222222"/>
          <w:sz w:val="28"/>
          <w:szCs w:val="28"/>
          <w:shd w:val="clear" w:color="auto" w:fill="ffffff"/>
        </w:rPr>
        <w:t xml:space="preserve"> (Vol. 174, No. 1, pp. 12-24). Thomas Telford Ltd. </w:t>
      </w:r>
      <w:r>
        <w:fldChar w:fldCharType="begin"/>
      </w:r>
      <w:r>
        <w:instrText xml:space="preserve">HYPERLINK "https://doi.org/10.1680/jtran.18.00070" </w:instrText>
      </w:r>
      <w:r>
        <w:fldChar w:fldCharType="separate"/>
      </w:r>
      <w:r>
        <w:rPr>
          <w:rStyle w:val="Hyperlink"/>
          <w:rFonts w:ascii="Times New Roman" w:cs="Times New Roman" w:hAnsi="Times New Roman"/>
          <w:sz w:val="28"/>
          <w:szCs w:val="28"/>
          <w:shd w:val="clear" w:color="auto" w:fill="ffffff"/>
        </w:rPr>
        <w:t>https://doi.org/10.1680/jtran.18.00070</w:t>
      </w:r>
      <w:r>
        <w:fldChar w:fldCharType="end"/>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Milillo, P., Giardina, G., DeJong, M.J., Perissin, D. and Milillo, G., 2018. Multi-temporal InSAR structural damage assessment: The London crossrail case study. </w:t>
      </w:r>
      <w:r>
        <w:rPr>
          <w:rFonts w:ascii="Times New Roman" w:cs="Times New Roman" w:hAnsi="Times New Roman"/>
          <w:i/>
          <w:iCs/>
          <w:color w:val="222222"/>
          <w:sz w:val="28"/>
          <w:szCs w:val="28"/>
          <w:shd w:val="clear" w:color="auto" w:fill="ffffff"/>
        </w:rPr>
        <w:t>Remote Sensing</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10</w:t>
      </w:r>
      <w:r>
        <w:rPr>
          <w:rFonts w:ascii="Times New Roman" w:cs="Times New Roman" w:hAnsi="Times New Roman"/>
          <w:color w:val="222222"/>
          <w:sz w:val="28"/>
          <w:szCs w:val="28"/>
          <w:shd w:val="clear" w:color="auto" w:fill="ffffff"/>
        </w:rPr>
        <w:t>(2), p.287.</w:t>
      </w:r>
      <w:r>
        <w:rPr>
          <w:rFonts w:ascii="Times New Roman" w:cs="Times New Roman" w:hAnsi="Times New Roman"/>
          <w:sz w:val="28"/>
          <w:szCs w:val="28"/>
        </w:rPr>
        <w:t xml:space="preserve"> </w:t>
      </w:r>
      <w:r>
        <w:fldChar w:fldCharType="begin"/>
      </w:r>
      <w:r>
        <w:instrText xml:space="preserve">HYPERLINK "https://doi.org/10.3390/rs10020287" </w:instrText>
      </w:r>
      <w:r>
        <w:fldChar w:fldCharType="separate"/>
      </w:r>
      <w:r>
        <w:rPr>
          <w:rStyle w:val="Hyperlink"/>
          <w:rFonts w:ascii="Times New Roman" w:cs="Times New Roman" w:hAnsi="Times New Roman"/>
          <w:sz w:val="28"/>
          <w:szCs w:val="28"/>
          <w:shd w:val="clear" w:color="auto" w:fill="ffffff"/>
        </w:rPr>
        <w:t>https://doi.org/10.3390/rs10020287</w:t>
      </w:r>
      <w:r>
        <w:fldChar w:fldCharType="end"/>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Ricaud, P., Attié, J.L., Chalinel, R., Pasternak, F., Léonard, J., Pison, I., Pattey, E., Thompson, R.L., Zelinger, Z., Lelieveld, J. and Sciare, J., 2021. The monitoring nitrous oxide sources (MIN2OS) satellite project. </w:t>
      </w:r>
      <w:r>
        <w:rPr>
          <w:rFonts w:ascii="Times New Roman" w:cs="Times New Roman" w:hAnsi="Times New Roman"/>
          <w:i/>
          <w:iCs/>
          <w:color w:val="222222"/>
          <w:sz w:val="28"/>
          <w:szCs w:val="28"/>
          <w:shd w:val="clear" w:color="auto" w:fill="ffffff"/>
        </w:rPr>
        <w:t>Remote Sensing of Environment</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266</w:t>
      </w:r>
      <w:r>
        <w:rPr>
          <w:rFonts w:ascii="Times New Roman" w:cs="Times New Roman" w:hAnsi="Times New Roman"/>
          <w:color w:val="222222"/>
          <w:sz w:val="28"/>
          <w:szCs w:val="28"/>
          <w:shd w:val="clear" w:color="auto" w:fill="ffffff"/>
        </w:rPr>
        <w:t>, p.112688.</w:t>
      </w:r>
      <w:r>
        <w:rPr>
          <w:rFonts w:ascii="Times New Roman" w:cs="Times New Roman" w:hAnsi="Times New Roman"/>
          <w:sz w:val="28"/>
          <w:szCs w:val="28"/>
        </w:rPr>
        <w:t xml:space="preserve"> </w:t>
      </w:r>
      <w:r>
        <w:fldChar w:fldCharType="begin"/>
      </w:r>
      <w:r>
        <w:instrText xml:space="preserve">HYPERLINK "https://doi.org/10.1016/j.rse.2021.112688" </w:instrText>
      </w:r>
      <w:r>
        <w:fldChar w:fldCharType="separate"/>
      </w:r>
      <w:r>
        <w:rPr>
          <w:rStyle w:val="Hyperlink"/>
          <w:rFonts w:ascii="Times New Roman" w:cs="Times New Roman" w:hAnsi="Times New Roman"/>
          <w:sz w:val="28"/>
          <w:szCs w:val="28"/>
          <w:shd w:val="clear" w:color="auto" w:fill="ffffff"/>
        </w:rPr>
        <w:t>https://doi.org/10.1016/j.rse.2021.112688</w:t>
      </w:r>
      <w:r>
        <w:fldChar w:fldCharType="end"/>
      </w:r>
    </w:p>
    <w:p>
      <w:pPr>
        <w:spacing w:before="240" w:line="360" w:lineRule="auto"/>
        <w:jc w:val="both"/>
        <w:rPr>
          <w:rFonts w:ascii="Times New Roman" w:cs="Times New Roman" w:hAnsi="Times New Roman"/>
          <w:color w:val="222222"/>
          <w:sz w:val="28"/>
          <w:szCs w:val="28"/>
          <w:shd w:val="clear" w:color="auto" w:fill="ffffff"/>
        </w:rPr>
      </w:pP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Roehrich, J.K. and Kivleniece, I., 2022. Creating and distributing sustainable value through public-private collaborative projects. In </w:t>
      </w:r>
      <w:r>
        <w:rPr>
          <w:rFonts w:ascii="Times New Roman" w:cs="Times New Roman" w:hAnsi="Times New Roman"/>
          <w:i/>
          <w:iCs/>
          <w:color w:val="222222"/>
          <w:sz w:val="28"/>
          <w:szCs w:val="28"/>
          <w:shd w:val="clear" w:color="auto" w:fill="ffffff"/>
        </w:rPr>
        <w:t>Handbook on the Business of Sustainability</w:t>
      </w:r>
      <w:r>
        <w:rPr>
          <w:rFonts w:ascii="Times New Roman" w:cs="Times New Roman" w:hAnsi="Times New Roman"/>
          <w:color w:val="222222"/>
          <w:sz w:val="28"/>
          <w:szCs w:val="28"/>
          <w:shd w:val="clear" w:color="auto" w:fill="ffffff"/>
        </w:rPr>
        <w:t xml:space="preserve">. Edward Elgar Publishing. DOI: </w:t>
      </w:r>
      <w:r>
        <w:fldChar w:fldCharType="begin"/>
      </w:r>
      <w:r>
        <w:instrText xml:space="preserve">HYPERLINK "https://doi.org/10.4337/9781839105340.00036" </w:instrText>
      </w:r>
      <w:r>
        <w:fldChar w:fldCharType="separate"/>
      </w:r>
      <w:r>
        <w:rPr>
          <w:rStyle w:val="Hyperlink"/>
          <w:rFonts w:ascii="Times New Roman" w:cs="Times New Roman" w:hAnsi="Times New Roman"/>
          <w:sz w:val="28"/>
          <w:szCs w:val="28"/>
          <w:shd w:val="clear" w:color="auto" w:fill="ffffff"/>
        </w:rPr>
        <w:t>https://doi.org/10.4337/9781839105340.00036</w:t>
      </w:r>
      <w:r>
        <w:fldChar w:fldCharType="end"/>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Sabik, N.J., Matsick, J.L., McCormick-Huhn, K. and Cole, E.R., 2021. Bringing an intersectional lens to “open” science: An analysis of representation in the reproducibility project. </w:t>
      </w:r>
      <w:r>
        <w:rPr>
          <w:rFonts w:ascii="Times New Roman" w:cs="Times New Roman" w:hAnsi="Times New Roman"/>
          <w:i/>
          <w:iCs/>
          <w:color w:val="222222"/>
          <w:sz w:val="28"/>
          <w:szCs w:val="28"/>
          <w:shd w:val="clear" w:color="auto" w:fill="ffffff"/>
        </w:rPr>
        <w:t>Psychology of Women Quarterly</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45</w:t>
      </w:r>
      <w:r>
        <w:rPr>
          <w:rFonts w:ascii="Times New Roman" w:cs="Times New Roman" w:hAnsi="Times New Roman"/>
          <w:color w:val="222222"/>
          <w:sz w:val="28"/>
          <w:szCs w:val="28"/>
          <w:shd w:val="clear" w:color="auto" w:fill="ffffff"/>
        </w:rPr>
        <w:t>(4), pp.475-492.</w:t>
      </w:r>
      <w:r>
        <w:rPr>
          <w:rFonts w:ascii="Times New Roman" w:cs="Times New Roman" w:hAnsi="Times New Roman"/>
          <w:sz w:val="28"/>
          <w:szCs w:val="28"/>
        </w:rPr>
        <w:t xml:space="preserve"> </w:t>
      </w:r>
      <w:r>
        <w:fldChar w:fldCharType="begin"/>
      </w:r>
      <w:r>
        <w:instrText xml:space="preserve">HYPERLINK "https://doi.org/10.1177/03616843211035678" </w:instrText>
      </w:r>
      <w:r>
        <w:fldChar w:fldCharType="separate"/>
      </w:r>
      <w:r>
        <w:rPr>
          <w:rStyle w:val="Hyperlink"/>
          <w:rFonts w:ascii="Times New Roman" w:cs="Times New Roman" w:hAnsi="Times New Roman"/>
          <w:sz w:val="28"/>
          <w:szCs w:val="28"/>
          <w:shd w:val="clear" w:color="auto" w:fill="ffffff"/>
        </w:rPr>
        <w:t>https://doi.org/10.1177/03616843211035678</w:t>
      </w:r>
      <w:r>
        <w:fldChar w:fldCharType="end"/>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Sergeeva, N. and Winch, G.M., 2021. Project narratives that potentially perform and change the future. </w:t>
      </w:r>
      <w:r>
        <w:rPr>
          <w:rFonts w:ascii="Times New Roman" w:cs="Times New Roman" w:hAnsi="Times New Roman"/>
          <w:i/>
          <w:iCs/>
          <w:color w:val="222222"/>
          <w:sz w:val="28"/>
          <w:szCs w:val="28"/>
          <w:shd w:val="clear" w:color="auto" w:fill="ffffff"/>
        </w:rPr>
        <w:t>Project management journal</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52</w:t>
      </w:r>
      <w:r>
        <w:rPr>
          <w:rFonts w:ascii="Times New Roman" w:cs="Times New Roman" w:hAnsi="Times New Roman"/>
          <w:color w:val="222222"/>
          <w:sz w:val="28"/>
          <w:szCs w:val="28"/>
          <w:shd w:val="clear" w:color="auto" w:fill="ffffff"/>
        </w:rPr>
        <w:t xml:space="preserve">(3), pp.264-277. </w:t>
      </w:r>
      <w:r>
        <w:fldChar w:fldCharType="begin"/>
      </w:r>
      <w:r>
        <w:instrText xml:space="preserve">HYPERLINK "https://doi.org/10.1177/8756972821995340" </w:instrText>
      </w:r>
      <w:r>
        <w:fldChar w:fldCharType="separate"/>
      </w:r>
      <w:r>
        <w:rPr>
          <w:rStyle w:val="Hyperlink"/>
          <w:rFonts w:ascii="Times New Roman" w:cs="Times New Roman" w:hAnsi="Times New Roman"/>
          <w:sz w:val="28"/>
          <w:szCs w:val="28"/>
          <w:shd w:val="clear" w:color="auto" w:fill="ffffff"/>
        </w:rPr>
        <w:t>https://doi.org/10.1177/8756972821995340</w:t>
      </w:r>
      <w:r>
        <w:fldChar w:fldCharType="end"/>
      </w:r>
    </w:p>
    <w:p>
      <w:pPr>
        <w:spacing w:before="240" w:line="360" w:lineRule="auto"/>
        <w:jc w:val="both"/>
        <w:rPr>
          <w:rFonts w:ascii="Times New Roman" w:cs="Times New Roman" w:hAnsi="Times New Roman"/>
          <w:color w:val="222222"/>
          <w:sz w:val="28"/>
          <w:szCs w:val="28"/>
          <w:shd w:val="clear" w:color="auto" w:fill="ffffff"/>
        </w:rPr>
      </w:pPr>
      <w:r>
        <w:rPr>
          <w:rFonts w:ascii="Times New Roman" w:cs="Times New Roman" w:hAnsi="Times New Roman"/>
          <w:color w:val="222222"/>
          <w:sz w:val="28"/>
          <w:szCs w:val="28"/>
          <w:shd w:val="clear" w:color="auto" w:fill="ffffff"/>
        </w:rPr>
        <w:t>Shiraef, M.A., Hirst, C., Weiss, M.A., Naseer, S., Lazar, N., Beling, E., Straight, E., Feddern, L., Taylor, N.R., Jackson, C. and Yu, W., 2021. COVID Border Accountability Project, a hand-coded global database of border closures introduced during 2020. </w:t>
      </w:r>
      <w:r>
        <w:rPr>
          <w:rFonts w:ascii="Times New Roman" w:cs="Times New Roman" w:hAnsi="Times New Roman"/>
          <w:i/>
          <w:iCs/>
          <w:color w:val="222222"/>
          <w:sz w:val="28"/>
          <w:szCs w:val="28"/>
          <w:shd w:val="clear" w:color="auto" w:fill="ffffff"/>
        </w:rPr>
        <w:t>Scientific data</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8</w:t>
      </w:r>
      <w:r>
        <w:rPr>
          <w:rFonts w:ascii="Times New Roman" w:cs="Times New Roman" w:hAnsi="Times New Roman"/>
          <w:color w:val="222222"/>
          <w:sz w:val="28"/>
          <w:szCs w:val="28"/>
          <w:shd w:val="clear" w:color="auto" w:fill="ffffff"/>
        </w:rPr>
        <w:t xml:space="preserve">(1), pp.1-11. </w:t>
      </w:r>
      <w:r>
        <w:fldChar w:fldCharType="begin"/>
      </w:r>
      <w:r>
        <w:instrText xml:space="preserve">HYPERLINK "https://doi.org/10.6084/m9.figshare.16438932" </w:instrText>
      </w:r>
      <w:r>
        <w:fldChar w:fldCharType="separate"/>
      </w:r>
      <w:r>
        <w:rPr>
          <w:rStyle w:val="Hyperlink"/>
          <w:rFonts w:ascii="Times New Roman" w:cs="Times New Roman" w:hAnsi="Times New Roman"/>
          <w:sz w:val="28"/>
          <w:szCs w:val="28"/>
          <w:shd w:val="clear" w:color="auto" w:fill="ffffff"/>
        </w:rPr>
        <w:t>https://doi.org/10.6084/m9.figshare.16438932</w:t>
      </w:r>
      <w:r>
        <w:fldChar w:fldCharType="end"/>
      </w:r>
    </w:p>
    <w:p>
      <w:pPr>
        <w:spacing w:before="240"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8"/>
          <w:szCs w:val="28"/>
          <w:shd w:val="clear" w:color="auto" w:fill="ffffff"/>
        </w:rPr>
        <w:t>Singh, R. and Jackson, S., 2021. Seeing Like an Infrastructure: Low-resolution Citizens and the Aadhaar Identification Project. </w:t>
      </w:r>
      <w:r>
        <w:rPr>
          <w:rFonts w:ascii="Times New Roman" w:cs="Times New Roman" w:hAnsi="Times New Roman"/>
          <w:i/>
          <w:iCs/>
          <w:color w:val="222222"/>
          <w:sz w:val="28"/>
          <w:szCs w:val="28"/>
          <w:shd w:val="clear" w:color="auto" w:fill="ffffff"/>
        </w:rPr>
        <w:t>Proceedings of the ACM on Human-Computer Interaction</w:t>
      </w:r>
      <w:r>
        <w:rPr>
          <w:rFonts w:ascii="Times New Roman" w:cs="Times New Roman" w:hAnsi="Times New Roman"/>
          <w:color w:val="222222"/>
          <w:sz w:val="28"/>
          <w:szCs w:val="28"/>
          <w:shd w:val="clear" w:color="auto" w:fill="ffffff"/>
        </w:rPr>
        <w:t>, </w:t>
      </w:r>
      <w:r>
        <w:rPr>
          <w:rFonts w:ascii="Times New Roman" w:cs="Times New Roman" w:hAnsi="Times New Roman"/>
          <w:i/>
          <w:iCs/>
          <w:color w:val="222222"/>
          <w:sz w:val="28"/>
          <w:szCs w:val="28"/>
          <w:shd w:val="clear" w:color="auto" w:fill="ffffff"/>
        </w:rPr>
        <w:t>5</w:t>
      </w:r>
      <w:r>
        <w:rPr>
          <w:rFonts w:ascii="Times New Roman" w:cs="Times New Roman" w:hAnsi="Times New Roman"/>
          <w:color w:val="222222"/>
          <w:sz w:val="28"/>
          <w:szCs w:val="28"/>
          <w:shd w:val="clear" w:color="auto" w:fill="ffffff"/>
        </w:rPr>
        <w:t>(CSCW2), pp.1-26.</w:t>
      </w:r>
      <w:r>
        <w:rPr>
          <w:rFonts w:ascii="Times New Roman" w:cs="Times New Roman" w:hAnsi="Times New Roman"/>
          <w:b/>
          <w:color w:val="222222"/>
          <w:sz w:val="28"/>
          <w:szCs w:val="28"/>
          <w:shd w:val="clear" w:color="auto" w:fill="ffffff"/>
        </w:rPr>
        <w:t xml:space="preserve"> </w:t>
      </w:r>
      <w:r>
        <w:fldChar w:fldCharType="begin"/>
      </w:r>
      <w:r>
        <w:instrText xml:space="preserve">HYPERLINK "https://doi.org/10.1145/3476056" </w:instrText>
      </w:r>
      <w:r>
        <w:fldChar w:fldCharType="separate"/>
      </w:r>
      <w:r>
        <w:rPr>
          <w:rStyle w:val="Hyperlink"/>
          <w:rFonts w:ascii="Times New Roman" w:cs="Times New Roman" w:hAnsi="Times New Roman"/>
          <w:sz w:val="28"/>
          <w:szCs w:val="28"/>
          <w:u w:val="none"/>
          <w:shd w:val="clear" w:color="auto" w:fill="ffffff"/>
        </w:rPr>
        <w:t>https://doi.org/10.1145/3476056</w:t>
      </w:r>
      <w:r>
        <w:fldChar w:fldCharType="end"/>
      </w:r>
      <w:r>
        <w:rPr>
          <w:rFonts w:ascii="Times New Roman" w:cs="Times New Roman" w:hAnsi="Times New Roman"/>
          <w:color w:val="222222"/>
          <w:sz w:val="28"/>
          <w:szCs w:val="28"/>
          <w:shd w:val="clear" w:color="auto" w:fill="ffffff"/>
        </w:rPr>
        <w:t xml:space="preserve"> van Oort, N. and Yap, M., 2021. Innovations in the appraisal of public transport projects. In </w:t>
      </w:r>
      <w:r>
        <w:rPr>
          <w:rFonts w:ascii="Times New Roman" w:cs="Times New Roman" w:hAnsi="Times New Roman"/>
          <w:i/>
          <w:iCs/>
          <w:color w:val="222222"/>
          <w:sz w:val="28"/>
          <w:szCs w:val="28"/>
          <w:shd w:val="clear" w:color="auto" w:fill="ffffff"/>
        </w:rPr>
        <w:t>Advances in Transport Policy and Planning</w:t>
      </w:r>
      <w:r>
        <w:rPr>
          <w:rFonts w:ascii="Times New Roman" w:cs="Times New Roman" w:hAnsi="Times New Roman"/>
          <w:color w:val="222222"/>
          <w:sz w:val="28"/>
          <w:szCs w:val="28"/>
          <w:shd w:val="clear" w:color="auto" w:fill="ffffff"/>
        </w:rPr>
        <w:t xml:space="preserve"> (Vol. 7, pp. 127-164). Academic Press. </w:t>
      </w:r>
      <w:r>
        <w:fldChar w:fldCharType="begin"/>
      </w:r>
      <w:r>
        <w:instrText xml:space="preserve">HYPERLINK "https://doi.org/10.1016/bs.atpp.2020.07.008" </w:instrText>
      </w:r>
      <w:r>
        <w:fldChar w:fldCharType="separate"/>
      </w:r>
      <w:r>
        <w:rPr>
          <w:rStyle w:val="Hyperlink"/>
          <w:rFonts w:ascii="Times New Roman" w:cs="Times New Roman" w:hAnsi="Times New Roman"/>
          <w:sz w:val="28"/>
          <w:szCs w:val="28"/>
          <w:shd w:val="clear" w:color="auto" w:fill="ffffff"/>
        </w:rPr>
        <w:t>https://doi.org/10.1016/bs.atpp.2020.07.008</w:t>
      </w:r>
      <w:r>
        <w:fldChar w:fldCharType="end"/>
      </w:r>
      <w:r>
        <w:rPr>
          <w:rFonts w:ascii="Times New Roman" w:cs="Times New Roman" w:hAnsi="Times New Roman"/>
          <w:color w:val="222222"/>
          <w:sz w:val="28"/>
          <w:szCs w:val="28"/>
          <w:shd w:val="clear" w:color="auto" w:fill="ffffff"/>
        </w:rPr>
        <w:t>Wroe, L.E., 2021. Young people and “county lines”: a contextual and social account. </w:t>
      </w:r>
      <w:r>
        <w:rPr>
          <w:rFonts w:ascii="Times New Roman" w:cs="Times New Roman" w:hAnsi="Times New Roman"/>
          <w:i/>
          <w:iCs/>
          <w:color w:val="222222"/>
          <w:sz w:val="28"/>
          <w:szCs w:val="28"/>
          <w:shd w:val="clear" w:color="auto" w:fill="ffffff"/>
        </w:rPr>
        <w:t>Journal of Children's Services</w:t>
      </w:r>
      <w:r>
        <w:rPr>
          <w:rFonts w:ascii="Times New Roman" w:cs="Times New Roman" w:hAnsi="Times New Roman"/>
          <w:color w:val="222222"/>
          <w:sz w:val="28"/>
          <w:szCs w:val="28"/>
          <w:shd w:val="clear" w:color="auto" w:fill="ffffff"/>
        </w:rPr>
        <w:t xml:space="preserve">. </w:t>
      </w:r>
      <w:r>
        <w:fldChar w:fldCharType="begin"/>
      </w:r>
      <w:r>
        <w:instrText xml:space="preserve">HYPERLINK "https://doi.org/10.1108/JCS-10-2020-0063" </w:instrText>
      </w:r>
      <w:r>
        <w:fldChar w:fldCharType="separate"/>
      </w:r>
      <w:r>
        <w:rPr>
          <w:rStyle w:val="Hyperlink"/>
          <w:rFonts w:ascii="Times New Roman" w:cs="Times New Roman" w:hAnsi="Times New Roman"/>
          <w:sz w:val="28"/>
          <w:szCs w:val="28"/>
          <w:shd w:val="clear" w:color="auto" w:fill="ffffff"/>
        </w:rPr>
        <w:t>https://doi.org/10.1108/JCS-10-2020-0063</w:t>
      </w:r>
      <w:r>
        <w:fldChar w:fldCharType="end"/>
      </w:r>
    </w:p>
    <w:p>
      <w:pPr>
        <w:spacing w:line="360" w:lineRule="auto"/>
        <w:jc w:val="both"/>
        <w:rPr>
          <w:rFonts w:ascii="Times New Roman" w:cs="Times New Roman" w:hAnsi="Times New Roman"/>
          <w:sz w:val="24"/>
          <w:szCs w:val="24"/>
          <w:lang w:val="en-GB"/>
        </w:rPr>
      </w:pPr>
    </w:p>
    <w:p>
      <w:pPr>
        <w:pStyle w:val="Normal1"/>
        <w:spacing w:line="360" w:lineRule="auto"/>
        <w:jc w:val="both"/>
        <w:rPr>
          <w:rFonts w:ascii="Times New Roman" w:cs="Times New Roman" w:eastAsia="Times New Roman" w:hAnsi="Times New Roman"/>
          <w:b/>
          <w:sz w:val="24"/>
          <w:szCs w:val="24"/>
        </w:rPr>
      </w:pPr>
    </w:p>
    <w:sectPr>
      <w:headerReference w:type="default" r:id="rId26"/>
      <w:footerReference w:type="default" r:id="rId27"/>
      <w:pgSz w:w="12240" w:h="15840"/>
      <w:pgMar w:top="1440" w:right="1440" w:bottom="1440" w:left="1440" w:header="720" w:footer="720" w:gutter="0"/>
      <w:pgBorders w:display="allPages" w:offsetFrom="page" w:zOrder="front">
        <w:top w:val="single" w:color="auto" w:sz="4" w:space="24"/>
        <w:left w:val="single" w:color="auto" w:sz="4" w:space="24"/>
        <w:right w:val="single" w:color="auto" w:sz="4" w:space="24"/>
        <w:bottom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4000acff" w:usb2="00000001" w:usb3="00000000" w:csb0="0000019f" w:csb1="00000000"/>
  </w:font>
  <w:font w:name="Tahoma">
    <w:panose1 w:val="020b0604030504040204"/>
    <w:charset w:val="00"/>
    <w:family w:val="swiss"/>
    <w:pitch w:val="variable"/>
    <w:sig w:usb0="00000000" w:usb1="00000000" w:usb2="00000029" w:usb3="00000000" w:csb0="000101f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jc w:val="right"/>
      <w:rPr/>
    </w:pPr>
    <w:r>
      <w:fldChar w:fldCharType="begin"/>
    </w:r>
    <w:r>
      <w:instrText xml:space="preserve"> PAGE   \* MERGEFORMAT </w:instrText>
    </w:r>
    <w:r>
      <w:fldChar w:fldCharType="separate"/>
    </w:r>
    <w:r>
      <w:rPr>
        <w:rFonts w:ascii="Times New Roman" w:cs="Times New Roman" w:hAnsi="Times New Roman"/>
        <w:sz w:val="20"/>
        <w:szCs w:val="20"/>
      </w:rP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40" w:lineRule="auto"/>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26E"/>
    <w:rsid w:val="00083FC3"/>
    <w:rsid w:val="001A226E"/>
    <w:rsid w:val="002B58B3"/>
    <w:rsid w:val="002F71AF"/>
    <w:rsid w:val="0036393C"/>
    <w:rsid w:val="003A165A"/>
    <w:rsid w:val="005315FE"/>
    <w:rsid w:val="005A548E"/>
    <w:rsid w:val="005D2D76"/>
    <w:rsid w:val="00871DA1"/>
    <w:rsid w:val="009A4A1C"/>
    <w:rsid w:val="00BB52F4"/>
    <w:rsid w:val="00C50ECF"/>
    <w:rsid w:val="00F06326"/>
    <w:rsid w:val="00FC51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214B716-098F-BC4C-8C9D-020A132351FC}"/>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val="en-US" w:bidi="ar-SA" w:eastAsia="en-US"/>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style>
  <w:style w:type="paragraph" w:styleId="Heading1">
    <w:name w:val="Heading 1"/>
    <w:basedOn w:val="Normal1"/>
    <w:next w:val="Normal1"/>
    <w:uiPriority w:val="99"/>
    <w:pPr>
      <w:keepNext w:val="on"/>
      <w:keepLines w:val="on"/>
      <w:spacing w:before="240" w:after="240" w:line="360" w:lineRule="auto"/>
      <w:jc w:val="both"/>
    </w:pPr>
    <w:rPr>
      <w:rFonts w:ascii="Times New Roman" w:cs="Times New Roman" w:eastAsia="Times New Roman" w:hAnsi="Times New Roman"/>
      <w:b/>
      <w:sz w:val="28"/>
      <w:szCs w:val="28"/>
    </w:rPr>
  </w:style>
  <w:style w:type="paragraph" w:styleId="Heading2">
    <w:name w:val="Heading 2"/>
    <w:basedOn w:val="Normal1"/>
    <w:next w:val="Normal1"/>
    <w:uiPriority w:val="99"/>
    <w:pPr>
      <w:keepNext w:val="on"/>
      <w:keepLines w:val="on"/>
      <w:spacing w:before="360" w:after="120" w:line="360" w:lineRule="auto"/>
      <w:jc w:val="both"/>
    </w:pPr>
    <w:rPr>
      <w:rFonts w:ascii="Times New Roman" w:hAnsi="Times New Roman"/>
      <w:b/>
      <w:color w:val="000000" w:themeColor="text1"/>
      <w:sz w:val="26"/>
      <w:szCs w:val="32"/>
    </w:rPr>
  </w:style>
  <w:style w:type="paragraph" w:styleId="Heading3">
    <w:name w:val="Heading 3"/>
    <w:basedOn w:val="Normal1"/>
    <w:next w:val="Normal1"/>
    <w:uiPriority w:val="99"/>
    <w:pPr>
      <w:keepNext w:val="on"/>
      <w:keepLines w:val="on"/>
      <w:spacing w:before="320" w:after="80"/>
    </w:pPr>
    <w:rPr>
      <w:color w:val="434343"/>
      <w:sz w:val="28"/>
      <w:szCs w:val="28"/>
    </w:rPr>
  </w:style>
  <w:style w:type="paragraph" w:styleId="Heading4">
    <w:name w:val="Heading 4"/>
    <w:basedOn w:val="Normal1"/>
    <w:next w:val="Normal1"/>
    <w:uiPriority w:val="99"/>
    <w:pPr>
      <w:keepNext w:val="on"/>
      <w:keepLines w:val="on"/>
      <w:spacing w:before="280" w:after="80"/>
    </w:pPr>
    <w:rPr>
      <w:color w:val="666666"/>
      <w:sz w:val="24"/>
      <w:szCs w:val="24"/>
    </w:rPr>
  </w:style>
  <w:style w:type="paragraph" w:styleId="Heading5">
    <w:name w:val="Heading 5"/>
    <w:basedOn w:val="Normal1"/>
    <w:next w:val="Normal1"/>
    <w:uiPriority w:val="99"/>
    <w:pPr>
      <w:keepNext w:val="on"/>
      <w:keepLines w:val="on"/>
      <w:spacing w:before="240" w:after="80"/>
    </w:pPr>
    <w:rPr>
      <w:color w:val="666666"/>
    </w:rPr>
  </w:style>
  <w:style w:type="paragraph" w:styleId="Heading6">
    <w:name w:val="Heading 6"/>
    <w:basedOn w:val="Normal1"/>
    <w:next w:val="Normal1"/>
    <w:uiPriority w:val="99"/>
    <w:pPr>
      <w:keepNext w:val="on"/>
      <w:keepLines w:val="on"/>
      <w:spacing w:before="240" w:after="80"/>
    </w:pPr>
    <w:rPr>
      <w:i/>
      <w:color w:val="66666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customStyle="1" w:styleId="Normal1">
    <w:name w:val="Normal1"/>
    <w:uiPriority w:val="99"/>
  </w:style>
  <w:style w:type="paragraph" w:styleId="Title">
    <w:name w:val="Title"/>
    <w:basedOn w:val="Normal1"/>
    <w:next w:val="Normal1"/>
    <w:uiPriority w:val="99"/>
    <w:pPr>
      <w:keepNext w:val="on"/>
      <w:keepLines w:val="on"/>
      <w:spacing w:after="60"/>
    </w:pPr>
    <w:rPr>
      <w:sz w:val="52"/>
      <w:szCs w:val="52"/>
    </w:rPr>
  </w:style>
  <w:style w:type="paragraph" w:styleId="Subtitle">
    <w:name w:val="Subtitle"/>
    <w:basedOn w:val="Normal1"/>
    <w:next w:val="Normal1"/>
    <w:uiPriority w:val="99"/>
    <w:pPr>
      <w:keepNext w:val="on"/>
      <w:keepLines w:val="on"/>
      <w:spacing w:after="320"/>
    </w:pPr>
    <w:rPr>
      <w:color w:val="666666"/>
      <w:sz w:val="30"/>
      <w:szCs w:val="30"/>
    </w:rPr>
  </w:style>
  <w:style w:type="character" w:styleId="Hyperlink">
    <w:name w:val="Hyperlink"/>
    <w:basedOn w:val="DefaultParagraphFont"/>
    <w:uiPriority w:val="99"/>
    <w:unhideWhenUsed w:val="on"/>
    <w:rPr>
      <w:color w:val="0000ff" w:themeColor="hyperlink"/>
      <w:u w:val="single"/>
    </w:rPr>
  </w:style>
  <w:style w:type="paragraph" w:styleId="TOCHeading">
    <w:name w:val="TOC Heading"/>
    <w:basedOn w:val="Heading1"/>
    <w:next w:val="Normal"/>
    <w:uiPriority w:val="39"/>
    <w:semiHidden w:val="on"/>
    <w:unhideWhenUsed w:val="on"/>
    <w:qFormat w:val="on"/>
    <w:pPr>
      <w:spacing w:before="480" w:after="0" w:line="276" w:lineRule="auto"/>
      <w:jc w:val="left"/>
    </w:pPr>
    <w:rPr>
      <w:rFonts w:asciiTheme="majorHAnsi" w:cstheme="majorBidi" w:eastAsiaTheme="majorEastAsia" w:hAnsiTheme="majorHAnsi"/>
      <w:bCs/>
      <w:color w:val="376091" w:themeColor="accent1" w:themeShade="bf"/>
    </w:rPr>
  </w:style>
  <w:style w:type="paragraph" w:styleId="Toc1">
    <w:name w:val="Toc 1"/>
    <w:basedOn w:val="Normal"/>
    <w:next w:val="Normal"/>
    <w:uiPriority w:val="39"/>
    <w:unhideWhenUsed w:val="on"/>
    <w:pPr>
      <w:spacing w:after="100"/>
    </w:pPr>
  </w:style>
  <w:style w:type="paragraph" w:styleId="BalloonText">
    <w:name w:val="Balloon Text"/>
    <w:basedOn w:val="Normal"/>
    <w:link w:val="BalloonTextChar"/>
    <w:uiPriority w:val="99"/>
    <w:semiHidden w:val="on"/>
    <w:unhideWhenUsed w:val="on"/>
    <w:pPr>
      <w:spacing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rPr>
  </w:style>
  <w:style w:type="paragraph" w:styleId="Header">
    <w:name w:val="Header"/>
    <w:basedOn w:val="Normal"/>
    <w:link w:val="HeaderChar"/>
    <w:uiPriority w:val="99"/>
    <w:semiHidden w:val="on"/>
    <w:unhideWhenUsed w:val="on"/>
    <w:pPr>
      <w:tabs>
        <w:tab w:val="center" w:pos="4680"/>
        <w:tab w:val="right" w:pos="9360"/>
      </w:tabs>
      <w:spacing w:line="240" w:lineRule="auto"/>
    </w:pPr>
  </w:style>
  <w:style w:type="character" w:customStyle="1" w:styleId="HeaderChar">
    <w:name w:val="Header Char"/>
    <w:basedOn w:val="DefaultParagraphFont"/>
    <w:link w:val="Header"/>
    <w:uiPriority w:val="99"/>
    <w:semiHidden w:val="on"/>
  </w:style>
  <w:style w:type="paragraph" w:styleId="Footer">
    <w:name w:val="Footer"/>
    <w:basedOn w:val="Normal"/>
    <w:link w:val="FooterChar"/>
    <w:uiPriority w:val="99"/>
    <w:unhideWhenUsed w:val="on"/>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Toc2">
    <w:name w:val="Toc 2"/>
    <w:basedOn w:val="Normal"/>
    <w:next w:val="Normal"/>
    <w:uiPriority w:val="39"/>
    <w:unhideWhenUsed w:val="on"/>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1109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 Type="http://schemas.openxmlformats.org/officeDocument/2006/relationships/styles" Target="styles.xml"/><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theme" Target="theme/theme1.xml"/><Relationship Id="rId26" Type="http://schemas.openxmlformats.org/officeDocument/2006/relationships/header" Target="header1.xml"/><Relationship Id="rId27" Type="http://schemas.openxmlformats.org/officeDocument/2006/relationships/footer" Target="footer1.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1" Type="http://schemas.openxmlformats.org/officeDocument/2006/relationships/customXml" Target="../customXml/item1.xml"/><Relationship Id="rId4" Type="http://schemas.openxmlformats.org/officeDocument/2006/relationships/webSettings" Target="webSettings.xml"/><Relationship Id="rId7" Type="http://schemas.openxmlformats.org/officeDocument/2006/relationships/hyperlink" Target="https://doi.org/10.1016/j.tsc.2021.100853" TargetMode="External"/><Relationship Id="rId8" Type="http://schemas.openxmlformats.org/officeDocument/2006/relationships/hyperlink" Target="https://doi.org/10.1680/jgeen.18.00178" TargetMode="External"/><Relationship Id="rId9" Type="http://schemas.openxmlformats.org/officeDocument/2006/relationships/hyperlink" Target="https://doi.org/10.1007/s10708-020-10356-4" TargetMode="External"/><Relationship Id="rId10" Type="http://schemas.openxmlformats.org/officeDocument/2006/relationships/hyperlink" Target="https://doi.org/10.3389/fgene.2020.592769" TargetMode="External"/><Relationship Id="rId11" Type="http://schemas.openxmlformats.org/officeDocument/2006/relationships/hyperlink" Target="https://doi.org/10.1016/j.ijproman.2021.03.005" TargetMode="External"/><Relationship Id="rId12" Type="http://schemas.openxmlformats.org/officeDocument/2006/relationships/hyperlink" Target="https://doi.org/10.1016/j.cities.2021.103545" TargetMode="External"/><Relationship Id="rId13" Type="http://schemas.openxmlformats.org/officeDocument/2006/relationships/hyperlink" Target="https://doi.org/10.1680/jtran.18.00070" TargetMode="External"/><Relationship Id="rId14" Type="http://schemas.openxmlformats.org/officeDocument/2006/relationships/hyperlink" Target="https://doi.org/10.3390/rs10020287" TargetMode="External"/><Relationship Id="rId15" Type="http://schemas.openxmlformats.org/officeDocument/2006/relationships/hyperlink" Target="https://doi.org/10.1016/j.rse.2021.112688" TargetMode="External"/><Relationship Id="rId16" Type="http://schemas.openxmlformats.org/officeDocument/2006/relationships/hyperlink" Target="https://doi.org/10.4337/9781839105340.00036" TargetMode="External"/><Relationship Id="rId17" Type="http://schemas.openxmlformats.org/officeDocument/2006/relationships/hyperlink" Target="https://doi.org/10.1177/03616843211035678" TargetMode="External"/><Relationship Id="rId18" Type="http://schemas.openxmlformats.org/officeDocument/2006/relationships/hyperlink" Target="https://doi.org/10.1177/8756972821995340" TargetMode="External"/><Relationship Id="rId19" Type="http://schemas.openxmlformats.org/officeDocument/2006/relationships/hyperlink" Target="https://doi.org/10.6084/m9.figshare.16438932" TargetMode="External"/><Relationship Id="rId20" Type="http://schemas.openxmlformats.org/officeDocument/2006/relationships/hyperlink" Target="https://doi.org/10.1145/3476056" TargetMode="External"/><Relationship Id="rId21" Type="http://schemas.openxmlformats.org/officeDocument/2006/relationships/hyperlink" Target="https://doi.org/10.1016/bs.atpp.2020.07.008" TargetMode="External"/><Relationship Id="rId22" Type="http://schemas.openxmlformats.org/officeDocument/2006/relationships/hyperlink" Target="https://doi.org/10.1108/JCS-10-2020-0063"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E7BAED8B-10D8-48AC-A1F9-6303CAA00F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3142</Words>
  <Characters>17915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Roti</dc:creator>
  <cp:lastModifiedBy>Roti</cp:lastModifiedBy>
</cp:coreProperties>
</file>