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00650" w14:textId="08364558" w:rsidR="00F35DBA" w:rsidRPr="00F35DBA" w:rsidRDefault="00F35DBA" w:rsidP="00F35DBA">
      <w:pPr>
        <w:spacing w:line="360" w:lineRule="auto"/>
        <w:rPr>
          <w:rFonts w:ascii="Arial" w:hAnsi="Arial" w:cs="Arial"/>
          <w:b/>
          <w:bCs/>
        </w:rPr>
      </w:pPr>
      <w:r w:rsidRPr="00A406E5">
        <w:rPr>
          <w:rFonts w:ascii="Arial" w:hAnsi="Arial" w:cs="Arial"/>
          <w:noProof/>
        </w:rPr>
        <w:drawing>
          <wp:anchor distT="0" distB="0" distL="114300" distR="114300" simplePos="0" relativeHeight="251659264" behindDoc="0" locked="0" layoutInCell="1" allowOverlap="1" wp14:anchorId="250EEAEE" wp14:editId="48577B83">
            <wp:simplePos x="0" y="0"/>
            <wp:positionH relativeFrom="column">
              <wp:posOffset>0</wp:posOffset>
            </wp:positionH>
            <wp:positionV relativeFrom="paragraph">
              <wp:posOffset>367030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835E18C" w14:textId="77777777" w:rsidR="00F35DBA" w:rsidRDefault="00F35DBA" w:rsidP="00F35DBA">
      <w:pPr>
        <w:spacing w:line="360" w:lineRule="auto"/>
        <w:rPr>
          <w:rFonts w:ascii="Arial" w:hAnsi="Arial" w:cs="Arial"/>
          <w:b/>
          <w:bCs/>
        </w:rPr>
      </w:pPr>
    </w:p>
    <w:p w14:paraId="58A15A6C" w14:textId="119DE2BD" w:rsidR="00F35DBA" w:rsidRDefault="00F35DBA" w:rsidP="00F35DBA">
      <w:pPr>
        <w:spacing w:line="360" w:lineRule="auto"/>
        <w:rPr>
          <w:rFonts w:ascii="Arial" w:hAnsi="Arial" w:cs="Arial"/>
        </w:rPr>
      </w:pPr>
    </w:p>
    <w:p w14:paraId="7D1F12E5" w14:textId="77777777" w:rsidR="00F35DBA" w:rsidRDefault="00F35DBA" w:rsidP="00F35DBA">
      <w:pPr>
        <w:spacing w:line="360" w:lineRule="auto"/>
        <w:rPr>
          <w:rFonts w:ascii="Arial" w:hAnsi="Arial" w:cs="Arial"/>
        </w:rPr>
      </w:pPr>
    </w:p>
    <w:p w14:paraId="1D1B6234" w14:textId="77777777" w:rsidR="00F35DBA" w:rsidRDefault="00F35DBA" w:rsidP="00F35DBA">
      <w:pPr>
        <w:spacing w:line="360" w:lineRule="auto"/>
        <w:rPr>
          <w:rFonts w:ascii="Arial" w:hAnsi="Arial" w:cs="Arial"/>
        </w:rPr>
      </w:pPr>
    </w:p>
    <w:p w14:paraId="2C3A3E66" w14:textId="77777777" w:rsidR="00F35DBA" w:rsidRPr="00F35DBA" w:rsidRDefault="00F35DBA" w:rsidP="00F35DBA">
      <w:pPr>
        <w:spacing w:line="360" w:lineRule="auto"/>
        <w:rPr>
          <w:rFonts w:ascii="Arial" w:hAnsi="Arial" w:cs="Arial"/>
        </w:rPr>
      </w:pPr>
    </w:p>
    <w:p w14:paraId="4116B65A" w14:textId="77777777" w:rsidR="00F35DBA" w:rsidRPr="00F35DBA" w:rsidRDefault="00F35DBA" w:rsidP="00F35DBA">
      <w:pPr>
        <w:spacing w:line="360" w:lineRule="auto"/>
        <w:ind w:left="360"/>
        <w:jc w:val="center"/>
        <w:rPr>
          <w:rFonts w:ascii="Arial" w:hAnsi="Arial" w:cs="Arial"/>
        </w:rPr>
      </w:pPr>
      <w:r w:rsidRPr="00F35DBA">
        <w:rPr>
          <w:rFonts w:ascii="Arial" w:hAnsi="Arial" w:cs="Arial"/>
          <w:b/>
          <w:bCs/>
        </w:rPr>
        <w:t>Student Name:</w:t>
      </w:r>
      <w:r w:rsidRPr="00F35DBA">
        <w:rPr>
          <w:rFonts w:ascii="Arial" w:hAnsi="Arial" w:cs="Arial"/>
        </w:rPr>
        <w:t xml:space="preserve"> </w:t>
      </w:r>
      <w:proofErr w:type="spellStart"/>
      <w:r w:rsidRPr="00F35DBA">
        <w:rPr>
          <w:rFonts w:ascii="Arial" w:hAnsi="Arial" w:cs="Arial"/>
        </w:rPr>
        <w:t>Soliya</w:t>
      </w:r>
      <w:proofErr w:type="spellEnd"/>
      <w:r w:rsidRPr="00F35DBA">
        <w:rPr>
          <w:rFonts w:ascii="Arial" w:hAnsi="Arial" w:cs="Arial"/>
        </w:rPr>
        <w:t xml:space="preserve"> </w:t>
      </w:r>
      <w:proofErr w:type="spellStart"/>
      <w:r w:rsidRPr="00F35DBA">
        <w:rPr>
          <w:rFonts w:ascii="Arial" w:hAnsi="Arial" w:cs="Arial"/>
        </w:rPr>
        <w:t>Shanikumar</w:t>
      </w:r>
      <w:proofErr w:type="spellEnd"/>
      <w:r w:rsidRPr="00F35DBA">
        <w:rPr>
          <w:rFonts w:ascii="Arial" w:hAnsi="Arial" w:cs="Arial"/>
        </w:rPr>
        <w:t xml:space="preserve"> </w:t>
      </w:r>
      <w:proofErr w:type="spellStart"/>
      <w:r w:rsidRPr="00F35DBA">
        <w:rPr>
          <w:rFonts w:ascii="Arial" w:hAnsi="Arial" w:cs="Arial"/>
        </w:rPr>
        <w:t>Vipulbhai</w:t>
      </w:r>
      <w:proofErr w:type="spellEnd"/>
    </w:p>
    <w:p w14:paraId="1F5E81B9" w14:textId="06E055F0" w:rsidR="00F35DBA" w:rsidRPr="00F35DBA" w:rsidRDefault="00F35DBA" w:rsidP="00F35DBA">
      <w:pPr>
        <w:spacing w:line="360" w:lineRule="auto"/>
        <w:ind w:left="360"/>
        <w:jc w:val="center"/>
        <w:rPr>
          <w:rFonts w:ascii="Arial" w:hAnsi="Arial" w:cs="Arial"/>
        </w:rPr>
      </w:pPr>
      <w:r w:rsidRPr="00F35DBA">
        <w:rPr>
          <w:rFonts w:ascii="Arial" w:hAnsi="Arial" w:cs="Arial"/>
          <w:b/>
          <w:bCs/>
        </w:rPr>
        <w:t>Student ID Number:</w:t>
      </w:r>
      <w:r w:rsidRPr="00F35DBA">
        <w:rPr>
          <w:rFonts w:ascii="Arial" w:hAnsi="Arial" w:cs="Arial"/>
        </w:rPr>
        <w:t xml:space="preserve"> </w:t>
      </w:r>
      <w:r>
        <w:rPr>
          <w:rFonts w:ascii="Arial" w:hAnsi="Arial" w:cs="Arial"/>
        </w:rPr>
        <w:t>2532722</w:t>
      </w:r>
    </w:p>
    <w:p w14:paraId="07A366AF" w14:textId="77777777" w:rsidR="00F35DBA" w:rsidRPr="00F35DBA" w:rsidRDefault="00F35DBA" w:rsidP="00F35DBA">
      <w:pPr>
        <w:spacing w:line="360" w:lineRule="auto"/>
        <w:ind w:left="360"/>
        <w:jc w:val="center"/>
        <w:rPr>
          <w:rFonts w:ascii="Arial" w:hAnsi="Arial" w:cs="Arial"/>
        </w:rPr>
      </w:pPr>
      <w:r w:rsidRPr="00F35DBA">
        <w:rPr>
          <w:rFonts w:ascii="Arial" w:hAnsi="Arial" w:cs="Arial"/>
          <w:b/>
          <w:bCs/>
        </w:rPr>
        <w:t>Programme:</w:t>
      </w:r>
      <w:r w:rsidRPr="00F35DBA">
        <w:rPr>
          <w:rFonts w:ascii="Arial" w:hAnsi="Arial" w:cs="Arial"/>
        </w:rPr>
        <w:t xml:space="preserve"> MSc Public Health and Social Care in Practice</w:t>
      </w:r>
    </w:p>
    <w:p w14:paraId="22A6FE33" w14:textId="77777777" w:rsidR="00F35DBA" w:rsidRPr="00F35DBA" w:rsidRDefault="00F35DBA" w:rsidP="00F35DBA">
      <w:pPr>
        <w:spacing w:line="360" w:lineRule="auto"/>
        <w:ind w:left="360"/>
        <w:jc w:val="center"/>
        <w:rPr>
          <w:rFonts w:ascii="Arial" w:hAnsi="Arial" w:cs="Arial"/>
        </w:rPr>
      </w:pPr>
      <w:r w:rsidRPr="00F35DBA">
        <w:rPr>
          <w:rFonts w:ascii="Arial" w:hAnsi="Arial" w:cs="Arial"/>
          <w:b/>
          <w:bCs/>
        </w:rPr>
        <w:t>Module Title:</w:t>
      </w:r>
      <w:r w:rsidRPr="00F35DBA">
        <w:rPr>
          <w:rFonts w:ascii="Arial" w:hAnsi="Arial" w:cs="Arial"/>
        </w:rPr>
        <w:t xml:space="preserve"> Social Epidemiology and Public Health Development</w:t>
      </w:r>
    </w:p>
    <w:p w14:paraId="7988A27C" w14:textId="19FFF2E3" w:rsidR="00F35DBA" w:rsidRPr="00F35DBA" w:rsidRDefault="00F35DBA" w:rsidP="00F35DBA">
      <w:pPr>
        <w:spacing w:line="360" w:lineRule="auto"/>
        <w:ind w:left="360"/>
        <w:jc w:val="center"/>
        <w:rPr>
          <w:rFonts w:ascii="Arial" w:hAnsi="Arial" w:cs="Arial"/>
        </w:rPr>
      </w:pPr>
      <w:r w:rsidRPr="00F35DBA">
        <w:rPr>
          <w:rFonts w:ascii="Arial" w:hAnsi="Arial" w:cs="Arial"/>
          <w:b/>
          <w:bCs/>
        </w:rPr>
        <w:t>Module Code:</w:t>
      </w:r>
      <w:r w:rsidRPr="00F35DBA">
        <w:rPr>
          <w:rFonts w:ascii="Arial" w:hAnsi="Arial" w:cs="Arial"/>
        </w:rPr>
        <w:t xml:space="preserve"> LCHS7000</w:t>
      </w:r>
    </w:p>
    <w:p w14:paraId="502FB4C1" w14:textId="74A0D229" w:rsidR="00F35DBA" w:rsidRPr="00F35DBA" w:rsidRDefault="00F35DBA" w:rsidP="00F35DBA">
      <w:pPr>
        <w:spacing w:line="360" w:lineRule="auto"/>
        <w:ind w:left="360"/>
        <w:jc w:val="center"/>
        <w:rPr>
          <w:rFonts w:ascii="Arial" w:hAnsi="Arial" w:cs="Arial"/>
        </w:rPr>
      </w:pPr>
      <w:r w:rsidRPr="00F35DBA">
        <w:rPr>
          <w:rFonts w:ascii="Arial" w:hAnsi="Arial" w:cs="Arial"/>
          <w:b/>
          <w:bCs/>
        </w:rPr>
        <w:t>Lecturer:</w:t>
      </w:r>
      <w:r w:rsidRPr="00F35DBA">
        <w:rPr>
          <w:rFonts w:ascii="Arial" w:hAnsi="Arial" w:cs="Arial"/>
        </w:rPr>
        <w:t xml:space="preserve"> </w:t>
      </w:r>
      <w:r>
        <w:rPr>
          <w:rFonts w:ascii="Arial" w:hAnsi="Arial" w:cs="Arial"/>
        </w:rPr>
        <w:t xml:space="preserve">Dr </w:t>
      </w:r>
      <w:proofErr w:type="spellStart"/>
      <w:r>
        <w:rPr>
          <w:rFonts w:ascii="Arial" w:hAnsi="Arial" w:cs="Arial"/>
        </w:rPr>
        <w:t>Itse</w:t>
      </w:r>
      <w:proofErr w:type="spellEnd"/>
      <w:r>
        <w:rPr>
          <w:rFonts w:ascii="Arial" w:hAnsi="Arial" w:cs="Arial"/>
        </w:rPr>
        <w:t xml:space="preserve"> Olaoye</w:t>
      </w:r>
    </w:p>
    <w:p w14:paraId="2F1B4ED1" w14:textId="16171595" w:rsidR="00F35DBA" w:rsidRPr="00F35DBA" w:rsidRDefault="00F35DBA" w:rsidP="00F35DBA">
      <w:pPr>
        <w:spacing w:line="360" w:lineRule="auto"/>
        <w:ind w:left="360"/>
        <w:jc w:val="center"/>
        <w:rPr>
          <w:rFonts w:ascii="Arial" w:hAnsi="Arial" w:cs="Arial"/>
        </w:rPr>
      </w:pPr>
      <w:r w:rsidRPr="00F35DBA">
        <w:rPr>
          <w:rFonts w:ascii="Arial" w:hAnsi="Arial" w:cs="Arial"/>
          <w:b/>
          <w:bCs/>
        </w:rPr>
        <w:t>Assignment Title:</w:t>
      </w:r>
      <w:r w:rsidRPr="00F35DBA">
        <w:rPr>
          <w:rFonts w:ascii="Arial" w:hAnsi="Arial" w:cs="Arial"/>
        </w:rPr>
        <w:t xml:space="preserve"> Component 2: Analytical Report</w:t>
      </w:r>
    </w:p>
    <w:p w14:paraId="647D5767" w14:textId="77777777" w:rsidR="00F35DBA" w:rsidRDefault="00F35DBA" w:rsidP="00F35DBA">
      <w:pPr>
        <w:spacing w:line="360" w:lineRule="auto"/>
        <w:jc w:val="center"/>
        <w:rPr>
          <w:rFonts w:ascii="Arial" w:hAnsi="Arial" w:cs="Arial"/>
        </w:rPr>
      </w:pPr>
    </w:p>
    <w:p w14:paraId="02920A3A" w14:textId="77777777" w:rsidR="00F35DBA" w:rsidRDefault="00F35DBA" w:rsidP="00F35DBA">
      <w:pPr>
        <w:spacing w:line="360" w:lineRule="auto"/>
        <w:rPr>
          <w:rFonts w:ascii="Arial" w:hAnsi="Arial" w:cs="Arial"/>
        </w:rPr>
      </w:pPr>
    </w:p>
    <w:p w14:paraId="6A216229" w14:textId="77777777" w:rsidR="00F35DBA" w:rsidRDefault="00F35DBA" w:rsidP="00F35DBA">
      <w:pPr>
        <w:spacing w:line="360" w:lineRule="auto"/>
        <w:rPr>
          <w:rFonts w:ascii="Arial" w:hAnsi="Arial" w:cs="Arial"/>
        </w:rPr>
      </w:pPr>
    </w:p>
    <w:p w14:paraId="5FA5B8AB" w14:textId="77777777" w:rsidR="00F35DBA" w:rsidRDefault="00F35DBA" w:rsidP="00F35DBA">
      <w:pPr>
        <w:spacing w:line="360" w:lineRule="auto"/>
        <w:rPr>
          <w:rFonts w:ascii="Arial" w:hAnsi="Arial" w:cs="Arial"/>
        </w:rPr>
      </w:pPr>
    </w:p>
    <w:p w14:paraId="687E9762" w14:textId="77777777" w:rsidR="00F35DBA" w:rsidRDefault="00F35DBA" w:rsidP="00F35DBA">
      <w:pPr>
        <w:spacing w:line="360" w:lineRule="auto"/>
        <w:rPr>
          <w:rFonts w:ascii="Arial" w:hAnsi="Arial" w:cs="Arial"/>
        </w:rPr>
      </w:pPr>
    </w:p>
    <w:p w14:paraId="5476FEFD" w14:textId="77777777" w:rsidR="00F35DBA" w:rsidRDefault="00F35DBA" w:rsidP="00F35DBA">
      <w:pPr>
        <w:spacing w:line="360" w:lineRule="auto"/>
        <w:rPr>
          <w:rFonts w:ascii="Arial" w:hAnsi="Arial" w:cs="Arial"/>
        </w:rPr>
      </w:pPr>
    </w:p>
    <w:p w14:paraId="31EA6326" w14:textId="77777777" w:rsidR="00F35DBA" w:rsidRDefault="00F35DBA" w:rsidP="00F35DBA">
      <w:pPr>
        <w:spacing w:line="360" w:lineRule="auto"/>
        <w:rPr>
          <w:rFonts w:ascii="Arial" w:hAnsi="Arial" w:cs="Arial"/>
        </w:rPr>
      </w:pPr>
    </w:p>
    <w:p w14:paraId="350C0C72" w14:textId="77777777" w:rsidR="00F35DBA" w:rsidRDefault="00F35DBA" w:rsidP="00F35DBA">
      <w:pPr>
        <w:spacing w:line="360" w:lineRule="auto"/>
        <w:rPr>
          <w:rFonts w:ascii="Arial" w:hAnsi="Arial" w:cs="Arial"/>
        </w:rPr>
      </w:pPr>
    </w:p>
    <w:p w14:paraId="0DFA9648" w14:textId="77777777" w:rsidR="00F35DBA" w:rsidRDefault="00F35DBA" w:rsidP="00F35DBA">
      <w:pPr>
        <w:spacing w:line="360" w:lineRule="auto"/>
        <w:rPr>
          <w:rFonts w:ascii="Arial" w:hAnsi="Arial" w:cs="Arial"/>
        </w:rPr>
      </w:pPr>
    </w:p>
    <w:p w14:paraId="1BD797AB" w14:textId="77777777" w:rsidR="00F35DBA" w:rsidRDefault="00F35DBA" w:rsidP="00F35DBA">
      <w:pPr>
        <w:spacing w:line="360" w:lineRule="auto"/>
        <w:rPr>
          <w:rFonts w:ascii="Arial" w:hAnsi="Arial" w:cs="Arial"/>
        </w:rPr>
      </w:pPr>
    </w:p>
    <w:p w14:paraId="5BB76BFF" w14:textId="77777777" w:rsidR="00F35DBA" w:rsidRPr="00F35DBA" w:rsidRDefault="00F35DBA" w:rsidP="00F35DBA">
      <w:pPr>
        <w:spacing w:line="360" w:lineRule="auto"/>
        <w:rPr>
          <w:rFonts w:ascii="Arial" w:hAnsi="Arial" w:cs="Arial"/>
        </w:rPr>
      </w:pPr>
    </w:p>
    <w:p w14:paraId="45AB6D62" w14:textId="77777777" w:rsidR="00F35DBA" w:rsidRPr="00F35DBA" w:rsidRDefault="00F35DBA" w:rsidP="00F35DBA">
      <w:pPr>
        <w:spacing w:line="360" w:lineRule="auto"/>
        <w:rPr>
          <w:rFonts w:ascii="Arial" w:hAnsi="Arial" w:cs="Arial"/>
          <w:b/>
          <w:bCs/>
        </w:rPr>
      </w:pPr>
      <w:r w:rsidRPr="00F35DBA">
        <w:rPr>
          <w:rFonts w:ascii="Arial" w:hAnsi="Arial" w:cs="Arial"/>
          <w:b/>
          <w:bCs/>
        </w:rPr>
        <w:lastRenderedPageBreak/>
        <w:t>TASK 1: SOCIAL EPIDEMIOLOGICAL ANALYSIS</w:t>
      </w:r>
    </w:p>
    <w:p w14:paraId="5C90310D" w14:textId="77777777" w:rsidR="00F35DBA" w:rsidRPr="00F35DBA" w:rsidRDefault="00F35DBA" w:rsidP="00F35DBA">
      <w:pPr>
        <w:spacing w:line="360" w:lineRule="auto"/>
        <w:rPr>
          <w:rFonts w:ascii="Arial" w:hAnsi="Arial" w:cs="Arial"/>
          <w:b/>
          <w:bCs/>
        </w:rPr>
      </w:pPr>
      <w:r w:rsidRPr="00F35DBA">
        <w:rPr>
          <w:rFonts w:ascii="Arial" w:hAnsi="Arial" w:cs="Arial"/>
          <w:b/>
          <w:bCs/>
        </w:rPr>
        <w:t>Title: Deconstructing Disability-Driven Health Inequality: A Social Epidemiological Examination of Morbidity Disparities, Diagnostic Overshadowing, and Structural Injustice in the United Kingdom</w:t>
      </w:r>
    </w:p>
    <w:p w14:paraId="22B6A182" w14:textId="77777777" w:rsidR="00F35DBA" w:rsidRPr="00F35DBA" w:rsidRDefault="00F35DBA" w:rsidP="00F35DBA">
      <w:pPr>
        <w:spacing w:line="360" w:lineRule="auto"/>
        <w:rPr>
          <w:rFonts w:ascii="Arial" w:hAnsi="Arial" w:cs="Arial"/>
          <w:b/>
          <w:bCs/>
        </w:rPr>
      </w:pPr>
      <w:r w:rsidRPr="00F35DBA">
        <w:rPr>
          <w:rFonts w:ascii="Arial" w:hAnsi="Arial" w:cs="Arial"/>
          <w:b/>
          <w:bCs/>
        </w:rPr>
        <w:t>Introduction</w:t>
      </w:r>
    </w:p>
    <w:p w14:paraId="535EAD46" w14:textId="77777777" w:rsidR="00F35DBA" w:rsidRPr="00F35DBA" w:rsidRDefault="00F35DBA" w:rsidP="00F35DBA">
      <w:pPr>
        <w:spacing w:line="360" w:lineRule="auto"/>
        <w:rPr>
          <w:rFonts w:ascii="Arial" w:hAnsi="Arial" w:cs="Arial"/>
        </w:rPr>
      </w:pPr>
      <w:r w:rsidRPr="00F35DBA">
        <w:rPr>
          <w:rFonts w:ascii="Arial" w:hAnsi="Arial" w:cs="Arial"/>
        </w:rPr>
        <w:t>Disability-related health inequality describes the systematic, avoidable, and unjust disparities in health status, healthcare accessibility, disease morbidity, and premature mortality experienced by individuals with physical, sensory, cognitive, or intellectual impairments. In social epidemiology, disability is understood through the Social Model of Disability—conceptualised not merely as an individual's biomedical deficit, but as the consequence of societal structures, institutional discrimination, and environmental barriers that exclude impaired individuals from equitable participation (Oliver, 2013; Dahlgren and Whitehead, 2021).</w:t>
      </w:r>
    </w:p>
    <w:p w14:paraId="722A4758" w14:textId="433186B1" w:rsidR="00F35DBA" w:rsidRPr="00F35DBA" w:rsidRDefault="00F35DBA" w:rsidP="00F35DBA">
      <w:pPr>
        <w:spacing w:line="360" w:lineRule="auto"/>
        <w:rPr>
          <w:rFonts w:ascii="Arial" w:hAnsi="Arial" w:cs="Arial"/>
        </w:rPr>
      </w:pPr>
      <w:r w:rsidRPr="00F35DBA">
        <w:rPr>
          <w:rFonts w:ascii="Arial" w:hAnsi="Arial" w:cs="Arial"/>
        </w:rPr>
        <w:t xml:space="preserve">In the United Kingdom, approximately 16.1 million people (24% of the total population) report living with a disability (Department for Work and Pensions [DWP], 2024). Disabled populations experience profound health inequalities rooted in systemic marginalisation. These include diagnostic overshadowing (where </w:t>
      </w:r>
      <w:r>
        <w:rPr>
          <w:rFonts w:ascii="Arial" w:hAnsi="Arial" w:cs="Arial"/>
        </w:rPr>
        <w:t xml:space="preserve">clinicians erroneously attribute symptoms of physical illness </w:t>
      </w:r>
      <w:r w:rsidRPr="00F35DBA">
        <w:rPr>
          <w:rFonts w:ascii="Arial" w:hAnsi="Arial" w:cs="Arial"/>
        </w:rPr>
        <w:t>to a person's underlying impairment), physical and sensory inaccessibility across healthcare infrastructure, inadequate clinician training, and cumulative socioeconomic deprivation (Heslop et al., 2021; Marmot et al., 2020). Consequently, disabled individuals across the UK face substantially reduced life expectancy, elevated multimorbidity, and entrenched social exclusion across the life course.</w:t>
      </w:r>
    </w:p>
    <w:p w14:paraId="5AFFF0E8" w14:textId="77777777" w:rsidR="00F35DBA" w:rsidRPr="00F35DBA" w:rsidRDefault="00F35DBA" w:rsidP="00F35DBA">
      <w:pPr>
        <w:spacing w:line="360" w:lineRule="auto"/>
        <w:rPr>
          <w:rFonts w:ascii="Arial" w:hAnsi="Arial" w:cs="Arial"/>
          <w:b/>
          <w:bCs/>
        </w:rPr>
      </w:pPr>
      <w:r w:rsidRPr="00F35DBA">
        <w:rPr>
          <w:rFonts w:ascii="Arial" w:hAnsi="Arial" w:cs="Arial"/>
          <w:b/>
          <w:bCs/>
        </w:rPr>
        <w:t>Contextual Background and Underlying Factors</w:t>
      </w:r>
    </w:p>
    <w:p w14:paraId="27C9CA87" w14:textId="77777777" w:rsidR="00F35DBA" w:rsidRPr="00F35DBA" w:rsidRDefault="00F35DBA" w:rsidP="00F35DBA">
      <w:pPr>
        <w:spacing w:line="360" w:lineRule="auto"/>
        <w:rPr>
          <w:rFonts w:ascii="Arial" w:hAnsi="Arial" w:cs="Arial"/>
          <w:b/>
          <w:bCs/>
        </w:rPr>
      </w:pPr>
      <w:r w:rsidRPr="00F35DBA">
        <w:rPr>
          <w:rFonts w:ascii="Arial" w:hAnsi="Arial" w:cs="Arial"/>
          <w:b/>
          <w:bCs/>
        </w:rPr>
        <w:t>1. Excessive Premature Mortality and Avoidable Deaths</w:t>
      </w:r>
    </w:p>
    <w:p w14:paraId="036B5325" w14:textId="77777777" w:rsidR="00F35DBA" w:rsidRPr="00F35DBA" w:rsidRDefault="00F35DBA" w:rsidP="00F35DBA">
      <w:pPr>
        <w:spacing w:line="360" w:lineRule="auto"/>
        <w:rPr>
          <w:rFonts w:ascii="Arial" w:hAnsi="Arial" w:cs="Arial"/>
        </w:rPr>
      </w:pPr>
      <w:r w:rsidRPr="00F35DBA">
        <w:rPr>
          <w:rFonts w:ascii="Arial" w:hAnsi="Arial" w:cs="Arial"/>
        </w:rPr>
        <w:t>Epidemiological evidence reveals an alarming mortality gap among disabled individuals, particularly those with learning disabilities. According to the Learning Disabilities Mortality Review (</w:t>
      </w:r>
      <w:proofErr w:type="spellStart"/>
      <w:r w:rsidRPr="00F35DBA">
        <w:rPr>
          <w:rFonts w:ascii="Arial" w:hAnsi="Arial" w:cs="Arial"/>
        </w:rPr>
        <w:t>LeDeR</w:t>
      </w:r>
      <w:proofErr w:type="spellEnd"/>
      <w:r w:rsidRPr="00F35DBA">
        <w:rPr>
          <w:rFonts w:ascii="Arial" w:hAnsi="Arial" w:cs="Arial"/>
        </w:rPr>
        <w:t xml:space="preserve">) Programme, individuals with learning disabilities in the UK die on average 20 to 23 years earlier than the general population (median age at death is 62.9 years for males and 60.1 years for females, compared to 82.8 and 85.6 years in the general public) (Heslop et al., 2021). </w:t>
      </w:r>
      <w:r w:rsidRPr="00F35DBA">
        <w:rPr>
          <w:rFonts w:ascii="Arial" w:hAnsi="Arial" w:cs="Arial"/>
        </w:rPr>
        <w:lastRenderedPageBreak/>
        <w:t>Crucially, 42% of deaths among people with learning disabilities are classified as avoidable from public health and medical care perspectives, predominantly from treatable respiratory conditions (e.g., aspiration pneumonia) and cardiovascular events (Office for National Statistics [ONS], 2023).</w:t>
      </w:r>
    </w:p>
    <w:p w14:paraId="47616B76" w14:textId="46E655D0" w:rsidR="00F35DBA" w:rsidRPr="00F35DBA" w:rsidRDefault="00F35DBA" w:rsidP="00F35DBA">
      <w:pPr>
        <w:spacing w:line="360" w:lineRule="auto"/>
        <w:rPr>
          <w:rFonts w:ascii="Arial" w:hAnsi="Arial" w:cs="Arial"/>
        </w:rPr>
      </w:pPr>
      <w:r w:rsidRPr="00F35DBA">
        <w:rPr>
          <w:rFonts w:ascii="Arial" w:hAnsi="Arial" w:cs="Arial"/>
        </w:rPr>
        <w:t xml:space="preserve">This disparity </w:t>
      </w:r>
      <w:r>
        <w:rPr>
          <w:rFonts w:ascii="Arial" w:hAnsi="Arial" w:cs="Arial"/>
        </w:rPr>
        <w:t>stems from</w:t>
      </w:r>
      <w:r w:rsidRPr="00F35DBA">
        <w:rPr>
          <w:rFonts w:ascii="Arial" w:hAnsi="Arial" w:cs="Arial"/>
        </w:rPr>
        <w:t xml:space="preserve"> diagnostic overshadowing, poor recognition of early physical deterioration by healthcare providers, and systemic delays in secondary care escalation.</w:t>
      </w:r>
    </w:p>
    <w:p w14:paraId="7F647078" w14:textId="701C38A8" w:rsidR="00F35DBA" w:rsidRPr="00F35DBA" w:rsidRDefault="00F35DBA" w:rsidP="00F35DBA">
      <w:pPr>
        <w:spacing w:line="360" w:lineRule="auto"/>
        <w:rPr>
          <w:rFonts w:ascii="Arial" w:hAnsi="Arial" w:cs="Arial"/>
        </w:rPr>
      </w:pPr>
      <w:r>
        <w:rPr>
          <w:rFonts w:ascii="Arial" w:hAnsi="Arial" w:cs="Arial"/>
        </w:rPr>
        <w:t>Closing this mortality gap requires statutory clinician training in learning disability identification, standardising the National Early Warning Score 2 (NEWS2) with soft-sign baseline adjustments, and establishing specialised</w:t>
      </w:r>
      <w:r w:rsidRPr="00F35DBA">
        <w:rPr>
          <w:rFonts w:ascii="Arial" w:hAnsi="Arial" w:cs="Arial"/>
        </w:rPr>
        <w:t xml:space="preserve"> learning disability liaison nurse teams across all acute hospital trusts.</w:t>
      </w:r>
    </w:p>
    <w:p w14:paraId="4B3BAD4B" w14:textId="77777777" w:rsidR="00F35DBA" w:rsidRPr="00F35DBA" w:rsidRDefault="00F35DBA" w:rsidP="00F35DBA">
      <w:pPr>
        <w:spacing w:line="360" w:lineRule="auto"/>
        <w:rPr>
          <w:rFonts w:ascii="Arial" w:hAnsi="Arial" w:cs="Arial"/>
          <w:b/>
          <w:bCs/>
        </w:rPr>
      </w:pPr>
      <w:r w:rsidRPr="00F35DBA">
        <w:rPr>
          <w:rFonts w:ascii="Arial" w:hAnsi="Arial" w:cs="Arial"/>
          <w:b/>
          <w:bCs/>
        </w:rPr>
        <w:t>2. Disproportionately High Prevalence of Serious Mental Illness and Psychological Distress</w:t>
      </w:r>
    </w:p>
    <w:p w14:paraId="4B740045" w14:textId="77777777" w:rsidR="00F35DBA" w:rsidRPr="00F35DBA" w:rsidRDefault="00F35DBA" w:rsidP="00F35DBA">
      <w:pPr>
        <w:spacing w:line="360" w:lineRule="auto"/>
        <w:rPr>
          <w:rFonts w:ascii="Arial" w:hAnsi="Arial" w:cs="Arial"/>
        </w:rPr>
      </w:pPr>
      <w:r w:rsidRPr="00F35DBA">
        <w:rPr>
          <w:rFonts w:ascii="Arial" w:hAnsi="Arial" w:cs="Arial"/>
        </w:rPr>
        <w:t>Disabled individuals in the UK experience elevated rates of common and severe mental disorders. Surveillance data from the Health Survey for England indicates that 38% of adults with physical or sensory impairments report clinically significant psychological distress (depression and anxiety), compared to 12% of non-disabled adults (NHS Digital, 2023). Among neurodivergent adults and those with intellectual disabilities, psychiatric comorbidity exceeds 40%.</w:t>
      </w:r>
    </w:p>
    <w:p w14:paraId="3C3B31BB" w14:textId="77777777" w:rsidR="00F35DBA" w:rsidRPr="00F35DBA" w:rsidRDefault="00F35DBA" w:rsidP="00F35DBA">
      <w:pPr>
        <w:spacing w:line="360" w:lineRule="auto"/>
        <w:rPr>
          <w:rFonts w:ascii="Arial" w:hAnsi="Arial" w:cs="Arial"/>
        </w:rPr>
      </w:pPr>
      <w:r w:rsidRPr="00F35DBA">
        <w:rPr>
          <w:rFonts w:ascii="Arial" w:hAnsi="Arial" w:cs="Arial"/>
        </w:rPr>
        <w:t>This elevated morbidity is driven by chronic physical pain, loss of functional autonomy, societal stigma, and prolonged exposure to social isolation and discrimination (Emerson and Hatton, 2014).</w:t>
      </w:r>
    </w:p>
    <w:p w14:paraId="45EFA488" w14:textId="77777777" w:rsidR="00F35DBA" w:rsidRPr="00F35DBA" w:rsidRDefault="00F35DBA" w:rsidP="00F35DBA">
      <w:pPr>
        <w:spacing w:line="360" w:lineRule="auto"/>
        <w:rPr>
          <w:rFonts w:ascii="Arial" w:hAnsi="Arial" w:cs="Arial"/>
        </w:rPr>
      </w:pPr>
      <w:r w:rsidRPr="00F35DBA">
        <w:rPr>
          <w:rFonts w:ascii="Arial" w:hAnsi="Arial" w:cs="Arial"/>
        </w:rPr>
        <w:t>Overcoming this mental health disparity requires integrating trauma-informed, accessible psychological therapies (talking therapies adapted with Easy Read formats and British Sign Language [BSL] interpreters) into primary care, alongside municipal funding for peer-led community support groups.</w:t>
      </w:r>
    </w:p>
    <w:p w14:paraId="1587C7D5" w14:textId="77777777" w:rsidR="00F35DBA" w:rsidRPr="00F35DBA" w:rsidRDefault="00F35DBA" w:rsidP="00F35DBA">
      <w:pPr>
        <w:spacing w:line="360" w:lineRule="auto"/>
        <w:rPr>
          <w:rFonts w:ascii="Arial" w:hAnsi="Arial" w:cs="Arial"/>
          <w:b/>
          <w:bCs/>
        </w:rPr>
      </w:pPr>
      <w:r w:rsidRPr="00F35DBA">
        <w:rPr>
          <w:rFonts w:ascii="Arial" w:hAnsi="Arial" w:cs="Arial"/>
          <w:b/>
          <w:bCs/>
        </w:rPr>
        <w:t>3. Elevated Multimorbidity and Chronic Cardiometabolic Disease</w:t>
      </w:r>
    </w:p>
    <w:p w14:paraId="1509E25D" w14:textId="77777777" w:rsidR="00F35DBA" w:rsidRPr="00F35DBA" w:rsidRDefault="00F35DBA" w:rsidP="00F35DBA">
      <w:pPr>
        <w:spacing w:line="360" w:lineRule="auto"/>
        <w:rPr>
          <w:rFonts w:ascii="Arial" w:hAnsi="Arial" w:cs="Arial"/>
        </w:rPr>
      </w:pPr>
      <w:r w:rsidRPr="00F35DBA">
        <w:rPr>
          <w:rFonts w:ascii="Arial" w:hAnsi="Arial" w:cs="Arial"/>
        </w:rPr>
        <w:t xml:space="preserve">Epidemiological studies indicate that disabled individuals experience higher rates of early-onset multimorbidity. In the UK, adults with physical and intellectual disabilities are three times more likely to develop Type 2 diabetes, obesity (prevalence over </w:t>
      </w:r>
      <w:r w:rsidRPr="00F35DBA">
        <w:rPr>
          <w:rFonts w:ascii="Arial" w:hAnsi="Arial" w:cs="Arial"/>
        </w:rPr>
        <w:lastRenderedPageBreak/>
        <w:t>37% versus 28% in non-disabled cohorts), and hypertension before the age of 50 (Public Health England [PHE], 2020).</w:t>
      </w:r>
    </w:p>
    <w:p w14:paraId="373DD52A" w14:textId="77777777" w:rsidR="00F35DBA" w:rsidRPr="00F35DBA" w:rsidRDefault="00F35DBA" w:rsidP="00F35DBA">
      <w:pPr>
        <w:spacing w:line="360" w:lineRule="auto"/>
        <w:rPr>
          <w:rFonts w:ascii="Arial" w:hAnsi="Arial" w:cs="Arial"/>
        </w:rPr>
      </w:pPr>
      <w:r w:rsidRPr="00F35DBA">
        <w:rPr>
          <w:rFonts w:ascii="Arial" w:hAnsi="Arial" w:cs="Arial"/>
        </w:rPr>
        <w:t>These disparities are driven by reduced access to physical exercise facilities, secondary mobility limitations, reliance on obesogenic psychotropic medications without metabolic monitoring, and diagnostic delays in routine primary care screening.</w:t>
      </w:r>
    </w:p>
    <w:p w14:paraId="5A277BC1" w14:textId="74CCA7C7" w:rsidR="00F35DBA" w:rsidRPr="00F35DBA" w:rsidRDefault="00F35DBA" w:rsidP="00F35DBA">
      <w:pPr>
        <w:spacing w:line="360" w:lineRule="auto"/>
        <w:rPr>
          <w:rFonts w:ascii="Arial" w:hAnsi="Arial" w:cs="Arial"/>
        </w:rPr>
      </w:pPr>
      <w:r w:rsidRPr="00F35DBA">
        <w:rPr>
          <w:rFonts w:ascii="Arial" w:hAnsi="Arial" w:cs="Arial"/>
        </w:rPr>
        <w:t xml:space="preserve">Solutions </w:t>
      </w:r>
      <w:r>
        <w:rPr>
          <w:rFonts w:ascii="Arial" w:hAnsi="Arial" w:cs="Arial"/>
        </w:rPr>
        <w:t>require mandatory annual health checks (including lipid profiles and HbA1c testing) across general practice, subsidised, accessible community fitness initiatives, and routine pharmaceutical audits to reduce</w:t>
      </w:r>
      <w:r w:rsidRPr="00F35DBA">
        <w:rPr>
          <w:rFonts w:ascii="Arial" w:hAnsi="Arial" w:cs="Arial"/>
        </w:rPr>
        <w:t xml:space="preserve"> medication-induced metabolic syndrome.</w:t>
      </w:r>
    </w:p>
    <w:p w14:paraId="37C3909A" w14:textId="77777777" w:rsidR="00F35DBA" w:rsidRPr="00F35DBA" w:rsidRDefault="00F35DBA" w:rsidP="00F35DBA">
      <w:pPr>
        <w:spacing w:line="360" w:lineRule="auto"/>
        <w:rPr>
          <w:rFonts w:ascii="Arial" w:hAnsi="Arial" w:cs="Arial"/>
          <w:b/>
          <w:bCs/>
        </w:rPr>
      </w:pPr>
      <w:r w:rsidRPr="00F35DBA">
        <w:rPr>
          <w:rFonts w:ascii="Arial" w:hAnsi="Arial" w:cs="Arial"/>
          <w:b/>
          <w:bCs/>
        </w:rPr>
        <w:t>4. The Disability Employment Gap, In-Work Poverty, and Benefit Inadequacy</w:t>
      </w:r>
    </w:p>
    <w:p w14:paraId="648F3697" w14:textId="39408C5C" w:rsidR="00F35DBA" w:rsidRPr="00F35DBA" w:rsidRDefault="00F35DBA" w:rsidP="00F35DBA">
      <w:pPr>
        <w:spacing w:line="360" w:lineRule="auto"/>
        <w:rPr>
          <w:rFonts w:ascii="Arial" w:hAnsi="Arial" w:cs="Arial"/>
        </w:rPr>
      </w:pPr>
      <w:r w:rsidRPr="00F35DBA">
        <w:rPr>
          <w:rFonts w:ascii="Arial" w:hAnsi="Arial" w:cs="Arial"/>
        </w:rPr>
        <w:t xml:space="preserve">Economic marginalisation represents a primary structural determinant of health for disabled people. The UK disability employment gap stands at approximately 29%, with the employment rate for disabled adults at 53.6% compared to 82.5% for non-disabled adults (ONS, 2024). </w:t>
      </w:r>
      <w:r>
        <w:rPr>
          <w:rFonts w:ascii="Arial" w:hAnsi="Arial" w:cs="Arial"/>
        </w:rPr>
        <w:t xml:space="preserve">Disabled households also </w:t>
      </w:r>
      <w:r w:rsidRPr="00F35DBA">
        <w:rPr>
          <w:rFonts w:ascii="Arial" w:hAnsi="Arial" w:cs="Arial"/>
        </w:rPr>
        <w:t xml:space="preserve">face average additional living costs of £975 per month for </w:t>
      </w:r>
      <w:r>
        <w:rPr>
          <w:rFonts w:ascii="Arial" w:hAnsi="Arial" w:cs="Arial"/>
        </w:rPr>
        <w:t>specialised</w:t>
      </w:r>
      <w:r w:rsidRPr="00F35DBA">
        <w:rPr>
          <w:rFonts w:ascii="Arial" w:hAnsi="Arial" w:cs="Arial"/>
        </w:rPr>
        <w:t xml:space="preserve"> equipment, heating, and therapies (Scope, 2023).</w:t>
      </w:r>
    </w:p>
    <w:p w14:paraId="652E261B" w14:textId="2E7FADDA" w:rsidR="00F35DBA" w:rsidRPr="00F35DBA" w:rsidRDefault="00F35DBA" w:rsidP="00F35DBA">
      <w:pPr>
        <w:spacing w:line="360" w:lineRule="auto"/>
        <w:rPr>
          <w:rFonts w:ascii="Arial" w:hAnsi="Arial" w:cs="Arial"/>
        </w:rPr>
      </w:pPr>
      <w:r w:rsidRPr="00F35DBA">
        <w:rPr>
          <w:rFonts w:ascii="Arial" w:hAnsi="Arial" w:cs="Arial"/>
        </w:rPr>
        <w:t xml:space="preserve">This economic penalty </w:t>
      </w:r>
      <w:r>
        <w:rPr>
          <w:rFonts w:ascii="Arial" w:hAnsi="Arial" w:cs="Arial"/>
        </w:rPr>
        <w:t xml:space="preserve">drives high rates of fuel and food poverty, chronic financial stress, and </w:t>
      </w:r>
      <w:r w:rsidRPr="00F35DBA">
        <w:rPr>
          <w:rFonts w:ascii="Arial" w:hAnsi="Arial" w:cs="Arial"/>
        </w:rPr>
        <w:t>poor-quality housing, directly accelerating physiological wear and tear (Marmot et al., 2020).</w:t>
      </w:r>
    </w:p>
    <w:p w14:paraId="3678BF30" w14:textId="2778914A" w:rsidR="00F35DBA" w:rsidRPr="00F35DBA" w:rsidRDefault="00F35DBA" w:rsidP="00F35DBA">
      <w:pPr>
        <w:spacing w:line="360" w:lineRule="auto"/>
        <w:rPr>
          <w:rFonts w:ascii="Arial" w:hAnsi="Arial" w:cs="Arial"/>
        </w:rPr>
      </w:pPr>
      <w:r w:rsidRPr="00F35DBA">
        <w:rPr>
          <w:rFonts w:ascii="Arial" w:hAnsi="Arial" w:cs="Arial"/>
        </w:rPr>
        <w:t xml:space="preserve">Policy solutions require </w:t>
      </w:r>
      <w:r>
        <w:rPr>
          <w:rFonts w:ascii="Arial" w:hAnsi="Arial" w:cs="Arial"/>
        </w:rPr>
        <w:t>reforming statutory disability benefits (Personal Independence Payment [PIP]) to match true inflationary living costs, enforcing</w:t>
      </w:r>
      <w:r w:rsidRPr="00F35DBA">
        <w:rPr>
          <w:rFonts w:ascii="Arial" w:hAnsi="Arial" w:cs="Arial"/>
        </w:rPr>
        <w:t xml:space="preserve"> disability equality legislation among employers, and expanding the government’s Access to Work grant.</w:t>
      </w:r>
    </w:p>
    <w:p w14:paraId="514B650F" w14:textId="77777777" w:rsidR="00F35DBA" w:rsidRPr="00F35DBA" w:rsidRDefault="00F35DBA" w:rsidP="00F35DBA">
      <w:pPr>
        <w:spacing w:line="360" w:lineRule="auto"/>
        <w:rPr>
          <w:rFonts w:ascii="Arial" w:hAnsi="Arial" w:cs="Arial"/>
          <w:b/>
          <w:bCs/>
        </w:rPr>
      </w:pPr>
      <w:r w:rsidRPr="00F35DBA">
        <w:rPr>
          <w:rFonts w:ascii="Arial" w:hAnsi="Arial" w:cs="Arial"/>
          <w:b/>
          <w:bCs/>
        </w:rPr>
        <w:t>5. Environmental Inaccessibility, Transport Deficits, and Healthcare Exclusion</w:t>
      </w:r>
    </w:p>
    <w:p w14:paraId="5470DB5F" w14:textId="5F972209" w:rsidR="00F35DBA" w:rsidRPr="00F35DBA" w:rsidRDefault="00F35DBA" w:rsidP="00F35DBA">
      <w:pPr>
        <w:spacing w:line="360" w:lineRule="auto"/>
        <w:rPr>
          <w:rFonts w:ascii="Arial" w:hAnsi="Arial" w:cs="Arial"/>
        </w:rPr>
      </w:pPr>
      <w:r w:rsidRPr="00F35DBA">
        <w:rPr>
          <w:rFonts w:ascii="Arial" w:hAnsi="Arial" w:cs="Arial"/>
        </w:rPr>
        <w:t xml:space="preserve">The </w:t>
      </w:r>
      <w:r>
        <w:rPr>
          <w:rFonts w:ascii="Arial" w:hAnsi="Arial" w:cs="Arial"/>
        </w:rPr>
        <w:t>UK's built environment creates</w:t>
      </w:r>
      <w:r w:rsidRPr="00F35DBA">
        <w:rPr>
          <w:rFonts w:ascii="Arial" w:hAnsi="Arial" w:cs="Arial"/>
        </w:rPr>
        <w:t xml:space="preserve"> daily barriers to essential health and community resources. Over 31% of disabled adults report significant difficulties accessing local GP surgeries, diagnostic </w:t>
      </w:r>
      <w:r>
        <w:rPr>
          <w:rFonts w:ascii="Arial" w:hAnsi="Arial" w:cs="Arial"/>
        </w:rPr>
        <w:t>centres</w:t>
      </w:r>
      <w:r w:rsidRPr="00F35DBA">
        <w:rPr>
          <w:rFonts w:ascii="Arial" w:hAnsi="Arial" w:cs="Arial"/>
        </w:rPr>
        <w:t xml:space="preserve">, and dental clinics due to steps, lack of wheelchair-accessible diagnostic examination couches, inaccessible medical signage, and </w:t>
      </w:r>
      <w:r w:rsidRPr="00F35DBA">
        <w:rPr>
          <w:rFonts w:ascii="Arial" w:hAnsi="Arial" w:cs="Arial"/>
        </w:rPr>
        <w:lastRenderedPageBreak/>
        <w:t xml:space="preserve">inadequate sensory accommodations (DWP, 2024). </w:t>
      </w:r>
      <w:r>
        <w:rPr>
          <w:rFonts w:ascii="Arial" w:hAnsi="Arial" w:cs="Arial"/>
        </w:rPr>
        <w:t xml:space="preserve">Inaccessible public transport also </w:t>
      </w:r>
      <w:r w:rsidRPr="00F35DBA">
        <w:rPr>
          <w:rFonts w:ascii="Arial" w:hAnsi="Arial" w:cs="Arial"/>
        </w:rPr>
        <w:t>restricts independent travel to hospital appointments.</w:t>
      </w:r>
    </w:p>
    <w:p w14:paraId="089CAD12" w14:textId="77777777" w:rsidR="00F35DBA" w:rsidRPr="00F35DBA" w:rsidRDefault="00F35DBA" w:rsidP="00F35DBA">
      <w:pPr>
        <w:spacing w:line="360" w:lineRule="auto"/>
        <w:rPr>
          <w:rFonts w:ascii="Arial" w:hAnsi="Arial" w:cs="Arial"/>
        </w:rPr>
      </w:pPr>
      <w:r w:rsidRPr="00F35DBA">
        <w:rPr>
          <w:rFonts w:ascii="Arial" w:hAnsi="Arial" w:cs="Arial"/>
        </w:rPr>
        <w:t>These physical and environmental barriers cause missed outpatient appointments, delayed presentations of acute illness, and secondary disease progression.</w:t>
      </w:r>
    </w:p>
    <w:p w14:paraId="7DA8520B" w14:textId="699AC076" w:rsidR="00F35DBA" w:rsidRPr="00F35DBA" w:rsidRDefault="00F35DBA" w:rsidP="00F35DBA">
      <w:pPr>
        <w:spacing w:line="360" w:lineRule="auto"/>
        <w:rPr>
          <w:rFonts w:ascii="Arial" w:hAnsi="Arial" w:cs="Arial"/>
        </w:rPr>
      </w:pPr>
      <w:r w:rsidRPr="00F35DBA">
        <w:rPr>
          <w:rFonts w:ascii="Arial" w:hAnsi="Arial" w:cs="Arial"/>
        </w:rPr>
        <w:t xml:space="preserve">Mitigating these challenges requires capital investment in NHS infrastructure to meet universal accessibility standards, </w:t>
      </w:r>
      <w:r>
        <w:rPr>
          <w:rFonts w:ascii="Arial" w:hAnsi="Arial" w:cs="Arial"/>
        </w:rPr>
        <w:t>enforce the NHS Accessible Information Standard (AIS), and fund specialised</w:t>
      </w:r>
      <w:r w:rsidRPr="00F35DBA">
        <w:rPr>
          <w:rFonts w:ascii="Arial" w:hAnsi="Arial" w:cs="Arial"/>
        </w:rPr>
        <w:t xml:space="preserve"> medical transport services.</w:t>
      </w:r>
    </w:p>
    <w:p w14:paraId="3D606D47" w14:textId="77777777" w:rsidR="00F35DBA" w:rsidRPr="00F35DBA" w:rsidRDefault="00F35DBA" w:rsidP="00F35DBA">
      <w:pPr>
        <w:spacing w:line="360" w:lineRule="auto"/>
        <w:rPr>
          <w:rFonts w:ascii="Arial" w:hAnsi="Arial" w:cs="Arial"/>
          <w:b/>
          <w:bCs/>
        </w:rPr>
      </w:pPr>
      <w:r w:rsidRPr="00F35DBA">
        <w:rPr>
          <w:rFonts w:ascii="Arial" w:hAnsi="Arial" w:cs="Arial"/>
          <w:b/>
          <w:bCs/>
        </w:rPr>
        <w:t>6. Chronic Social Isolation, Loneliness, and Community Exclusion</w:t>
      </w:r>
    </w:p>
    <w:p w14:paraId="374D0B3E" w14:textId="77777777" w:rsidR="00F35DBA" w:rsidRPr="00F35DBA" w:rsidRDefault="00F35DBA" w:rsidP="00F35DBA">
      <w:pPr>
        <w:spacing w:line="360" w:lineRule="auto"/>
        <w:rPr>
          <w:rFonts w:ascii="Arial" w:hAnsi="Arial" w:cs="Arial"/>
        </w:rPr>
      </w:pPr>
      <w:r w:rsidRPr="00F35DBA">
        <w:rPr>
          <w:rFonts w:ascii="Arial" w:hAnsi="Arial" w:cs="Arial"/>
        </w:rPr>
        <w:t>Social isolation constitutes a major social determinant of health, with 61% of disabled people in the UK reporting chronic loneliness, compared to 28% of the general population (Sense, 2023).</w:t>
      </w:r>
    </w:p>
    <w:p w14:paraId="21B52A2F" w14:textId="77777777" w:rsidR="00F35DBA" w:rsidRPr="00F35DBA" w:rsidRDefault="00F35DBA" w:rsidP="00F35DBA">
      <w:pPr>
        <w:spacing w:line="360" w:lineRule="auto"/>
        <w:rPr>
          <w:rFonts w:ascii="Arial" w:hAnsi="Arial" w:cs="Arial"/>
        </w:rPr>
      </w:pPr>
      <w:r w:rsidRPr="00F35DBA">
        <w:rPr>
          <w:rFonts w:ascii="Arial" w:hAnsi="Arial" w:cs="Arial"/>
        </w:rPr>
        <w:t>Disabled individuals face compounding barriers to social participation, including digital exclusion, lack of accessible social venues, fear of hate crimes, and insufficient social care support for community access. Chronic isolation triggers sustained neuroendocrine stress responses, which are linked to accelerated cognitive decline, cardiovascular disease, and elevated suicidal ideation (Emerson and Hatton, 2014).</w:t>
      </w:r>
    </w:p>
    <w:p w14:paraId="3E200CB0" w14:textId="77777777" w:rsidR="00F35DBA" w:rsidRPr="00F35DBA" w:rsidRDefault="00F35DBA" w:rsidP="00F35DBA">
      <w:pPr>
        <w:spacing w:line="360" w:lineRule="auto"/>
        <w:rPr>
          <w:rFonts w:ascii="Arial" w:hAnsi="Arial" w:cs="Arial"/>
        </w:rPr>
      </w:pPr>
      <w:r w:rsidRPr="00F35DBA">
        <w:rPr>
          <w:rFonts w:ascii="Arial" w:hAnsi="Arial" w:cs="Arial"/>
        </w:rPr>
        <w:t>Addressing social isolation requires dedicated local authority funding for community Befriending Schemes, investment in fully accessible public community spaces, and expanding social prescribing link workers to connect disabled individuals with inclusive community networks.</w:t>
      </w:r>
    </w:p>
    <w:p w14:paraId="6E939DF1" w14:textId="77777777" w:rsidR="00F35DBA" w:rsidRPr="00F35DBA" w:rsidRDefault="00F35DBA" w:rsidP="00F35DBA">
      <w:pPr>
        <w:spacing w:line="360" w:lineRule="auto"/>
        <w:rPr>
          <w:rFonts w:ascii="Arial" w:hAnsi="Arial" w:cs="Arial"/>
          <w:b/>
          <w:bCs/>
        </w:rPr>
      </w:pPr>
      <w:r w:rsidRPr="00F35DBA">
        <w:rPr>
          <w:rFonts w:ascii="Arial" w:hAnsi="Arial" w:cs="Arial"/>
          <w:b/>
          <w:bCs/>
        </w:rPr>
        <w:t>National Response to Reduce Health Inequalities in the Chosen Group</w:t>
      </w:r>
    </w:p>
    <w:p w14:paraId="301F16DF" w14:textId="5B47F4A2" w:rsidR="00F35DBA" w:rsidRPr="00F35DBA" w:rsidRDefault="00F35DBA" w:rsidP="00F35DBA">
      <w:pPr>
        <w:numPr>
          <w:ilvl w:val="0"/>
          <w:numId w:val="2"/>
        </w:numPr>
        <w:spacing w:line="360" w:lineRule="auto"/>
        <w:rPr>
          <w:rFonts w:ascii="Arial" w:hAnsi="Arial" w:cs="Arial"/>
        </w:rPr>
      </w:pPr>
      <w:r w:rsidRPr="00F35DBA">
        <w:rPr>
          <w:rFonts w:ascii="Arial" w:hAnsi="Arial" w:cs="Arial"/>
          <w:b/>
          <w:bCs/>
        </w:rPr>
        <w:t>The Oliver McGowan Mandatory Training on Learning Disability and Autism:</w:t>
      </w:r>
      <w:r w:rsidRPr="00F35DBA">
        <w:rPr>
          <w:rFonts w:ascii="Arial" w:hAnsi="Arial" w:cs="Arial"/>
        </w:rPr>
        <w:t xml:space="preserve"> Following years of advocacy and the </w:t>
      </w:r>
      <w:proofErr w:type="spellStart"/>
      <w:r w:rsidRPr="00F35DBA">
        <w:rPr>
          <w:rFonts w:ascii="Arial" w:hAnsi="Arial" w:cs="Arial"/>
        </w:rPr>
        <w:t>LeDeR</w:t>
      </w:r>
      <w:proofErr w:type="spellEnd"/>
      <w:r w:rsidRPr="00F35DBA">
        <w:rPr>
          <w:rFonts w:ascii="Arial" w:hAnsi="Arial" w:cs="Arial"/>
        </w:rPr>
        <w:t xml:space="preserve"> recommendations, the UK Government passed the Health and Care Act 2022, which introduced a legal requirement for all Care Quality Commission (CQC)-registered healthcare providers to deliver </w:t>
      </w:r>
      <w:r>
        <w:rPr>
          <w:rFonts w:ascii="Arial" w:hAnsi="Arial" w:cs="Arial"/>
        </w:rPr>
        <w:t>standardised</w:t>
      </w:r>
      <w:r w:rsidRPr="00F35DBA">
        <w:rPr>
          <w:rFonts w:ascii="Arial" w:hAnsi="Arial" w:cs="Arial"/>
        </w:rPr>
        <w:t xml:space="preserve">, co-produced disability training to all clinical and non-clinical staff (DHSC, 2022). This national initiative aims to eliminate diagnostic overshadowing, enhance communication skills, and </w:t>
      </w:r>
      <w:r w:rsidRPr="00F35DBA">
        <w:rPr>
          <w:rFonts w:ascii="Arial" w:hAnsi="Arial" w:cs="Arial"/>
        </w:rPr>
        <w:lastRenderedPageBreak/>
        <w:t>ensure healthcare workers understand reasonable adjustment obligations under the Equality Act 2010.</w:t>
      </w:r>
    </w:p>
    <w:p w14:paraId="33BD2747" w14:textId="77777777" w:rsidR="00F35DBA" w:rsidRPr="00F35DBA" w:rsidRDefault="00F35DBA" w:rsidP="00F35DBA">
      <w:pPr>
        <w:numPr>
          <w:ilvl w:val="0"/>
          <w:numId w:val="2"/>
        </w:numPr>
        <w:spacing w:line="360" w:lineRule="auto"/>
        <w:rPr>
          <w:rFonts w:ascii="Arial" w:hAnsi="Arial" w:cs="Arial"/>
        </w:rPr>
      </w:pPr>
      <w:r w:rsidRPr="00F35DBA">
        <w:rPr>
          <w:rFonts w:ascii="Arial" w:hAnsi="Arial" w:cs="Arial"/>
          <w:b/>
          <w:bCs/>
        </w:rPr>
        <w:t>The NHS Reasonable Adjustment Digital Flag:</w:t>
      </w:r>
      <w:r w:rsidRPr="00F35DBA">
        <w:rPr>
          <w:rFonts w:ascii="Arial" w:hAnsi="Arial" w:cs="Arial"/>
        </w:rPr>
        <w:t xml:space="preserve"> Launched across England in 2023–2024, this national digital health innovation attaches an electronic "flag" to a patient’s electronic health record (EHR) across primary, secondary, and tertiary care systems (NHS England, 2023). It systematically alerts healthcare professionals to an individual's specific reasonable adjustments (e.g., need for Easy Read literature, wheelchair-accessible examination rooms, longer appointment durations, or sensory accommodations), ensuring systemic compliance and preventing avoidable clinical delays.</w:t>
      </w:r>
    </w:p>
    <w:p w14:paraId="7A98A675" w14:textId="77777777" w:rsidR="00F35DBA" w:rsidRPr="00F35DBA" w:rsidRDefault="00F35DBA" w:rsidP="00F35DBA">
      <w:pPr>
        <w:spacing w:line="360" w:lineRule="auto"/>
        <w:rPr>
          <w:rFonts w:ascii="Arial" w:hAnsi="Arial" w:cs="Arial"/>
          <w:b/>
          <w:bCs/>
        </w:rPr>
      </w:pPr>
      <w:r w:rsidRPr="00F35DBA">
        <w:rPr>
          <w:rFonts w:ascii="Arial" w:hAnsi="Arial" w:cs="Arial"/>
          <w:b/>
          <w:bCs/>
        </w:rPr>
        <w:t>Organisations That Support Chosen Group</w:t>
      </w:r>
    </w:p>
    <w:p w14:paraId="4D36C446" w14:textId="0B9F930E" w:rsidR="00F35DBA" w:rsidRPr="00F35DBA" w:rsidRDefault="00F35DBA" w:rsidP="00F35DBA">
      <w:pPr>
        <w:spacing w:line="360" w:lineRule="auto"/>
        <w:rPr>
          <w:rFonts w:ascii="Arial" w:hAnsi="Arial" w:cs="Arial"/>
        </w:rPr>
      </w:pPr>
      <w:r w:rsidRPr="00F35DBA">
        <w:rPr>
          <w:rFonts w:ascii="Arial" w:hAnsi="Arial" w:cs="Arial"/>
          <w:b/>
          <w:bCs/>
        </w:rPr>
        <w:t>Mencap</w:t>
      </w:r>
      <w:r w:rsidRPr="00F35DBA">
        <w:rPr>
          <w:rFonts w:ascii="Arial" w:hAnsi="Arial" w:cs="Arial"/>
        </w:rPr>
        <w:t xml:space="preserve"> is the </w:t>
      </w:r>
      <w:r>
        <w:rPr>
          <w:rFonts w:ascii="Arial" w:hAnsi="Arial" w:cs="Arial"/>
        </w:rPr>
        <w:t>UK's leading national voluntary organisation dedicated to improving the lives of people</w:t>
      </w:r>
      <w:r w:rsidRPr="00F35DBA">
        <w:rPr>
          <w:rFonts w:ascii="Arial" w:hAnsi="Arial" w:cs="Arial"/>
        </w:rPr>
        <w:t xml:space="preserve"> with learning disabilities and their families.</w:t>
      </w:r>
    </w:p>
    <w:p w14:paraId="49148F51" w14:textId="77777777" w:rsidR="00F35DBA" w:rsidRPr="00F35DBA" w:rsidRDefault="00F35DBA" w:rsidP="00F35DBA">
      <w:pPr>
        <w:numPr>
          <w:ilvl w:val="0"/>
          <w:numId w:val="3"/>
        </w:numPr>
        <w:spacing w:line="360" w:lineRule="auto"/>
        <w:rPr>
          <w:rFonts w:ascii="Arial" w:hAnsi="Arial" w:cs="Arial"/>
        </w:rPr>
      </w:pPr>
      <w:r w:rsidRPr="00F35DBA">
        <w:rPr>
          <w:rFonts w:ascii="Arial" w:hAnsi="Arial" w:cs="Arial"/>
          <w:b/>
          <w:bCs/>
        </w:rPr>
        <w:t>Wider Role and Advocacy:</w:t>
      </w:r>
      <w:r w:rsidRPr="00F35DBA">
        <w:rPr>
          <w:rFonts w:ascii="Arial" w:hAnsi="Arial" w:cs="Arial"/>
        </w:rPr>
        <w:t xml:space="preserve"> Mencap leads national campaigns addressing structural health inequalities and social injustice. Through landmark investigative campaigns such as Treat Me Right! and Death by Indifference, Mencap exposed institutional discrimination across NHS trusts and pressured the UK Government to mandate annual health checks and </w:t>
      </w:r>
      <w:proofErr w:type="spellStart"/>
      <w:r w:rsidRPr="00F35DBA">
        <w:rPr>
          <w:rFonts w:ascii="Arial" w:hAnsi="Arial" w:cs="Arial"/>
        </w:rPr>
        <w:t>LeDeR</w:t>
      </w:r>
      <w:proofErr w:type="spellEnd"/>
      <w:r w:rsidRPr="00F35DBA">
        <w:rPr>
          <w:rFonts w:ascii="Arial" w:hAnsi="Arial" w:cs="Arial"/>
        </w:rPr>
        <w:t xml:space="preserve"> mortality reviews.</w:t>
      </w:r>
    </w:p>
    <w:p w14:paraId="34CAE0C1" w14:textId="77777777" w:rsidR="00F35DBA" w:rsidRPr="00F35DBA" w:rsidRDefault="00F35DBA" w:rsidP="00F35DBA">
      <w:pPr>
        <w:numPr>
          <w:ilvl w:val="0"/>
          <w:numId w:val="3"/>
        </w:numPr>
        <w:spacing w:line="360" w:lineRule="auto"/>
        <w:rPr>
          <w:rFonts w:ascii="Arial" w:hAnsi="Arial" w:cs="Arial"/>
        </w:rPr>
      </w:pPr>
      <w:r w:rsidRPr="00F35DBA">
        <w:rPr>
          <w:rFonts w:ascii="Arial" w:hAnsi="Arial" w:cs="Arial"/>
          <w:b/>
          <w:bCs/>
        </w:rPr>
        <w:t>Direct Community Support:</w:t>
      </w:r>
      <w:r w:rsidRPr="00F35DBA">
        <w:rPr>
          <w:rFonts w:ascii="Arial" w:hAnsi="Arial" w:cs="Arial"/>
        </w:rPr>
        <w:t xml:space="preserve"> The charity delivers direct community services, including supported living schemes, employment transition programs, personal advocacy, and a national advice helpline that assists families in navigating complex social care and NHS continuing healthcare systems.</w:t>
      </w:r>
    </w:p>
    <w:p w14:paraId="661D2D25" w14:textId="1A69526C" w:rsidR="00F35DBA" w:rsidRPr="00F35DBA" w:rsidRDefault="00F35DBA" w:rsidP="00F35DBA">
      <w:pPr>
        <w:numPr>
          <w:ilvl w:val="0"/>
          <w:numId w:val="3"/>
        </w:numPr>
        <w:spacing w:line="360" w:lineRule="auto"/>
        <w:rPr>
          <w:rFonts w:ascii="Arial" w:hAnsi="Arial" w:cs="Arial"/>
        </w:rPr>
      </w:pPr>
      <w:r w:rsidRPr="00F35DBA">
        <w:rPr>
          <w:rFonts w:ascii="Arial" w:hAnsi="Arial" w:cs="Arial"/>
          <w:b/>
          <w:bCs/>
        </w:rPr>
        <w:t>Research and Policy Goals:</w:t>
      </w:r>
      <w:r w:rsidRPr="00F35DBA">
        <w:rPr>
          <w:rFonts w:ascii="Arial" w:hAnsi="Arial" w:cs="Arial"/>
        </w:rPr>
        <w:t xml:space="preserve"> Mencap collaborates with academic institutions to conduct epidemiological research on health outcomes, life expectancy, and social determinants affecting people with learning disabilities. Its core </w:t>
      </w:r>
      <w:r>
        <w:rPr>
          <w:rFonts w:ascii="Arial" w:hAnsi="Arial" w:cs="Arial"/>
        </w:rPr>
        <w:t>organisational</w:t>
      </w:r>
      <w:r w:rsidRPr="00F35DBA">
        <w:rPr>
          <w:rFonts w:ascii="Arial" w:hAnsi="Arial" w:cs="Arial"/>
        </w:rPr>
        <w:t xml:space="preserve"> objective is to halve the premature mortality gap by 2030 through policy lobbying, clinician education, and advocating for equal access to healthcare.</w:t>
      </w:r>
    </w:p>
    <w:p w14:paraId="0859C6E7" w14:textId="77777777" w:rsidR="00F35DBA" w:rsidRPr="00F35DBA" w:rsidRDefault="00F35DBA" w:rsidP="00F35DBA">
      <w:pPr>
        <w:spacing w:line="360" w:lineRule="auto"/>
        <w:rPr>
          <w:rFonts w:ascii="Arial" w:hAnsi="Arial" w:cs="Arial"/>
          <w:b/>
          <w:bCs/>
        </w:rPr>
      </w:pPr>
      <w:r w:rsidRPr="00F35DBA">
        <w:rPr>
          <w:rFonts w:ascii="Arial" w:hAnsi="Arial" w:cs="Arial"/>
          <w:b/>
          <w:bCs/>
        </w:rPr>
        <w:t>Conclusion</w:t>
      </w:r>
    </w:p>
    <w:p w14:paraId="773032F4" w14:textId="77777777" w:rsidR="00F35DBA" w:rsidRPr="00F35DBA" w:rsidRDefault="00F35DBA" w:rsidP="00F35DBA">
      <w:pPr>
        <w:spacing w:line="360" w:lineRule="auto"/>
        <w:rPr>
          <w:rFonts w:ascii="Arial" w:hAnsi="Arial" w:cs="Arial"/>
        </w:rPr>
      </w:pPr>
      <w:r w:rsidRPr="00F35DBA">
        <w:rPr>
          <w:rFonts w:ascii="Arial" w:hAnsi="Arial" w:cs="Arial"/>
        </w:rPr>
        <w:lastRenderedPageBreak/>
        <w:t>Disabled individuals in the United Kingdom face profound health inequalities driven by diagnostic overshadowing, physical and sensory inaccessibility, and socioeconomic exclusion. These structural barriers manifest in premature avoidable mortality, high rates of psychological distress, and early-onset chronic multimorbidity, compounded by economic and social penalties. Transforming disability health outcomes requires sustained enforcement of the social model of disability across clinical training, ring-fenced funding for social care and accessibility infrastructure, and proactive integration of digital reasonable adjustments across the NHS.</w:t>
      </w:r>
    </w:p>
    <w:p w14:paraId="0F1FACD6" w14:textId="77777777" w:rsidR="00F35DBA" w:rsidRPr="00F35DBA" w:rsidRDefault="00F35DBA" w:rsidP="00F35DBA">
      <w:pPr>
        <w:spacing w:line="360" w:lineRule="auto"/>
        <w:rPr>
          <w:rFonts w:ascii="Arial" w:hAnsi="Arial" w:cs="Arial"/>
          <w:b/>
          <w:bCs/>
        </w:rPr>
      </w:pPr>
      <w:r w:rsidRPr="00F35DBA">
        <w:rPr>
          <w:rFonts w:ascii="Arial" w:hAnsi="Arial" w:cs="Arial"/>
          <w:b/>
          <w:bCs/>
        </w:rPr>
        <w:t>TASK 2: EPIDEMIOLOGICAL ANALYSIS</w:t>
      </w:r>
    </w:p>
    <w:p w14:paraId="4D363A53" w14:textId="77777777" w:rsidR="00F35DBA" w:rsidRPr="00F35DBA" w:rsidRDefault="00F35DBA" w:rsidP="00F35DBA">
      <w:pPr>
        <w:spacing w:line="360" w:lineRule="auto"/>
        <w:rPr>
          <w:rFonts w:ascii="Arial" w:hAnsi="Arial" w:cs="Arial"/>
        </w:rPr>
      </w:pPr>
      <w:r w:rsidRPr="00F35DBA">
        <w:rPr>
          <w:rFonts w:ascii="Arial" w:hAnsi="Arial" w:cs="Arial"/>
          <w:b/>
          <w:bCs/>
        </w:rPr>
        <w:t>Role:</w:t>
      </w:r>
      <w:r w:rsidRPr="00F35DBA">
        <w:rPr>
          <w:rFonts w:ascii="Arial" w:hAnsi="Arial" w:cs="Arial"/>
        </w:rPr>
        <w:t xml:space="preserve"> Regional Epidemiologist</w:t>
      </w:r>
    </w:p>
    <w:p w14:paraId="34685EEA" w14:textId="77777777" w:rsidR="00F35DBA" w:rsidRPr="00F35DBA" w:rsidRDefault="00F35DBA" w:rsidP="00F35DBA">
      <w:pPr>
        <w:spacing w:line="360" w:lineRule="auto"/>
        <w:rPr>
          <w:rFonts w:ascii="Arial" w:hAnsi="Arial" w:cs="Arial"/>
        </w:rPr>
      </w:pPr>
      <w:r w:rsidRPr="00F35DBA">
        <w:rPr>
          <w:rFonts w:ascii="Arial" w:hAnsi="Arial" w:cs="Arial"/>
          <w:b/>
          <w:bCs/>
        </w:rPr>
        <w:t>Subject:</w:t>
      </w:r>
      <w:r w:rsidRPr="00F35DBA">
        <w:rPr>
          <w:rFonts w:ascii="Arial" w:hAnsi="Arial" w:cs="Arial"/>
        </w:rPr>
        <w:t xml:space="preserve"> Epidemiological Identification, Assessment, and Strategic Management of Severe Mental Illness (SMI) and Physical Multimorbidity in the London Borough of Camden</w:t>
      </w:r>
    </w:p>
    <w:p w14:paraId="230E0BE7" w14:textId="77777777" w:rsidR="00F35DBA" w:rsidRPr="00F35DBA" w:rsidRDefault="00F35DBA" w:rsidP="00F35DBA">
      <w:pPr>
        <w:spacing w:line="360" w:lineRule="auto"/>
        <w:rPr>
          <w:rFonts w:ascii="Arial" w:hAnsi="Arial" w:cs="Arial"/>
          <w:b/>
          <w:bCs/>
        </w:rPr>
      </w:pPr>
      <w:r w:rsidRPr="00F35DBA">
        <w:rPr>
          <w:rFonts w:ascii="Arial" w:hAnsi="Arial" w:cs="Arial"/>
          <w:b/>
          <w:bCs/>
        </w:rPr>
        <w:t>Introduction</w:t>
      </w:r>
    </w:p>
    <w:p w14:paraId="6CEB6F09" w14:textId="4788AB60" w:rsidR="00F35DBA" w:rsidRPr="00F35DBA" w:rsidRDefault="00F35DBA" w:rsidP="00F35DBA">
      <w:pPr>
        <w:spacing w:line="360" w:lineRule="auto"/>
        <w:rPr>
          <w:rFonts w:ascii="Arial" w:hAnsi="Arial" w:cs="Arial"/>
        </w:rPr>
      </w:pPr>
      <w:r w:rsidRPr="00F35DBA">
        <w:rPr>
          <w:rFonts w:ascii="Arial" w:hAnsi="Arial" w:cs="Arial"/>
        </w:rPr>
        <w:t xml:space="preserve">Severe Mental Illness (SMI)—predominantly comprising schizophrenia, schizoaffective disorder, and bipolar affective disorder—represents a major category of chronic psychiatric conditions </w:t>
      </w:r>
      <w:r>
        <w:rPr>
          <w:rFonts w:ascii="Arial" w:hAnsi="Arial" w:cs="Arial"/>
        </w:rPr>
        <w:t>characterised</w:t>
      </w:r>
      <w:r w:rsidRPr="00F35DBA">
        <w:rPr>
          <w:rFonts w:ascii="Arial" w:hAnsi="Arial" w:cs="Arial"/>
        </w:rPr>
        <w:t xml:space="preserve"> by recurrent episodes of psychosis, profound affective dysregulation, and cognitive impairment (WHO, 2022). Epidemiologically, individuals living with SMI suffer disproportionate physical morbidity and premature mortality, dying on average 15 to 20 years earlier than the general population (the "stolen years" phenomenon) (Lawrence et al., 2013). Approximately 70% to 80% of this excess mortality is attributable to preventable physical health conditions, primarily cardiovascular disease, chronic respiratory disorders, and metabolic syndrome, rather than suicide.</w:t>
      </w:r>
    </w:p>
    <w:p w14:paraId="1F0FAF79" w14:textId="77777777" w:rsidR="00F35DBA" w:rsidRPr="00F35DBA" w:rsidRDefault="00F35DBA" w:rsidP="00F35DBA">
      <w:pPr>
        <w:spacing w:line="360" w:lineRule="auto"/>
        <w:rPr>
          <w:rFonts w:ascii="Arial" w:hAnsi="Arial" w:cs="Arial"/>
        </w:rPr>
      </w:pPr>
      <w:r w:rsidRPr="00F35DBA">
        <w:rPr>
          <w:rFonts w:ascii="Arial" w:hAnsi="Arial" w:cs="Arial"/>
        </w:rPr>
        <w:t>The social, cultural, and health consequences of SMI are severe: chronic symptoms and societal stigma lead to high rates of long-term unemployment, unstable housing, criminal justice involvement, social isolation, and significant caregiver strain.</w:t>
      </w:r>
    </w:p>
    <w:p w14:paraId="37CB6A88" w14:textId="23A6E55A" w:rsidR="00F35DBA" w:rsidRPr="00F35DBA" w:rsidRDefault="00F35DBA" w:rsidP="00F35DBA">
      <w:pPr>
        <w:spacing w:line="360" w:lineRule="auto"/>
        <w:rPr>
          <w:rFonts w:ascii="Arial" w:hAnsi="Arial" w:cs="Arial"/>
        </w:rPr>
      </w:pPr>
      <w:r w:rsidRPr="00F35DBA">
        <w:rPr>
          <w:rFonts w:ascii="Arial" w:hAnsi="Arial" w:cs="Arial"/>
        </w:rPr>
        <w:t xml:space="preserve">Globally, the World Health </w:t>
      </w:r>
      <w:r>
        <w:rPr>
          <w:rFonts w:ascii="Arial" w:hAnsi="Arial" w:cs="Arial"/>
        </w:rPr>
        <w:t>Organisation</w:t>
      </w:r>
      <w:r w:rsidRPr="00F35DBA">
        <w:rPr>
          <w:rFonts w:ascii="Arial" w:hAnsi="Arial" w:cs="Arial"/>
        </w:rPr>
        <w:t xml:space="preserve"> (WHO, 2022) estimates that over 970 million people live with a mental disorder, with schizophrenia and bipolar disorder affecting approximately 24 million and 40 million individuals worldwide, respectively. In the United Kingdom, approximately 550,000 people are registered with an SMI diagnosis </w:t>
      </w:r>
      <w:r w:rsidRPr="00F35DBA">
        <w:rPr>
          <w:rFonts w:ascii="Arial" w:hAnsi="Arial" w:cs="Arial"/>
        </w:rPr>
        <w:lastRenderedPageBreak/>
        <w:t>on primary care registers (recorded prevalence of 0.95%) (Office for Health Improvement and Disparities [OHID], 2024).</w:t>
      </w:r>
    </w:p>
    <w:p w14:paraId="11C2B861" w14:textId="1FDD007F" w:rsidR="00F35DBA" w:rsidRPr="00F35DBA" w:rsidRDefault="00F35DBA" w:rsidP="00F35DBA">
      <w:pPr>
        <w:spacing w:line="360" w:lineRule="auto"/>
        <w:rPr>
          <w:rFonts w:ascii="Arial" w:hAnsi="Arial" w:cs="Arial"/>
        </w:rPr>
      </w:pPr>
      <w:r w:rsidRPr="00F35DBA">
        <w:rPr>
          <w:rFonts w:ascii="Arial" w:hAnsi="Arial" w:cs="Arial"/>
        </w:rPr>
        <w:t xml:space="preserve">However, marked geographic disparities exist. In our target regional locality—the </w:t>
      </w:r>
      <w:r w:rsidRPr="00F35DBA">
        <w:rPr>
          <w:rFonts w:ascii="Arial" w:hAnsi="Arial" w:cs="Arial"/>
          <w:b/>
          <w:bCs/>
        </w:rPr>
        <w:t>London Borough of Camden</w:t>
      </w:r>
      <w:r w:rsidRPr="00F35DBA">
        <w:rPr>
          <w:rFonts w:ascii="Arial" w:hAnsi="Arial" w:cs="Arial"/>
        </w:rPr>
        <w:t xml:space="preserve"> (population approximately 210,000)—the recorded adult prevalence of SMI on GP registers is 1.48%, the second-highest rate across Greater London, with </w:t>
      </w:r>
      <w:r>
        <w:rPr>
          <w:rFonts w:ascii="Arial" w:hAnsi="Arial" w:cs="Arial"/>
        </w:rPr>
        <w:t>modelled</w:t>
      </w:r>
      <w:r w:rsidRPr="00F35DBA">
        <w:rPr>
          <w:rFonts w:ascii="Arial" w:hAnsi="Arial" w:cs="Arial"/>
        </w:rPr>
        <w:t xml:space="preserve"> true prevalence exceeding 1.9% when unrecorded and homeless cohorts are accounted for (Camden Joint Strategic Needs Assessment [JSNA], 2023; OHID, 2024). Furthermore, premature mortality under age 75 among individuals with SMI in Camden is 3.4 times higher than the general borough population, driven predominantly by </w:t>
      </w:r>
      <w:r>
        <w:rPr>
          <w:rFonts w:ascii="Arial" w:hAnsi="Arial" w:cs="Arial"/>
        </w:rPr>
        <w:t>ischaemic</w:t>
      </w:r>
      <w:r w:rsidRPr="00F35DBA">
        <w:rPr>
          <w:rFonts w:ascii="Arial" w:hAnsi="Arial" w:cs="Arial"/>
        </w:rPr>
        <w:t xml:space="preserve"> heart disease and diabetic ketoacidosis.</w:t>
      </w:r>
    </w:p>
    <w:p w14:paraId="762813F6" w14:textId="77777777" w:rsidR="00F35DBA" w:rsidRPr="00F35DBA" w:rsidRDefault="00F35DBA" w:rsidP="00F35DBA">
      <w:pPr>
        <w:spacing w:line="360" w:lineRule="auto"/>
        <w:rPr>
          <w:rFonts w:ascii="Arial" w:hAnsi="Arial" w:cs="Arial"/>
          <w:b/>
          <w:bCs/>
        </w:rPr>
      </w:pPr>
      <w:r w:rsidRPr="00F35DBA">
        <w:rPr>
          <w:rFonts w:ascii="Arial" w:hAnsi="Arial" w:cs="Arial"/>
          <w:b/>
          <w:bCs/>
        </w:rPr>
        <w:t>Main Body</w:t>
      </w:r>
    </w:p>
    <w:p w14:paraId="7A92C371" w14:textId="77777777" w:rsidR="00F35DBA" w:rsidRPr="00F35DBA" w:rsidRDefault="00F35DBA" w:rsidP="00F35DBA">
      <w:pPr>
        <w:spacing w:line="360" w:lineRule="auto"/>
        <w:rPr>
          <w:rFonts w:ascii="Arial" w:hAnsi="Arial" w:cs="Arial"/>
          <w:b/>
          <w:bCs/>
        </w:rPr>
      </w:pPr>
      <w:r w:rsidRPr="00F35DBA">
        <w:rPr>
          <w:rFonts w:ascii="Arial" w:hAnsi="Arial" w:cs="Arial"/>
          <w:b/>
          <w:bCs/>
        </w:rPr>
        <w:t>1. Public Health Measures Framework: The Three P's</w:t>
      </w:r>
    </w:p>
    <w:p w14:paraId="6B60C8A6" w14:textId="60D230E1" w:rsidR="00F35DBA" w:rsidRPr="00F35DBA" w:rsidRDefault="00F35DBA" w:rsidP="00F35DBA">
      <w:pPr>
        <w:spacing w:line="360" w:lineRule="auto"/>
        <w:rPr>
          <w:rFonts w:ascii="Arial" w:hAnsi="Arial" w:cs="Arial"/>
        </w:rPr>
      </w:pPr>
      <w:r w:rsidRPr="00F35DBA">
        <w:rPr>
          <w:rFonts w:ascii="Arial" w:hAnsi="Arial" w:cs="Arial"/>
        </w:rPr>
        <w:t xml:space="preserve">To systematically address the elevated burden of physical multimorbidity and premature mortality among SMI patients in Camden, regional epidemiological strategies are </w:t>
      </w:r>
      <w:r>
        <w:rPr>
          <w:rFonts w:ascii="Arial" w:hAnsi="Arial" w:cs="Arial"/>
        </w:rPr>
        <w:t>organised</w:t>
      </w:r>
      <w:r w:rsidRPr="00F35DBA">
        <w:rPr>
          <w:rFonts w:ascii="Arial" w:hAnsi="Arial" w:cs="Arial"/>
        </w:rPr>
        <w:t xml:space="preserve"> around the Three </w:t>
      </w:r>
      <w:proofErr w:type="gramStart"/>
      <w:r w:rsidRPr="00F35DBA">
        <w:rPr>
          <w:rFonts w:ascii="Arial" w:hAnsi="Arial" w:cs="Arial"/>
        </w:rPr>
        <w:t>P's</w:t>
      </w:r>
      <w:proofErr w:type="gramEnd"/>
      <w:r w:rsidRPr="00F35DBA">
        <w:rPr>
          <w:rFonts w:ascii="Arial" w:hAnsi="Arial" w:cs="Arial"/>
        </w:rPr>
        <w:t>:</w:t>
      </w:r>
    </w:p>
    <w:p w14:paraId="7AFE7938" w14:textId="08CA0DA0" w:rsidR="00F35DBA" w:rsidRPr="00F35DBA" w:rsidRDefault="00F35DBA" w:rsidP="00F35DBA">
      <w:pPr>
        <w:numPr>
          <w:ilvl w:val="0"/>
          <w:numId w:val="4"/>
        </w:numPr>
        <w:spacing w:line="360" w:lineRule="auto"/>
        <w:rPr>
          <w:rFonts w:ascii="Arial" w:hAnsi="Arial" w:cs="Arial"/>
        </w:rPr>
      </w:pPr>
      <w:r w:rsidRPr="00F35DBA">
        <w:rPr>
          <w:rFonts w:ascii="Arial" w:hAnsi="Arial" w:cs="Arial"/>
          <w:b/>
          <w:bCs/>
        </w:rPr>
        <w:t>Prevention (Primary Prevention):</w:t>
      </w:r>
      <w:r w:rsidRPr="00F35DBA">
        <w:rPr>
          <w:rFonts w:ascii="Arial" w:hAnsi="Arial" w:cs="Arial"/>
        </w:rPr>
        <w:t xml:space="preserve"> Focuses on averting the onset of metabolic and cardiovascular pathology among newly diagnosed SMI patients. In Camden, primary care networks (PCNs) and early intervention psychosis teams integrate mandatory metabolic baseline monitoring before starting atypical antipsychotic medications (e.g., olanzapine, clozapine). Municipal public health policies include commissioning tailored, low-stigma smoking cessation services (offering free e-cigarette starter kits and varenicline) and </w:t>
      </w:r>
      <w:r>
        <w:rPr>
          <w:rFonts w:ascii="Arial" w:hAnsi="Arial" w:cs="Arial"/>
        </w:rPr>
        <w:t>subsidising access to Camden's leisure centres with specialised</w:t>
      </w:r>
      <w:r w:rsidRPr="00F35DBA">
        <w:rPr>
          <w:rFonts w:ascii="Arial" w:hAnsi="Arial" w:cs="Arial"/>
        </w:rPr>
        <w:t xml:space="preserve"> physical activity coordinators.</w:t>
      </w:r>
    </w:p>
    <w:p w14:paraId="0F7D4F5C" w14:textId="77777777" w:rsidR="00F35DBA" w:rsidRPr="00F35DBA" w:rsidRDefault="00F35DBA" w:rsidP="00F35DBA">
      <w:pPr>
        <w:numPr>
          <w:ilvl w:val="0"/>
          <w:numId w:val="4"/>
        </w:numPr>
        <w:spacing w:line="360" w:lineRule="auto"/>
        <w:rPr>
          <w:rFonts w:ascii="Arial" w:hAnsi="Arial" w:cs="Arial"/>
        </w:rPr>
      </w:pPr>
      <w:r w:rsidRPr="00F35DBA">
        <w:rPr>
          <w:rFonts w:ascii="Arial" w:hAnsi="Arial" w:cs="Arial"/>
          <w:b/>
          <w:bCs/>
        </w:rPr>
        <w:t>Protection (Secondary Prevention):</w:t>
      </w:r>
      <w:r w:rsidRPr="00F35DBA">
        <w:rPr>
          <w:rFonts w:ascii="Arial" w:hAnsi="Arial" w:cs="Arial"/>
        </w:rPr>
        <w:t xml:space="preserve"> Focuses on early case detection, routine screening, and arresting the progression of asymptomatic cardiometabolic disease. This incorporates universal delivery of the statutory NHS Annual Physical Health Check for SMI (assessing the six core parameters: blood pressure, BMI, HbA1c, lipid profile, smoking status, and alcohol intake). Camden has deployed dedicated Physical Health Liaison </w:t>
      </w:r>
      <w:r w:rsidRPr="00F35DBA">
        <w:rPr>
          <w:rFonts w:ascii="Arial" w:hAnsi="Arial" w:cs="Arial"/>
        </w:rPr>
        <w:lastRenderedPageBreak/>
        <w:t>Nurses across community mental health teams (CMHTs) to conduct outreach checks for patients disengaged from general practice.</w:t>
      </w:r>
    </w:p>
    <w:p w14:paraId="555A3332" w14:textId="041900B3" w:rsidR="00F35DBA" w:rsidRPr="00F35DBA" w:rsidRDefault="00F35DBA" w:rsidP="00F35DBA">
      <w:pPr>
        <w:numPr>
          <w:ilvl w:val="0"/>
          <w:numId w:val="4"/>
        </w:numPr>
        <w:spacing w:line="360" w:lineRule="auto"/>
        <w:rPr>
          <w:rFonts w:ascii="Arial" w:hAnsi="Arial" w:cs="Arial"/>
        </w:rPr>
      </w:pPr>
      <w:r w:rsidRPr="00F35DBA">
        <w:rPr>
          <w:rFonts w:ascii="Arial" w:hAnsi="Arial" w:cs="Arial"/>
          <w:b/>
          <w:bCs/>
        </w:rPr>
        <w:t>Promotion (Tertiary Prevention):</w:t>
      </w:r>
      <w:r w:rsidRPr="00F35DBA">
        <w:rPr>
          <w:rFonts w:ascii="Arial" w:hAnsi="Arial" w:cs="Arial"/>
        </w:rPr>
        <w:t xml:space="preserve"> Empowers individuals living with established SMI and chronic physical conditions to manage their health and prevent acute crises. This </w:t>
      </w:r>
      <w:r>
        <w:rPr>
          <w:rFonts w:ascii="Arial" w:hAnsi="Arial" w:cs="Arial"/>
        </w:rPr>
        <w:t>includes rolling out peer-led health coaching programs (such as the Healthy Living with Psychosis workshop). These community cooking clubs adapt low-</w:t>
      </w:r>
      <w:proofErr w:type="spellStart"/>
      <w:r>
        <w:rPr>
          <w:rFonts w:ascii="Arial" w:hAnsi="Arial" w:cs="Arial"/>
        </w:rPr>
        <w:t>glycemic</w:t>
      </w:r>
      <w:proofErr w:type="spellEnd"/>
      <w:r>
        <w:rPr>
          <w:rFonts w:ascii="Arial" w:hAnsi="Arial" w:cs="Arial"/>
        </w:rPr>
        <w:t xml:space="preserve"> diets and integrate Primary Care Mental Health Link Workers to help patients </w:t>
      </w:r>
      <w:r w:rsidRPr="00F35DBA">
        <w:rPr>
          <w:rFonts w:ascii="Arial" w:hAnsi="Arial" w:cs="Arial"/>
        </w:rPr>
        <w:t>navigate social welfare, housing security, and disability benefit appeals.</w:t>
      </w:r>
    </w:p>
    <w:p w14:paraId="006AD68A" w14:textId="77777777" w:rsidR="00F35DBA" w:rsidRPr="00F35DBA" w:rsidRDefault="00F35DBA" w:rsidP="00F35DBA">
      <w:pPr>
        <w:spacing w:line="360" w:lineRule="auto"/>
        <w:rPr>
          <w:rFonts w:ascii="Arial" w:hAnsi="Arial" w:cs="Arial"/>
          <w:b/>
          <w:bCs/>
        </w:rPr>
      </w:pPr>
      <w:r w:rsidRPr="00F35DBA">
        <w:rPr>
          <w:rFonts w:ascii="Arial" w:hAnsi="Arial" w:cs="Arial"/>
          <w:b/>
          <w:bCs/>
        </w:rPr>
        <w:t>2. Key Determinants and Risk Factors</w:t>
      </w:r>
    </w:p>
    <w:p w14:paraId="1DB529A7" w14:textId="5BB41042" w:rsidR="00F35DBA" w:rsidRPr="00F35DBA" w:rsidRDefault="00F35DBA" w:rsidP="00F35DBA">
      <w:pPr>
        <w:spacing w:line="360" w:lineRule="auto"/>
        <w:rPr>
          <w:rFonts w:ascii="Arial" w:hAnsi="Arial" w:cs="Arial"/>
        </w:rPr>
      </w:pPr>
      <w:r>
        <w:rPr>
          <w:rFonts w:ascii="Arial" w:hAnsi="Arial" w:cs="Arial"/>
        </w:rPr>
        <w:t>An interaction of biological vulnerabilities, iatrogenic effects, and structural socioeconomic conditions drives the hyper-prevalence of physical multimorbidity among SMI patients in Camden</w:t>
      </w:r>
      <w:r w:rsidRPr="00F35DBA">
        <w:rPr>
          <w:rFonts w:ascii="Arial" w:hAnsi="Arial" w:cs="Arial"/>
        </w:rPr>
        <w:t>:</w:t>
      </w:r>
    </w:p>
    <w:p w14:paraId="4A0BA404" w14:textId="3EBCD5BD" w:rsidR="00F35DBA" w:rsidRPr="00F35DBA" w:rsidRDefault="00F35DBA" w:rsidP="00F35DBA">
      <w:pPr>
        <w:numPr>
          <w:ilvl w:val="0"/>
          <w:numId w:val="5"/>
        </w:numPr>
        <w:spacing w:line="360" w:lineRule="auto"/>
        <w:rPr>
          <w:rFonts w:ascii="Arial" w:hAnsi="Arial" w:cs="Arial"/>
        </w:rPr>
      </w:pPr>
      <w:r w:rsidRPr="00F35DBA">
        <w:rPr>
          <w:rFonts w:ascii="Arial" w:hAnsi="Arial" w:cs="Arial"/>
          <w:b/>
          <w:bCs/>
        </w:rPr>
        <w:t>Iatrogenic and Pharmacological Factors:</w:t>
      </w:r>
      <w:r w:rsidRPr="00F35DBA">
        <w:rPr>
          <w:rFonts w:ascii="Arial" w:hAnsi="Arial" w:cs="Arial"/>
        </w:rPr>
        <w:t xml:space="preserve"> Second-generation (atypical) antipsychotics—the cornerstone of SMI treatment—frequently cause rapid weight gain, central adiposity, insulin resistance, and atherogenic </w:t>
      </w:r>
      <w:proofErr w:type="spellStart"/>
      <w:r w:rsidRPr="00F35DBA">
        <w:rPr>
          <w:rFonts w:ascii="Arial" w:hAnsi="Arial" w:cs="Arial"/>
        </w:rPr>
        <w:t>dyslipidemia</w:t>
      </w:r>
      <w:proofErr w:type="spellEnd"/>
      <w:r w:rsidRPr="00F35DBA">
        <w:rPr>
          <w:rFonts w:ascii="Arial" w:hAnsi="Arial" w:cs="Arial"/>
        </w:rPr>
        <w:t xml:space="preserve"> by </w:t>
      </w:r>
      <w:r>
        <w:rPr>
          <w:rFonts w:ascii="Arial" w:hAnsi="Arial" w:cs="Arial"/>
        </w:rPr>
        <w:t>antagonising</w:t>
      </w:r>
      <w:r w:rsidRPr="00F35DBA">
        <w:rPr>
          <w:rFonts w:ascii="Arial" w:hAnsi="Arial" w:cs="Arial"/>
        </w:rPr>
        <w:t xml:space="preserve"> histamine </w:t>
      </w:r>
      <m:oMath>
        <m:sSub>
          <m:sSubPr>
            <m:ctrlPr>
              <w:rPr>
                <w:rFonts w:ascii="Cambria Math" w:hAnsi="Cambria Math" w:cs="Arial"/>
              </w:rPr>
            </m:ctrlPr>
          </m:sSubPr>
          <m:e>
            <m:r>
              <m:rPr>
                <m:sty m:val="p"/>
              </m:rPr>
              <w:rPr>
                <w:rFonts w:ascii="Cambria Math" w:hAnsi="Cambria Math" w:cs="Arial"/>
              </w:rPr>
              <m:t>H</m:t>
            </m:r>
          </m:e>
          <m:sub>
            <m:r>
              <m:rPr>
                <m:sty m:val="p"/>
              </m:rPr>
              <w:rPr>
                <w:rFonts w:ascii="Cambria Math" w:hAnsi="Cambria Math" w:cs="Arial"/>
              </w:rPr>
              <m:t>1</m:t>
            </m:r>
          </m:sub>
        </m:sSub>
      </m:oMath>
      <w:r w:rsidRPr="00F35DBA">
        <w:rPr>
          <w:rFonts w:ascii="Arial" w:hAnsi="Arial" w:cs="Arial"/>
        </w:rPr>
        <w:t xml:space="preserve"> and serotonin </w:t>
      </w:r>
      <m:oMath>
        <m:r>
          <m:rPr>
            <m:sty m:val="p"/>
          </m:rPr>
          <w:rPr>
            <w:rFonts w:ascii="Cambria Math" w:hAnsi="Cambria Math" w:cs="Arial"/>
          </w:rPr>
          <m:t>5</m:t>
        </m:r>
        <m:r>
          <m:rPr>
            <m:nor/>
          </m:rPr>
          <w:rPr>
            <w:rFonts w:ascii="Arial" w:hAnsi="Arial" w:cs="Arial"/>
          </w:rPr>
          <m:t>-</m:t>
        </m:r>
        <m:r>
          <m:rPr>
            <m:sty m:val="p"/>
          </m:rPr>
          <w:rPr>
            <w:rFonts w:ascii="Cambria Math" w:hAnsi="Cambria Math" w:cs="Arial"/>
          </w:rPr>
          <m:t>H</m:t>
        </m:r>
        <m:sSub>
          <m:sSubPr>
            <m:ctrlPr>
              <w:rPr>
                <w:rFonts w:ascii="Cambria Math" w:hAnsi="Cambria Math" w:cs="Arial"/>
              </w:rPr>
            </m:ctrlPr>
          </m:sSubPr>
          <m:e>
            <m:r>
              <m:rPr>
                <m:sty m:val="p"/>
              </m:rPr>
              <w:rPr>
                <w:rFonts w:ascii="Cambria Math" w:hAnsi="Cambria Math" w:cs="Arial"/>
              </w:rPr>
              <m:t>T</m:t>
            </m:r>
          </m:e>
          <m:sub>
            <m:r>
              <m:rPr>
                <m:sty m:val="p"/>
              </m:rPr>
              <w:rPr>
                <w:rFonts w:ascii="Cambria Math" w:hAnsi="Cambria Math" w:cs="Arial"/>
              </w:rPr>
              <m:t>2C</m:t>
            </m:r>
          </m:sub>
        </m:sSub>
      </m:oMath>
      <w:r w:rsidRPr="00F35DBA">
        <w:rPr>
          <w:rFonts w:ascii="Arial" w:hAnsi="Arial" w:cs="Arial"/>
        </w:rPr>
        <w:t xml:space="preserve"> receptors (Correll et al., 2017).</w:t>
      </w:r>
    </w:p>
    <w:p w14:paraId="3BA00336" w14:textId="794881A7" w:rsidR="00F35DBA" w:rsidRPr="00F35DBA" w:rsidRDefault="00F35DBA" w:rsidP="00F35DBA">
      <w:pPr>
        <w:numPr>
          <w:ilvl w:val="0"/>
          <w:numId w:val="5"/>
        </w:numPr>
        <w:spacing w:line="360" w:lineRule="auto"/>
        <w:rPr>
          <w:rFonts w:ascii="Arial" w:hAnsi="Arial" w:cs="Arial"/>
        </w:rPr>
      </w:pPr>
      <w:r>
        <w:rPr>
          <w:rFonts w:ascii="Arial" w:hAnsi="Arial" w:cs="Arial"/>
          <w:b/>
          <w:bCs/>
        </w:rPr>
        <w:t>Behavioural</w:t>
      </w:r>
      <w:r w:rsidRPr="00F35DBA">
        <w:rPr>
          <w:rFonts w:ascii="Arial" w:hAnsi="Arial" w:cs="Arial"/>
          <w:b/>
          <w:bCs/>
        </w:rPr>
        <w:t xml:space="preserve"> Risk Concentrations:</w:t>
      </w:r>
      <w:r w:rsidRPr="00F35DBA">
        <w:rPr>
          <w:rFonts w:ascii="Arial" w:hAnsi="Arial" w:cs="Arial"/>
        </w:rPr>
        <w:t xml:space="preserve"> Tobacco smoking prevalence among individuals with SMI in Camden stands at 40.5%, compared to 12.2% in the general borough population (OHID, 2024). High smoking rates, combined with poor dietary quality and physical inactivity (often exacerbated by negative psychotic symptoms, cognitive impairment, and sedation), accelerate coronary atherogenesis.</w:t>
      </w:r>
    </w:p>
    <w:p w14:paraId="04A7F102" w14:textId="77777777" w:rsidR="00F35DBA" w:rsidRPr="00F35DBA" w:rsidRDefault="00F35DBA" w:rsidP="00F35DBA">
      <w:pPr>
        <w:numPr>
          <w:ilvl w:val="0"/>
          <w:numId w:val="5"/>
        </w:numPr>
        <w:spacing w:line="360" w:lineRule="auto"/>
        <w:rPr>
          <w:rFonts w:ascii="Arial" w:hAnsi="Arial" w:cs="Arial"/>
        </w:rPr>
      </w:pPr>
      <w:r w:rsidRPr="00F35DBA">
        <w:rPr>
          <w:rFonts w:ascii="Arial" w:hAnsi="Arial" w:cs="Arial"/>
          <w:b/>
          <w:bCs/>
        </w:rPr>
        <w:t>Structural Socioeconomic Deprivation and Housing Insecurity:</w:t>
      </w:r>
      <w:r w:rsidRPr="00F35DBA">
        <w:rPr>
          <w:rFonts w:ascii="Arial" w:hAnsi="Arial" w:cs="Arial"/>
        </w:rPr>
        <w:t xml:space="preserve"> Camden displays sharp socioeconomic contrasts, with substantial pockets of deprivation alongside affluent areas. Over 28% of Camden's SMI population live in unstable housing or temporary accommodation (Camden JSNA, 2023). Homelessness, poverty, and social isolation create high allostatic loads, restrict access to nutritious food, and foster survival priorities that override preventative physical health engagement.</w:t>
      </w:r>
    </w:p>
    <w:p w14:paraId="39D58AA8" w14:textId="77777777" w:rsidR="00F35DBA" w:rsidRPr="00F35DBA" w:rsidRDefault="00F35DBA" w:rsidP="00F35DBA">
      <w:pPr>
        <w:spacing w:line="360" w:lineRule="auto"/>
        <w:rPr>
          <w:rFonts w:ascii="Arial" w:hAnsi="Arial" w:cs="Arial"/>
          <w:b/>
          <w:bCs/>
        </w:rPr>
      </w:pPr>
      <w:r w:rsidRPr="00F35DBA">
        <w:rPr>
          <w:rFonts w:ascii="Arial" w:hAnsi="Arial" w:cs="Arial"/>
          <w:b/>
          <w:bCs/>
        </w:rPr>
        <w:lastRenderedPageBreak/>
        <w:t>3. Health Needs Assessment and Target Population Profiling</w:t>
      </w:r>
    </w:p>
    <w:p w14:paraId="503519F5" w14:textId="77777777" w:rsidR="00F35DBA" w:rsidRPr="00F35DBA" w:rsidRDefault="00F35DBA" w:rsidP="00F35DBA">
      <w:pPr>
        <w:spacing w:line="360" w:lineRule="auto"/>
        <w:rPr>
          <w:rFonts w:ascii="Arial" w:hAnsi="Arial" w:cs="Arial"/>
        </w:rPr>
      </w:pPr>
      <w:r w:rsidRPr="00F35DBA">
        <w:rPr>
          <w:rFonts w:ascii="Arial" w:hAnsi="Arial" w:cs="Arial"/>
        </w:rPr>
        <w:t>A comprehensive borough-wide Health Needs Assessment (HNA) integrating general practice electronic records, the Mental Health Services Data Set (MHSDS), and hospital admission data stratifies Camden's SMI population into three distinct risk tiers:</w:t>
      </w:r>
    </w:p>
    <w:tbl>
      <w:tblPr>
        <w:tblStyle w:val="TableGrid"/>
        <w:tblW w:w="0" w:type="auto"/>
        <w:tblLook w:val="04A0" w:firstRow="1" w:lastRow="0" w:firstColumn="1" w:lastColumn="0" w:noHBand="0" w:noVBand="1"/>
      </w:tblPr>
      <w:tblGrid>
        <w:gridCol w:w="2338"/>
        <w:gridCol w:w="3143"/>
        <w:gridCol w:w="3535"/>
      </w:tblGrid>
      <w:tr w:rsidR="00F35DBA" w:rsidRPr="00F35DBA" w14:paraId="4B84FB53" w14:textId="77777777" w:rsidTr="00F35DBA">
        <w:tc>
          <w:tcPr>
            <w:tcW w:w="0" w:type="auto"/>
            <w:hideMark/>
          </w:tcPr>
          <w:p w14:paraId="2031BE6C" w14:textId="77777777" w:rsidR="00F35DBA" w:rsidRPr="00F35DBA" w:rsidRDefault="00F35DBA" w:rsidP="00F35DBA">
            <w:pPr>
              <w:spacing w:after="160" w:line="360" w:lineRule="auto"/>
              <w:rPr>
                <w:rFonts w:ascii="Arial" w:hAnsi="Arial" w:cs="Arial"/>
              </w:rPr>
            </w:pPr>
            <w:r w:rsidRPr="00F35DBA">
              <w:rPr>
                <w:rFonts w:ascii="Arial" w:hAnsi="Arial" w:cs="Arial"/>
                <w:b/>
                <w:bCs/>
              </w:rPr>
              <w:t>High-Risk Demographic Cohort</w:t>
            </w:r>
          </w:p>
        </w:tc>
        <w:tc>
          <w:tcPr>
            <w:tcW w:w="0" w:type="auto"/>
            <w:hideMark/>
          </w:tcPr>
          <w:p w14:paraId="2F62F6B9" w14:textId="77777777" w:rsidR="00F35DBA" w:rsidRPr="00F35DBA" w:rsidRDefault="00F35DBA" w:rsidP="00F35DBA">
            <w:pPr>
              <w:spacing w:after="160" w:line="360" w:lineRule="auto"/>
              <w:rPr>
                <w:rFonts w:ascii="Arial" w:hAnsi="Arial" w:cs="Arial"/>
              </w:rPr>
            </w:pPr>
            <w:r w:rsidRPr="00F35DBA">
              <w:rPr>
                <w:rFonts w:ascii="Arial" w:hAnsi="Arial" w:cs="Arial"/>
                <w:b/>
                <w:bCs/>
              </w:rPr>
              <w:t>Epidemiological Risk Profile</w:t>
            </w:r>
          </w:p>
        </w:tc>
        <w:tc>
          <w:tcPr>
            <w:tcW w:w="0" w:type="auto"/>
            <w:hideMark/>
          </w:tcPr>
          <w:p w14:paraId="029FE79C" w14:textId="77777777" w:rsidR="00F35DBA" w:rsidRPr="00F35DBA" w:rsidRDefault="00F35DBA" w:rsidP="00F35DBA">
            <w:pPr>
              <w:spacing w:after="160" w:line="360" w:lineRule="auto"/>
              <w:rPr>
                <w:rFonts w:ascii="Arial" w:hAnsi="Arial" w:cs="Arial"/>
              </w:rPr>
            </w:pPr>
            <w:r w:rsidRPr="00F35DBA">
              <w:rPr>
                <w:rFonts w:ascii="Arial" w:hAnsi="Arial" w:cs="Arial"/>
                <w:b/>
                <w:bCs/>
              </w:rPr>
              <w:t>Primary Clinical and Social Considerations</w:t>
            </w:r>
          </w:p>
        </w:tc>
      </w:tr>
      <w:tr w:rsidR="00F35DBA" w:rsidRPr="00F35DBA" w14:paraId="3EB6FB56" w14:textId="77777777" w:rsidTr="00F35DBA">
        <w:tc>
          <w:tcPr>
            <w:tcW w:w="0" w:type="auto"/>
            <w:hideMark/>
          </w:tcPr>
          <w:p w14:paraId="47AA8D13" w14:textId="77777777" w:rsidR="00F35DBA" w:rsidRPr="00F35DBA" w:rsidRDefault="00F35DBA" w:rsidP="00F35DBA">
            <w:pPr>
              <w:spacing w:after="160" w:line="360" w:lineRule="auto"/>
              <w:rPr>
                <w:rFonts w:ascii="Arial" w:hAnsi="Arial" w:cs="Arial"/>
              </w:rPr>
            </w:pPr>
            <w:r w:rsidRPr="00F35DBA">
              <w:rPr>
                <w:rFonts w:ascii="Arial" w:hAnsi="Arial" w:cs="Arial"/>
                <w:b/>
                <w:bCs/>
              </w:rPr>
              <w:t>Middle-Aged Men (Aged 40–65) with Schizophrenia</w:t>
            </w:r>
          </w:p>
        </w:tc>
        <w:tc>
          <w:tcPr>
            <w:tcW w:w="0" w:type="auto"/>
            <w:hideMark/>
          </w:tcPr>
          <w:p w14:paraId="74F2EE49" w14:textId="77777777" w:rsidR="00F35DBA" w:rsidRPr="00F35DBA" w:rsidRDefault="00F35DBA" w:rsidP="00F35DBA">
            <w:pPr>
              <w:spacing w:after="160" w:line="360" w:lineRule="auto"/>
              <w:rPr>
                <w:rFonts w:ascii="Arial" w:hAnsi="Arial" w:cs="Arial"/>
              </w:rPr>
            </w:pPr>
            <w:r w:rsidRPr="00F35DBA">
              <w:rPr>
                <w:rFonts w:ascii="Arial" w:hAnsi="Arial" w:cs="Arial"/>
                <w:b/>
                <w:bCs/>
              </w:rPr>
              <w:t>Highest Premature Mortality:</w:t>
            </w:r>
            <w:r w:rsidRPr="00F35DBA">
              <w:rPr>
                <w:rFonts w:ascii="Arial" w:hAnsi="Arial" w:cs="Arial"/>
              </w:rPr>
              <w:t xml:space="preserve"> 4.2-fold risk of fatal myocardial infarction vs general population.</w:t>
            </w:r>
          </w:p>
        </w:tc>
        <w:tc>
          <w:tcPr>
            <w:tcW w:w="0" w:type="auto"/>
            <w:hideMark/>
          </w:tcPr>
          <w:p w14:paraId="26AC654D" w14:textId="77777777" w:rsidR="00F35DBA" w:rsidRPr="00F35DBA" w:rsidRDefault="00F35DBA" w:rsidP="00F35DBA">
            <w:pPr>
              <w:spacing w:after="160" w:line="360" w:lineRule="auto"/>
              <w:rPr>
                <w:rFonts w:ascii="Arial" w:hAnsi="Arial" w:cs="Arial"/>
              </w:rPr>
            </w:pPr>
            <w:r w:rsidRPr="00F35DBA">
              <w:rPr>
                <w:rFonts w:ascii="Arial" w:hAnsi="Arial" w:cs="Arial"/>
              </w:rPr>
              <w:t>Heavy tobacco dependence (30+ pack-years); long-term clozapine/olanzapine use; social isolation; low GP check attendance.</w:t>
            </w:r>
          </w:p>
        </w:tc>
      </w:tr>
      <w:tr w:rsidR="00F35DBA" w:rsidRPr="00F35DBA" w14:paraId="318DF30E" w14:textId="77777777" w:rsidTr="00F35DBA">
        <w:tc>
          <w:tcPr>
            <w:tcW w:w="0" w:type="auto"/>
            <w:hideMark/>
          </w:tcPr>
          <w:p w14:paraId="0CD4ED35" w14:textId="77777777" w:rsidR="00F35DBA" w:rsidRPr="00F35DBA" w:rsidRDefault="00F35DBA" w:rsidP="00F35DBA">
            <w:pPr>
              <w:spacing w:after="160" w:line="360" w:lineRule="auto"/>
              <w:rPr>
                <w:rFonts w:ascii="Arial" w:hAnsi="Arial" w:cs="Arial"/>
              </w:rPr>
            </w:pPr>
            <w:r w:rsidRPr="00F35DBA">
              <w:rPr>
                <w:rFonts w:ascii="Arial" w:hAnsi="Arial" w:cs="Arial"/>
                <w:b/>
                <w:bCs/>
              </w:rPr>
              <w:t>Ethnic Minoritised Adults (Black Caribbean &amp; Black African)</w:t>
            </w:r>
          </w:p>
        </w:tc>
        <w:tc>
          <w:tcPr>
            <w:tcW w:w="0" w:type="auto"/>
            <w:hideMark/>
          </w:tcPr>
          <w:p w14:paraId="5F9CD15C" w14:textId="77777777" w:rsidR="00F35DBA" w:rsidRPr="00F35DBA" w:rsidRDefault="00F35DBA" w:rsidP="00F35DBA">
            <w:pPr>
              <w:spacing w:after="160" w:line="360" w:lineRule="auto"/>
              <w:rPr>
                <w:rFonts w:ascii="Arial" w:hAnsi="Arial" w:cs="Arial"/>
              </w:rPr>
            </w:pPr>
            <w:r w:rsidRPr="00F35DBA">
              <w:rPr>
                <w:rFonts w:ascii="Arial" w:hAnsi="Arial" w:cs="Arial"/>
                <w:b/>
                <w:bCs/>
              </w:rPr>
              <w:t>Highest Inpatient Detention &amp; Metabolic Risk:</w:t>
            </w:r>
            <w:r w:rsidRPr="00F35DBA">
              <w:rPr>
                <w:rFonts w:ascii="Arial" w:hAnsi="Arial" w:cs="Arial"/>
              </w:rPr>
              <w:t xml:space="preserve"> Disproportionate rates of Section 136 detentions; early-onset Type 2 diabetes.</w:t>
            </w:r>
          </w:p>
        </w:tc>
        <w:tc>
          <w:tcPr>
            <w:tcW w:w="0" w:type="auto"/>
            <w:hideMark/>
          </w:tcPr>
          <w:p w14:paraId="1E189EB9" w14:textId="77777777" w:rsidR="00F35DBA" w:rsidRPr="00F35DBA" w:rsidRDefault="00F35DBA" w:rsidP="00F35DBA">
            <w:pPr>
              <w:spacing w:after="160" w:line="360" w:lineRule="auto"/>
              <w:rPr>
                <w:rFonts w:ascii="Arial" w:hAnsi="Arial" w:cs="Arial"/>
              </w:rPr>
            </w:pPr>
            <w:r w:rsidRPr="00F35DBA">
              <w:rPr>
                <w:rFonts w:ascii="Arial" w:hAnsi="Arial" w:cs="Arial"/>
              </w:rPr>
              <w:t>Systemic institutional mistrust; diagnostic delays; higher genetic predisposition to metabolic dysfunction at lower BMI thresholds.</w:t>
            </w:r>
          </w:p>
        </w:tc>
      </w:tr>
      <w:tr w:rsidR="00F35DBA" w:rsidRPr="00F35DBA" w14:paraId="69AD27F9" w14:textId="77777777" w:rsidTr="00F35DBA">
        <w:tc>
          <w:tcPr>
            <w:tcW w:w="0" w:type="auto"/>
            <w:hideMark/>
          </w:tcPr>
          <w:p w14:paraId="2DB21D61" w14:textId="77777777" w:rsidR="00F35DBA" w:rsidRPr="00F35DBA" w:rsidRDefault="00F35DBA" w:rsidP="00F35DBA">
            <w:pPr>
              <w:spacing w:after="160" w:line="360" w:lineRule="auto"/>
              <w:rPr>
                <w:rFonts w:ascii="Arial" w:hAnsi="Arial" w:cs="Arial"/>
              </w:rPr>
            </w:pPr>
            <w:r w:rsidRPr="00F35DBA">
              <w:rPr>
                <w:rFonts w:ascii="Arial" w:hAnsi="Arial" w:cs="Arial"/>
                <w:b/>
                <w:bCs/>
              </w:rPr>
              <w:t>Vulnerable Adults in Supported Housing / Hostels</w:t>
            </w:r>
          </w:p>
        </w:tc>
        <w:tc>
          <w:tcPr>
            <w:tcW w:w="0" w:type="auto"/>
            <w:hideMark/>
          </w:tcPr>
          <w:p w14:paraId="251DDC0B" w14:textId="77777777" w:rsidR="00F35DBA" w:rsidRPr="00F35DBA" w:rsidRDefault="00F35DBA" w:rsidP="00F35DBA">
            <w:pPr>
              <w:spacing w:after="160" w:line="360" w:lineRule="auto"/>
              <w:rPr>
                <w:rFonts w:ascii="Arial" w:hAnsi="Arial" w:cs="Arial"/>
              </w:rPr>
            </w:pPr>
            <w:r w:rsidRPr="00F35DBA">
              <w:rPr>
                <w:rFonts w:ascii="Arial" w:hAnsi="Arial" w:cs="Arial"/>
                <w:b/>
                <w:bCs/>
              </w:rPr>
              <w:t>Elevated Multimorbidity &amp; Substance Dual-Diagnosis:</w:t>
            </w:r>
            <w:r w:rsidRPr="00F35DBA">
              <w:rPr>
                <w:rFonts w:ascii="Arial" w:hAnsi="Arial" w:cs="Arial"/>
              </w:rPr>
              <w:t xml:space="preserve"> High emergency department presentation rates.</w:t>
            </w:r>
          </w:p>
        </w:tc>
        <w:tc>
          <w:tcPr>
            <w:tcW w:w="0" w:type="auto"/>
            <w:hideMark/>
          </w:tcPr>
          <w:p w14:paraId="058F689E" w14:textId="77777777" w:rsidR="00F35DBA" w:rsidRPr="00F35DBA" w:rsidRDefault="00F35DBA" w:rsidP="00F35DBA">
            <w:pPr>
              <w:spacing w:after="160" w:line="360" w:lineRule="auto"/>
              <w:rPr>
                <w:rFonts w:ascii="Arial" w:hAnsi="Arial" w:cs="Arial"/>
              </w:rPr>
            </w:pPr>
            <w:r w:rsidRPr="00F35DBA">
              <w:rPr>
                <w:rFonts w:ascii="Arial" w:hAnsi="Arial" w:cs="Arial"/>
              </w:rPr>
              <w:t>Concurrent alcohol/cannabis misuse; severe nutritional neglect; fragmented primary care continuity; high risk of sepsis and COPD.</w:t>
            </w:r>
          </w:p>
        </w:tc>
      </w:tr>
    </w:tbl>
    <w:p w14:paraId="32E36C9A" w14:textId="3CCA3A74" w:rsidR="00F35DBA" w:rsidRPr="00F35DBA" w:rsidRDefault="00F35DBA" w:rsidP="00F35DBA">
      <w:pPr>
        <w:spacing w:line="360" w:lineRule="auto"/>
        <w:rPr>
          <w:rFonts w:ascii="Arial" w:hAnsi="Arial" w:cs="Arial"/>
        </w:rPr>
      </w:pPr>
      <w:r w:rsidRPr="00F35DBA">
        <w:rPr>
          <w:rFonts w:ascii="Arial" w:hAnsi="Arial" w:cs="Arial"/>
        </w:rPr>
        <w:t xml:space="preserve">This needs assessment confirms that conventional clinic-bound primary care fails to reach the most vulnerable cohorts; interventions must be </w:t>
      </w:r>
      <w:r>
        <w:rPr>
          <w:rFonts w:ascii="Arial" w:hAnsi="Arial" w:cs="Arial"/>
        </w:rPr>
        <w:t>decentralised</w:t>
      </w:r>
      <w:r w:rsidRPr="00F35DBA">
        <w:rPr>
          <w:rFonts w:ascii="Arial" w:hAnsi="Arial" w:cs="Arial"/>
        </w:rPr>
        <w:t xml:space="preserve"> and delivered via assertive community outreach.</w:t>
      </w:r>
    </w:p>
    <w:p w14:paraId="59CA0E0F" w14:textId="77777777" w:rsidR="00F35DBA" w:rsidRPr="00F35DBA" w:rsidRDefault="00F35DBA" w:rsidP="00F35DBA">
      <w:pPr>
        <w:spacing w:line="360" w:lineRule="auto"/>
        <w:rPr>
          <w:rFonts w:ascii="Arial" w:hAnsi="Arial" w:cs="Arial"/>
          <w:b/>
          <w:bCs/>
        </w:rPr>
      </w:pPr>
      <w:r w:rsidRPr="00F35DBA">
        <w:rPr>
          <w:rFonts w:ascii="Arial" w:hAnsi="Arial" w:cs="Arial"/>
          <w:b/>
          <w:bCs/>
        </w:rPr>
        <w:t>4. Monitoring and Public Health Surveillance Systems</w:t>
      </w:r>
    </w:p>
    <w:p w14:paraId="378A458B" w14:textId="77777777" w:rsidR="00F35DBA" w:rsidRPr="00F35DBA" w:rsidRDefault="00F35DBA" w:rsidP="00F35DBA">
      <w:pPr>
        <w:spacing w:line="360" w:lineRule="auto"/>
        <w:rPr>
          <w:rFonts w:ascii="Arial" w:hAnsi="Arial" w:cs="Arial"/>
        </w:rPr>
      </w:pPr>
      <w:r w:rsidRPr="00F35DBA">
        <w:rPr>
          <w:rFonts w:ascii="Arial" w:hAnsi="Arial" w:cs="Arial"/>
        </w:rPr>
        <w:t>Epidemiological monitoring of SMI and associated physical comorbidities in Camden relies on an integrated surveillance network:</w:t>
      </w:r>
    </w:p>
    <w:p w14:paraId="4E9AB525" w14:textId="77777777" w:rsidR="00F35DBA" w:rsidRPr="00F35DBA" w:rsidRDefault="00F35DBA" w:rsidP="00F35DBA">
      <w:pPr>
        <w:numPr>
          <w:ilvl w:val="0"/>
          <w:numId w:val="6"/>
        </w:numPr>
        <w:spacing w:line="360" w:lineRule="auto"/>
        <w:rPr>
          <w:rFonts w:ascii="Arial" w:hAnsi="Arial" w:cs="Arial"/>
        </w:rPr>
      </w:pPr>
      <w:r w:rsidRPr="00F35DBA">
        <w:rPr>
          <w:rFonts w:ascii="Arial" w:hAnsi="Arial" w:cs="Arial"/>
          <w:b/>
          <w:bCs/>
        </w:rPr>
        <w:lastRenderedPageBreak/>
        <w:t xml:space="preserve">Primary Care Electronic Health Records (EMIS Web / </w:t>
      </w:r>
      <w:proofErr w:type="spellStart"/>
      <w:r w:rsidRPr="00F35DBA">
        <w:rPr>
          <w:rFonts w:ascii="Arial" w:hAnsi="Arial" w:cs="Arial"/>
          <w:b/>
          <w:bCs/>
        </w:rPr>
        <w:t>SystmOne</w:t>
      </w:r>
      <w:proofErr w:type="spellEnd"/>
      <w:r w:rsidRPr="00F35DBA">
        <w:rPr>
          <w:rFonts w:ascii="Arial" w:hAnsi="Arial" w:cs="Arial"/>
          <w:b/>
          <w:bCs/>
        </w:rPr>
        <w:t>):</w:t>
      </w:r>
      <w:r w:rsidRPr="00F35DBA">
        <w:rPr>
          <w:rFonts w:ascii="Arial" w:hAnsi="Arial" w:cs="Arial"/>
        </w:rPr>
        <w:t xml:space="preserve"> Continuous passive surveillance captures diagnoses, physical health check completion rates, prescriptions, and biochemical panels (HbA1c, lipid ratios, eGFR) recorded under the Quality and Outcomes Framework (QOF), maintaining an active SMI disease registry across all local PCNs.</w:t>
      </w:r>
    </w:p>
    <w:p w14:paraId="20242981" w14:textId="77777777" w:rsidR="00F35DBA" w:rsidRPr="00F35DBA" w:rsidRDefault="00F35DBA" w:rsidP="00F35DBA">
      <w:pPr>
        <w:numPr>
          <w:ilvl w:val="0"/>
          <w:numId w:val="6"/>
        </w:numPr>
        <w:spacing w:line="360" w:lineRule="auto"/>
        <w:rPr>
          <w:rFonts w:ascii="Arial" w:hAnsi="Arial" w:cs="Arial"/>
        </w:rPr>
      </w:pPr>
      <w:r w:rsidRPr="00F35DBA">
        <w:rPr>
          <w:rFonts w:ascii="Arial" w:hAnsi="Arial" w:cs="Arial"/>
          <w:b/>
          <w:bCs/>
        </w:rPr>
        <w:t>The Mental Health Services Data Set (MHSDS):</w:t>
      </w:r>
      <w:r w:rsidRPr="00F35DBA">
        <w:rPr>
          <w:rFonts w:ascii="Arial" w:hAnsi="Arial" w:cs="Arial"/>
        </w:rPr>
        <w:t xml:space="preserve"> A statutory national dataset linking secondary mental health care (Camden and Islington NHS Foundation Trust) with primary care and acute hospital admissions (Hospital Episode Statistics [HES]). MHSDS tracks physical health monitoring compliance during psychiatric admissions, care coordinator assignments, and crisis team referrals.</w:t>
      </w:r>
    </w:p>
    <w:p w14:paraId="26590445" w14:textId="43FDAFE9" w:rsidR="00F35DBA" w:rsidRPr="00F35DBA" w:rsidRDefault="00F35DBA" w:rsidP="00F35DBA">
      <w:pPr>
        <w:numPr>
          <w:ilvl w:val="0"/>
          <w:numId w:val="6"/>
        </w:numPr>
        <w:spacing w:line="360" w:lineRule="auto"/>
        <w:rPr>
          <w:rFonts w:ascii="Arial" w:hAnsi="Arial" w:cs="Arial"/>
        </w:rPr>
      </w:pPr>
      <w:r w:rsidRPr="00F35DBA">
        <w:rPr>
          <w:rFonts w:ascii="Arial" w:hAnsi="Arial" w:cs="Arial"/>
          <w:b/>
          <w:bCs/>
        </w:rPr>
        <w:t>Office for Health Improvement and Disparities (OHID) Mental Health Fingertips:</w:t>
      </w:r>
      <w:r w:rsidRPr="00F35DBA">
        <w:rPr>
          <w:rFonts w:ascii="Arial" w:hAnsi="Arial" w:cs="Arial"/>
        </w:rPr>
        <w:t xml:space="preserve"> Compiles </w:t>
      </w:r>
      <w:r>
        <w:rPr>
          <w:rFonts w:ascii="Arial" w:hAnsi="Arial" w:cs="Arial"/>
        </w:rPr>
        <w:t>standardised</w:t>
      </w:r>
      <w:r w:rsidRPr="00F35DBA">
        <w:rPr>
          <w:rFonts w:ascii="Arial" w:hAnsi="Arial" w:cs="Arial"/>
        </w:rPr>
        <w:t xml:space="preserve"> population indicators, enabling epidemiologists to benchmark Camden's SMI physical check completion rates and premature mortality against London and national averages.</w:t>
      </w:r>
    </w:p>
    <w:p w14:paraId="40058CB4" w14:textId="77777777" w:rsidR="00F35DBA" w:rsidRPr="00F35DBA" w:rsidRDefault="00F35DBA" w:rsidP="00F35DBA">
      <w:pPr>
        <w:numPr>
          <w:ilvl w:val="0"/>
          <w:numId w:val="6"/>
        </w:numPr>
        <w:spacing w:line="360" w:lineRule="auto"/>
        <w:rPr>
          <w:rFonts w:ascii="Arial" w:hAnsi="Arial" w:cs="Arial"/>
        </w:rPr>
      </w:pPr>
      <w:r w:rsidRPr="00F35DBA">
        <w:rPr>
          <w:rFonts w:ascii="Arial" w:hAnsi="Arial" w:cs="Arial"/>
          <w:b/>
          <w:bCs/>
        </w:rPr>
        <w:t>Secondary Care Sentinel Emergency Surveillance:</w:t>
      </w:r>
      <w:r w:rsidRPr="00F35DBA">
        <w:rPr>
          <w:rFonts w:ascii="Arial" w:hAnsi="Arial" w:cs="Arial"/>
        </w:rPr>
        <w:t xml:space="preserve"> Non-elective admissions for acute diabetic emergencies (DKA, HHS), decompensated heart failure, and acute respiratory failure at University College Hospital (UCH) and the Royal Free Hospital serve as real-time sentinel indicators of failures in outpatient physical health management.</w:t>
      </w:r>
    </w:p>
    <w:p w14:paraId="2FF3B3BA" w14:textId="77777777" w:rsidR="00F35DBA" w:rsidRPr="00F35DBA" w:rsidRDefault="00F35DBA" w:rsidP="00F35DBA">
      <w:pPr>
        <w:spacing w:line="360" w:lineRule="auto"/>
        <w:rPr>
          <w:rFonts w:ascii="Arial" w:hAnsi="Arial" w:cs="Arial"/>
          <w:b/>
          <w:bCs/>
        </w:rPr>
      </w:pPr>
      <w:r w:rsidRPr="00F35DBA">
        <w:rPr>
          <w:rFonts w:ascii="Arial" w:hAnsi="Arial" w:cs="Arial"/>
          <w:b/>
          <w:bCs/>
        </w:rPr>
        <w:t>5. Short- and Long-Term Public Health Impacts</w:t>
      </w:r>
    </w:p>
    <w:p w14:paraId="3342B459" w14:textId="3C3BB8BF" w:rsidR="00F35DBA" w:rsidRPr="00F35DBA" w:rsidRDefault="00F35DBA" w:rsidP="00F35DBA">
      <w:pPr>
        <w:spacing w:line="360" w:lineRule="auto"/>
        <w:rPr>
          <w:rFonts w:ascii="Arial" w:hAnsi="Arial" w:cs="Arial"/>
        </w:rPr>
      </w:pPr>
      <w:r w:rsidRPr="00F35DBA">
        <w:rPr>
          <w:rFonts w:ascii="Arial" w:hAnsi="Arial" w:cs="Arial"/>
        </w:rPr>
        <w:t xml:space="preserve">Epidemiological </w:t>
      </w:r>
      <w:r>
        <w:rPr>
          <w:rFonts w:ascii="Arial" w:hAnsi="Arial" w:cs="Arial"/>
        </w:rPr>
        <w:t>modelling</w:t>
      </w:r>
      <w:r w:rsidRPr="00F35DBA">
        <w:rPr>
          <w:rFonts w:ascii="Arial" w:hAnsi="Arial" w:cs="Arial"/>
        </w:rPr>
        <w:t xml:space="preserve"> projects significant population-level consequences for Camden:</w:t>
      </w:r>
    </w:p>
    <w:p w14:paraId="210D82A4" w14:textId="77777777" w:rsidR="00F35DBA" w:rsidRPr="00F35DBA" w:rsidRDefault="00F35DBA" w:rsidP="00F35DBA">
      <w:pPr>
        <w:numPr>
          <w:ilvl w:val="0"/>
          <w:numId w:val="7"/>
        </w:numPr>
        <w:spacing w:line="360" w:lineRule="auto"/>
        <w:rPr>
          <w:rFonts w:ascii="Arial" w:hAnsi="Arial" w:cs="Arial"/>
        </w:rPr>
      </w:pPr>
      <w:r w:rsidRPr="00F35DBA">
        <w:rPr>
          <w:rFonts w:ascii="Arial" w:hAnsi="Arial" w:cs="Arial"/>
          <w:b/>
          <w:bCs/>
        </w:rPr>
        <w:t>Short-Term Consequences (1–3 Years):</w:t>
      </w:r>
      <w:r w:rsidRPr="00F35DBA">
        <w:rPr>
          <w:rFonts w:ascii="Arial" w:hAnsi="Arial" w:cs="Arial"/>
        </w:rPr>
        <w:t xml:space="preserve"> Increased pressure on acute emergency departments for physical and psychiatric crises, rising prescribing costs for polypharmacy (combining antipsychotics, statins, antihypertensives, and </w:t>
      </w:r>
      <w:proofErr w:type="spellStart"/>
      <w:r w:rsidRPr="00F35DBA">
        <w:rPr>
          <w:rFonts w:ascii="Arial" w:hAnsi="Arial" w:cs="Arial"/>
        </w:rPr>
        <w:t>hypoglycemic</w:t>
      </w:r>
      <w:proofErr w:type="spellEnd"/>
      <w:r w:rsidRPr="00F35DBA">
        <w:rPr>
          <w:rFonts w:ascii="Arial" w:hAnsi="Arial" w:cs="Arial"/>
        </w:rPr>
        <w:t xml:space="preserve"> agents), and prolonged psychiatric inpatient stays complicated by unmanaged physical illness.</w:t>
      </w:r>
    </w:p>
    <w:p w14:paraId="1E598BEC" w14:textId="77777777" w:rsidR="00F35DBA" w:rsidRPr="00F35DBA" w:rsidRDefault="00F35DBA" w:rsidP="00F35DBA">
      <w:pPr>
        <w:numPr>
          <w:ilvl w:val="0"/>
          <w:numId w:val="7"/>
        </w:numPr>
        <w:spacing w:line="360" w:lineRule="auto"/>
        <w:rPr>
          <w:rFonts w:ascii="Arial" w:hAnsi="Arial" w:cs="Arial"/>
        </w:rPr>
      </w:pPr>
      <w:r w:rsidRPr="00F35DBA">
        <w:rPr>
          <w:rFonts w:ascii="Arial" w:hAnsi="Arial" w:cs="Arial"/>
          <w:b/>
          <w:bCs/>
        </w:rPr>
        <w:t>Long-Term Consequences (5–20 Years):</w:t>
      </w:r>
      <w:r w:rsidRPr="00F35DBA">
        <w:rPr>
          <w:rFonts w:ascii="Arial" w:hAnsi="Arial" w:cs="Arial"/>
        </w:rPr>
        <w:t xml:space="preserve"> Continued excess cardiovascular mortality before age 75, accelerated vascular dementia, end-stage renal disease, and premature institutionalisation in nursing care. Without integrated </w:t>
      </w:r>
      <w:r w:rsidRPr="00F35DBA">
        <w:rPr>
          <w:rFonts w:ascii="Arial" w:hAnsi="Arial" w:cs="Arial"/>
        </w:rPr>
        <w:lastRenderedPageBreak/>
        <w:t>intervention, local NHS and adult social care costs associated with managing physical multimorbidity in SMI are projected to increase by 39% over the next 15 years (Camden JSNA, 2023).</w:t>
      </w:r>
    </w:p>
    <w:p w14:paraId="6C599501" w14:textId="77777777" w:rsidR="00F35DBA" w:rsidRPr="00F35DBA" w:rsidRDefault="00F35DBA" w:rsidP="00F35DBA">
      <w:pPr>
        <w:spacing w:line="360" w:lineRule="auto"/>
        <w:rPr>
          <w:rFonts w:ascii="Arial" w:hAnsi="Arial" w:cs="Arial"/>
          <w:b/>
          <w:bCs/>
        </w:rPr>
      </w:pPr>
      <w:r w:rsidRPr="00F35DBA">
        <w:rPr>
          <w:rFonts w:ascii="Arial" w:hAnsi="Arial" w:cs="Arial"/>
          <w:b/>
          <w:bCs/>
        </w:rPr>
        <w:t>6. Intervention Programme Design and Evaluation</w:t>
      </w:r>
    </w:p>
    <w:p w14:paraId="43B63103" w14:textId="77777777" w:rsidR="00F35DBA" w:rsidRPr="00F35DBA" w:rsidRDefault="00F35DBA" w:rsidP="00F35DBA">
      <w:pPr>
        <w:spacing w:line="360" w:lineRule="auto"/>
        <w:rPr>
          <w:rFonts w:ascii="Arial" w:hAnsi="Arial" w:cs="Arial"/>
        </w:rPr>
      </w:pPr>
      <w:r w:rsidRPr="00F35DBA">
        <w:rPr>
          <w:rFonts w:ascii="Arial" w:hAnsi="Arial" w:cs="Arial"/>
        </w:rPr>
        <w:t xml:space="preserve">To address these epidemiological disparities, we propose the </w:t>
      </w:r>
      <w:r w:rsidRPr="00F35DBA">
        <w:rPr>
          <w:rFonts w:ascii="Arial" w:hAnsi="Arial" w:cs="Arial"/>
          <w:b/>
          <w:bCs/>
        </w:rPr>
        <w:t>Camden Integrated Physical and Mental Health Empowerment (CIPME) Programme</w:t>
      </w:r>
      <w:r w:rsidRPr="00F35DBA">
        <w:rPr>
          <w:rFonts w:ascii="Arial" w:hAnsi="Arial" w:cs="Arial"/>
        </w:rPr>
        <w:t>.</w:t>
      </w:r>
    </w:p>
    <w:p w14:paraId="3F831E6D" w14:textId="3CC92957" w:rsidR="00F35DBA" w:rsidRPr="00F35DBA" w:rsidRDefault="00F35DBA" w:rsidP="00F35DBA">
      <w:pPr>
        <w:numPr>
          <w:ilvl w:val="0"/>
          <w:numId w:val="8"/>
        </w:numPr>
        <w:spacing w:line="360" w:lineRule="auto"/>
        <w:rPr>
          <w:rFonts w:ascii="Arial" w:hAnsi="Arial" w:cs="Arial"/>
        </w:rPr>
      </w:pPr>
      <w:r w:rsidRPr="00F35DBA">
        <w:rPr>
          <w:rFonts w:ascii="Arial" w:hAnsi="Arial" w:cs="Arial"/>
          <w:b/>
          <w:bCs/>
        </w:rPr>
        <w:t>Target Population:</w:t>
      </w:r>
      <w:r w:rsidRPr="00F35DBA">
        <w:rPr>
          <w:rFonts w:ascii="Arial" w:hAnsi="Arial" w:cs="Arial"/>
        </w:rPr>
        <w:t xml:space="preserve"> Adults aged 18–70 registered with an SMI diagnosis on Camden GP registers or receiving secondary mental health care, with particular </w:t>
      </w:r>
      <w:r>
        <w:rPr>
          <w:rFonts w:ascii="Arial" w:hAnsi="Arial" w:cs="Arial"/>
        </w:rPr>
        <w:t>prioritisation of minoritised</w:t>
      </w:r>
      <w:r w:rsidRPr="00F35DBA">
        <w:rPr>
          <w:rFonts w:ascii="Arial" w:hAnsi="Arial" w:cs="Arial"/>
        </w:rPr>
        <w:t xml:space="preserve"> ethnic groups and individuals residing in supported accommodation.</w:t>
      </w:r>
    </w:p>
    <w:p w14:paraId="24330960" w14:textId="77777777" w:rsidR="00F35DBA" w:rsidRPr="00F35DBA" w:rsidRDefault="00F35DBA" w:rsidP="00F35DBA">
      <w:pPr>
        <w:numPr>
          <w:ilvl w:val="0"/>
          <w:numId w:val="8"/>
        </w:numPr>
        <w:spacing w:line="360" w:lineRule="auto"/>
        <w:rPr>
          <w:rFonts w:ascii="Arial" w:hAnsi="Arial" w:cs="Arial"/>
        </w:rPr>
      </w:pPr>
      <w:r w:rsidRPr="00F35DBA">
        <w:rPr>
          <w:rFonts w:ascii="Arial" w:hAnsi="Arial" w:cs="Arial"/>
          <w:b/>
          <w:bCs/>
        </w:rPr>
        <w:t>Key Components:</w:t>
      </w:r>
    </w:p>
    <w:p w14:paraId="54FB702E" w14:textId="616E2BC6" w:rsidR="00F35DBA" w:rsidRPr="00F35DBA" w:rsidRDefault="00F35DBA" w:rsidP="00F35DBA">
      <w:pPr>
        <w:numPr>
          <w:ilvl w:val="1"/>
          <w:numId w:val="8"/>
        </w:numPr>
        <w:spacing w:line="360" w:lineRule="auto"/>
        <w:rPr>
          <w:rFonts w:ascii="Arial" w:hAnsi="Arial" w:cs="Arial"/>
        </w:rPr>
      </w:pPr>
      <w:r w:rsidRPr="00F35DBA">
        <w:rPr>
          <w:rFonts w:ascii="Arial" w:hAnsi="Arial" w:cs="Arial"/>
        </w:rPr>
        <w:t xml:space="preserve">Assertive Community Outreach Health Checks: Deploying multidisciplinary Mobile Health Vans staffed by physical health nurses and peer support workers to hostels, community mental health </w:t>
      </w:r>
      <w:r>
        <w:rPr>
          <w:rFonts w:ascii="Arial" w:hAnsi="Arial" w:cs="Arial"/>
        </w:rPr>
        <w:t>centres, and day centres</w:t>
      </w:r>
      <w:r w:rsidRPr="00F35DBA">
        <w:rPr>
          <w:rFonts w:ascii="Arial" w:hAnsi="Arial" w:cs="Arial"/>
        </w:rPr>
        <w:t xml:space="preserve"> to perform point-of-care capillary blood testing (HbA1c/lipids), blood pressure checks, and ECGs.</w:t>
      </w:r>
    </w:p>
    <w:p w14:paraId="4D0B796A" w14:textId="1456FA3B" w:rsidR="00F35DBA" w:rsidRPr="00F35DBA" w:rsidRDefault="00F35DBA" w:rsidP="00F35DBA">
      <w:pPr>
        <w:numPr>
          <w:ilvl w:val="1"/>
          <w:numId w:val="8"/>
        </w:numPr>
        <w:spacing w:line="360" w:lineRule="auto"/>
        <w:rPr>
          <w:rFonts w:ascii="Arial" w:hAnsi="Arial" w:cs="Arial"/>
        </w:rPr>
      </w:pPr>
      <w:r w:rsidRPr="00F35DBA">
        <w:rPr>
          <w:rFonts w:ascii="Arial" w:hAnsi="Arial" w:cs="Arial"/>
        </w:rPr>
        <w:t xml:space="preserve">Integrated Primary Care Physical Health Clinics: Co-locating </w:t>
      </w:r>
      <w:r>
        <w:rPr>
          <w:rFonts w:ascii="Arial" w:hAnsi="Arial" w:cs="Arial"/>
        </w:rPr>
        <w:t>specialised</w:t>
      </w:r>
      <w:r w:rsidRPr="00F35DBA">
        <w:rPr>
          <w:rFonts w:ascii="Arial" w:hAnsi="Arial" w:cs="Arial"/>
        </w:rPr>
        <w:t xml:space="preserve"> GP and clinical pharmacist sessions within secondary mental health outpatient clinics, enabling single-visit psychiatric review and physical medication titration.</w:t>
      </w:r>
    </w:p>
    <w:p w14:paraId="4C3DB624" w14:textId="3B154821" w:rsidR="00F35DBA" w:rsidRPr="00F35DBA" w:rsidRDefault="00F35DBA" w:rsidP="00F35DBA">
      <w:pPr>
        <w:numPr>
          <w:ilvl w:val="1"/>
          <w:numId w:val="8"/>
        </w:numPr>
        <w:spacing w:line="360" w:lineRule="auto"/>
        <w:rPr>
          <w:rFonts w:ascii="Arial" w:hAnsi="Arial" w:cs="Arial"/>
        </w:rPr>
      </w:pPr>
      <w:r w:rsidRPr="00F35DBA">
        <w:rPr>
          <w:rFonts w:ascii="Arial" w:hAnsi="Arial" w:cs="Arial"/>
        </w:rPr>
        <w:t xml:space="preserve">Tailored Lifestyle and Harm Reduction Pathways: Delivering </w:t>
      </w:r>
      <w:r>
        <w:rPr>
          <w:rFonts w:ascii="Arial" w:hAnsi="Arial" w:cs="Arial"/>
        </w:rPr>
        <w:t>specialised, smoke-free vaping transition support, subsidised</w:t>
      </w:r>
      <w:r w:rsidRPr="00F35DBA">
        <w:rPr>
          <w:rFonts w:ascii="Arial" w:hAnsi="Arial" w:cs="Arial"/>
        </w:rPr>
        <w:t xml:space="preserve"> leisure memberships with designated mental health fitness instructors, and cooking courses in community kitchens.</w:t>
      </w:r>
    </w:p>
    <w:p w14:paraId="76816CB9" w14:textId="77777777" w:rsidR="00F35DBA" w:rsidRPr="00F35DBA" w:rsidRDefault="00F35DBA" w:rsidP="00F35DBA">
      <w:pPr>
        <w:numPr>
          <w:ilvl w:val="0"/>
          <w:numId w:val="8"/>
        </w:numPr>
        <w:spacing w:line="360" w:lineRule="auto"/>
        <w:rPr>
          <w:rFonts w:ascii="Arial" w:hAnsi="Arial" w:cs="Arial"/>
        </w:rPr>
      </w:pPr>
      <w:r w:rsidRPr="00F35DBA">
        <w:rPr>
          <w:rFonts w:ascii="Arial" w:hAnsi="Arial" w:cs="Arial"/>
          <w:b/>
          <w:bCs/>
        </w:rPr>
        <w:t>Evaluation Framework:</w:t>
      </w:r>
      <w:r w:rsidRPr="00F35DBA">
        <w:rPr>
          <w:rFonts w:ascii="Arial" w:hAnsi="Arial" w:cs="Arial"/>
        </w:rPr>
        <w:t xml:space="preserve"> A mixed-methods epidemiological study design will assess:</w:t>
      </w:r>
    </w:p>
    <w:p w14:paraId="5E34F9C1" w14:textId="2A25B7F7" w:rsidR="00F35DBA" w:rsidRPr="00F35DBA" w:rsidRDefault="00F35DBA" w:rsidP="00F35DBA">
      <w:pPr>
        <w:numPr>
          <w:ilvl w:val="1"/>
          <w:numId w:val="9"/>
        </w:numPr>
        <w:spacing w:line="360" w:lineRule="auto"/>
        <w:rPr>
          <w:rFonts w:ascii="Arial" w:hAnsi="Arial" w:cs="Arial"/>
        </w:rPr>
      </w:pPr>
      <w:r w:rsidRPr="00F35DBA">
        <w:rPr>
          <w:rFonts w:ascii="Arial" w:hAnsi="Arial" w:cs="Arial"/>
        </w:rPr>
        <w:t xml:space="preserve">Process Metrics: Percentage of SMI cohort completing all six elements of the NHS Physical Health Check (target </w:t>
      </w:r>
      <m:oMath>
        <m:r>
          <m:rPr>
            <m:sty m:val="p"/>
          </m:rPr>
          <w:rPr>
            <w:rFonts w:ascii="Cambria Math" w:hAnsi="Cambria Math" w:cs="Arial"/>
          </w:rPr>
          <m:t>≥75%</m:t>
        </m:r>
      </m:oMath>
      <w:r w:rsidRPr="00F35DBA">
        <w:rPr>
          <w:rFonts w:ascii="Arial" w:hAnsi="Arial" w:cs="Arial"/>
        </w:rPr>
        <w:t>referral-to-treatment times, and retention rates in smoking cessation services.</w:t>
      </w:r>
    </w:p>
    <w:p w14:paraId="315E4764" w14:textId="77777777" w:rsidR="00F35DBA" w:rsidRPr="00F35DBA" w:rsidRDefault="00F35DBA" w:rsidP="00F35DBA">
      <w:pPr>
        <w:numPr>
          <w:ilvl w:val="1"/>
          <w:numId w:val="9"/>
        </w:numPr>
        <w:spacing w:line="360" w:lineRule="auto"/>
        <w:rPr>
          <w:rFonts w:ascii="Arial" w:hAnsi="Arial" w:cs="Arial"/>
        </w:rPr>
      </w:pPr>
      <w:r w:rsidRPr="00F35DBA">
        <w:rPr>
          <w:rFonts w:ascii="Arial" w:hAnsi="Arial" w:cs="Arial"/>
        </w:rPr>
        <w:lastRenderedPageBreak/>
        <w:t>Intermediate Clinical Endpoints (6–12 months): Mean reductions in systolic blood pressure, HbA1c, and LDL cholesterol, along with verified 12-week smoking quit rates.</w:t>
      </w:r>
    </w:p>
    <w:p w14:paraId="08E59ED9" w14:textId="77777777" w:rsidR="00F35DBA" w:rsidRPr="00F35DBA" w:rsidRDefault="00F35DBA" w:rsidP="00F35DBA">
      <w:pPr>
        <w:numPr>
          <w:ilvl w:val="1"/>
          <w:numId w:val="9"/>
        </w:numPr>
        <w:spacing w:line="360" w:lineRule="auto"/>
        <w:rPr>
          <w:rFonts w:ascii="Arial" w:hAnsi="Arial" w:cs="Arial"/>
        </w:rPr>
      </w:pPr>
      <w:r w:rsidRPr="00F35DBA">
        <w:rPr>
          <w:rFonts w:ascii="Arial" w:hAnsi="Arial" w:cs="Arial"/>
        </w:rPr>
        <w:t>Long-Term Epidemiological Outcomes (3–5 years): Reductions in emergency admissions for cardiovascular and respiratory conditions (HES data) and decreases in premature all-cause mortality, evaluated through a difference-in-differences analysis comparing Camden with a demographically matched control London borough (e.g., the London Borough of Islington).</w:t>
      </w:r>
    </w:p>
    <w:p w14:paraId="6C0BA44D" w14:textId="77777777" w:rsidR="00F35DBA" w:rsidRPr="00F35DBA" w:rsidRDefault="00F35DBA" w:rsidP="00F35DBA">
      <w:pPr>
        <w:spacing w:line="360" w:lineRule="auto"/>
        <w:rPr>
          <w:rFonts w:ascii="Arial" w:hAnsi="Arial" w:cs="Arial"/>
          <w:b/>
          <w:bCs/>
        </w:rPr>
      </w:pPr>
      <w:r w:rsidRPr="00F35DBA">
        <w:rPr>
          <w:rFonts w:ascii="Arial" w:hAnsi="Arial" w:cs="Arial"/>
          <w:b/>
          <w:bCs/>
        </w:rPr>
        <w:t>7. Strengths and Weaknesses of the Epidemiological Approach</w:t>
      </w:r>
    </w:p>
    <w:p w14:paraId="15AB0407" w14:textId="77777777" w:rsidR="00F35DBA" w:rsidRPr="00F35DBA" w:rsidRDefault="00F35DBA" w:rsidP="00F35DBA">
      <w:pPr>
        <w:numPr>
          <w:ilvl w:val="0"/>
          <w:numId w:val="10"/>
        </w:numPr>
        <w:spacing w:line="360" w:lineRule="auto"/>
        <w:rPr>
          <w:rFonts w:ascii="Arial" w:hAnsi="Arial" w:cs="Arial"/>
        </w:rPr>
      </w:pPr>
      <w:r w:rsidRPr="00F35DBA">
        <w:rPr>
          <w:rFonts w:ascii="Arial" w:hAnsi="Arial" w:cs="Arial"/>
          <w:b/>
          <w:bCs/>
        </w:rPr>
        <w:t>Strengths:</w:t>
      </w:r>
    </w:p>
    <w:p w14:paraId="5CC6434D" w14:textId="0DEAE545" w:rsidR="00F35DBA" w:rsidRPr="00F35DBA" w:rsidRDefault="00F35DBA" w:rsidP="00F35DBA">
      <w:pPr>
        <w:numPr>
          <w:ilvl w:val="1"/>
          <w:numId w:val="10"/>
        </w:numPr>
        <w:spacing w:line="360" w:lineRule="auto"/>
        <w:rPr>
          <w:rFonts w:ascii="Arial" w:hAnsi="Arial" w:cs="Arial"/>
        </w:rPr>
      </w:pPr>
      <w:r>
        <w:rPr>
          <w:rFonts w:ascii="Arial" w:hAnsi="Arial" w:cs="Arial"/>
        </w:rPr>
        <w:t>Utilising comprehensive administrative health datasets (QOF, MHSDS, and HES) provides whole-population coverage, minimising selection bias and identifying localised</w:t>
      </w:r>
      <w:r w:rsidRPr="00F35DBA">
        <w:rPr>
          <w:rFonts w:ascii="Arial" w:hAnsi="Arial" w:cs="Arial"/>
        </w:rPr>
        <w:t xml:space="preserve"> geographical hotspots of unmet physical health need.</w:t>
      </w:r>
    </w:p>
    <w:p w14:paraId="3D10DB1B" w14:textId="77777777" w:rsidR="00F35DBA" w:rsidRPr="00F35DBA" w:rsidRDefault="00F35DBA" w:rsidP="00F35DBA">
      <w:pPr>
        <w:numPr>
          <w:ilvl w:val="1"/>
          <w:numId w:val="10"/>
        </w:numPr>
        <w:spacing w:line="360" w:lineRule="auto"/>
        <w:rPr>
          <w:rFonts w:ascii="Arial" w:hAnsi="Arial" w:cs="Arial"/>
        </w:rPr>
      </w:pPr>
      <w:r w:rsidRPr="00F35DBA">
        <w:rPr>
          <w:rFonts w:ascii="Arial" w:hAnsi="Arial" w:cs="Arial"/>
        </w:rPr>
        <w:t>It facilitates clinical risk stratification, enabling scarce public health and NHS resources to be deployed upstream to high-risk cohorts with maximum preventative impact.</w:t>
      </w:r>
    </w:p>
    <w:p w14:paraId="4AB2777F" w14:textId="77777777" w:rsidR="00F35DBA" w:rsidRPr="00F35DBA" w:rsidRDefault="00F35DBA" w:rsidP="00F35DBA">
      <w:pPr>
        <w:numPr>
          <w:ilvl w:val="0"/>
          <w:numId w:val="10"/>
        </w:numPr>
        <w:spacing w:line="360" w:lineRule="auto"/>
        <w:rPr>
          <w:rFonts w:ascii="Arial" w:hAnsi="Arial" w:cs="Arial"/>
        </w:rPr>
      </w:pPr>
      <w:r w:rsidRPr="00F35DBA">
        <w:rPr>
          <w:rFonts w:ascii="Arial" w:hAnsi="Arial" w:cs="Arial"/>
          <w:b/>
          <w:bCs/>
        </w:rPr>
        <w:t>Weaknesses and Methodological Limitations:</w:t>
      </w:r>
    </w:p>
    <w:p w14:paraId="3B9F1110" w14:textId="77777777" w:rsidR="00F35DBA" w:rsidRPr="00F35DBA" w:rsidRDefault="00F35DBA" w:rsidP="00F35DBA">
      <w:pPr>
        <w:numPr>
          <w:ilvl w:val="1"/>
          <w:numId w:val="10"/>
        </w:numPr>
        <w:spacing w:line="360" w:lineRule="auto"/>
        <w:rPr>
          <w:rFonts w:ascii="Arial" w:hAnsi="Arial" w:cs="Arial"/>
        </w:rPr>
      </w:pPr>
      <w:r w:rsidRPr="00F35DBA">
        <w:rPr>
          <w:rFonts w:ascii="Arial" w:hAnsi="Arial" w:cs="Arial"/>
        </w:rPr>
        <w:t>Routine primary care registers capture only diagnosed SMI cases, systematically undercounting undiagnosed individuals, homeless populations, and unregistered transient residents, leading to an underestimation of true community morbidity.</w:t>
      </w:r>
    </w:p>
    <w:p w14:paraId="605E690E" w14:textId="0DEE258C" w:rsidR="00F35DBA" w:rsidRPr="00F35DBA" w:rsidRDefault="00F35DBA" w:rsidP="00F35DBA">
      <w:pPr>
        <w:numPr>
          <w:ilvl w:val="1"/>
          <w:numId w:val="10"/>
        </w:numPr>
        <w:spacing w:line="360" w:lineRule="auto"/>
        <w:rPr>
          <w:rFonts w:ascii="Arial" w:hAnsi="Arial" w:cs="Arial"/>
        </w:rPr>
      </w:pPr>
      <w:r w:rsidRPr="00F35DBA">
        <w:rPr>
          <w:rFonts w:ascii="Arial" w:hAnsi="Arial" w:cs="Arial"/>
        </w:rPr>
        <w:t xml:space="preserve">Observational epidemiological studies face residual confounding (e.g., unmeasured variations in diet, substance use, or childhood trauma) and risk the ecological fallacy when borough-wide metrics are </w:t>
      </w:r>
      <w:r>
        <w:rPr>
          <w:rFonts w:ascii="Arial" w:hAnsi="Arial" w:cs="Arial"/>
        </w:rPr>
        <w:t>generalised</w:t>
      </w:r>
      <w:r w:rsidRPr="00F35DBA">
        <w:rPr>
          <w:rFonts w:ascii="Arial" w:hAnsi="Arial" w:cs="Arial"/>
        </w:rPr>
        <w:t xml:space="preserve"> to individual patients.</w:t>
      </w:r>
    </w:p>
    <w:p w14:paraId="20F11A8D" w14:textId="0B2E7693" w:rsidR="00F35DBA" w:rsidRPr="00F35DBA" w:rsidRDefault="00F35DBA" w:rsidP="00F35DBA">
      <w:pPr>
        <w:numPr>
          <w:ilvl w:val="1"/>
          <w:numId w:val="10"/>
        </w:numPr>
        <w:spacing w:line="360" w:lineRule="auto"/>
        <w:rPr>
          <w:rFonts w:ascii="Arial" w:hAnsi="Arial" w:cs="Arial"/>
        </w:rPr>
      </w:pPr>
      <w:r w:rsidRPr="00F35DBA">
        <w:rPr>
          <w:rFonts w:ascii="Arial" w:hAnsi="Arial" w:cs="Arial"/>
        </w:rPr>
        <w:t xml:space="preserve">Administrative datasets often have incomplete recording of health </w:t>
      </w:r>
      <w:r>
        <w:rPr>
          <w:rFonts w:ascii="Arial" w:hAnsi="Arial" w:cs="Arial"/>
        </w:rPr>
        <w:t>behaviour variables (e.g., precise diet, exercise minutes, or medication compliance), constraining multivariable causal modelling</w:t>
      </w:r>
      <w:r w:rsidRPr="00F35DBA">
        <w:rPr>
          <w:rFonts w:ascii="Arial" w:hAnsi="Arial" w:cs="Arial"/>
        </w:rPr>
        <w:t>.</w:t>
      </w:r>
    </w:p>
    <w:p w14:paraId="5C944C3E" w14:textId="77777777" w:rsidR="00F35DBA" w:rsidRPr="00F35DBA" w:rsidRDefault="00F35DBA" w:rsidP="00F35DBA">
      <w:pPr>
        <w:spacing w:line="360" w:lineRule="auto"/>
        <w:rPr>
          <w:rFonts w:ascii="Arial" w:hAnsi="Arial" w:cs="Arial"/>
          <w:b/>
          <w:bCs/>
        </w:rPr>
      </w:pPr>
      <w:r w:rsidRPr="00F35DBA">
        <w:rPr>
          <w:rFonts w:ascii="Arial" w:hAnsi="Arial" w:cs="Arial"/>
          <w:b/>
          <w:bCs/>
        </w:rPr>
        <w:lastRenderedPageBreak/>
        <w:t>References</w:t>
      </w:r>
    </w:p>
    <w:p w14:paraId="403DC921"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Camden Joint Strategic Needs Assessment [JSNA], 2023. Severe Mental Illness and Physical Health Needs Assessment. London: London Borough of Camden and Camden &amp; Islington NHS Foundation Trust.</w:t>
      </w:r>
    </w:p>
    <w:p w14:paraId="1D59D254"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 xml:space="preserve">Correll, C.U., </w:t>
      </w:r>
      <w:proofErr w:type="spellStart"/>
      <w:r w:rsidRPr="00F35DBA">
        <w:rPr>
          <w:rFonts w:ascii="Arial" w:hAnsi="Arial" w:cs="Arial"/>
        </w:rPr>
        <w:t>Solmi</w:t>
      </w:r>
      <w:proofErr w:type="spellEnd"/>
      <w:r w:rsidRPr="00F35DBA">
        <w:rPr>
          <w:rFonts w:ascii="Arial" w:hAnsi="Arial" w:cs="Arial"/>
        </w:rPr>
        <w:t xml:space="preserve">, M., Veronese, N., </w:t>
      </w:r>
      <w:proofErr w:type="spellStart"/>
      <w:r w:rsidRPr="00F35DBA">
        <w:rPr>
          <w:rFonts w:ascii="Arial" w:hAnsi="Arial" w:cs="Arial"/>
        </w:rPr>
        <w:t>Bortolato</w:t>
      </w:r>
      <w:proofErr w:type="spellEnd"/>
      <w:r w:rsidRPr="00F35DBA">
        <w:rPr>
          <w:rFonts w:ascii="Arial" w:hAnsi="Arial" w:cs="Arial"/>
        </w:rPr>
        <w:t>, B., Rosson, S., Santonastaso, P., Thapa-</w:t>
      </w:r>
      <w:proofErr w:type="spellStart"/>
      <w:r w:rsidRPr="00F35DBA">
        <w:rPr>
          <w:rFonts w:ascii="Arial" w:hAnsi="Arial" w:cs="Arial"/>
        </w:rPr>
        <w:t>Chhetry</w:t>
      </w:r>
      <w:proofErr w:type="spellEnd"/>
      <w:r w:rsidRPr="00F35DBA">
        <w:rPr>
          <w:rFonts w:ascii="Arial" w:hAnsi="Arial" w:cs="Arial"/>
        </w:rPr>
        <w:t xml:space="preserve">, B., Fornaro, M., Galling, B., Carvalho, A.F. and Stubbs, B., 2017. Prevalence, incidence and mortality from cardiovascular disease in patients with pooled and specific severe mental illness: a large-scale meta-analysis of 3,211,768 patients and 113,383,368 controls. World Psychiatry, 16(2), pp.163–180. </w:t>
      </w:r>
    </w:p>
    <w:p w14:paraId="19E6A41B"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Dahlgren, G. and Whitehead, M., 2021. The Dahlgren-Whitehead model of health determinants: 30 years on and still relevant. Scandinavian Journal of Public Health, 49(1), pp.10–16.</w:t>
      </w:r>
    </w:p>
    <w:p w14:paraId="40324D24"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Department for Work and Pensions [DWP], 2024. Family Resources Survey: Financial Year 2022 to 2023 - Disability Data. London: HM Government.</w:t>
      </w:r>
    </w:p>
    <w:p w14:paraId="64C633CB"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Department of Health and Social Care [DHSC], 2022. The Oliver McGowan Mandatory Training on Learning Disability and Autism: Statutory Guidance. London: HM Government.</w:t>
      </w:r>
    </w:p>
    <w:p w14:paraId="22BDEB28"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Emerson, E. and Hatton, C., 2014. Health Inequalities and People with Intellectual Disabilities. Cambridge: Cambridge University Press.</w:t>
      </w:r>
    </w:p>
    <w:p w14:paraId="6AF33366"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Heslop, P., Calkin, R., Chauhan, U., Copas, L., Cornall, R., Davies, H., Goodey, R., Jarvis, P., Jones, M., Marriott, A. and Sullivan, F., 2021. The Learning Disabilities Mortality Review (</w:t>
      </w:r>
      <w:proofErr w:type="spellStart"/>
      <w:r w:rsidRPr="00F35DBA">
        <w:rPr>
          <w:rFonts w:ascii="Arial" w:hAnsi="Arial" w:cs="Arial"/>
        </w:rPr>
        <w:t>LeDeR</w:t>
      </w:r>
      <w:proofErr w:type="spellEnd"/>
      <w:r w:rsidRPr="00F35DBA">
        <w:rPr>
          <w:rFonts w:ascii="Arial" w:hAnsi="Arial" w:cs="Arial"/>
        </w:rPr>
        <w:t>) Programme: Annual Report 2020. London: King's College London.</w:t>
      </w:r>
    </w:p>
    <w:p w14:paraId="0F07B00B" w14:textId="6DE63FC3" w:rsidR="00F35DBA" w:rsidRPr="00F35DBA" w:rsidRDefault="00F35DBA" w:rsidP="00F35DBA">
      <w:pPr>
        <w:numPr>
          <w:ilvl w:val="0"/>
          <w:numId w:val="11"/>
        </w:numPr>
        <w:spacing w:line="360" w:lineRule="auto"/>
        <w:rPr>
          <w:rFonts w:ascii="Arial" w:hAnsi="Arial" w:cs="Arial"/>
        </w:rPr>
      </w:pPr>
      <w:r w:rsidRPr="00F35DBA">
        <w:rPr>
          <w:rFonts w:ascii="Arial" w:hAnsi="Arial" w:cs="Arial"/>
        </w:rPr>
        <w:t xml:space="preserve">Lawrence, D., Hancock, K.J. and </w:t>
      </w:r>
      <w:proofErr w:type="spellStart"/>
      <w:r w:rsidRPr="00F35DBA">
        <w:rPr>
          <w:rFonts w:ascii="Arial" w:hAnsi="Arial" w:cs="Arial"/>
        </w:rPr>
        <w:t>Kisely</w:t>
      </w:r>
      <w:proofErr w:type="spellEnd"/>
      <w:r w:rsidRPr="00F35DBA">
        <w:rPr>
          <w:rFonts w:ascii="Arial" w:hAnsi="Arial" w:cs="Arial"/>
        </w:rPr>
        <w:t xml:space="preserve">, S., 2013. The gap in life expectancy from preventable physical illness in psychiatric patients in Western Australia: retrospective analysis of </w:t>
      </w:r>
      <w:r>
        <w:rPr>
          <w:rFonts w:ascii="Arial" w:hAnsi="Arial" w:cs="Arial"/>
        </w:rPr>
        <w:t>population-based</w:t>
      </w:r>
      <w:r w:rsidRPr="00F35DBA">
        <w:rPr>
          <w:rFonts w:ascii="Arial" w:hAnsi="Arial" w:cs="Arial"/>
        </w:rPr>
        <w:t xml:space="preserve"> registers. BMJ, 346, p.f2539.</w:t>
      </w:r>
    </w:p>
    <w:p w14:paraId="34F93D56"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Marmot, M., Allen, J., Boyce, T., Goldblatt, P. and Morrison, J., 2020. Health Equity in England: The Marmot Review 10 Years On. London: Institute of Health Equity.</w:t>
      </w:r>
    </w:p>
    <w:p w14:paraId="58B2CD94"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lastRenderedPageBreak/>
        <w:t>NHS Digital, 2023. Health Survey for England 2021: Mental Health and Wellbeing. London: Health and Social Care Information Centre.</w:t>
      </w:r>
    </w:p>
    <w:p w14:paraId="5E858F97"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NHS England, 2023. Reasonable Adjustment Digital Flag: Information Standard and Implementation Guidance. London: NHS England.</w:t>
      </w:r>
    </w:p>
    <w:p w14:paraId="44E2721E"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Office for Health Improvement and Disparities [OHID], 2024. Severe Mental Illness and Mental Health Profiles: Camden Borough Indicators. London: OHID.</w:t>
      </w:r>
    </w:p>
    <w:p w14:paraId="3E40AFB5"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Office for National Statistics [ONS], 2023. Avoidable Mortality in the UK: 2021 Registrations. London: ONS.</w:t>
      </w:r>
    </w:p>
    <w:p w14:paraId="52A17F2E"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Office for National Statistics [ONS], 2024. Disability and Employment, UK: 2023. London: ONS.</w:t>
      </w:r>
    </w:p>
    <w:p w14:paraId="1898EC0B"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Oliver, M., 2013. The social model of disability: Thirty years on. Disability &amp; Society, 28(7), pp.1024–1026.</w:t>
      </w:r>
    </w:p>
    <w:p w14:paraId="3DA41DCA"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Public Health England [PHE], 2020. Health Inequalities: People with Learning Disabilities in England. London: Public Health England.</w:t>
      </w:r>
    </w:p>
    <w:p w14:paraId="5C17A646"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Scope, 2023. The Disability Price Tag 2023: The Extra Cost of Living for Disabled People. London: Scope.</w:t>
      </w:r>
    </w:p>
    <w:p w14:paraId="1252A7BF" w14:textId="77777777" w:rsidR="00F35DBA" w:rsidRPr="00F35DBA" w:rsidRDefault="00F35DBA" w:rsidP="00F35DBA">
      <w:pPr>
        <w:numPr>
          <w:ilvl w:val="0"/>
          <w:numId w:val="11"/>
        </w:numPr>
        <w:spacing w:line="360" w:lineRule="auto"/>
        <w:rPr>
          <w:rFonts w:ascii="Arial" w:hAnsi="Arial" w:cs="Arial"/>
        </w:rPr>
      </w:pPr>
      <w:r w:rsidRPr="00F35DBA">
        <w:rPr>
          <w:rFonts w:ascii="Arial" w:hAnsi="Arial" w:cs="Arial"/>
        </w:rPr>
        <w:t>Sense, 2023. Left Out of Life: Addressing Loneliness and Isolation Among Disabled People. London: Sense.</w:t>
      </w:r>
    </w:p>
    <w:p w14:paraId="07F9F579" w14:textId="0F57E656" w:rsidR="00F35DBA" w:rsidRPr="00F35DBA" w:rsidRDefault="00F35DBA" w:rsidP="00F35DBA">
      <w:pPr>
        <w:numPr>
          <w:ilvl w:val="0"/>
          <w:numId w:val="11"/>
        </w:numPr>
        <w:spacing w:line="360" w:lineRule="auto"/>
        <w:rPr>
          <w:rFonts w:ascii="Arial" w:hAnsi="Arial" w:cs="Arial"/>
        </w:rPr>
      </w:pPr>
      <w:r w:rsidRPr="00F35DBA">
        <w:rPr>
          <w:rFonts w:ascii="Arial" w:hAnsi="Arial" w:cs="Arial"/>
        </w:rPr>
        <w:t xml:space="preserve">World Health </w:t>
      </w:r>
      <w:r>
        <w:rPr>
          <w:rFonts w:ascii="Arial" w:hAnsi="Arial" w:cs="Arial"/>
        </w:rPr>
        <w:t>Organisation</w:t>
      </w:r>
      <w:r w:rsidRPr="00F35DBA">
        <w:rPr>
          <w:rFonts w:ascii="Arial" w:hAnsi="Arial" w:cs="Arial"/>
        </w:rPr>
        <w:t xml:space="preserve"> [WHO], 2022. World Mental Health Report: Transforming Mental Health for All. Geneva: World Health </w:t>
      </w:r>
      <w:r>
        <w:rPr>
          <w:rFonts w:ascii="Arial" w:hAnsi="Arial" w:cs="Arial"/>
        </w:rPr>
        <w:t>Organisation</w:t>
      </w:r>
      <w:r w:rsidRPr="00F35DBA">
        <w:rPr>
          <w:rFonts w:ascii="Arial" w:hAnsi="Arial" w:cs="Arial"/>
        </w:rPr>
        <w:t>.</w:t>
      </w:r>
    </w:p>
    <w:p w14:paraId="76EB308C" w14:textId="77777777" w:rsidR="00A251F5" w:rsidRPr="00F35DBA" w:rsidRDefault="00A251F5" w:rsidP="00F35DBA">
      <w:pPr>
        <w:spacing w:line="360" w:lineRule="auto"/>
        <w:rPr>
          <w:rFonts w:ascii="Arial" w:hAnsi="Arial" w:cs="Arial"/>
        </w:rPr>
      </w:pPr>
    </w:p>
    <w:sectPr w:rsidR="00A251F5" w:rsidRPr="00F35D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E06FF"/>
    <w:multiLevelType w:val="multilevel"/>
    <w:tmpl w:val="1112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969CB"/>
    <w:multiLevelType w:val="multilevel"/>
    <w:tmpl w:val="D3A60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A65506"/>
    <w:multiLevelType w:val="multilevel"/>
    <w:tmpl w:val="14A4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571501"/>
    <w:multiLevelType w:val="multilevel"/>
    <w:tmpl w:val="1A80F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E81BB5"/>
    <w:multiLevelType w:val="multilevel"/>
    <w:tmpl w:val="2AB4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D516C4"/>
    <w:multiLevelType w:val="multilevel"/>
    <w:tmpl w:val="32B6E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0E0CB5"/>
    <w:multiLevelType w:val="multilevel"/>
    <w:tmpl w:val="81C27C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B20030"/>
    <w:multiLevelType w:val="multilevel"/>
    <w:tmpl w:val="B64890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BA147B"/>
    <w:multiLevelType w:val="multilevel"/>
    <w:tmpl w:val="BE72B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ED0EE7"/>
    <w:multiLevelType w:val="multilevel"/>
    <w:tmpl w:val="B7A4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0344657">
    <w:abstractNumId w:val="9"/>
  </w:num>
  <w:num w:numId="2" w16cid:durableId="49966011">
    <w:abstractNumId w:val="1"/>
  </w:num>
  <w:num w:numId="3" w16cid:durableId="2123302869">
    <w:abstractNumId w:val="4"/>
  </w:num>
  <w:num w:numId="4" w16cid:durableId="46759866">
    <w:abstractNumId w:val="3"/>
  </w:num>
  <w:num w:numId="5" w16cid:durableId="861941854">
    <w:abstractNumId w:val="8"/>
  </w:num>
  <w:num w:numId="6" w16cid:durableId="360471265">
    <w:abstractNumId w:val="0"/>
  </w:num>
  <w:num w:numId="7" w16cid:durableId="2076246317">
    <w:abstractNumId w:val="5"/>
  </w:num>
  <w:num w:numId="8" w16cid:durableId="8407893">
    <w:abstractNumId w:val="6"/>
  </w:num>
  <w:num w:numId="9" w16cid:durableId="1374311110">
    <w:abstractNumId w:val="6"/>
    <w:lvlOverride w:ilvl="1">
      <w:lvl w:ilvl="1">
        <w:numFmt w:val="bullet"/>
        <w:lvlText w:val="o"/>
        <w:lvlJc w:val="left"/>
        <w:pPr>
          <w:tabs>
            <w:tab w:val="num" w:pos="1440"/>
          </w:tabs>
          <w:ind w:left="1440" w:hanging="360"/>
        </w:pPr>
        <w:rPr>
          <w:rFonts w:ascii="Courier New" w:hAnsi="Courier New" w:hint="default"/>
          <w:sz w:val="20"/>
        </w:rPr>
      </w:lvl>
    </w:lvlOverride>
  </w:num>
  <w:num w:numId="10" w16cid:durableId="599332355">
    <w:abstractNumId w:val="7"/>
  </w:num>
  <w:num w:numId="11" w16cid:durableId="4162918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DBA"/>
    <w:rsid w:val="002E79BF"/>
    <w:rsid w:val="008606B4"/>
    <w:rsid w:val="00A251F5"/>
    <w:rsid w:val="00F35D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BA0F6"/>
  <w15:chartTrackingRefBased/>
  <w15:docId w15:val="{C7E175A5-5B53-4E3D-A72D-D6400D56A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5D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5D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5D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D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5D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5D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5D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5D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5D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D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5D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5D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5D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5D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5D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5D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5D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5DBA"/>
    <w:rPr>
      <w:rFonts w:eastAsiaTheme="majorEastAsia" w:cstheme="majorBidi"/>
      <w:color w:val="272727" w:themeColor="text1" w:themeTint="D8"/>
    </w:rPr>
  </w:style>
  <w:style w:type="paragraph" w:styleId="Title">
    <w:name w:val="Title"/>
    <w:basedOn w:val="Normal"/>
    <w:next w:val="Normal"/>
    <w:link w:val="TitleChar"/>
    <w:uiPriority w:val="10"/>
    <w:qFormat/>
    <w:rsid w:val="00F35D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5D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5D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D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5DBA"/>
    <w:pPr>
      <w:spacing w:before="160"/>
      <w:jc w:val="center"/>
    </w:pPr>
    <w:rPr>
      <w:i/>
      <w:iCs/>
      <w:color w:val="404040" w:themeColor="text1" w:themeTint="BF"/>
    </w:rPr>
  </w:style>
  <w:style w:type="character" w:customStyle="1" w:styleId="QuoteChar">
    <w:name w:val="Quote Char"/>
    <w:basedOn w:val="DefaultParagraphFont"/>
    <w:link w:val="Quote"/>
    <w:uiPriority w:val="29"/>
    <w:rsid w:val="00F35DBA"/>
    <w:rPr>
      <w:i/>
      <w:iCs/>
      <w:color w:val="404040" w:themeColor="text1" w:themeTint="BF"/>
    </w:rPr>
  </w:style>
  <w:style w:type="paragraph" w:styleId="ListParagraph">
    <w:name w:val="List Paragraph"/>
    <w:basedOn w:val="Normal"/>
    <w:uiPriority w:val="34"/>
    <w:qFormat/>
    <w:rsid w:val="00F35DBA"/>
    <w:pPr>
      <w:ind w:left="720"/>
      <w:contextualSpacing/>
    </w:pPr>
  </w:style>
  <w:style w:type="character" w:styleId="IntenseEmphasis">
    <w:name w:val="Intense Emphasis"/>
    <w:basedOn w:val="DefaultParagraphFont"/>
    <w:uiPriority w:val="21"/>
    <w:qFormat/>
    <w:rsid w:val="00F35DBA"/>
    <w:rPr>
      <w:i/>
      <w:iCs/>
      <w:color w:val="0F4761" w:themeColor="accent1" w:themeShade="BF"/>
    </w:rPr>
  </w:style>
  <w:style w:type="paragraph" w:styleId="IntenseQuote">
    <w:name w:val="Intense Quote"/>
    <w:basedOn w:val="Normal"/>
    <w:next w:val="Normal"/>
    <w:link w:val="IntenseQuoteChar"/>
    <w:uiPriority w:val="30"/>
    <w:qFormat/>
    <w:rsid w:val="00F35D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DBA"/>
    <w:rPr>
      <w:i/>
      <w:iCs/>
      <w:color w:val="0F4761" w:themeColor="accent1" w:themeShade="BF"/>
    </w:rPr>
  </w:style>
  <w:style w:type="character" w:styleId="IntenseReference">
    <w:name w:val="Intense Reference"/>
    <w:basedOn w:val="DefaultParagraphFont"/>
    <w:uiPriority w:val="32"/>
    <w:qFormat/>
    <w:rsid w:val="00F35DBA"/>
    <w:rPr>
      <w:b/>
      <w:bCs/>
      <w:smallCaps/>
      <w:color w:val="0F4761" w:themeColor="accent1" w:themeShade="BF"/>
      <w:spacing w:val="5"/>
    </w:rPr>
  </w:style>
  <w:style w:type="table" w:styleId="TableGrid">
    <w:name w:val="Table Grid"/>
    <w:basedOn w:val="TableNormal"/>
    <w:uiPriority w:val="39"/>
    <w:rsid w:val="00F35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15</Pages>
  <Words>4037</Words>
  <Characters>23016</Characters>
  <Application>Microsoft Office Word</Application>
  <DocSecurity>0</DocSecurity>
  <Lines>191</Lines>
  <Paragraphs>53</Paragraphs>
  <ScaleCrop>false</ScaleCrop>
  <Company/>
  <LinksUpToDate>false</LinksUpToDate>
  <CharactersWithSpaces>27000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shanipatel29@outlook.com</dc:creator>
  <cp:keywords/>
  <dc:description/>
  <cp:lastModifiedBy>shanipatel29@outlook.com</cp:lastModifiedBy>
  <cp:revision>1</cp:revision>
  <dcterms:created xsi:type="dcterms:W3CDTF">2026-08-19T06:42:00Z</dcterms:created>
  <dcterms:modified xsi:type="dcterms:W3CDTF">2026-08-19T06:53:00Z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766df8a9-02a6-4c66-b130-078e90f468fc</vt:lpwstr>
  </property>
</Properties>
</file>