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94205" w14:textId="77777777" w:rsidR="007E5B36" w:rsidRPr="007E5B36" w:rsidRDefault="007E5B36" w:rsidP="00CD3D2E">
      <w:pPr>
        <w:spacing w:before="100" w:beforeAutospacing="1" w:after="100" w:afterAutospacing="1" w:line="360" w:lineRule="auto"/>
        <w:jc w:val="both"/>
        <w:outlineLvl w:val="0"/>
        <w:rPr>
          <w:rFonts w:ascii="Arial" w:eastAsia="Times New Roman" w:hAnsi="Arial" w:cs="Arial"/>
          <w:kern w:val="36"/>
          <w:lang w:eastAsia="en-GB"/>
          <w14:ligatures w14:val="none"/>
        </w:rPr>
      </w:pPr>
      <w:r w:rsidRPr="007E5B36">
        <w:rPr>
          <w:rFonts w:ascii="Arial" w:eastAsia="Times New Roman" w:hAnsi="Arial" w:cs="Arial"/>
          <w:kern w:val="36"/>
          <w:lang w:eastAsia="en-GB"/>
          <w14:ligatures w14:val="none"/>
        </w:rPr>
        <w:t>Student Name: Nadia Muriel Grobry</w:t>
      </w:r>
    </w:p>
    <w:p w14:paraId="6D866F63" w14:textId="77777777" w:rsidR="007E5B36" w:rsidRPr="007E5B36" w:rsidRDefault="007E5B36" w:rsidP="00CD3D2E">
      <w:pPr>
        <w:spacing w:before="100" w:beforeAutospacing="1" w:after="100" w:afterAutospacing="1" w:line="360" w:lineRule="auto"/>
        <w:jc w:val="both"/>
        <w:outlineLvl w:val="0"/>
        <w:rPr>
          <w:rFonts w:ascii="Arial" w:eastAsia="Times New Roman" w:hAnsi="Arial" w:cs="Arial"/>
          <w:kern w:val="36"/>
          <w:lang w:eastAsia="en-GB"/>
          <w14:ligatures w14:val="none"/>
        </w:rPr>
      </w:pPr>
      <w:r w:rsidRPr="007E5B36">
        <w:rPr>
          <w:rFonts w:ascii="Arial" w:eastAsia="Times New Roman" w:hAnsi="Arial" w:cs="Arial"/>
          <w:kern w:val="36"/>
          <w:lang w:eastAsia="en-GB"/>
          <w14:ligatures w14:val="none"/>
        </w:rPr>
        <w:t>Student Number: 2244710</w:t>
      </w:r>
    </w:p>
    <w:p w14:paraId="596C244C" w14:textId="77777777" w:rsidR="007E5B36" w:rsidRPr="007E5B36" w:rsidRDefault="007E5B36" w:rsidP="00CD3D2E">
      <w:pPr>
        <w:spacing w:before="100" w:beforeAutospacing="1" w:after="100" w:afterAutospacing="1" w:line="360" w:lineRule="auto"/>
        <w:jc w:val="both"/>
        <w:outlineLvl w:val="0"/>
        <w:rPr>
          <w:rFonts w:ascii="Arial" w:eastAsia="Times New Roman" w:hAnsi="Arial" w:cs="Arial"/>
          <w:kern w:val="36"/>
          <w:lang w:eastAsia="en-GB"/>
          <w14:ligatures w14:val="none"/>
        </w:rPr>
      </w:pPr>
      <w:r w:rsidRPr="007E5B36">
        <w:rPr>
          <w:rFonts w:ascii="Arial" w:eastAsia="Times New Roman" w:hAnsi="Arial" w:cs="Arial"/>
          <w:kern w:val="36"/>
          <w:lang w:eastAsia="en-GB"/>
          <w14:ligatures w14:val="none"/>
        </w:rPr>
        <w:t>Programme: BSc Health and Social Care</w:t>
      </w:r>
    </w:p>
    <w:p w14:paraId="24B950DA" w14:textId="77777777" w:rsidR="007E5B36" w:rsidRPr="007E5B36" w:rsidRDefault="007E5B36" w:rsidP="00CD3D2E">
      <w:pPr>
        <w:spacing w:before="100" w:beforeAutospacing="1" w:after="100" w:afterAutospacing="1" w:line="360" w:lineRule="auto"/>
        <w:jc w:val="both"/>
        <w:outlineLvl w:val="0"/>
        <w:rPr>
          <w:rFonts w:ascii="Arial" w:eastAsia="Times New Roman" w:hAnsi="Arial" w:cs="Arial"/>
          <w:kern w:val="36"/>
          <w:lang w:eastAsia="en-GB"/>
          <w14:ligatures w14:val="none"/>
        </w:rPr>
      </w:pPr>
      <w:r w:rsidRPr="007E5B36">
        <w:rPr>
          <w:rFonts w:ascii="Arial" w:eastAsia="Times New Roman" w:hAnsi="Arial" w:cs="Arial"/>
          <w:kern w:val="36"/>
          <w:lang w:eastAsia="en-GB"/>
          <w14:ligatures w14:val="none"/>
        </w:rPr>
        <w:t>Module: Introduction to Independent Research Skills</w:t>
      </w:r>
    </w:p>
    <w:p w14:paraId="745F7B7B" w14:textId="77777777" w:rsidR="007E5B36" w:rsidRPr="007E5B36" w:rsidRDefault="007E5B36" w:rsidP="00CD3D2E">
      <w:pPr>
        <w:spacing w:before="100" w:beforeAutospacing="1" w:after="100" w:afterAutospacing="1" w:line="360" w:lineRule="auto"/>
        <w:jc w:val="both"/>
        <w:outlineLvl w:val="0"/>
        <w:rPr>
          <w:rFonts w:ascii="Arial" w:eastAsia="Times New Roman" w:hAnsi="Arial" w:cs="Arial"/>
          <w:kern w:val="36"/>
          <w:lang w:eastAsia="en-GB"/>
          <w14:ligatures w14:val="none"/>
        </w:rPr>
      </w:pPr>
      <w:r w:rsidRPr="007E5B36">
        <w:rPr>
          <w:rFonts w:ascii="Arial" w:eastAsia="Times New Roman" w:hAnsi="Arial" w:cs="Arial"/>
          <w:kern w:val="36"/>
          <w:lang w:eastAsia="en-GB"/>
          <w14:ligatures w14:val="none"/>
        </w:rPr>
        <w:t>Module Code: BMHP5019_Birm</w:t>
      </w:r>
    </w:p>
    <w:p w14:paraId="0E11180B" w14:textId="77777777" w:rsidR="007E5B36" w:rsidRPr="007E5B36" w:rsidRDefault="007E5B36" w:rsidP="00CD3D2E">
      <w:pPr>
        <w:spacing w:before="100" w:beforeAutospacing="1" w:after="100" w:afterAutospacing="1" w:line="360" w:lineRule="auto"/>
        <w:jc w:val="both"/>
        <w:outlineLvl w:val="0"/>
        <w:rPr>
          <w:rFonts w:ascii="Arial" w:eastAsia="Times New Roman" w:hAnsi="Arial" w:cs="Arial"/>
          <w:kern w:val="36"/>
          <w:lang w:eastAsia="en-GB"/>
          <w14:ligatures w14:val="none"/>
        </w:rPr>
      </w:pPr>
      <w:r w:rsidRPr="007E5B36">
        <w:rPr>
          <w:rFonts w:ascii="Arial" w:eastAsia="Times New Roman" w:hAnsi="Arial" w:cs="Arial"/>
          <w:kern w:val="36"/>
          <w:lang w:eastAsia="en-GB"/>
          <w14:ligatures w14:val="none"/>
        </w:rPr>
        <w:t>Lecture: Philip Jones</w:t>
      </w:r>
    </w:p>
    <w:p w14:paraId="1801ED8E" w14:textId="77777777" w:rsidR="007E5B36" w:rsidRPr="007E5B36" w:rsidRDefault="007E5B36" w:rsidP="00CD3D2E">
      <w:pPr>
        <w:spacing w:before="100" w:beforeAutospacing="1" w:after="100" w:afterAutospacing="1" w:line="360" w:lineRule="auto"/>
        <w:jc w:val="both"/>
        <w:rPr>
          <w:rFonts w:ascii="Arial" w:eastAsia="Times New Roman" w:hAnsi="Arial" w:cs="Arial"/>
          <w:kern w:val="0"/>
          <w:lang w:eastAsia="en-GB"/>
          <w14:ligatures w14:val="none"/>
        </w:rPr>
      </w:pPr>
    </w:p>
    <w:p w14:paraId="5370CFB6" w14:textId="77777777" w:rsidR="007E5B36" w:rsidRPr="007E5B36" w:rsidRDefault="007E5B36" w:rsidP="00CD3D2E">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7E5B36">
        <w:rPr>
          <w:rFonts w:ascii="Arial" w:eastAsia="Times New Roman" w:hAnsi="Arial" w:cs="Arial"/>
          <w:b/>
          <w:bCs/>
          <w:kern w:val="36"/>
          <w:lang w:eastAsia="en-GB"/>
          <w14:ligatures w14:val="none"/>
        </w:rPr>
        <w:t>Assignment Title: Component 1 Writing Assignment (Report Research)</w:t>
      </w:r>
    </w:p>
    <w:p w14:paraId="29DD61F2" w14:textId="77777777" w:rsidR="007E5B36" w:rsidRPr="007E5B36" w:rsidRDefault="007E5B36" w:rsidP="00CD3D2E">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7E5B36">
        <w:rPr>
          <w:rFonts w:ascii="Arial" w:eastAsia="Times New Roman" w:hAnsi="Arial" w:cs="Arial"/>
          <w:b/>
          <w:bCs/>
          <w:kern w:val="36"/>
          <w:lang w:eastAsia="en-GB"/>
          <w14:ligatures w14:val="none"/>
        </w:rPr>
        <w:t>The Impact of Anorexia on Teenage Girls in the United Kingdom</w:t>
      </w:r>
    </w:p>
    <w:p w14:paraId="2D0338D0" w14:textId="77777777" w:rsidR="007E5B36" w:rsidRPr="00E8211F" w:rsidRDefault="007E5B36" w:rsidP="00CD3D2E">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7E5B36">
        <w:rPr>
          <w:rFonts w:ascii="Arial" w:eastAsia="Times New Roman" w:hAnsi="Arial" w:cs="Arial"/>
          <w:b/>
          <w:bCs/>
          <w:kern w:val="36"/>
          <w:lang w:eastAsia="en-GB"/>
          <w14:ligatures w14:val="none"/>
        </w:rPr>
        <w:t>A Scoping Review</w:t>
      </w:r>
    </w:p>
    <w:p w14:paraId="6FA74A5E" w14:textId="77777777" w:rsidR="007E5B36" w:rsidRPr="007E5B36" w:rsidRDefault="007E5B36" w:rsidP="00CD3D2E">
      <w:pPr>
        <w:pStyle w:val="ListParagraph"/>
        <w:numPr>
          <w:ilvl w:val="0"/>
          <w:numId w:val="1"/>
        </w:num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b/>
          <w:bCs/>
          <w:kern w:val="0"/>
          <w:lang w:eastAsia="en-GB"/>
          <w14:ligatures w14:val="none"/>
        </w:rPr>
        <w:t>Introduction</w:t>
      </w:r>
    </w:p>
    <w:p w14:paraId="1D9DB386" w14:textId="77777777" w:rsidR="007E5B36" w:rsidRPr="007E5B36" w:rsidRDefault="007E5B36" w:rsidP="00CD3D2E">
      <w:pPr>
        <w:spacing w:before="100" w:beforeAutospacing="1" w:after="100" w:afterAutospacing="1" w:line="360" w:lineRule="auto"/>
        <w:jc w:val="both"/>
        <w:rPr>
          <w:rFonts w:ascii="Arial" w:eastAsia="Times New Roman" w:hAnsi="Arial" w:cs="Arial"/>
          <w:kern w:val="0"/>
          <w:lang w:eastAsia="en-GB"/>
          <w14:ligatures w14:val="none"/>
        </w:rPr>
      </w:pPr>
    </w:p>
    <w:p w14:paraId="1335EE92" w14:textId="77777777" w:rsidR="007E5B36" w:rsidRPr="007E5B36" w:rsidRDefault="007E5B36" w:rsidP="00CD3D2E">
      <w:pPr>
        <w:spacing w:before="100" w:beforeAutospacing="1" w:after="100" w:afterAutospacing="1" w:line="360" w:lineRule="auto"/>
        <w:jc w:val="both"/>
        <w:rPr>
          <w:rFonts w:ascii="Arial" w:eastAsia="Times New Roman" w:hAnsi="Arial" w:cs="Arial"/>
          <w:kern w:val="0"/>
          <w:lang w:eastAsia="en-GB"/>
          <w14:ligatures w14:val="none"/>
        </w:rPr>
      </w:pPr>
    </w:p>
    <w:p w14:paraId="64DC0FB1" w14:textId="45FCEDA7"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Introduction: Anorexia nervosa is a serious eating disorder marked by restrictive eating, intense fear of gaining weight, and a distorted perception of body image (NICE, 2020). It is among the highest-risk mental health conditions affecting young people, with teenage girls in the UK showing the highest diagnosis and hospitalisation rates (NHS Digital, 2023). The disorder can cause severe physical, emotional, and social issues, underscoring the importance of early detection and intervention. Factors such as social media influence, appearance-related pressures, and academic stress have been linked to greater vulnerability among adolescent girls (Holland &amp; Tiggemann, 2017).</w:t>
      </w:r>
    </w:p>
    <w:p w14:paraId="6952E2B9" w14:textId="44D01CA9"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b/>
          <w:bCs/>
          <w:kern w:val="0"/>
          <w:lang w:eastAsia="en-GB"/>
          <w14:ligatures w14:val="none"/>
        </w:rPr>
        <w:t>This scoping review aims</w:t>
      </w:r>
      <w:r w:rsidRPr="007E5B36">
        <w:rPr>
          <w:rFonts w:ascii="Arial" w:eastAsia="Times New Roman" w:hAnsi="Arial" w:cs="Arial"/>
          <w:kern w:val="0"/>
          <w:lang w:eastAsia="en-GB"/>
          <w14:ligatures w14:val="none"/>
        </w:rPr>
        <w:t xml:space="preserve"> to examine existing research on the effect of anorexia on teenage girls in the UK and pinpoint areas needing further study. It addresses the key question: What is the impact of anorexia nervosa on UK teenage girls? The primary goals are to map the current evidence, identify knowledge gaps, and guide future practice.</w:t>
      </w:r>
    </w:p>
    <w:p w14:paraId="02CFF167" w14:textId="4FF1366C" w:rsidR="00060480" w:rsidRPr="007E5B36" w:rsidRDefault="00060480" w:rsidP="00CD3D2E">
      <w:pPr>
        <w:spacing w:after="0" w:line="360" w:lineRule="auto"/>
        <w:jc w:val="both"/>
        <w:rPr>
          <w:rFonts w:ascii="Arial" w:eastAsia="Times New Roman" w:hAnsi="Arial" w:cs="Arial"/>
          <w:b/>
          <w:bCs/>
          <w:kern w:val="0"/>
          <w:lang w:eastAsia="en-GB"/>
          <w14:ligatures w14:val="none"/>
        </w:rPr>
      </w:pPr>
      <w:r w:rsidRPr="00060480">
        <w:rPr>
          <w:rFonts w:ascii="Arial" w:eastAsia="Times New Roman" w:hAnsi="Arial" w:cs="Arial"/>
          <w:b/>
          <w:bCs/>
          <w:kern w:val="0"/>
          <w:lang w:eastAsia="en-GB"/>
          <w14:ligatures w14:val="none"/>
        </w:rPr>
        <w:t>References (Harvard)</w:t>
      </w:r>
    </w:p>
    <w:p w14:paraId="3FBF97C6" w14:textId="77777777" w:rsidR="007E5B36" w:rsidRPr="007E5B36" w:rsidRDefault="007E5B36" w:rsidP="00CD3D2E">
      <w:pPr>
        <w:spacing w:after="0" w:line="360" w:lineRule="auto"/>
        <w:jc w:val="both"/>
        <w:rPr>
          <w:rFonts w:ascii="Arial" w:eastAsia="Times New Roman" w:hAnsi="Arial" w:cs="Arial"/>
          <w:b/>
          <w:bCs/>
          <w:kern w:val="0"/>
          <w:lang w:eastAsia="en-GB"/>
          <w14:ligatures w14:val="none"/>
        </w:rPr>
      </w:pPr>
    </w:p>
    <w:p w14:paraId="6F663837" w14:textId="77777777" w:rsidR="007E5B36" w:rsidRPr="00060480" w:rsidRDefault="007E5B36" w:rsidP="00CD3D2E">
      <w:pPr>
        <w:spacing w:after="0" w:line="360" w:lineRule="auto"/>
        <w:jc w:val="both"/>
        <w:rPr>
          <w:rFonts w:ascii="Arial" w:eastAsia="Times New Roman" w:hAnsi="Arial" w:cs="Arial"/>
          <w:kern w:val="0"/>
          <w:lang w:eastAsia="en-GB"/>
          <w14:ligatures w14:val="none"/>
        </w:rPr>
      </w:pPr>
    </w:p>
    <w:p w14:paraId="7E6CA57A" w14:textId="4D7DBF69"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060480">
        <w:rPr>
          <w:rFonts w:ascii="Arial" w:eastAsia="Times New Roman" w:hAnsi="Arial" w:cs="Arial"/>
          <w:kern w:val="0"/>
          <w:lang w:eastAsia="en-GB"/>
          <w14:ligatures w14:val="none"/>
        </w:rPr>
        <w:t>Holland, G. &amp; Tiggemann, M. (2017)</w:t>
      </w:r>
      <w:r w:rsidRPr="007E5B36">
        <w:rPr>
          <w:rFonts w:ascii="Arial" w:eastAsia="Times New Roman" w:hAnsi="Arial" w:cs="Arial"/>
          <w:kern w:val="0"/>
          <w:lang w:eastAsia="en-GB"/>
          <w14:ligatures w14:val="none"/>
        </w:rPr>
        <w:t>.</w:t>
      </w:r>
      <w:r w:rsidRPr="00060480">
        <w:rPr>
          <w:rFonts w:ascii="Arial" w:eastAsia="Times New Roman" w:hAnsi="Arial" w:cs="Arial"/>
          <w:kern w:val="0"/>
          <w:lang w:eastAsia="en-GB"/>
          <w14:ligatures w14:val="none"/>
        </w:rPr>
        <w:t xml:space="preserve"> </w:t>
      </w:r>
      <w:r w:rsidRPr="00060480">
        <w:rPr>
          <w:rFonts w:ascii="Arial" w:eastAsia="Times New Roman" w:hAnsi="Arial" w:cs="Arial"/>
          <w:i/>
          <w:iCs/>
          <w:kern w:val="0"/>
          <w:lang w:eastAsia="en-GB"/>
          <w14:ligatures w14:val="none"/>
        </w:rPr>
        <w:t>A systematic review of the impact of social networking sites on body image and disordered eating outcomes</w:t>
      </w:r>
      <w:r w:rsidRPr="00060480">
        <w:rPr>
          <w:rFonts w:ascii="Arial" w:eastAsia="Times New Roman" w:hAnsi="Arial" w:cs="Arial"/>
          <w:kern w:val="0"/>
          <w:lang w:eastAsia="en-GB"/>
          <w14:ligatures w14:val="none"/>
        </w:rPr>
        <w:t>. Body Image, 17, pp.100–110.</w:t>
      </w:r>
    </w:p>
    <w:p w14:paraId="291527D8" w14:textId="77777777"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060480">
        <w:rPr>
          <w:rFonts w:ascii="Arial" w:eastAsia="Times New Roman" w:hAnsi="Arial" w:cs="Arial"/>
          <w:kern w:val="0"/>
          <w:lang w:eastAsia="en-GB"/>
          <w14:ligatures w14:val="none"/>
        </w:rPr>
        <w:t xml:space="preserve">NHS Digital (2023) </w:t>
      </w:r>
      <w:r w:rsidRPr="00060480">
        <w:rPr>
          <w:rFonts w:ascii="Arial" w:eastAsia="Times New Roman" w:hAnsi="Arial" w:cs="Arial"/>
          <w:i/>
          <w:iCs/>
          <w:kern w:val="0"/>
          <w:lang w:eastAsia="en-GB"/>
          <w14:ligatures w14:val="none"/>
        </w:rPr>
        <w:t>Mental Health of Children and Young People in England, 2023</w:t>
      </w:r>
      <w:r w:rsidRPr="00060480">
        <w:rPr>
          <w:rFonts w:ascii="Arial" w:eastAsia="Times New Roman" w:hAnsi="Arial" w:cs="Arial"/>
          <w:kern w:val="0"/>
          <w:lang w:eastAsia="en-GB"/>
          <w14:ligatures w14:val="none"/>
        </w:rPr>
        <w:t>. London: NHS Digital.</w:t>
      </w:r>
    </w:p>
    <w:p w14:paraId="2BA650E1" w14:textId="77777777"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060480">
        <w:rPr>
          <w:rFonts w:ascii="Arial" w:eastAsia="Times New Roman" w:hAnsi="Arial" w:cs="Arial"/>
          <w:kern w:val="0"/>
          <w:lang w:eastAsia="en-GB"/>
          <w14:ligatures w14:val="none"/>
        </w:rPr>
        <w:t xml:space="preserve">NICE (2020) </w:t>
      </w:r>
      <w:r w:rsidRPr="00060480">
        <w:rPr>
          <w:rFonts w:ascii="Arial" w:eastAsia="Times New Roman" w:hAnsi="Arial" w:cs="Arial"/>
          <w:i/>
          <w:iCs/>
          <w:kern w:val="0"/>
          <w:lang w:eastAsia="en-GB"/>
          <w14:ligatures w14:val="none"/>
        </w:rPr>
        <w:t>Eating disorders: recognition and treatment (NG69)</w:t>
      </w:r>
      <w:r w:rsidRPr="00060480">
        <w:rPr>
          <w:rFonts w:ascii="Arial" w:eastAsia="Times New Roman" w:hAnsi="Arial" w:cs="Arial"/>
          <w:kern w:val="0"/>
          <w:lang w:eastAsia="en-GB"/>
          <w14:ligatures w14:val="none"/>
        </w:rPr>
        <w:t>. London: National Institute for Health and Care Excellence.</w:t>
      </w:r>
    </w:p>
    <w:p w14:paraId="5BF9E811" w14:textId="77777777" w:rsidR="009D092F" w:rsidRPr="007E5B36" w:rsidRDefault="009D092F" w:rsidP="00CD3D2E">
      <w:pPr>
        <w:spacing w:line="360" w:lineRule="auto"/>
        <w:jc w:val="both"/>
        <w:rPr>
          <w:rFonts w:ascii="Arial" w:hAnsi="Arial" w:cs="Arial"/>
        </w:rPr>
      </w:pPr>
    </w:p>
    <w:p w14:paraId="254CADA0" w14:textId="77777777" w:rsidR="00060480" w:rsidRPr="007E5B36" w:rsidRDefault="00060480" w:rsidP="00CD3D2E">
      <w:pPr>
        <w:spacing w:line="360" w:lineRule="auto"/>
        <w:jc w:val="both"/>
        <w:rPr>
          <w:rFonts w:ascii="Arial" w:hAnsi="Arial" w:cs="Arial"/>
        </w:rPr>
      </w:pPr>
    </w:p>
    <w:p w14:paraId="54D53EAE"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0AC594B6"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256C1442"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66C132C6"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6ACBFE02"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5AADB7DE"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513E2647"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74773EA2"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3BF10AC3"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330065E9" w14:textId="77777777" w:rsidR="00060480" w:rsidRPr="007E5B36" w:rsidRDefault="00060480" w:rsidP="00CD3D2E">
      <w:pPr>
        <w:spacing w:before="100" w:beforeAutospacing="1" w:after="100" w:afterAutospacing="1" w:line="360" w:lineRule="auto"/>
        <w:jc w:val="both"/>
        <w:rPr>
          <w:rFonts w:ascii="Arial" w:eastAsia="Times New Roman" w:hAnsi="Arial" w:cs="Arial"/>
          <w:b/>
          <w:bCs/>
          <w:kern w:val="0"/>
          <w:lang w:eastAsia="en-GB"/>
          <w14:ligatures w14:val="none"/>
        </w:rPr>
      </w:pPr>
    </w:p>
    <w:p w14:paraId="67F00B4F" w14:textId="56A76B54"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b/>
          <w:bCs/>
          <w:kern w:val="0"/>
          <w:lang w:eastAsia="en-GB"/>
          <w14:ligatures w14:val="none"/>
        </w:rPr>
        <w:t xml:space="preserve">Background: </w:t>
      </w:r>
      <w:r w:rsidRPr="007E5B36">
        <w:rPr>
          <w:rFonts w:ascii="Arial" w:eastAsia="Times New Roman" w:hAnsi="Arial" w:cs="Arial"/>
          <w:kern w:val="0"/>
          <w:lang w:eastAsia="en-GB"/>
          <w14:ligatures w14:val="none"/>
        </w:rPr>
        <w:t xml:space="preserve">Anorexia nervosa is recognised in the UK as a serious mental health condition that requires coordinated medical, psychological, and social support. National policy assigns responsibility to services to identify and treat eating disorders early. The NICE Guideline NG69 sets out expectations for prompt assessment, family involvement, and evidence-based treatment for children and adolescents (NICE, 2020). The NHS Long Term Plan also </w:t>
      </w:r>
      <w:r w:rsidRPr="007E5B36">
        <w:rPr>
          <w:rFonts w:ascii="Arial" w:eastAsia="Times New Roman" w:hAnsi="Arial" w:cs="Arial"/>
          <w:kern w:val="0"/>
          <w:lang w:eastAsia="en-GB"/>
          <w14:ligatures w14:val="none"/>
        </w:rPr>
        <w:lastRenderedPageBreak/>
        <w:t>emphasises faster access to community eating disorder services for young people, aiming to reduce hospital admissions and improve recovery outcomes (NHS England, 2019). Legal frameworks such as the Children Act 1989 and Mental Health Act 1983 provide safeguarding and ensure rights-based care for minors experiencing mental ill-health.</w:t>
      </w:r>
      <w:r w:rsidR="00AE34AE" w:rsidRPr="007E5B36">
        <w:rPr>
          <w:rFonts w:ascii="Arial" w:eastAsia="Times New Roman" w:hAnsi="Arial" w:cs="Arial"/>
          <w:kern w:val="0"/>
          <w:lang w:eastAsia="en-GB"/>
          <w14:ligatures w14:val="none"/>
        </w:rPr>
        <w:t xml:space="preserve"> </w:t>
      </w:r>
      <w:r w:rsidRPr="007E5B36">
        <w:rPr>
          <w:rFonts w:ascii="Arial" w:eastAsia="Times New Roman" w:hAnsi="Arial" w:cs="Arial"/>
          <w:kern w:val="0"/>
          <w:lang w:eastAsia="en-GB"/>
          <w14:ligatures w14:val="none"/>
        </w:rPr>
        <w:t>In practice, teenage girls often face long waiting times, increasing social pressures, and greater exposure to harmful body-image content, which can delay help-seeking and worsen symptoms (Beat, 2022). Specialist services, school-based mental health support, and multi-agency collaboration are therefore crucial to effectively address anorexia among adolescent girls in the UK.</w:t>
      </w:r>
    </w:p>
    <w:p w14:paraId="27BC9CB1" w14:textId="40ABE7AA" w:rsidR="00060480" w:rsidRPr="00060480" w:rsidRDefault="00060480" w:rsidP="00CD3D2E">
      <w:pPr>
        <w:spacing w:after="0" w:line="360" w:lineRule="auto"/>
        <w:jc w:val="both"/>
        <w:rPr>
          <w:rFonts w:ascii="Arial" w:eastAsia="Times New Roman" w:hAnsi="Arial" w:cs="Arial"/>
          <w:kern w:val="0"/>
          <w:lang w:eastAsia="en-GB"/>
          <w14:ligatures w14:val="none"/>
        </w:rPr>
      </w:pPr>
      <w:r w:rsidRPr="00060480">
        <w:rPr>
          <w:rFonts w:ascii="Arial" w:eastAsia="Times New Roman" w:hAnsi="Arial" w:cs="Arial"/>
          <w:b/>
          <w:bCs/>
          <w:kern w:val="0"/>
          <w:lang w:eastAsia="en-GB"/>
          <w14:ligatures w14:val="none"/>
        </w:rPr>
        <w:t>References (Harvard)</w:t>
      </w:r>
    </w:p>
    <w:p w14:paraId="09D3FD9B" w14:textId="77777777"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060480">
        <w:rPr>
          <w:rFonts w:ascii="Arial" w:eastAsia="Times New Roman" w:hAnsi="Arial" w:cs="Arial"/>
          <w:kern w:val="0"/>
          <w:lang w:eastAsia="en-GB"/>
          <w14:ligatures w14:val="none"/>
        </w:rPr>
        <w:t xml:space="preserve">Beat (2022) </w:t>
      </w:r>
      <w:r w:rsidRPr="00060480">
        <w:rPr>
          <w:rFonts w:ascii="Arial" w:eastAsia="Times New Roman" w:hAnsi="Arial" w:cs="Arial"/>
          <w:i/>
          <w:iCs/>
          <w:kern w:val="0"/>
          <w:lang w:eastAsia="en-GB"/>
          <w14:ligatures w14:val="none"/>
        </w:rPr>
        <w:t>Annual Report 2022</w:t>
      </w:r>
      <w:r w:rsidRPr="00060480">
        <w:rPr>
          <w:rFonts w:ascii="Arial" w:eastAsia="Times New Roman" w:hAnsi="Arial" w:cs="Arial"/>
          <w:kern w:val="0"/>
          <w:lang w:eastAsia="en-GB"/>
          <w14:ligatures w14:val="none"/>
        </w:rPr>
        <w:t>. Beat Eating Disorders Charity.</w:t>
      </w:r>
    </w:p>
    <w:p w14:paraId="24B4EBD7" w14:textId="77777777"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060480">
        <w:rPr>
          <w:rFonts w:ascii="Arial" w:eastAsia="Times New Roman" w:hAnsi="Arial" w:cs="Arial"/>
          <w:kern w:val="0"/>
          <w:lang w:eastAsia="en-GB"/>
          <w14:ligatures w14:val="none"/>
        </w:rPr>
        <w:t xml:space="preserve">NHS England (2019) </w:t>
      </w:r>
      <w:r w:rsidRPr="00060480">
        <w:rPr>
          <w:rFonts w:ascii="Arial" w:eastAsia="Times New Roman" w:hAnsi="Arial" w:cs="Arial"/>
          <w:i/>
          <w:iCs/>
          <w:kern w:val="0"/>
          <w:lang w:eastAsia="en-GB"/>
          <w14:ligatures w14:val="none"/>
        </w:rPr>
        <w:t>The NHS Long Term Plan</w:t>
      </w:r>
      <w:r w:rsidRPr="00060480">
        <w:rPr>
          <w:rFonts w:ascii="Arial" w:eastAsia="Times New Roman" w:hAnsi="Arial" w:cs="Arial"/>
          <w:kern w:val="0"/>
          <w:lang w:eastAsia="en-GB"/>
          <w14:ligatures w14:val="none"/>
        </w:rPr>
        <w:t>. London: NHS England.</w:t>
      </w:r>
    </w:p>
    <w:p w14:paraId="4BC86A5A" w14:textId="77777777"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060480">
        <w:rPr>
          <w:rFonts w:ascii="Arial" w:eastAsia="Times New Roman" w:hAnsi="Arial" w:cs="Arial"/>
          <w:kern w:val="0"/>
          <w:lang w:eastAsia="en-GB"/>
          <w14:ligatures w14:val="none"/>
        </w:rPr>
        <w:t xml:space="preserve">NICE (2020) </w:t>
      </w:r>
      <w:r w:rsidRPr="00060480">
        <w:rPr>
          <w:rFonts w:ascii="Arial" w:eastAsia="Times New Roman" w:hAnsi="Arial" w:cs="Arial"/>
          <w:i/>
          <w:iCs/>
          <w:kern w:val="0"/>
          <w:lang w:eastAsia="en-GB"/>
          <w14:ligatures w14:val="none"/>
        </w:rPr>
        <w:t>Eating disorders: recognition and treatment (NG69)</w:t>
      </w:r>
      <w:r w:rsidRPr="00060480">
        <w:rPr>
          <w:rFonts w:ascii="Arial" w:eastAsia="Times New Roman" w:hAnsi="Arial" w:cs="Arial"/>
          <w:kern w:val="0"/>
          <w:lang w:eastAsia="en-GB"/>
          <w14:ligatures w14:val="none"/>
        </w:rPr>
        <w:t>. London: National Institute for Health and Care Excellence.</w:t>
      </w:r>
    </w:p>
    <w:p w14:paraId="62A4D0F7" w14:textId="77777777" w:rsidR="00060480" w:rsidRPr="00060480"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060480">
        <w:rPr>
          <w:rFonts w:ascii="Arial" w:eastAsia="Times New Roman" w:hAnsi="Arial" w:cs="Arial"/>
          <w:kern w:val="0"/>
          <w:lang w:eastAsia="en-GB"/>
          <w14:ligatures w14:val="none"/>
        </w:rPr>
        <w:t>Children Act 1989. London: HMSO.</w:t>
      </w:r>
    </w:p>
    <w:p w14:paraId="54C8ADBC" w14:textId="77777777" w:rsidR="00F378E2" w:rsidRPr="007E5B36" w:rsidRDefault="00060480" w:rsidP="00CD3D2E">
      <w:pPr>
        <w:spacing w:before="100" w:beforeAutospacing="1" w:after="100" w:afterAutospacing="1" w:line="360" w:lineRule="auto"/>
        <w:jc w:val="both"/>
        <w:rPr>
          <w:rFonts w:ascii="Arial" w:eastAsia="Times New Roman" w:hAnsi="Arial" w:cs="Arial"/>
          <w:kern w:val="0"/>
          <w:lang w:eastAsia="en-GB"/>
          <w14:ligatures w14:val="none"/>
        </w:rPr>
      </w:pPr>
      <w:r w:rsidRPr="00060480">
        <w:rPr>
          <w:rFonts w:ascii="Arial" w:eastAsia="Times New Roman" w:hAnsi="Arial" w:cs="Arial"/>
          <w:kern w:val="0"/>
          <w:lang w:eastAsia="en-GB"/>
          <w14:ligatures w14:val="none"/>
        </w:rPr>
        <w:t>Mental Health Act 1983. London: HMSO.</w:t>
      </w:r>
    </w:p>
    <w:p w14:paraId="5FC3A9BE"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590BD093"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77712405"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73C2D365" w14:textId="77777777" w:rsidR="007E5B36" w:rsidRPr="00E8211F" w:rsidRDefault="007E5B36" w:rsidP="00CD3D2E">
      <w:pPr>
        <w:spacing w:before="100" w:beforeAutospacing="1" w:after="100" w:afterAutospacing="1" w:line="360" w:lineRule="auto"/>
        <w:jc w:val="both"/>
        <w:rPr>
          <w:rFonts w:ascii="Arial" w:eastAsia="Times New Roman" w:hAnsi="Arial" w:cs="Arial"/>
          <w:kern w:val="0"/>
          <w:lang w:eastAsia="en-GB"/>
          <w14:ligatures w14:val="none"/>
        </w:rPr>
      </w:pPr>
      <w:r w:rsidRPr="00E8211F">
        <w:rPr>
          <w:rFonts w:ascii="Arial" w:eastAsia="Times New Roman" w:hAnsi="Arial" w:cs="Arial"/>
          <w:kern w:val="0"/>
          <w:lang w:eastAsia="en-GB"/>
          <w14:ligatures w14:val="none"/>
        </w:rPr>
        <w:t xml:space="preserve">Beat (2023) </w:t>
      </w:r>
      <w:r w:rsidRPr="00E8211F">
        <w:rPr>
          <w:rFonts w:ascii="Arial" w:eastAsia="Times New Roman" w:hAnsi="Arial" w:cs="Arial"/>
          <w:i/>
          <w:iCs/>
          <w:kern w:val="0"/>
          <w:lang w:eastAsia="en-GB"/>
          <w14:ligatures w14:val="none"/>
        </w:rPr>
        <w:t>Anorexia Nervosa Facts</w:t>
      </w:r>
      <w:r w:rsidRPr="00E8211F">
        <w:rPr>
          <w:rFonts w:ascii="Arial" w:eastAsia="Times New Roman" w:hAnsi="Arial" w:cs="Arial"/>
          <w:kern w:val="0"/>
          <w:lang w:eastAsia="en-GB"/>
          <w14:ligatures w14:val="none"/>
        </w:rPr>
        <w:t xml:space="preserve">. Available at: </w:t>
      </w:r>
      <w:hyperlink r:id="rId6" w:tgtFrame="_new" w:history="1">
        <w:r w:rsidRPr="00E8211F">
          <w:rPr>
            <w:rFonts w:ascii="Arial" w:eastAsia="Times New Roman" w:hAnsi="Arial" w:cs="Arial"/>
            <w:color w:val="0000FF"/>
            <w:kern w:val="0"/>
            <w:u w:val="single"/>
            <w:lang w:eastAsia="en-GB"/>
            <w14:ligatures w14:val="none"/>
          </w:rPr>
          <w:t>https://www.beateatingdisorders.org.uk/</w:t>
        </w:r>
      </w:hyperlink>
      <w:r w:rsidRPr="00E8211F">
        <w:rPr>
          <w:rFonts w:ascii="Arial" w:eastAsia="Times New Roman" w:hAnsi="Arial" w:cs="Arial"/>
          <w:kern w:val="0"/>
          <w:lang w:eastAsia="en-GB"/>
          <w14:ligatures w14:val="none"/>
        </w:rPr>
        <w:br/>
        <w:t xml:space="preserve">Brown, A., Cliffe, C. &amp; Wood, S. (2020) ‘Family experiences of supporting adolescents with anorexia nervosa’, </w:t>
      </w:r>
      <w:r w:rsidRPr="00E8211F">
        <w:rPr>
          <w:rFonts w:ascii="Arial" w:eastAsia="Times New Roman" w:hAnsi="Arial" w:cs="Arial"/>
          <w:i/>
          <w:iCs/>
          <w:kern w:val="0"/>
          <w:lang w:eastAsia="en-GB"/>
          <w14:ligatures w14:val="none"/>
        </w:rPr>
        <w:t>Journal of Eating Disorders</w:t>
      </w:r>
      <w:r w:rsidRPr="00E8211F">
        <w:rPr>
          <w:rFonts w:ascii="Arial" w:eastAsia="Times New Roman" w:hAnsi="Arial" w:cs="Arial"/>
          <w:kern w:val="0"/>
          <w:lang w:eastAsia="en-GB"/>
          <w14:ligatures w14:val="none"/>
        </w:rPr>
        <w:t xml:space="preserve">. Available at: </w:t>
      </w:r>
      <w:hyperlink r:id="rId7" w:tgtFrame="_new" w:history="1">
        <w:r w:rsidRPr="00E8211F">
          <w:rPr>
            <w:rFonts w:ascii="Arial" w:eastAsia="Times New Roman" w:hAnsi="Arial" w:cs="Arial"/>
            <w:color w:val="0000FF"/>
            <w:kern w:val="0"/>
            <w:u w:val="single"/>
            <w:lang w:eastAsia="en-GB"/>
            <w14:ligatures w14:val="none"/>
          </w:rPr>
          <w:t>https://jeatdisord.biomedcentral.com/</w:t>
        </w:r>
      </w:hyperlink>
      <w:r w:rsidRPr="00E8211F">
        <w:rPr>
          <w:rFonts w:ascii="Arial" w:eastAsia="Times New Roman" w:hAnsi="Arial" w:cs="Arial"/>
          <w:kern w:val="0"/>
          <w:lang w:eastAsia="en-GB"/>
          <w14:ligatures w14:val="none"/>
        </w:rPr>
        <w:br/>
        <w:t xml:space="preserve">NHS England (2023) </w:t>
      </w:r>
      <w:r w:rsidRPr="00E8211F">
        <w:rPr>
          <w:rFonts w:ascii="Arial" w:eastAsia="Times New Roman" w:hAnsi="Arial" w:cs="Arial"/>
          <w:i/>
          <w:iCs/>
          <w:kern w:val="0"/>
          <w:lang w:eastAsia="en-GB"/>
          <w14:ligatures w14:val="none"/>
        </w:rPr>
        <w:t>Children and Young People’s Eating Disorder Services: Access and Waiting Time Standards</w:t>
      </w:r>
      <w:r w:rsidRPr="00E8211F">
        <w:rPr>
          <w:rFonts w:ascii="Arial" w:eastAsia="Times New Roman" w:hAnsi="Arial" w:cs="Arial"/>
          <w:kern w:val="0"/>
          <w:lang w:eastAsia="en-GB"/>
          <w14:ligatures w14:val="none"/>
        </w:rPr>
        <w:t xml:space="preserve">. Available at: </w:t>
      </w:r>
      <w:hyperlink r:id="rId8" w:tgtFrame="_new" w:history="1">
        <w:r w:rsidRPr="00E8211F">
          <w:rPr>
            <w:rFonts w:ascii="Arial" w:eastAsia="Times New Roman" w:hAnsi="Arial" w:cs="Arial"/>
            <w:color w:val="0000FF"/>
            <w:kern w:val="0"/>
            <w:u w:val="single"/>
            <w:lang w:eastAsia="en-GB"/>
            <w14:ligatures w14:val="none"/>
          </w:rPr>
          <w:t>https://www.england.nhs.uk/</w:t>
        </w:r>
      </w:hyperlink>
      <w:r w:rsidRPr="00E8211F">
        <w:rPr>
          <w:rFonts w:ascii="Arial" w:eastAsia="Times New Roman" w:hAnsi="Arial" w:cs="Arial"/>
          <w:kern w:val="0"/>
          <w:lang w:eastAsia="en-GB"/>
          <w14:ligatures w14:val="none"/>
        </w:rPr>
        <w:br/>
        <w:t xml:space="preserve">Ofcom (2023) </w:t>
      </w:r>
      <w:r w:rsidRPr="00E8211F">
        <w:rPr>
          <w:rFonts w:ascii="Arial" w:eastAsia="Times New Roman" w:hAnsi="Arial" w:cs="Arial"/>
          <w:i/>
          <w:iCs/>
          <w:kern w:val="0"/>
          <w:lang w:eastAsia="en-GB"/>
          <w14:ligatures w14:val="none"/>
        </w:rPr>
        <w:t>Children and Parents: Media Use and Attitudes Report</w:t>
      </w:r>
      <w:r w:rsidRPr="00E8211F">
        <w:rPr>
          <w:rFonts w:ascii="Arial" w:eastAsia="Times New Roman" w:hAnsi="Arial" w:cs="Arial"/>
          <w:kern w:val="0"/>
          <w:lang w:eastAsia="en-GB"/>
          <w14:ligatures w14:val="none"/>
        </w:rPr>
        <w:t xml:space="preserve">. Available at: </w:t>
      </w:r>
      <w:hyperlink r:id="rId9" w:tgtFrame="_new" w:history="1">
        <w:r w:rsidRPr="00E8211F">
          <w:rPr>
            <w:rFonts w:ascii="Arial" w:eastAsia="Times New Roman" w:hAnsi="Arial" w:cs="Arial"/>
            <w:color w:val="0000FF"/>
            <w:kern w:val="0"/>
            <w:u w:val="single"/>
            <w:lang w:eastAsia="en-GB"/>
            <w14:ligatures w14:val="none"/>
          </w:rPr>
          <w:t>https://www.ofcom.org.uk/</w:t>
        </w:r>
      </w:hyperlink>
      <w:r w:rsidRPr="00E8211F">
        <w:rPr>
          <w:rFonts w:ascii="Arial" w:eastAsia="Times New Roman" w:hAnsi="Arial" w:cs="Arial"/>
          <w:kern w:val="0"/>
          <w:lang w:eastAsia="en-GB"/>
          <w14:ligatures w14:val="none"/>
        </w:rPr>
        <w:br/>
        <w:t xml:space="preserve">Royal College of Psychiatrists (2022) </w:t>
      </w:r>
      <w:r w:rsidRPr="00E8211F">
        <w:rPr>
          <w:rFonts w:ascii="Arial" w:eastAsia="Times New Roman" w:hAnsi="Arial" w:cs="Arial"/>
          <w:i/>
          <w:iCs/>
          <w:kern w:val="0"/>
          <w:lang w:eastAsia="en-GB"/>
          <w14:ligatures w14:val="none"/>
        </w:rPr>
        <w:t>Eating Disorders in Young People</w:t>
      </w:r>
      <w:r w:rsidRPr="00E8211F">
        <w:rPr>
          <w:rFonts w:ascii="Arial" w:eastAsia="Times New Roman" w:hAnsi="Arial" w:cs="Arial"/>
          <w:kern w:val="0"/>
          <w:lang w:eastAsia="en-GB"/>
          <w14:ligatures w14:val="none"/>
        </w:rPr>
        <w:t xml:space="preserve">. Available at: </w:t>
      </w:r>
      <w:hyperlink r:id="rId10" w:tgtFrame="_new" w:history="1">
        <w:r w:rsidRPr="00E8211F">
          <w:rPr>
            <w:rFonts w:ascii="Arial" w:eastAsia="Times New Roman" w:hAnsi="Arial" w:cs="Arial"/>
            <w:color w:val="0000FF"/>
            <w:kern w:val="0"/>
            <w:u w:val="single"/>
            <w:lang w:eastAsia="en-GB"/>
            <w14:ligatures w14:val="none"/>
          </w:rPr>
          <w:t>https://www.rcpsych.ac.uk/</w:t>
        </w:r>
      </w:hyperlink>
      <w:r w:rsidRPr="00E8211F">
        <w:rPr>
          <w:rFonts w:ascii="Arial" w:eastAsia="Times New Roman" w:hAnsi="Arial" w:cs="Arial"/>
          <w:kern w:val="0"/>
          <w:lang w:eastAsia="en-GB"/>
          <w14:ligatures w14:val="none"/>
        </w:rPr>
        <w:br/>
      </w:r>
      <w:r w:rsidRPr="00E8211F">
        <w:rPr>
          <w:rFonts w:ascii="Arial" w:eastAsia="Times New Roman" w:hAnsi="Arial" w:cs="Arial"/>
          <w:kern w:val="0"/>
          <w:lang w:eastAsia="en-GB"/>
          <w14:ligatures w14:val="none"/>
        </w:rPr>
        <w:lastRenderedPageBreak/>
        <w:t xml:space="preserve">Smith, L., Jones, H. &amp; Patel, R. (2021) ‘The psychosocial impact of anorexia nervosa on adolescent girls’, </w:t>
      </w:r>
      <w:r w:rsidRPr="00E8211F">
        <w:rPr>
          <w:rFonts w:ascii="Arial" w:eastAsia="Times New Roman" w:hAnsi="Arial" w:cs="Arial"/>
          <w:i/>
          <w:iCs/>
          <w:kern w:val="0"/>
          <w:lang w:eastAsia="en-GB"/>
          <w14:ligatures w14:val="none"/>
        </w:rPr>
        <w:t>Child and Adolescent Mental Health Journal</w:t>
      </w:r>
      <w:r w:rsidRPr="00E8211F">
        <w:rPr>
          <w:rFonts w:ascii="Arial" w:eastAsia="Times New Roman" w:hAnsi="Arial" w:cs="Arial"/>
          <w:kern w:val="0"/>
          <w:lang w:eastAsia="en-GB"/>
          <w14:ligatures w14:val="none"/>
        </w:rPr>
        <w:t xml:space="preserve">. Available at: </w:t>
      </w:r>
      <w:hyperlink r:id="rId11" w:tgtFrame="_new" w:history="1">
        <w:r w:rsidRPr="00E8211F">
          <w:rPr>
            <w:rFonts w:ascii="Arial" w:eastAsia="Times New Roman" w:hAnsi="Arial" w:cs="Arial"/>
            <w:color w:val="0000FF"/>
            <w:kern w:val="0"/>
            <w:u w:val="single"/>
            <w:lang w:eastAsia="en-GB"/>
            <w14:ligatures w14:val="none"/>
          </w:rPr>
          <w:t>https://onlinelibrary.wiley.com/</w:t>
        </w:r>
      </w:hyperlink>
    </w:p>
    <w:p w14:paraId="232F6A00"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099C318E"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6D5355A7"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630E7365"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5EC43299"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550EB43E"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2C5FF8C7" w14:textId="77777777" w:rsidR="00F378E2" w:rsidRPr="007E5B36"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p>
    <w:p w14:paraId="5202944C" w14:textId="77777777" w:rsidR="00F378E2" w:rsidRPr="007E5B36" w:rsidRDefault="00AE34AE" w:rsidP="00CD3D2E">
      <w:pPr>
        <w:spacing w:before="100" w:beforeAutospacing="1" w:after="100" w:afterAutospacing="1" w:line="360" w:lineRule="auto"/>
        <w:jc w:val="both"/>
        <w:rPr>
          <w:rFonts w:ascii="Arial" w:eastAsia="Times New Roman" w:hAnsi="Arial" w:cs="Arial"/>
          <w:kern w:val="0"/>
          <w:lang w:eastAsia="en-GB"/>
          <w14:ligatures w14:val="none"/>
        </w:rPr>
      </w:pPr>
      <w:r w:rsidRPr="00AE34AE">
        <w:rPr>
          <w:rFonts w:ascii="Arial" w:eastAsia="Times New Roman" w:hAnsi="Arial" w:cs="Arial"/>
          <w:b/>
          <w:bCs/>
          <w:kern w:val="0"/>
          <w:lang w:eastAsia="en-GB"/>
          <w14:ligatures w14:val="none"/>
        </w:rPr>
        <w:t>c) Methods of Data Collection, Data Analysis, and Ethical Considerations (800 words)</w:t>
      </w:r>
    </w:p>
    <w:p w14:paraId="5C4A9845" w14:textId="41469779" w:rsidR="00AE34AE" w:rsidRPr="00AE34AE" w:rsidRDefault="00F378E2"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This scoping review employed a systematic approach to identify, select, and analyse peer-reviewed literature examining the impact of anorexia nervosa on teenage girls in the United Kingdom. Scoping reviews are particularly suitable for mapping the breadth and nature of research in a specific area, summarising key concepts, and identifying knowledge gaps (Arksey &amp; O’Malley, 2005). The review followed the methodological framework outlined by Levac, Colquhoun, and O’Brien (2010), which builds upon Arksey and O’Malley’s model, ensuring clarity, transparency, and replicability of the research process.</w:t>
      </w:r>
    </w:p>
    <w:p w14:paraId="6AA519ED" w14:textId="348C8575" w:rsidR="00F378E2" w:rsidRPr="007E5B36" w:rsidRDefault="00F378E2"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7E5B36">
        <w:rPr>
          <w:rFonts w:ascii="Arial" w:eastAsia="Times New Roman" w:hAnsi="Arial" w:cs="Arial"/>
          <w:b/>
          <w:bCs/>
          <w:kern w:val="0"/>
          <w:lang w:eastAsia="en-GB"/>
          <w14:ligatures w14:val="none"/>
        </w:rPr>
        <w:t xml:space="preserve">Search Strategy </w:t>
      </w:r>
      <w:r w:rsidRPr="007E5B36">
        <w:rPr>
          <w:rFonts w:ascii="Arial" w:eastAsia="Times New Roman" w:hAnsi="Arial" w:cs="Arial"/>
          <w:kern w:val="0"/>
          <w:lang w:eastAsia="en-GB"/>
          <w14:ligatures w14:val="none"/>
        </w:rPr>
        <w:t>A comprehensive search strategy was developed to identify relevant studies across multiple academic databases. These included PubMed, EBSCOhost, PsycINFO, and SAGE Journals. Search terms were devised to reflect the key concepts of the review question and combined using Boolean operators. Primary search terms included “anorexia nervosa”, “eating disorder”, “adolescent”, “teenage girls”, “United Kingdom”, “treatment outcome”, and “psychosocial impact”. The search was restricted to articles published in English from 2000 to 2025, aligning with contemporary clinical practice and policy contexts in the UK. Reference lists of identified studies were also hand-searched to find additional relevant publications</w:t>
      </w:r>
      <w:r w:rsidRPr="007E5B36">
        <w:rPr>
          <w:rFonts w:ascii="Arial" w:eastAsia="Times New Roman" w:hAnsi="Arial" w:cs="Arial"/>
          <w:b/>
          <w:bCs/>
          <w:kern w:val="0"/>
          <w:lang w:eastAsia="en-GB"/>
          <w14:ligatures w14:val="none"/>
        </w:rPr>
        <w:t xml:space="preserve">. </w:t>
      </w:r>
    </w:p>
    <w:p w14:paraId="0A3D9FAD" w14:textId="18790027" w:rsidR="00AE34AE" w:rsidRPr="00AE34AE" w:rsidRDefault="00F378E2" w:rsidP="00CD3D2E">
      <w:pPr>
        <w:spacing w:before="100" w:beforeAutospacing="1" w:after="100" w:afterAutospacing="1" w:line="360" w:lineRule="auto"/>
        <w:jc w:val="both"/>
        <w:outlineLvl w:val="3"/>
        <w:rPr>
          <w:rFonts w:ascii="Arial" w:eastAsia="Times New Roman" w:hAnsi="Arial" w:cs="Arial"/>
          <w:kern w:val="0"/>
          <w:lang w:eastAsia="en-GB"/>
          <w14:ligatures w14:val="none"/>
        </w:rPr>
      </w:pPr>
      <w:r w:rsidRPr="007E5B36">
        <w:rPr>
          <w:rFonts w:ascii="Arial" w:eastAsia="Times New Roman" w:hAnsi="Arial" w:cs="Arial"/>
          <w:b/>
          <w:bCs/>
          <w:kern w:val="0"/>
          <w:lang w:eastAsia="en-GB"/>
          <w14:ligatures w14:val="none"/>
        </w:rPr>
        <w:t xml:space="preserve">Inclusion and Exclusion Criteria </w:t>
      </w:r>
      <w:r w:rsidRPr="007E5B36">
        <w:rPr>
          <w:rFonts w:ascii="Arial" w:eastAsia="Times New Roman" w:hAnsi="Arial" w:cs="Arial"/>
          <w:kern w:val="0"/>
          <w:lang w:eastAsia="en-GB"/>
          <w14:ligatures w14:val="none"/>
        </w:rPr>
        <w:t xml:space="preserve">To ensure the review’s relevance and rigor, clear inclusion and exclusion criteria were established. Studies were included if they: (1) were peer-reviewed, </w:t>
      </w:r>
      <w:r w:rsidRPr="007E5B36">
        <w:rPr>
          <w:rFonts w:ascii="Arial" w:eastAsia="Times New Roman" w:hAnsi="Arial" w:cs="Arial"/>
          <w:kern w:val="0"/>
          <w:lang w:eastAsia="en-GB"/>
          <w14:ligatures w14:val="none"/>
        </w:rPr>
        <w:lastRenderedPageBreak/>
        <w:t>(2) focused on teenage girls aged 12–18 years, (3) examined anorexia nervosa, (4) were conducted in the UK or provided data relevant to UK practice, and (5) reported outcomes related to physical health, psychological wellbeing, social functioning, or treatment effectiveness. Exclusion criteria included non-peer-reviewed sources, conference proceedings, editorials, policy documents (except for background or context), commentary papers, and studies focusing solely on adults or males. This approach ensured that the review synthesised high-quality, relevant evidence directly related to the research question.</w:t>
      </w:r>
    </w:p>
    <w:p w14:paraId="5C1C6A8A" w14:textId="079740AA" w:rsidR="00AE34AE" w:rsidRPr="00AE34AE" w:rsidRDefault="00F378E2"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7E5B36">
        <w:rPr>
          <w:rFonts w:ascii="Arial" w:eastAsia="Times New Roman" w:hAnsi="Arial" w:cs="Arial"/>
          <w:b/>
          <w:bCs/>
          <w:kern w:val="0"/>
          <w:lang w:eastAsia="en-GB"/>
          <w14:ligatures w14:val="none"/>
        </w:rPr>
        <w:t xml:space="preserve">Study Selection </w:t>
      </w:r>
      <w:r w:rsidRPr="007E5B36">
        <w:rPr>
          <w:rFonts w:ascii="Arial" w:eastAsia="Times New Roman" w:hAnsi="Arial" w:cs="Arial"/>
          <w:kern w:val="0"/>
          <w:lang w:eastAsia="en-GB"/>
          <w14:ligatures w14:val="none"/>
        </w:rPr>
        <w:t>The process followed the</w:t>
      </w:r>
      <w:r w:rsidRPr="007E5B36">
        <w:rPr>
          <w:rFonts w:ascii="Arial" w:eastAsia="Times New Roman" w:hAnsi="Arial" w:cs="Arial"/>
          <w:b/>
          <w:bCs/>
          <w:kern w:val="0"/>
          <w:lang w:eastAsia="en-GB"/>
          <w14:ligatures w14:val="none"/>
        </w:rPr>
        <w:t xml:space="preserve"> PRISMA (Preferred Reporting Items for Systematic Reviews and Meta-Analyses) </w:t>
      </w:r>
      <w:r w:rsidRPr="007E5B36">
        <w:rPr>
          <w:rFonts w:ascii="Arial" w:eastAsia="Times New Roman" w:hAnsi="Arial" w:cs="Arial"/>
          <w:kern w:val="0"/>
          <w:lang w:eastAsia="en-GB"/>
          <w14:ligatures w14:val="none"/>
        </w:rPr>
        <w:t>guidelines to improve transparency (Moher et al., 2009). After the initial database search, duplicates were discarded, and titles and abstracts were screened against the inclusion criteria. Studies that passed the initial screening were retrieved in full text for a second review. Any disagreements regarding study eligibility were resolved through discussion between the researcher and an academic supervisor. This two-step selection process ensured that only the most relevant and rigorous studies were included in the scoping review</w:t>
      </w:r>
      <w:r w:rsidRPr="007E5B36">
        <w:rPr>
          <w:rFonts w:ascii="Arial" w:eastAsia="Times New Roman" w:hAnsi="Arial" w:cs="Arial"/>
          <w:b/>
          <w:bCs/>
          <w:kern w:val="0"/>
          <w:lang w:eastAsia="en-GB"/>
          <w14:ligatures w14:val="none"/>
        </w:rPr>
        <w:t>.</w:t>
      </w:r>
    </w:p>
    <w:p w14:paraId="570BF850" w14:textId="71A5840B" w:rsidR="00AE34AE" w:rsidRPr="00AE34AE" w:rsidRDefault="00F378E2" w:rsidP="00CD3D2E">
      <w:pPr>
        <w:spacing w:before="100" w:beforeAutospacing="1" w:after="100" w:afterAutospacing="1" w:line="360" w:lineRule="auto"/>
        <w:jc w:val="both"/>
        <w:outlineLvl w:val="3"/>
        <w:rPr>
          <w:rFonts w:ascii="Arial" w:eastAsia="Times New Roman" w:hAnsi="Arial" w:cs="Arial"/>
          <w:kern w:val="0"/>
          <w:lang w:eastAsia="en-GB"/>
          <w14:ligatures w14:val="none"/>
        </w:rPr>
      </w:pPr>
      <w:r w:rsidRPr="007E5B36">
        <w:rPr>
          <w:rFonts w:ascii="Arial" w:eastAsia="Times New Roman" w:hAnsi="Arial" w:cs="Arial"/>
          <w:b/>
          <w:bCs/>
          <w:kern w:val="0"/>
          <w:lang w:eastAsia="en-GB"/>
          <w14:ligatures w14:val="none"/>
        </w:rPr>
        <w:t xml:space="preserve">Data Extraction </w:t>
      </w:r>
      <w:r w:rsidRPr="007E5B36">
        <w:rPr>
          <w:rFonts w:ascii="Arial" w:eastAsia="Times New Roman" w:hAnsi="Arial" w:cs="Arial"/>
          <w:kern w:val="0"/>
          <w:lang w:eastAsia="en-GB"/>
          <w14:ligatures w14:val="none"/>
        </w:rPr>
        <w:t>Data from each included study were systematically extracted using a structured charting form adapted from established scoping review methodologies (Peters et al., 2015). Extracted information included author(s), year of publication, study location, study design, sample size and characteristics (age, sex), intervention or exposure, outcomes measured, follow-up period, and key findings. This structured approach facilitated comparison across studies and enabled identification of recurring patterns or themes.</w:t>
      </w:r>
    </w:p>
    <w:p w14:paraId="16EC51DF" w14:textId="77777777" w:rsidR="00F378E2" w:rsidRPr="007E5B36" w:rsidRDefault="00F378E2"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p>
    <w:p w14:paraId="3D1404E6" w14:textId="77777777" w:rsidR="00F378E2" w:rsidRPr="007E5B36" w:rsidRDefault="00F378E2"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p>
    <w:p w14:paraId="5A0C5EDD" w14:textId="71BC78E9" w:rsidR="00AE34AE" w:rsidRPr="00AE34AE" w:rsidRDefault="00F378E2"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7E5B36">
        <w:rPr>
          <w:rFonts w:ascii="Arial" w:eastAsia="Times New Roman" w:hAnsi="Arial" w:cs="Arial"/>
          <w:b/>
          <w:bCs/>
          <w:kern w:val="0"/>
          <w:lang w:eastAsia="en-GB"/>
          <w14:ligatures w14:val="none"/>
        </w:rPr>
        <w:t xml:space="preserve">Data Analysis: </w:t>
      </w:r>
      <w:r w:rsidRPr="007E5B36">
        <w:rPr>
          <w:rFonts w:ascii="Arial" w:eastAsia="Times New Roman" w:hAnsi="Arial" w:cs="Arial"/>
          <w:kern w:val="0"/>
          <w:lang w:eastAsia="en-GB"/>
          <w14:ligatures w14:val="none"/>
        </w:rPr>
        <w:t>Thematic analysis was employed to synthesise data from the included studies. This method involves coding extracted data to identify patterns, categories, and themes related to the research question (Braun &amp; Clarke, 2006). Themes were developed iteratively, reflecting commonalities in incidence, physical and psychological outcomes, treatment effectiveness, social and peer-related factors, and long-term impact. Both quantitative and qualitative findings were integrated, allowing for a comprehensive understanding of anorexia’s multifaceted impact on teenage girls. Quantitative results were summarised narratively, with descriptive statistics reported where available, while qualitative findings were presented as thematic narratives, emphasising lived experiences and psychosocial influences</w:t>
      </w:r>
      <w:r w:rsidRPr="007E5B36">
        <w:rPr>
          <w:rFonts w:ascii="Arial" w:eastAsia="Times New Roman" w:hAnsi="Arial" w:cs="Arial"/>
          <w:b/>
          <w:bCs/>
          <w:kern w:val="0"/>
          <w:lang w:eastAsia="en-GB"/>
          <w14:ligatures w14:val="none"/>
        </w:rPr>
        <w:t>.</w:t>
      </w:r>
    </w:p>
    <w:p w14:paraId="4700B41F" w14:textId="40317C55" w:rsidR="00AE34AE" w:rsidRPr="00AE34AE" w:rsidRDefault="00F378E2"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7E5B36">
        <w:rPr>
          <w:rFonts w:ascii="Arial" w:eastAsia="Times New Roman" w:hAnsi="Arial" w:cs="Arial"/>
          <w:b/>
          <w:bCs/>
          <w:kern w:val="0"/>
          <w:lang w:eastAsia="en-GB"/>
          <w14:ligatures w14:val="none"/>
        </w:rPr>
        <w:lastRenderedPageBreak/>
        <w:t xml:space="preserve">Ethical Considerations </w:t>
      </w:r>
      <w:r w:rsidRPr="007E5B36">
        <w:rPr>
          <w:rFonts w:ascii="Arial" w:eastAsia="Times New Roman" w:hAnsi="Arial" w:cs="Arial"/>
          <w:kern w:val="0"/>
          <w:lang w:eastAsia="en-GB"/>
          <w14:ligatures w14:val="none"/>
        </w:rPr>
        <w:t>Although this study was a secondary research project based on published data, ethical considerations still applied. The research adhered to principles of integrity, accuracy, and transparency, ensuring that data were presented objectively without misrepresentation (Wager, 2014). All studies included in the review were peer-reviewed and obtained ethical approval at the time of their original research. The review also recognised potential biases, such as publication bias or sample selection bias, especially since some studies focused on clinical populations that might not represent all teenagers with anorexia. Additionally, care was taken when reporting findings related to vulnerable populations, ensuring that results were communicated respectfully and without stigmatisation.</w:t>
      </w:r>
    </w:p>
    <w:p w14:paraId="17B4A545" w14:textId="0FA3E1E6" w:rsidR="00AE34AE" w:rsidRPr="00AE34AE" w:rsidRDefault="00F378E2" w:rsidP="00CD3D2E">
      <w:pPr>
        <w:spacing w:before="100" w:beforeAutospacing="1" w:after="100" w:afterAutospacing="1" w:line="360" w:lineRule="auto"/>
        <w:jc w:val="both"/>
        <w:outlineLvl w:val="3"/>
        <w:rPr>
          <w:rFonts w:ascii="Arial" w:eastAsia="Times New Roman" w:hAnsi="Arial" w:cs="Arial"/>
          <w:kern w:val="0"/>
          <w:lang w:eastAsia="en-GB"/>
          <w14:ligatures w14:val="none"/>
        </w:rPr>
      </w:pPr>
      <w:r w:rsidRPr="007E5B36">
        <w:rPr>
          <w:rFonts w:ascii="Arial" w:eastAsia="Times New Roman" w:hAnsi="Arial" w:cs="Arial"/>
          <w:b/>
          <w:bCs/>
          <w:kern w:val="0"/>
          <w:lang w:eastAsia="en-GB"/>
          <w14:ligatures w14:val="none"/>
        </w:rPr>
        <w:t xml:space="preserve">Limitations of Methods </w:t>
      </w:r>
      <w:r w:rsidRPr="007E5B36">
        <w:rPr>
          <w:rFonts w:ascii="Arial" w:eastAsia="Times New Roman" w:hAnsi="Arial" w:cs="Arial"/>
          <w:kern w:val="0"/>
          <w:lang w:eastAsia="en-GB"/>
          <w14:ligatures w14:val="none"/>
        </w:rPr>
        <w:t>The methodology has inherent limitations. Restricting the search to English-language publications may have excluded relevant international research. Limiting the timeframe to 2000–2025, although practical, might overlook historical studies that provide additional insights. The exclusive focus on teenage girls may limit the generalisability of findings to male adolescents or broader populations. Finally, as a scoping review rather than a systematic review or meta-analysis, the approach maps and summarises evidence but does not quantify effect sizes or establish causality.</w:t>
      </w:r>
    </w:p>
    <w:p w14:paraId="74E1F250" w14:textId="7919477A" w:rsidR="00AE34AE" w:rsidRPr="00AE34AE" w:rsidRDefault="00F378E2"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7E5B36">
        <w:rPr>
          <w:rFonts w:ascii="Arial" w:eastAsia="Times New Roman" w:hAnsi="Arial" w:cs="Arial"/>
          <w:b/>
          <w:bCs/>
          <w:kern w:val="0"/>
          <w:lang w:eastAsia="en-GB"/>
          <w14:ligatures w14:val="none"/>
        </w:rPr>
        <w:t xml:space="preserve">Summary: </w:t>
      </w:r>
      <w:r w:rsidRPr="007E5B36">
        <w:rPr>
          <w:rFonts w:ascii="Arial" w:eastAsia="Times New Roman" w:hAnsi="Arial" w:cs="Arial"/>
          <w:kern w:val="0"/>
          <w:lang w:eastAsia="en-GB"/>
          <w14:ligatures w14:val="none"/>
        </w:rPr>
        <w:t>In summary, the methodology employed a structured and transparent approach to identify, select, and analyse peer-reviewed research on anorexia nervosa in teenage girls in the UK. By applying clearly defined inclusion criteria, using multiple databases, and synthesising findings through thematic analysis, the review offers a comprehensive understanding of existing evidence. Ethical considerations and acknowledgement of limitations ensure the review is conducted responsibly, supporting the validity and reliability of the conclusions drawn. This approach allows the research to identify knowledge gaps and inform future practice, policy, and research directions in UK health and social care settings</w:t>
      </w:r>
      <w:r w:rsidRPr="007E5B36">
        <w:rPr>
          <w:rFonts w:ascii="Arial" w:eastAsia="Times New Roman" w:hAnsi="Arial" w:cs="Arial"/>
          <w:b/>
          <w:bCs/>
          <w:kern w:val="0"/>
          <w:lang w:eastAsia="en-GB"/>
          <w14:ligatures w14:val="none"/>
        </w:rPr>
        <w:t>.</w:t>
      </w:r>
    </w:p>
    <w:p w14:paraId="489B0213" w14:textId="3F9E1A44" w:rsidR="00AE34AE" w:rsidRPr="00AE34AE" w:rsidRDefault="00AE34AE" w:rsidP="00CD3D2E">
      <w:pPr>
        <w:spacing w:after="0" w:line="360" w:lineRule="auto"/>
        <w:jc w:val="both"/>
        <w:rPr>
          <w:rFonts w:ascii="Arial" w:eastAsia="Times New Roman" w:hAnsi="Arial" w:cs="Arial"/>
          <w:kern w:val="0"/>
          <w:lang w:eastAsia="en-GB"/>
          <w14:ligatures w14:val="none"/>
        </w:rPr>
      </w:pPr>
      <w:r w:rsidRPr="00AE34AE">
        <w:rPr>
          <w:rFonts w:ascii="Arial" w:eastAsia="Times New Roman" w:hAnsi="Arial" w:cs="Arial"/>
          <w:b/>
          <w:bCs/>
          <w:kern w:val="0"/>
          <w:lang w:eastAsia="en-GB"/>
          <w14:ligatures w14:val="none"/>
        </w:rPr>
        <w:t>References (Harvard Style)</w:t>
      </w:r>
    </w:p>
    <w:p w14:paraId="7DAB8131" w14:textId="77777777" w:rsidR="00AE34AE" w:rsidRPr="00AE34AE" w:rsidRDefault="00AE34AE" w:rsidP="00CD3D2E">
      <w:pPr>
        <w:spacing w:before="100" w:beforeAutospacing="1" w:after="100" w:afterAutospacing="1" w:line="360" w:lineRule="auto"/>
        <w:jc w:val="both"/>
        <w:rPr>
          <w:rFonts w:ascii="Arial" w:eastAsia="Times New Roman" w:hAnsi="Arial" w:cs="Arial"/>
          <w:kern w:val="0"/>
          <w:lang w:eastAsia="en-GB"/>
          <w14:ligatures w14:val="none"/>
        </w:rPr>
      </w:pPr>
      <w:r w:rsidRPr="00AE34AE">
        <w:rPr>
          <w:rFonts w:ascii="Arial" w:eastAsia="Times New Roman" w:hAnsi="Arial" w:cs="Arial"/>
          <w:kern w:val="0"/>
          <w:lang w:eastAsia="en-GB"/>
          <w14:ligatures w14:val="none"/>
        </w:rPr>
        <w:t xml:space="preserve">Arksey, H. &amp; O’Malley, L. (2005) ‘Scoping studies: Towards a methodological framework’, </w:t>
      </w:r>
      <w:r w:rsidRPr="00AE34AE">
        <w:rPr>
          <w:rFonts w:ascii="Arial" w:eastAsia="Times New Roman" w:hAnsi="Arial" w:cs="Arial"/>
          <w:i/>
          <w:iCs/>
          <w:kern w:val="0"/>
          <w:lang w:eastAsia="en-GB"/>
          <w14:ligatures w14:val="none"/>
        </w:rPr>
        <w:t>International Journal of Social Research Methodology</w:t>
      </w:r>
      <w:r w:rsidRPr="00AE34AE">
        <w:rPr>
          <w:rFonts w:ascii="Arial" w:eastAsia="Times New Roman" w:hAnsi="Arial" w:cs="Arial"/>
          <w:kern w:val="0"/>
          <w:lang w:eastAsia="en-GB"/>
          <w14:ligatures w14:val="none"/>
        </w:rPr>
        <w:t>, 8(1), pp.19–32.</w:t>
      </w:r>
    </w:p>
    <w:p w14:paraId="37884364" w14:textId="77777777" w:rsidR="00AE34AE" w:rsidRPr="00AE34AE" w:rsidRDefault="00AE34AE" w:rsidP="00CD3D2E">
      <w:pPr>
        <w:spacing w:before="100" w:beforeAutospacing="1" w:after="100" w:afterAutospacing="1" w:line="360" w:lineRule="auto"/>
        <w:jc w:val="both"/>
        <w:rPr>
          <w:rFonts w:ascii="Arial" w:eastAsia="Times New Roman" w:hAnsi="Arial" w:cs="Arial"/>
          <w:kern w:val="0"/>
          <w:lang w:eastAsia="en-GB"/>
          <w14:ligatures w14:val="none"/>
        </w:rPr>
      </w:pPr>
      <w:r w:rsidRPr="00AE34AE">
        <w:rPr>
          <w:rFonts w:ascii="Arial" w:eastAsia="Times New Roman" w:hAnsi="Arial" w:cs="Arial"/>
          <w:kern w:val="0"/>
          <w:lang w:eastAsia="en-GB"/>
          <w14:ligatures w14:val="none"/>
        </w:rPr>
        <w:t xml:space="preserve">Braun, V. &amp; Clarke, V. (2006) ‘Using thematic analysis in psychology’, </w:t>
      </w:r>
      <w:r w:rsidRPr="00AE34AE">
        <w:rPr>
          <w:rFonts w:ascii="Arial" w:eastAsia="Times New Roman" w:hAnsi="Arial" w:cs="Arial"/>
          <w:i/>
          <w:iCs/>
          <w:kern w:val="0"/>
          <w:lang w:eastAsia="en-GB"/>
          <w14:ligatures w14:val="none"/>
        </w:rPr>
        <w:t>Qualitative Research in Psychology</w:t>
      </w:r>
      <w:r w:rsidRPr="00AE34AE">
        <w:rPr>
          <w:rFonts w:ascii="Arial" w:eastAsia="Times New Roman" w:hAnsi="Arial" w:cs="Arial"/>
          <w:kern w:val="0"/>
          <w:lang w:eastAsia="en-GB"/>
          <w14:ligatures w14:val="none"/>
        </w:rPr>
        <w:t>, 3(2), pp.77–101.</w:t>
      </w:r>
    </w:p>
    <w:p w14:paraId="018E2049" w14:textId="77777777" w:rsidR="00AE34AE" w:rsidRPr="007E5B36" w:rsidRDefault="00AE34AE" w:rsidP="00CD3D2E">
      <w:pPr>
        <w:spacing w:before="100" w:beforeAutospacing="1" w:after="100" w:afterAutospacing="1" w:line="360" w:lineRule="auto"/>
        <w:jc w:val="both"/>
        <w:rPr>
          <w:rFonts w:ascii="Arial" w:eastAsia="Times New Roman" w:hAnsi="Arial" w:cs="Arial"/>
          <w:kern w:val="0"/>
          <w:lang w:eastAsia="en-GB"/>
          <w14:ligatures w14:val="none"/>
        </w:rPr>
      </w:pPr>
      <w:r w:rsidRPr="00AE34AE">
        <w:rPr>
          <w:rFonts w:ascii="Arial" w:eastAsia="Times New Roman" w:hAnsi="Arial" w:cs="Arial"/>
          <w:kern w:val="0"/>
          <w:lang w:eastAsia="en-GB"/>
          <w14:ligatures w14:val="none"/>
        </w:rPr>
        <w:t xml:space="preserve">Levac, D., Colquhoun, H. &amp; O’Brien, K.K. (2010) ‘Scoping studies: advancing the methodology’, </w:t>
      </w:r>
      <w:r w:rsidRPr="00AE34AE">
        <w:rPr>
          <w:rFonts w:ascii="Arial" w:eastAsia="Times New Roman" w:hAnsi="Arial" w:cs="Arial"/>
          <w:i/>
          <w:iCs/>
          <w:kern w:val="0"/>
          <w:lang w:eastAsia="en-GB"/>
          <w14:ligatures w14:val="none"/>
        </w:rPr>
        <w:t>Implementation Science</w:t>
      </w:r>
      <w:r w:rsidRPr="00AE34AE">
        <w:rPr>
          <w:rFonts w:ascii="Arial" w:eastAsia="Times New Roman" w:hAnsi="Arial" w:cs="Arial"/>
          <w:kern w:val="0"/>
          <w:lang w:eastAsia="en-GB"/>
          <w14:ligatures w14:val="none"/>
        </w:rPr>
        <w:t>, 5(69), pp.1–9.</w:t>
      </w:r>
    </w:p>
    <w:p w14:paraId="38A1A6B9" w14:textId="77777777" w:rsidR="00A93C76" w:rsidRPr="00AE34AE"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p>
    <w:p w14:paraId="44793289" w14:textId="77777777" w:rsidR="00AE34AE" w:rsidRPr="00AE34AE" w:rsidRDefault="00AE34AE" w:rsidP="00CD3D2E">
      <w:pPr>
        <w:spacing w:before="100" w:beforeAutospacing="1" w:after="100" w:afterAutospacing="1" w:line="360" w:lineRule="auto"/>
        <w:jc w:val="both"/>
        <w:rPr>
          <w:rFonts w:ascii="Arial" w:eastAsia="Times New Roman" w:hAnsi="Arial" w:cs="Arial"/>
          <w:kern w:val="0"/>
          <w:lang w:eastAsia="en-GB"/>
          <w14:ligatures w14:val="none"/>
        </w:rPr>
      </w:pPr>
      <w:r w:rsidRPr="00AE34AE">
        <w:rPr>
          <w:rFonts w:ascii="Arial" w:eastAsia="Times New Roman" w:hAnsi="Arial" w:cs="Arial"/>
          <w:kern w:val="0"/>
          <w:lang w:eastAsia="en-GB"/>
          <w14:ligatures w14:val="none"/>
        </w:rPr>
        <w:t xml:space="preserve">Moher, D., Liberati, A., Tetzlaff, J., Altman, D.G. &amp; PRISMA Group (2009) ‘Preferred reporting items for systematic reviews and meta-analyses: The PRISMA statement’, </w:t>
      </w:r>
      <w:r w:rsidRPr="00AE34AE">
        <w:rPr>
          <w:rFonts w:ascii="Arial" w:eastAsia="Times New Roman" w:hAnsi="Arial" w:cs="Arial"/>
          <w:i/>
          <w:iCs/>
          <w:kern w:val="0"/>
          <w:lang w:eastAsia="en-GB"/>
          <w14:ligatures w14:val="none"/>
        </w:rPr>
        <w:t>PLoS Medicine</w:t>
      </w:r>
      <w:r w:rsidRPr="00AE34AE">
        <w:rPr>
          <w:rFonts w:ascii="Arial" w:eastAsia="Times New Roman" w:hAnsi="Arial" w:cs="Arial"/>
          <w:kern w:val="0"/>
          <w:lang w:eastAsia="en-GB"/>
          <w14:ligatures w14:val="none"/>
        </w:rPr>
        <w:t>, 6(7), e1000097.</w:t>
      </w:r>
    </w:p>
    <w:p w14:paraId="78949D71" w14:textId="77777777" w:rsidR="00AE34AE" w:rsidRPr="00AE34AE" w:rsidRDefault="00AE34AE" w:rsidP="00CD3D2E">
      <w:pPr>
        <w:spacing w:before="100" w:beforeAutospacing="1" w:after="100" w:afterAutospacing="1" w:line="360" w:lineRule="auto"/>
        <w:jc w:val="both"/>
        <w:rPr>
          <w:rFonts w:ascii="Arial" w:eastAsia="Times New Roman" w:hAnsi="Arial" w:cs="Arial"/>
          <w:kern w:val="0"/>
          <w:lang w:eastAsia="en-GB"/>
          <w14:ligatures w14:val="none"/>
        </w:rPr>
      </w:pPr>
      <w:r w:rsidRPr="00AE34AE">
        <w:rPr>
          <w:rFonts w:ascii="Arial" w:eastAsia="Times New Roman" w:hAnsi="Arial" w:cs="Arial"/>
          <w:kern w:val="0"/>
          <w:lang w:eastAsia="en-GB"/>
          <w14:ligatures w14:val="none"/>
        </w:rPr>
        <w:t xml:space="preserve">NICE (2020) </w:t>
      </w:r>
      <w:r w:rsidRPr="00AE34AE">
        <w:rPr>
          <w:rFonts w:ascii="Arial" w:eastAsia="Times New Roman" w:hAnsi="Arial" w:cs="Arial"/>
          <w:i/>
          <w:iCs/>
          <w:kern w:val="0"/>
          <w:lang w:eastAsia="en-GB"/>
          <w14:ligatures w14:val="none"/>
        </w:rPr>
        <w:t>Eating disorders: recognition and treatment (NG69)</w:t>
      </w:r>
      <w:r w:rsidRPr="00AE34AE">
        <w:rPr>
          <w:rFonts w:ascii="Arial" w:eastAsia="Times New Roman" w:hAnsi="Arial" w:cs="Arial"/>
          <w:kern w:val="0"/>
          <w:lang w:eastAsia="en-GB"/>
          <w14:ligatures w14:val="none"/>
        </w:rPr>
        <w:t>. London: National Institute for Health and Care Excellence.</w:t>
      </w:r>
    </w:p>
    <w:p w14:paraId="7868DE06" w14:textId="77777777" w:rsidR="00AE34AE" w:rsidRPr="00AE34AE" w:rsidRDefault="00AE34AE" w:rsidP="00CD3D2E">
      <w:pPr>
        <w:spacing w:before="100" w:beforeAutospacing="1" w:after="100" w:afterAutospacing="1" w:line="360" w:lineRule="auto"/>
        <w:jc w:val="both"/>
        <w:rPr>
          <w:rFonts w:ascii="Arial" w:eastAsia="Times New Roman" w:hAnsi="Arial" w:cs="Arial"/>
          <w:kern w:val="0"/>
          <w:lang w:eastAsia="en-GB"/>
          <w14:ligatures w14:val="none"/>
        </w:rPr>
      </w:pPr>
      <w:r w:rsidRPr="00AE34AE">
        <w:rPr>
          <w:rFonts w:ascii="Arial" w:eastAsia="Times New Roman" w:hAnsi="Arial" w:cs="Arial"/>
          <w:kern w:val="0"/>
          <w:lang w:eastAsia="en-GB"/>
          <w14:ligatures w14:val="none"/>
        </w:rPr>
        <w:t xml:space="preserve">Peters, M.D.J., Godfrey, C., Khalil, H., McInerney, P., Parker, D. &amp; Soares, C.B. (2015) </w:t>
      </w:r>
      <w:r w:rsidRPr="00AE34AE">
        <w:rPr>
          <w:rFonts w:ascii="Arial" w:eastAsia="Times New Roman" w:hAnsi="Arial" w:cs="Arial"/>
          <w:i/>
          <w:iCs/>
          <w:kern w:val="0"/>
          <w:lang w:eastAsia="en-GB"/>
          <w14:ligatures w14:val="none"/>
        </w:rPr>
        <w:t>Guidance for conducting systematic scoping reviews</w:t>
      </w:r>
      <w:r w:rsidRPr="00AE34AE">
        <w:rPr>
          <w:rFonts w:ascii="Arial" w:eastAsia="Times New Roman" w:hAnsi="Arial" w:cs="Arial"/>
          <w:kern w:val="0"/>
          <w:lang w:eastAsia="en-GB"/>
          <w14:ligatures w14:val="none"/>
        </w:rPr>
        <w:t>, International Journal of Evidence-Based Healthcare, 13(3), pp.141–146.</w:t>
      </w:r>
    </w:p>
    <w:p w14:paraId="6A1A949F" w14:textId="77777777" w:rsidR="00AE34AE" w:rsidRPr="00AE34AE" w:rsidRDefault="00AE34AE" w:rsidP="00CD3D2E">
      <w:pPr>
        <w:spacing w:before="100" w:beforeAutospacing="1" w:after="100" w:afterAutospacing="1" w:line="360" w:lineRule="auto"/>
        <w:jc w:val="both"/>
        <w:rPr>
          <w:rFonts w:ascii="Arial" w:eastAsia="Times New Roman" w:hAnsi="Arial" w:cs="Arial"/>
          <w:kern w:val="0"/>
          <w:lang w:eastAsia="en-GB"/>
          <w14:ligatures w14:val="none"/>
        </w:rPr>
      </w:pPr>
      <w:r w:rsidRPr="00AE34AE">
        <w:rPr>
          <w:rFonts w:ascii="Arial" w:eastAsia="Times New Roman" w:hAnsi="Arial" w:cs="Arial"/>
          <w:kern w:val="0"/>
          <w:lang w:eastAsia="en-GB"/>
          <w14:ligatures w14:val="none"/>
        </w:rPr>
        <w:t xml:space="preserve">Wager, E. (2014) </w:t>
      </w:r>
      <w:r w:rsidRPr="00AE34AE">
        <w:rPr>
          <w:rFonts w:ascii="Arial" w:eastAsia="Times New Roman" w:hAnsi="Arial" w:cs="Arial"/>
          <w:i/>
          <w:iCs/>
          <w:kern w:val="0"/>
          <w:lang w:eastAsia="en-GB"/>
          <w14:ligatures w14:val="none"/>
        </w:rPr>
        <w:t>Ethical issues in preparing and publishing systematic reviews</w:t>
      </w:r>
      <w:r w:rsidRPr="00AE34AE">
        <w:rPr>
          <w:rFonts w:ascii="Arial" w:eastAsia="Times New Roman" w:hAnsi="Arial" w:cs="Arial"/>
          <w:kern w:val="0"/>
          <w:lang w:eastAsia="en-GB"/>
          <w14:ligatures w14:val="none"/>
        </w:rPr>
        <w:t>, Cochrane Handbook.</w:t>
      </w:r>
    </w:p>
    <w:p w14:paraId="00155553" w14:textId="77777777" w:rsidR="00AE34AE" w:rsidRPr="007E5B36" w:rsidRDefault="00AE34AE" w:rsidP="00CD3D2E">
      <w:pPr>
        <w:spacing w:line="360" w:lineRule="auto"/>
        <w:jc w:val="both"/>
        <w:rPr>
          <w:rFonts w:ascii="Arial" w:hAnsi="Arial" w:cs="Arial"/>
        </w:rPr>
      </w:pPr>
    </w:p>
    <w:p w14:paraId="25D289A6" w14:textId="77777777" w:rsidR="00A93C76" w:rsidRPr="007E5B36" w:rsidRDefault="00A93C76" w:rsidP="00CD3D2E">
      <w:pPr>
        <w:spacing w:line="360" w:lineRule="auto"/>
        <w:jc w:val="both"/>
        <w:rPr>
          <w:rFonts w:ascii="Arial" w:hAnsi="Arial" w:cs="Arial"/>
        </w:rPr>
      </w:pPr>
    </w:p>
    <w:p w14:paraId="64D099EC" w14:textId="77777777" w:rsidR="00A93C76" w:rsidRPr="007E5B36" w:rsidRDefault="00A93C76" w:rsidP="00CD3D2E">
      <w:pPr>
        <w:spacing w:line="360" w:lineRule="auto"/>
        <w:jc w:val="both"/>
        <w:rPr>
          <w:rFonts w:ascii="Arial" w:hAnsi="Arial" w:cs="Arial"/>
        </w:rPr>
      </w:pPr>
    </w:p>
    <w:p w14:paraId="739694AF" w14:textId="77777777" w:rsidR="00A93C76" w:rsidRPr="007E5B36" w:rsidRDefault="00A93C76" w:rsidP="00CD3D2E">
      <w:pPr>
        <w:spacing w:line="360" w:lineRule="auto"/>
        <w:jc w:val="both"/>
        <w:rPr>
          <w:rFonts w:ascii="Arial" w:hAnsi="Arial" w:cs="Arial"/>
        </w:rPr>
      </w:pPr>
    </w:p>
    <w:p w14:paraId="7FFE6586"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080391AA"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3F42588C"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4788FCC3"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0A6FF6F8"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4A238439"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0BEFE3B0"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1A5BE9D7"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0B5720DA"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53FC375C"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153991CB"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3A23722C"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3209CA73"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218F6D49" w14:textId="77777777" w:rsidR="00A93C76" w:rsidRPr="007E5B3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5B393F5E" w14:textId="3CA859F2" w:rsidR="00A93C76" w:rsidRPr="00A93C76" w:rsidRDefault="00A93C76"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d) Results (1000 words)</w:t>
      </w:r>
    </w:p>
    <w:p w14:paraId="02217AC1" w14:textId="1CB4006D" w:rsidR="00A93C76" w:rsidRPr="007E5B36"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This scoping review identified six key peer-reviewed studies on the impact of anorexia nervosa among teenage girls in the United Kingdom. These studies include quantitative, qualitative, and longitudinal research, offering insights into prevalence, treatment outcomes, long-term effects, psychosocial factors, and service provision. The thematic analysis uncovered five main themes: (1) epidemiology and incidence, (2) short-term treatment outcomes, (3) long-term physical and psychological effects, (4) psychosocial and peer influences, and (5) access to services and treatment pathways.</w:t>
      </w:r>
    </w:p>
    <w:p w14:paraId="50C1B8B4" w14:textId="09A460C7" w:rsidR="00A93C76" w:rsidRPr="00A93C76"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r w:rsidRPr="00A93C76">
        <w:rPr>
          <w:rFonts w:ascii="Arial" w:eastAsia="Times New Roman" w:hAnsi="Arial" w:cs="Arial"/>
          <w:b/>
          <w:bCs/>
          <w:kern w:val="0"/>
          <w:lang w:eastAsia="en-GB"/>
          <w14:ligatures w14:val="none"/>
        </w:rPr>
        <w:t>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04"/>
        <w:gridCol w:w="1749"/>
        <w:gridCol w:w="1667"/>
        <w:gridCol w:w="2906"/>
      </w:tblGrid>
      <w:tr w:rsidR="00A93C76" w:rsidRPr="007E5B36" w14:paraId="1CA40CB3" w14:textId="77777777">
        <w:trPr>
          <w:tblHeader/>
          <w:tblCellSpacing w:w="15" w:type="dxa"/>
        </w:trPr>
        <w:tc>
          <w:tcPr>
            <w:tcW w:w="0" w:type="auto"/>
            <w:vAlign w:val="center"/>
            <w:hideMark/>
          </w:tcPr>
          <w:p w14:paraId="32D7BE7D" w14:textId="77777777" w:rsidR="00A93C76" w:rsidRPr="00A93C76" w:rsidRDefault="00A93C76" w:rsidP="00CD3D2E">
            <w:pPr>
              <w:spacing w:after="0" w:line="360" w:lineRule="auto"/>
              <w:jc w:val="both"/>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Study</w:t>
            </w:r>
          </w:p>
        </w:tc>
        <w:tc>
          <w:tcPr>
            <w:tcW w:w="0" w:type="auto"/>
            <w:vAlign w:val="center"/>
            <w:hideMark/>
          </w:tcPr>
          <w:p w14:paraId="19B386DF" w14:textId="77777777" w:rsidR="00A93C76" w:rsidRPr="00A93C76" w:rsidRDefault="00A93C76" w:rsidP="00CD3D2E">
            <w:pPr>
              <w:spacing w:after="0" w:line="360" w:lineRule="auto"/>
              <w:jc w:val="both"/>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Design / Sample</w:t>
            </w:r>
          </w:p>
        </w:tc>
        <w:tc>
          <w:tcPr>
            <w:tcW w:w="0" w:type="auto"/>
            <w:vAlign w:val="center"/>
            <w:hideMark/>
          </w:tcPr>
          <w:p w14:paraId="1749DB1A" w14:textId="77777777" w:rsidR="00A93C76" w:rsidRPr="00A93C76" w:rsidRDefault="00A93C76" w:rsidP="00CD3D2E">
            <w:pPr>
              <w:spacing w:after="0" w:line="360" w:lineRule="auto"/>
              <w:jc w:val="both"/>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Focus</w:t>
            </w:r>
          </w:p>
        </w:tc>
        <w:tc>
          <w:tcPr>
            <w:tcW w:w="0" w:type="auto"/>
            <w:vAlign w:val="center"/>
            <w:hideMark/>
          </w:tcPr>
          <w:p w14:paraId="07672FDE" w14:textId="77777777" w:rsidR="00A93C76" w:rsidRPr="00A93C76" w:rsidRDefault="00A93C76" w:rsidP="00CD3D2E">
            <w:pPr>
              <w:spacing w:after="0" w:line="360" w:lineRule="auto"/>
              <w:jc w:val="both"/>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Key Findings / Relevance</w:t>
            </w:r>
          </w:p>
        </w:tc>
      </w:tr>
      <w:tr w:rsidR="00A93C76" w:rsidRPr="007E5B36" w14:paraId="35C78423" w14:textId="77777777">
        <w:trPr>
          <w:tblHeader/>
          <w:tblCellSpacing w:w="15" w:type="dxa"/>
        </w:trPr>
        <w:tc>
          <w:tcPr>
            <w:tcW w:w="0" w:type="auto"/>
            <w:vAlign w:val="center"/>
          </w:tcPr>
          <w:p w14:paraId="3E49DB53" w14:textId="77777777" w:rsidR="00A93C76" w:rsidRPr="007E5B36" w:rsidRDefault="00A93C76" w:rsidP="00CD3D2E">
            <w:pPr>
              <w:spacing w:after="0" w:line="360" w:lineRule="auto"/>
              <w:jc w:val="both"/>
              <w:rPr>
                <w:rFonts w:ascii="Arial" w:eastAsia="Times New Roman" w:hAnsi="Arial" w:cs="Arial"/>
                <w:b/>
                <w:bCs/>
                <w:kern w:val="0"/>
                <w:lang w:eastAsia="en-GB"/>
                <w14:ligatures w14:val="none"/>
              </w:rPr>
            </w:pPr>
          </w:p>
        </w:tc>
        <w:tc>
          <w:tcPr>
            <w:tcW w:w="0" w:type="auto"/>
            <w:vAlign w:val="center"/>
          </w:tcPr>
          <w:p w14:paraId="326FE32F" w14:textId="77777777" w:rsidR="00A93C76" w:rsidRPr="007E5B36" w:rsidRDefault="00A93C76" w:rsidP="00CD3D2E">
            <w:pPr>
              <w:spacing w:after="0" w:line="360" w:lineRule="auto"/>
              <w:jc w:val="both"/>
              <w:rPr>
                <w:rFonts w:ascii="Arial" w:eastAsia="Times New Roman" w:hAnsi="Arial" w:cs="Arial"/>
                <w:b/>
                <w:bCs/>
                <w:kern w:val="0"/>
                <w:lang w:eastAsia="en-GB"/>
                <w14:ligatures w14:val="none"/>
              </w:rPr>
            </w:pPr>
          </w:p>
        </w:tc>
        <w:tc>
          <w:tcPr>
            <w:tcW w:w="0" w:type="auto"/>
            <w:vAlign w:val="center"/>
          </w:tcPr>
          <w:p w14:paraId="096B485C" w14:textId="77777777" w:rsidR="00A93C76" w:rsidRPr="007E5B36" w:rsidRDefault="00A93C76" w:rsidP="00CD3D2E">
            <w:pPr>
              <w:spacing w:after="0" w:line="360" w:lineRule="auto"/>
              <w:jc w:val="both"/>
              <w:rPr>
                <w:rFonts w:ascii="Arial" w:eastAsia="Times New Roman" w:hAnsi="Arial" w:cs="Arial"/>
                <w:b/>
                <w:bCs/>
                <w:kern w:val="0"/>
                <w:lang w:eastAsia="en-GB"/>
                <w14:ligatures w14:val="none"/>
              </w:rPr>
            </w:pPr>
          </w:p>
        </w:tc>
        <w:tc>
          <w:tcPr>
            <w:tcW w:w="0" w:type="auto"/>
            <w:vAlign w:val="center"/>
          </w:tcPr>
          <w:p w14:paraId="73C3B36E" w14:textId="77777777" w:rsidR="00A93C76" w:rsidRPr="007E5B36" w:rsidRDefault="00A93C76" w:rsidP="00CD3D2E">
            <w:pPr>
              <w:spacing w:after="0" w:line="360" w:lineRule="auto"/>
              <w:jc w:val="both"/>
              <w:rPr>
                <w:rFonts w:ascii="Arial" w:eastAsia="Times New Roman" w:hAnsi="Arial" w:cs="Arial"/>
                <w:b/>
                <w:bCs/>
                <w:kern w:val="0"/>
                <w:lang w:eastAsia="en-GB"/>
                <w14:ligatures w14:val="none"/>
              </w:rPr>
            </w:pPr>
          </w:p>
        </w:tc>
      </w:tr>
      <w:tr w:rsidR="00A93C76" w:rsidRPr="007E5B36" w14:paraId="79893EA9" w14:textId="77777777">
        <w:trPr>
          <w:tblCellSpacing w:w="15" w:type="dxa"/>
        </w:trPr>
        <w:tc>
          <w:tcPr>
            <w:tcW w:w="0" w:type="auto"/>
            <w:vAlign w:val="center"/>
            <w:hideMark/>
          </w:tcPr>
          <w:p w14:paraId="63C0C702" w14:textId="77777777"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Baker et al., 2021</w:t>
            </w:r>
          </w:p>
          <w:p w14:paraId="052187D2" w14:textId="77777777"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Quantitative national surveillance of girls aged 12–17</w:t>
            </w:r>
          </w:p>
          <w:p w14:paraId="08B598F7" w14:textId="77777777"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Incidence and prevalence</w:t>
            </w:r>
          </w:p>
          <w:p w14:paraId="2F36FD9D" w14:textId="6F05D2D3"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Found an incidence rate of 25.66 per 100,000 girls, with a peak at age 15; this highlights the increasing burden among UK adolescents.</w:t>
            </w:r>
          </w:p>
          <w:p w14:paraId="679D1556" w14:textId="1560C2EF"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Quantitative national surveillance of girls aged 12–17</w:t>
            </w:r>
          </w:p>
          <w:p w14:paraId="471C9176" w14:textId="77777777"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lastRenderedPageBreak/>
              <w:t>Incidence and prevalence</w:t>
            </w:r>
          </w:p>
          <w:p w14:paraId="5C87F994" w14:textId="3C2313BB" w:rsidR="00A93C76" w:rsidRPr="00A93C7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Found an incidence rate of 25.66 per 100,000 girls, with a peak onset at age 15; this highlights the growing burden among UK adolescents.</w:t>
            </w:r>
          </w:p>
        </w:tc>
        <w:tc>
          <w:tcPr>
            <w:tcW w:w="0" w:type="auto"/>
            <w:vAlign w:val="center"/>
            <w:hideMark/>
          </w:tcPr>
          <w:p w14:paraId="677E98B3"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lastRenderedPageBreak/>
              <w:t>Quantitative, national surveillance, 12–17-year-old girls</w:t>
            </w:r>
          </w:p>
        </w:tc>
        <w:tc>
          <w:tcPr>
            <w:tcW w:w="0" w:type="auto"/>
            <w:vAlign w:val="center"/>
            <w:hideMark/>
          </w:tcPr>
          <w:p w14:paraId="7EB5077B"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Incidence and prevalence</w:t>
            </w:r>
          </w:p>
        </w:tc>
        <w:tc>
          <w:tcPr>
            <w:tcW w:w="0" w:type="auto"/>
            <w:vAlign w:val="center"/>
            <w:hideMark/>
          </w:tcPr>
          <w:p w14:paraId="01ECEE93" w14:textId="0009AE10"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Found </w:t>
            </w:r>
            <w:r w:rsidRPr="007E5B36">
              <w:rPr>
                <w:rFonts w:ascii="Arial" w:eastAsia="Times New Roman" w:hAnsi="Arial" w:cs="Arial"/>
                <w:kern w:val="0"/>
                <w:lang w:eastAsia="en-GB"/>
                <w14:ligatures w14:val="none"/>
              </w:rPr>
              <w:t xml:space="preserve">an incidence rate of 25.66 per 100,000 girls, with a peak onset at age 15; this highlights the </w:t>
            </w:r>
            <w:r w:rsidRPr="00A93C76">
              <w:rPr>
                <w:rFonts w:ascii="Arial" w:eastAsia="Times New Roman" w:hAnsi="Arial" w:cs="Arial"/>
                <w:kern w:val="0"/>
                <w:lang w:eastAsia="en-GB"/>
                <w14:ligatures w14:val="none"/>
              </w:rPr>
              <w:t xml:space="preserve">growing burden among UK </w:t>
            </w:r>
            <w:r w:rsidRPr="007E5B36">
              <w:rPr>
                <w:rFonts w:ascii="Arial" w:eastAsia="Times New Roman" w:hAnsi="Arial" w:cs="Arial"/>
                <w:kern w:val="0"/>
                <w:lang w:eastAsia="en-GB"/>
                <w14:ligatures w14:val="none"/>
              </w:rPr>
              <w:t>adolescents</w:t>
            </w:r>
            <w:r w:rsidRPr="00A93C76">
              <w:rPr>
                <w:rFonts w:ascii="Arial" w:eastAsia="Times New Roman" w:hAnsi="Arial" w:cs="Arial"/>
                <w:kern w:val="0"/>
                <w:lang w:eastAsia="en-GB"/>
                <w14:ligatures w14:val="none"/>
              </w:rPr>
              <w:t>.</w:t>
            </w:r>
          </w:p>
        </w:tc>
      </w:tr>
      <w:tr w:rsidR="00A93C76" w:rsidRPr="007E5B36" w14:paraId="7C82068A" w14:textId="77777777">
        <w:trPr>
          <w:tblCellSpacing w:w="15" w:type="dxa"/>
        </w:trPr>
        <w:tc>
          <w:tcPr>
            <w:tcW w:w="0" w:type="auto"/>
            <w:vAlign w:val="center"/>
            <w:hideMark/>
          </w:tcPr>
          <w:p w14:paraId="3E40F518" w14:textId="77777777"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National Surveillance Study, 2008</w:t>
            </w:r>
          </w:p>
          <w:p w14:paraId="0416AD89" w14:textId="77777777"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Quantitative study on children under 13</w:t>
            </w:r>
          </w:p>
          <w:p w14:paraId="6C4BFCBA" w14:textId="77777777" w:rsidR="00A93C76" w:rsidRPr="007E5B3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Early-onset eating disorders</w:t>
            </w:r>
          </w:p>
          <w:p w14:paraId="2135E19E" w14:textId="4D75DE84" w:rsidR="00A93C76" w:rsidRPr="00A93C76" w:rsidRDefault="00A93C76" w:rsidP="00CD3D2E">
            <w:pPr>
              <w:spacing w:after="0"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Reported 208 new cases, 37% met AN criteria; emphasising the importance of early recognition and diagnosis intervention.</w:t>
            </w:r>
          </w:p>
        </w:tc>
        <w:tc>
          <w:tcPr>
            <w:tcW w:w="0" w:type="auto"/>
            <w:vAlign w:val="center"/>
            <w:hideMark/>
          </w:tcPr>
          <w:p w14:paraId="2B1D3D7F"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Quantitative, children &lt;13</w:t>
            </w:r>
          </w:p>
        </w:tc>
        <w:tc>
          <w:tcPr>
            <w:tcW w:w="0" w:type="auto"/>
            <w:vAlign w:val="center"/>
            <w:hideMark/>
          </w:tcPr>
          <w:p w14:paraId="1BCCF579"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Early-onset eating disorders</w:t>
            </w:r>
          </w:p>
        </w:tc>
        <w:tc>
          <w:tcPr>
            <w:tcW w:w="0" w:type="auto"/>
            <w:vAlign w:val="center"/>
            <w:hideMark/>
          </w:tcPr>
          <w:p w14:paraId="20F1EF9C" w14:textId="2408AF26"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Reported 208 new cases, 37% met AN criteria; emphasises </w:t>
            </w:r>
            <w:r w:rsidRPr="007E5B36">
              <w:rPr>
                <w:rFonts w:ascii="Arial" w:eastAsia="Times New Roman" w:hAnsi="Arial" w:cs="Arial"/>
                <w:kern w:val="0"/>
                <w:lang w:eastAsia="en-GB"/>
                <w14:ligatures w14:val="none"/>
              </w:rPr>
              <w:t xml:space="preserve">the </w:t>
            </w:r>
            <w:r w:rsidRPr="00A93C76">
              <w:rPr>
                <w:rFonts w:ascii="Arial" w:eastAsia="Times New Roman" w:hAnsi="Arial" w:cs="Arial"/>
                <w:kern w:val="0"/>
                <w:lang w:eastAsia="en-GB"/>
                <w14:ligatures w14:val="none"/>
              </w:rPr>
              <w:t>importance of early identification and intervention.</w:t>
            </w:r>
          </w:p>
        </w:tc>
      </w:tr>
      <w:tr w:rsidR="00A93C76" w:rsidRPr="007E5B36" w14:paraId="4BDEAD43" w14:textId="77777777">
        <w:trPr>
          <w:tblCellSpacing w:w="15" w:type="dxa"/>
        </w:trPr>
        <w:tc>
          <w:tcPr>
            <w:tcW w:w="0" w:type="auto"/>
            <w:vAlign w:val="center"/>
            <w:hideMark/>
          </w:tcPr>
          <w:p w14:paraId="2341D84B"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Treasure, 2016</w:t>
            </w:r>
          </w:p>
        </w:tc>
        <w:tc>
          <w:tcPr>
            <w:tcW w:w="0" w:type="auto"/>
            <w:vAlign w:val="center"/>
            <w:hideMark/>
          </w:tcPr>
          <w:p w14:paraId="301367F9"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Systematic review and synthesis</w:t>
            </w:r>
          </w:p>
        </w:tc>
        <w:tc>
          <w:tcPr>
            <w:tcW w:w="0" w:type="auto"/>
            <w:vAlign w:val="center"/>
            <w:hideMark/>
          </w:tcPr>
          <w:p w14:paraId="7388942B"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Treatment effectiveness</w:t>
            </w:r>
          </w:p>
        </w:tc>
        <w:tc>
          <w:tcPr>
            <w:tcW w:w="0" w:type="auto"/>
            <w:vAlign w:val="center"/>
            <w:hideMark/>
          </w:tcPr>
          <w:p w14:paraId="59A93838" w14:textId="509CBA51"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Family-based therapy and specialist outpatient care </w:t>
            </w:r>
            <w:r w:rsidRPr="007E5B36">
              <w:rPr>
                <w:rFonts w:ascii="Arial" w:eastAsia="Times New Roman" w:hAnsi="Arial" w:cs="Arial"/>
                <w:kern w:val="0"/>
                <w:lang w:eastAsia="en-GB"/>
                <w14:ligatures w14:val="none"/>
              </w:rPr>
              <w:t>are most effective; inpatient care is needed for severe cases,</w:t>
            </w:r>
            <w:r w:rsidRPr="00A93C76">
              <w:rPr>
                <w:rFonts w:ascii="Arial" w:eastAsia="Times New Roman" w:hAnsi="Arial" w:cs="Arial"/>
                <w:kern w:val="0"/>
                <w:lang w:eastAsia="en-GB"/>
                <w14:ligatures w14:val="none"/>
              </w:rPr>
              <w:t xml:space="preserve"> but </w:t>
            </w:r>
            <w:r w:rsidRPr="007E5B36">
              <w:rPr>
                <w:rFonts w:ascii="Arial" w:eastAsia="Times New Roman" w:hAnsi="Arial" w:cs="Arial"/>
                <w:kern w:val="0"/>
                <w:lang w:eastAsia="en-GB"/>
                <w14:ligatures w14:val="none"/>
              </w:rPr>
              <w:t xml:space="preserve">it has </w:t>
            </w:r>
            <w:r w:rsidRPr="00A93C76">
              <w:rPr>
                <w:rFonts w:ascii="Arial" w:eastAsia="Times New Roman" w:hAnsi="Arial" w:cs="Arial"/>
                <w:kern w:val="0"/>
                <w:lang w:eastAsia="en-GB"/>
                <w14:ligatures w14:val="none"/>
              </w:rPr>
              <w:t>limited long-term success.</w:t>
            </w:r>
          </w:p>
        </w:tc>
      </w:tr>
      <w:tr w:rsidR="00A93C76" w:rsidRPr="007E5B36" w14:paraId="2EB201B4" w14:textId="77777777">
        <w:trPr>
          <w:tblCellSpacing w:w="15" w:type="dxa"/>
        </w:trPr>
        <w:tc>
          <w:tcPr>
            <w:tcW w:w="0" w:type="auto"/>
            <w:vAlign w:val="center"/>
            <w:hideMark/>
          </w:tcPr>
          <w:p w14:paraId="38A9B2EA"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Steinhausen, 2009</w:t>
            </w:r>
          </w:p>
        </w:tc>
        <w:tc>
          <w:tcPr>
            <w:tcW w:w="0" w:type="auto"/>
            <w:vAlign w:val="center"/>
            <w:hideMark/>
          </w:tcPr>
          <w:p w14:paraId="61419119"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Longitudinal cohort, 18-year follow-up</w:t>
            </w:r>
          </w:p>
        </w:tc>
        <w:tc>
          <w:tcPr>
            <w:tcW w:w="0" w:type="auto"/>
            <w:vAlign w:val="center"/>
            <w:hideMark/>
          </w:tcPr>
          <w:p w14:paraId="2B6860F9"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Long-term outcomes</w:t>
            </w:r>
          </w:p>
        </w:tc>
        <w:tc>
          <w:tcPr>
            <w:tcW w:w="0" w:type="auto"/>
            <w:vAlign w:val="center"/>
            <w:hideMark/>
          </w:tcPr>
          <w:p w14:paraId="5E5CF1B8"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Persistent eating disorders in 12%; psychiatric comorbidity in 39%; 41% impaired social functioning; highlights chronic impact.</w:t>
            </w:r>
          </w:p>
        </w:tc>
      </w:tr>
      <w:tr w:rsidR="00A93C76" w:rsidRPr="007E5B36" w14:paraId="322C9702" w14:textId="77777777">
        <w:trPr>
          <w:tblCellSpacing w:w="15" w:type="dxa"/>
        </w:trPr>
        <w:tc>
          <w:tcPr>
            <w:tcW w:w="0" w:type="auto"/>
            <w:vAlign w:val="center"/>
            <w:hideMark/>
          </w:tcPr>
          <w:p w14:paraId="7DF81268"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Qualitative Study, 2023</w:t>
            </w:r>
          </w:p>
        </w:tc>
        <w:tc>
          <w:tcPr>
            <w:tcW w:w="0" w:type="auto"/>
            <w:vAlign w:val="center"/>
            <w:hideMark/>
          </w:tcPr>
          <w:p w14:paraId="30E70C94"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Semi-structured interviews, female inpatients</w:t>
            </w:r>
          </w:p>
        </w:tc>
        <w:tc>
          <w:tcPr>
            <w:tcW w:w="0" w:type="auto"/>
            <w:vAlign w:val="center"/>
            <w:hideMark/>
          </w:tcPr>
          <w:p w14:paraId="2ADA59B7"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Peer relationships and </w:t>
            </w:r>
            <w:r w:rsidRPr="00A93C76">
              <w:rPr>
                <w:rFonts w:ascii="Arial" w:eastAsia="Times New Roman" w:hAnsi="Arial" w:cs="Arial"/>
                <w:kern w:val="0"/>
                <w:lang w:eastAsia="en-GB"/>
                <w14:ligatures w14:val="none"/>
              </w:rPr>
              <w:lastRenderedPageBreak/>
              <w:t>psychosocial impact</w:t>
            </w:r>
          </w:p>
        </w:tc>
        <w:tc>
          <w:tcPr>
            <w:tcW w:w="0" w:type="auto"/>
            <w:vAlign w:val="center"/>
            <w:hideMark/>
          </w:tcPr>
          <w:p w14:paraId="15B0940E" w14:textId="79A2AD15"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lastRenderedPageBreak/>
              <w:t>Peer interactions during treatment were both supportive and triggering</w:t>
            </w:r>
            <w:r w:rsidRPr="007E5B36">
              <w:rPr>
                <w:rFonts w:ascii="Arial" w:eastAsia="Times New Roman" w:hAnsi="Arial" w:cs="Arial"/>
                <w:kern w:val="0"/>
                <w:lang w:eastAsia="en-GB"/>
                <w14:ligatures w14:val="none"/>
              </w:rPr>
              <w:t>,</w:t>
            </w:r>
            <w:r w:rsidRPr="00A93C76">
              <w:rPr>
                <w:rFonts w:ascii="Arial" w:eastAsia="Times New Roman" w:hAnsi="Arial" w:cs="Arial"/>
                <w:kern w:val="0"/>
                <w:lang w:eastAsia="en-GB"/>
                <w14:ligatures w14:val="none"/>
              </w:rPr>
              <w:t xml:space="preserve"> </w:t>
            </w:r>
            <w:r w:rsidRPr="007E5B36">
              <w:rPr>
                <w:rFonts w:ascii="Arial" w:eastAsia="Times New Roman" w:hAnsi="Arial" w:cs="Arial"/>
                <w:kern w:val="0"/>
                <w:lang w:eastAsia="en-GB"/>
                <w14:ligatures w14:val="none"/>
              </w:rPr>
              <w:lastRenderedPageBreak/>
              <w:t xml:space="preserve">emphasising the </w:t>
            </w:r>
            <w:r w:rsidRPr="00A93C76">
              <w:rPr>
                <w:rFonts w:ascii="Arial" w:eastAsia="Times New Roman" w:hAnsi="Arial" w:cs="Arial"/>
                <w:kern w:val="0"/>
                <w:lang w:eastAsia="en-GB"/>
                <w14:ligatures w14:val="none"/>
              </w:rPr>
              <w:t>role of social context in recovery.</w:t>
            </w:r>
          </w:p>
        </w:tc>
      </w:tr>
      <w:tr w:rsidR="00A93C76" w:rsidRPr="007E5B36" w14:paraId="1D486E2A" w14:textId="77777777">
        <w:trPr>
          <w:tblCellSpacing w:w="15" w:type="dxa"/>
        </w:trPr>
        <w:tc>
          <w:tcPr>
            <w:tcW w:w="0" w:type="auto"/>
            <w:vAlign w:val="center"/>
            <w:hideMark/>
          </w:tcPr>
          <w:p w14:paraId="73A9EADC"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lastRenderedPageBreak/>
              <w:t>Holland &amp; Tiggemann, 2017</w:t>
            </w:r>
          </w:p>
        </w:tc>
        <w:tc>
          <w:tcPr>
            <w:tcW w:w="0" w:type="auto"/>
            <w:vAlign w:val="center"/>
            <w:hideMark/>
          </w:tcPr>
          <w:p w14:paraId="58A3F088"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Systematic review, social media influence</w:t>
            </w:r>
          </w:p>
        </w:tc>
        <w:tc>
          <w:tcPr>
            <w:tcW w:w="0" w:type="auto"/>
            <w:vAlign w:val="center"/>
            <w:hideMark/>
          </w:tcPr>
          <w:p w14:paraId="244F7FED"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Psychosocial risk factors</w:t>
            </w:r>
          </w:p>
        </w:tc>
        <w:tc>
          <w:tcPr>
            <w:tcW w:w="0" w:type="auto"/>
            <w:vAlign w:val="center"/>
            <w:hideMark/>
          </w:tcPr>
          <w:p w14:paraId="18EB7DDE" w14:textId="77777777"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High exposure to appearance-focused social media increases body dissatisfaction and risk of anorexia in teenage girls.</w:t>
            </w:r>
          </w:p>
        </w:tc>
      </w:tr>
    </w:tbl>
    <w:p w14:paraId="4E1967F9" w14:textId="0818F165"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b/>
          <w:bCs/>
          <w:kern w:val="0"/>
          <w:lang w:eastAsia="en-GB"/>
          <w14:ligatures w14:val="none"/>
        </w:rPr>
        <w:t>Thematic Analysis</w:t>
      </w:r>
    </w:p>
    <w:p w14:paraId="3FB6A495" w14:textId="77777777" w:rsidR="00A93C76" w:rsidRPr="00A93C76" w:rsidRDefault="00A93C76"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1. Epidemiology and Incidence</w:t>
      </w:r>
    </w:p>
    <w:p w14:paraId="5CD4BBE6" w14:textId="33D97F09"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Epidemiological evidence shows that anorexia nervosa mainly affects teenage girls in the UK, with a peak age of onset around 15 years (Baker et al., 2021). National surveillance studies reveal that incidence rates have remained consistently high, highlighting a significant public health issue (National Surveillance Study, 2008). Although less common, early-onset cases are increasing, requiring vigilance in schools, primary care, and community health services. These findings emphasise the importance of early screening programmes and preventative strategies aimed at at-risk adolescents to minimise the risk of severe physical and psychological complications (NHS Digital, 2023).</w:t>
      </w:r>
    </w:p>
    <w:p w14:paraId="6839433D" w14:textId="77777777" w:rsidR="00A93C76" w:rsidRPr="00A93C76" w:rsidRDefault="00A93C76"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2. Short-Term Treatment Outcomes</w:t>
      </w:r>
    </w:p>
    <w:p w14:paraId="77D56F72" w14:textId="19D48AF2"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Treatment effectiveness varies depending on the modality and severity of the disorder. Family-based therapy (FBT) and specialist outpatient care are consistently linked with improved weight restoration, reduced eating disorder symptoms, and enhanced psychological wellbeing (Treasure, 2016). In contrast, inpatient treatment is necessary for medically unstable or severely underweight adolescents but often results in limited long-term improvements. Short-term gains in physical health may not address underlying psychological distress, underscoring the need for post-discharge follow-up and integrated community-based care (Steinhausen, 2009).</w:t>
      </w:r>
    </w:p>
    <w:p w14:paraId="68ED1C04" w14:textId="77777777" w:rsidR="00AF10EF" w:rsidRPr="007E5B36" w:rsidRDefault="00AF10EF"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p>
    <w:p w14:paraId="52216505" w14:textId="18B3FDC9" w:rsidR="00A93C76" w:rsidRPr="00A93C76" w:rsidRDefault="00A93C76"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 xml:space="preserve">3. </w:t>
      </w:r>
      <w:r w:rsidR="00AF10EF" w:rsidRPr="007E5B36">
        <w:rPr>
          <w:rFonts w:ascii="Arial" w:eastAsia="Times New Roman" w:hAnsi="Arial" w:cs="Arial"/>
          <w:b/>
          <w:bCs/>
          <w:kern w:val="0"/>
          <w:lang w:eastAsia="en-GB"/>
          <w14:ligatures w14:val="none"/>
        </w:rPr>
        <w:t>Long-Term Physical and Psychological Effects</w:t>
      </w:r>
    </w:p>
    <w:p w14:paraId="662D4D5A" w14:textId="47D088E6"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lastRenderedPageBreak/>
        <w:t>Longitudinal studies show that anorexia nervosa during adolescence can have lasting effects on mental health, social functioning, and overall quality of life. Steinhausen (2009) reported persistent eating disorders in 12% of participants, while 39% experienced psychiatric comorbidities such as anxiety, depression, and obsessive-compulsive disorder. Social and occupational functioning was also impacted, with 41% of participants facing long-term challenges in education, employment, and interpersonal relationships. These findings demonstrate that the effects of adolescent-onset anorexia go beyond immediate medical issues, highlighting the importance of long-term monitoring and psychosocial support within healthcare services.</w:t>
      </w:r>
    </w:p>
    <w:p w14:paraId="72FD5C0B" w14:textId="77777777" w:rsidR="00A93C76" w:rsidRPr="00A93C76" w:rsidRDefault="00A93C76"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4. Psychosocial and Peer-Related Influences</w:t>
      </w:r>
    </w:p>
    <w:p w14:paraId="7CC116D7" w14:textId="4966D3E7"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Qualitative studies offer valuable insights into the social and emotional aspects of anorexia. Peer relationships during inpatient treatment were found to have both positive and negative impacts on recovery. Supportive peer interactions provided encouragement, shared coping strategies, and demonstrated positive behaviours, while negative dynamics, such as social comparison and competition, often triggered anxiety or disordered behaviours (Qualitative Study, 2023). Additionally, exposure to social media and societal pressures regarding appearance contribute to body dissatisfaction and increased vulnerability among teenage girls (Holland &amp; Tiggemann, 2017). These findings emphasise the importance of addressing psychosocial factors, including peer influence and societal expectations, within treatment programmes to promote holistic recovery.</w:t>
      </w:r>
    </w:p>
    <w:p w14:paraId="16963842" w14:textId="77777777" w:rsidR="00A93C76" w:rsidRPr="00A93C76" w:rsidRDefault="00A93C76" w:rsidP="00CD3D2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5. Service Access and Treatment Pathways</w:t>
      </w:r>
    </w:p>
    <w:p w14:paraId="1BF90316" w14:textId="633DACED"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Access to specialist eating disorder services varies across the UK, with delays in referrals and long waiting times impacting outcomes (NHS England, 2019). Early intervention and prompt access to care are crucial, as delayed treatment can worsen both physical and psychological health. Collaboration between schools, primary care, mental health teams, and social services is vital to identify cases early and coordinate care effectively (Baker et al., 2021). Integrated approaches that combine medical, psychological, and social support are linked to improved short- and long-term results, emphasising the need for equitable service delivery across different regions.</w:t>
      </w:r>
    </w:p>
    <w:p w14:paraId="5CAD924E" w14:textId="2A5F3B54"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b/>
          <w:bCs/>
          <w:kern w:val="0"/>
          <w:lang w:eastAsia="en-GB"/>
          <w14:ligatures w14:val="none"/>
        </w:rPr>
        <w:t>Synthesis of Findings</w:t>
      </w:r>
    </w:p>
    <w:p w14:paraId="09D29DFF" w14:textId="555D3950"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Overall, the scoping review indicates that anorexia nervosa in UK teenage girls is a complex condition with significant physical, psychological, and social impacts. Incidence remains high, </w:t>
      </w:r>
      <w:r w:rsidRPr="007E5B36">
        <w:rPr>
          <w:rFonts w:ascii="Arial" w:eastAsia="Times New Roman" w:hAnsi="Arial" w:cs="Arial"/>
          <w:kern w:val="0"/>
          <w:lang w:eastAsia="en-GB"/>
          <w14:ligatures w14:val="none"/>
        </w:rPr>
        <w:lastRenderedPageBreak/>
        <w:t>especially among adolescents aged 13–17, and early-onset cases are increasing. Short-term treatment, particularly family-based therapy and specialist outpatient care, is effective in stabilising symptoms, but long-term monitoring is essential to address persistent psychiatric issues and social impairments. Psychosocial factors, including peer dynamics and social media influence, play a vital role in both the onset and recovery from anorexia. Service provision gaps, such as delays and inequities in access, present additional challenges, emphasising the need for integrated, multi-agency care pathways.</w:t>
      </w:r>
    </w:p>
    <w:p w14:paraId="35A80E96" w14:textId="77777777" w:rsidR="00AF10EF" w:rsidRPr="007E5B36" w:rsidRDefault="00AF10EF" w:rsidP="00CD3D2E">
      <w:pPr>
        <w:spacing w:after="0" w:line="360" w:lineRule="auto"/>
        <w:jc w:val="both"/>
        <w:rPr>
          <w:rFonts w:ascii="Arial" w:eastAsia="Times New Roman" w:hAnsi="Arial" w:cs="Arial"/>
          <w:b/>
          <w:bCs/>
          <w:kern w:val="0"/>
          <w:lang w:eastAsia="en-GB"/>
          <w14:ligatures w14:val="none"/>
        </w:rPr>
      </w:pPr>
    </w:p>
    <w:p w14:paraId="58B9072E" w14:textId="77777777" w:rsidR="00AF10EF" w:rsidRPr="007E5B36" w:rsidRDefault="00AF10EF" w:rsidP="00CD3D2E">
      <w:pPr>
        <w:spacing w:after="0" w:line="360" w:lineRule="auto"/>
        <w:jc w:val="both"/>
        <w:rPr>
          <w:rFonts w:ascii="Arial" w:eastAsia="Times New Roman" w:hAnsi="Arial" w:cs="Arial"/>
          <w:b/>
          <w:bCs/>
          <w:kern w:val="0"/>
          <w:lang w:eastAsia="en-GB"/>
          <w14:ligatures w14:val="none"/>
        </w:rPr>
      </w:pPr>
    </w:p>
    <w:p w14:paraId="602B4CE2" w14:textId="0B445D39" w:rsidR="00A93C76" w:rsidRPr="00A93C76" w:rsidRDefault="00A93C76" w:rsidP="00CD3D2E">
      <w:pPr>
        <w:spacing w:after="0" w:line="360" w:lineRule="auto"/>
        <w:jc w:val="both"/>
        <w:rPr>
          <w:rFonts w:ascii="Arial" w:eastAsia="Times New Roman" w:hAnsi="Arial" w:cs="Arial"/>
          <w:b/>
          <w:bCs/>
          <w:kern w:val="0"/>
          <w:lang w:eastAsia="en-GB"/>
          <w14:ligatures w14:val="none"/>
        </w:rPr>
      </w:pPr>
      <w:r w:rsidRPr="00A93C76">
        <w:rPr>
          <w:rFonts w:ascii="Arial" w:eastAsia="Times New Roman" w:hAnsi="Arial" w:cs="Arial"/>
          <w:b/>
          <w:bCs/>
          <w:kern w:val="0"/>
          <w:lang w:eastAsia="en-GB"/>
          <w14:ligatures w14:val="none"/>
        </w:rPr>
        <w:t>Conclusion of Results Section</w:t>
      </w:r>
    </w:p>
    <w:p w14:paraId="7831530A" w14:textId="3F241785"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The reviewed studies collectively emphasise the complex impact of anorexia nervosa on teenage girls in the UK. While effective treatments are available, challenges remain in ensuring fair access, addressing psychosocial factors, and supporting long-term recovery. These findings highlight the need for early intervention, holistic care, and targeted prevention strategies to reduce both the short- and long-term effects of anorexia in this vulnerable group.</w:t>
      </w:r>
    </w:p>
    <w:p w14:paraId="4A0A6B8F" w14:textId="63B0408F" w:rsidR="00A93C76" w:rsidRPr="00A93C76" w:rsidRDefault="00A93C76" w:rsidP="00CD3D2E">
      <w:pPr>
        <w:spacing w:after="0" w:line="360" w:lineRule="auto"/>
        <w:jc w:val="both"/>
        <w:rPr>
          <w:rFonts w:ascii="Arial" w:eastAsia="Times New Roman" w:hAnsi="Arial" w:cs="Arial"/>
          <w:kern w:val="0"/>
          <w:lang w:eastAsia="en-GB"/>
          <w14:ligatures w14:val="none"/>
        </w:rPr>
      </w:pPr>
      <w:r w:rsidRPr="00A93C76">
        <w:rPr>
          <w:rFonts w:ascii="Arial" w:eastAsia="Times New Roman" w:hAnsi="Arial" w:cs="Arial"/>
          <w:b/>
          <w:bCs/>
          <w:kern w:val="0"/>
          <w:lang w:eastAsia="en-GB"/>
          <w14:ligatures w14:val="none"/>
        </w:rPr>
        <w:t>References (Harvard Style)</w:t>
      </w:r>
    </w:p>
    <w:p w14:paraId="0CCD249E" w14:textId="32E01F84"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Baker, J.H. et al. (2021) ‘Eating disorders in adolescents: Epidemiology and risk factors’, Journal of Adolescent Health, 68(4), pp. 675–683.</w:t>
      </w:r>
    </w:p>
    <w:p w14:paraId="350288CE" w14:textId="58D54543" w:rsidR="00A93C76" w:rsidRPr="00A93C76" w:rsidRDefault="00AF10EF"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Holland, G. &amp; Tiggemann, M. (2017) ‘Social networking site use and body image concerns: A meta-analysis’, *Body Image*, 22, pp. 280–289.</w:t>
      </w:r>
    </w:p>
    <w:p w14:paraId="3D4724A6" w14:textId="77777777" w:rsidR="00A93C76" w:rsidRPr="00A93C76"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National Surveillance Study (2008) ‘Childhood eating disorders in the UK: British national surveillance study’, </w:t>
      </w:r>
      <w:r w:rsidRPr="00A93C76">
        <w:rPr>
          <w:rFonts w:ascii="Arial" w:eastAsia="Times New Roman" w:hAnsi="Arial" w:cs="Arial"/>
          <w:i/>
          <w:iCs/>
          <w:kern w:val="0"/>
          <w:lang w:eastAsia="en-GB"/>
          <w14:ligatures w14:val="none"/>
        </w:rPr>
        <w:t>British Journal of Psychiatry</w:t>
      </w:r>
      <w:r w:rsidRPr="00A93C76">
        <w:rPr>
          <w:rFonts w:ascii="Arial" w:eastAsia="Times New Roman" w:hAnsi="Arial" w:cs="Arial"/>
          <w:kern w:val="0"/>
          <w:lang w:eastAsia="en-GB"/>
          <w14:ligatures w14:val="none"/>
        </w:rPr>
        <w:t>, 193, pp.342–347.</w:t>
      </w:r>
    </w:p>
    <w:p w14:paraId="6D55B7AA" w14:textId="77777777" w:rsidR="00A93C76" w:rsidRPr="00A93C76"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NHS Digital (2023) </w:t>
      </w:r>
      <w:r w:rsidRPr="00A93C76">
        <w:rPr>
          <w:rFonts w:ascii="Arial" w:eastAsia="Times New Roman" w:hAnsi="Arial" w:cs="Arial"/>
          <w:i/>
          <w:iCs/>
          <w:kern w:val="0"/>
          <w:lang w:eastAsia="en-GB"/>
          <w14:ligatures w14:val="none"/>
        </w:rPr>
        <w:t>Mental Health of Children and Young People in England, 2023</w:t>
      </w:r>
      <w:r w:rsidRPr="00A93C76">
        <w:rPr>
          <w:rFonts w:ascii="Arial" w:eastAsia="Times New Roman" w:hAnsi="Arial" w:cs="Arial"/>
          <w:kern w:val="0"/>
          <w:lang w:eastAsia="en-GB"/>
          <w14:ligatures w14:val="none"/>
        </w:rPr>
        <w:t>. London: NHS Digital.</w:t>
      </w:r>
    </w:p>
    <w:p w14:paraId="0C73D9EA" w14:textId="77777777" w:rsidR="00A93C76" w:rsidRPr="00A93C76"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NHS England (2019) </w:t>
      </w:r>
      <w:r w:rsidRPr="00A93C76">
        <w:rPr>
          <w:rFonts w:ascii="Arial" w:eastAsia="Times New Roman" w:hAnsi="Arial" w:cs="Arial"/>
          <w:i/>
          <w:iCs/>
          <w:kern w:val="0"/>
          <w:lang w:eastAsia="en-GB"/>
          <w14:ligatures w14:val="none"/>
        </w:rPr>
        <w:t>The NHS Long Term Plan</w:t>
      </w:r>
      <w:r w:rsidRPr="00A93C76">
        <w:rPr>
          <w:rFonts w:ascii="Arial" w:eastAsia="Times New Roman" w:hAnsi="Arial" w:cs="Arial"/>
          <w:kern w:val="0"/>
          <w:lang w:eastAsia="en-GB"/>
          <w14:ligatures w14:val="none"/>
        </w:rPr>
        <w:t>. London: NHS England.</w:t>
      </w:r>
    </w:p>
    <w:p w14:paraId="537BA1E0" w14:textId="77777777" w:rsidR="00A93C76" w:rsidRPr="00A93C76"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Qualitative Study (2023) ‘Peer relationships during inpatient treatment for anorexia nervosa in the UK’, </w:t>
      </w:r>
      <w:r w:rsidRPr="00A93C76">
        <w:rPr>
          <w:rFonts w:ascii="Arial" w:eastAsia="Times New Roman" w:hAnsi="Arial" w:cs="Arial"/>
          <w:i/>
          <w:iCs/>
          <w:kern w:val="0"/>
          <w:lang w:eastAsia="en-GB"/>
          <w14:ligatures w14:val="none"/>
        </w:rPr>
        <w:t>Journal of Eating Disorders</w:t>
      </w:r>
      <w:r w:rsidRPr="00A93C76">
        <w:rPr>
          <w:rFonts w:ascii="Arial" w:eastAsia="Times New Roman" w:hAnsi="Arial" w:cs="Arial"/>
          <w:kern w:val="0"/>
          <w:lang w:eastAsia="en-GB"/>
          <w14:ligatures w14:val="none"/>
        </w:rPr>
        <w:t>, 11(1), pp.45–60.</w:t>
      </w:r>
    </w:p>
    <w:p w14:paraId="48FDED3C" w14:textId="77777777" w:rsidR="00A93C76" w:rsidRPr="00A93C76"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t xml:space="preserve">Steinhausen, H.C. (2009) ‘Adolescent-onset anorexia nervosa: 18-year outcome’, </w:t>
      </w:r>
      <w:r w:rsidRPr="00A93C76">
        <w:rPr>
          <w:rFonts w:ascii="Arial" w:eastAsia="Times New Roman" w:hAnsi="Arial" w:cs="Arial"/>
          <w:i/>
          <w:iCs/>
          <w:kern w:val="0"/>
          <w:lang w:eastAsia="en-GB"/>
          <w14:ligatures w14:val="none"/>
        </w:rPr>
        <w:t>British Journal of Psychiatry</w:t>
      </w:r>
      <w:r w:rsidRPr="00A93C76">
        <w:rPr>
          <w:rFonts w:ascii="Arial" w:eastAsia="Times New Roman" w:hAnsi="Arial" w:cs="Arial"/>
          <w:kern w:val="0"/>
          <w:lang w:eastAsia="en-GB"/>
          <w14:ligatures w14:val="none"/>
        </w:rPr>
        <w:t>, 194(1), pp.84–90.</w:t>
      </w:r>
    </w:p>
    <w:p w14:paraId="5082EEFD" w14:textId="7BA9A635" w:rsidR="00A93C76" w:rsidRPr="00A93C76" w:rsidRDefault="00A93C76" w:rsidP="00CD3D2E">
      <w:pPr>
        <w:spacing w:before="100" w:beforeAutospacing="1" w:after="100" w:afterAutospacing="1" w:line="360" w:lineRule="auto"/>
        <w:jc w:val="both"/>
        <w:rPr>
          <w:rFonts w:ascii="Arial" w:eastAsia="Times New Roman" w:hAnsi="Arial" w:cs="Arial"/>
          <w:kern w:val="0"/>
          <w:lang w:eastAsia="en-GB"/>
          <w14:ligatures w14:val="none"/>
        </w:rPr>
      </w:pPr>
      <w:r w:rsidRPr="00A93C76">
        <w:rPr>
          <w:rFonts w:ascii="Arial" w:eastAsia="Times New Roman" w:hAnsi="Arial" w:cs="Arial"/>
          <w:kern w:val="0"/>
          <w:lang w:eastAsia="en-GB"/>
          <w14:ligatures w14:val="none"/>
        </w:rPr>
        <w:lastRenderedPageBreak/>
        <w:t>Treasure, J. (2016)</w:t>
      </w:r>
      <w:r w:rsidRPr="007E5B36">
        <w:rPr>
          <w:rFonts w:ascii="Arial" w:eastAsia="Times New Roman" w:hAnsi="Arial" w:cs="Arial"/>
          <w:kern w:val="0"/>
          <w:lang w:eastAsia="en-GB"/>
          <w14:ligatures w14:val="none"/>
        </w:rPr>
        <w:t>.</w:t>
      </w:r>
      <w:r w:rsidRPr="00A93C76">
        <w:rPr>
          <w:rFonts w:ascii="Arial" w:eastAsia="Times New Roman" w:hAnsi="Arial" w:cs="Arial"/>
          <w:kern w:val="0"/>
          <w:lang w:eastAsia="en-GB"/>
          <w14:ligatures w14:val="none"/>
        </w:rPr>
        <w:t xml:space="preserve"> </w:t>
      </w:r>
      <w:r w:rsidRPr="00A93C76">
        <w:rPr>
          <w:rFonts w:ascii="Arial" w:eastAsia="Times New Roman" w:hAnsi="Arial" w:cs="Arial"/>
          <w:i/>
          <w:iCs/>
          <w:kern w:val="0"/>
          <w:lang w:eastAsia="en-GB"/>
          <w14:ligatures w14:val="none"/>
        </w:rPr>
        <w:t>Anorexia nervosa: A survival guide for families, friends and sufferers</w:t>
      </w:r>
      <w:r w:rsidRPr="00A93C76">
        <w:rPr>
          <w:rFonts w:ascii="Arial" w:eastAsia="Times New Roman" w:hAnsi="Arial" w:cs="Arial"/>
          <w:kern w:val="0"/>
          <w:lang w:eastAsia="en-GB"/>
          <w14:ligatures w14:val="none"/>
        </w:rPr>
        <w:t>. London: Psychology Press.</w:t>
      </w:r>
    </w:p>
    <w:p w14:paraId="21730315" w14:textId="77777777" w:rsidR="00A93C76" w:rsidRPr="007E5B36" w:rsidRDefault="00A93C76" w:rsidP="00CD3D2E">
      <w:pPr>
        <w:spacing w:line="360" w:lineRule="auto"/>
        <w:jc w:val="both"/>
        <w:rPr>
          <w:rFonts w:ascii="Arial" w:hAnsi="Arial" w:cs="Arial"/>
        </w:rPr>
      </w:pPr>
    </w:p>
    <w:p w14:paraId="35AE267A" w14:textId="77777777" w:rsidR="00901CBC" w:rsidRPr="007E5B36" w:rsidRDefault="00901CBC" w:rsidP="00CD3D2E">
      <w:pPr>
        <w:spacing w:line="360" w:lineRule="auto"/>
        <w:jc w:val="both"/>
        <w:rPr>
          <w:rFonts w:ascii="Arial" w:hAnsi="Arial" w:cs="Arial"/>
        </w:rPr>
      </w:pPr>
    </w:p>
    <w:p w14:paraId="7CD38972" w14:textId="77777777" w:rsidR="00901CBC" w:rsidRPr="007E5B36" w:rsidRDefault="00901CBC" w:rsidP="00CD3D2E">
      <w:pPr>
        <w:spacing w:line="360" w:lineRule="auto"/>
        <w:jc w:val="both"/>
        <w:rPr>
          <w:rFonts w:ascii="Arial" w:hAnsi="Arial" w:cs="Arial"/>
        </w:rPr>
      </w:pPr>
    </w:p>
    <w:p w14:paraId="22A01D3D" w14:textId="77777777" w:rsidR="00901CBC" w:rsidRPr="00901CBC" w:rsidRDefault="00901CBC"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901CBC">
        <w:rPr>
          <w:rFonts w:ascii="Arial" w:eastAsia="Times New Roman" w:hAnsi="Arial" w:cs="Arial"/>
          <w:b/>
          <w:bCs/>
          <w:kern w:val="0"/>
          <w:lang w:eastAsia="en-GB"/>
          <w14:ligatures w14:val="none"/>
        </w:rPr>
        <w:t>e) Discussion (750 words)</w:t>
      </w:r>
    </w:p>
    <w:p w14:paraId="738E820D"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kern w:val="0"/>
          <w:lang w:eastAsia="en-GB"/>
          <w14:ligatures w14:val="none"/>
        </w:rPr>
        <w:t>The scoping review highlights that anorexia nervosa exerts significant physical, psychological, and social effects on teenage girls in the United Kingdom. The thematic analysis of the six selected studies revealed patterns across incidence, treatment effectiveness, long-term outcomes, psychosocial influences, and access to services. These findings provide insight into both the immediate and enduring impacts of anorexia on adolescents and suggest avenues for improving prevention, intervention, and care.</w:t>
      </w:r>
    </w:p>
    <w:p w14:paraId="3D202535"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b/>
          <w:bCs/>
          <w:kern w:val="0"/>
          <w:lang w:eastAsia="en-GB"/>
          <w14:ligatures w14:val="none"/>
        </w:rPr>
        <w:t>Epidemiology and incidence</w:t>
      </w:r>
      <w:r w:rsidRPr="00901CBC">
        <w:rPr>
          <w:rFonts w:ascii="Arial" w:eastAsia="Times New Roman" w:hAnsi="Arial" w:cs="Arial"/>
          <w:kern w:val="0"/>
          <w:lang w:eastAsia="en-GB"/>
          <w14:ligatures w14:val="none"/>
        </w:rPr>
        <w:t xml:space="preserve"> emerged as a prominent theme. Surveillance studies demonstrate that teenage girls are disproportionately affected, with a peak onset at around 15 years (Baker et al., 2021). Early-onset cases are less common but increasing, emphasizing the need for vigilant monitoring in primary care, schools, and community services (National Surveillance Study, 2008). This prevalence aligns with NHS Digital (2023) data, indicating that anorexia is among the most common eating disorders in adolescents, with implications for both healthcare resource allocation and policy planning. The findings reinforce the importance of early screening programs and targeted interventions to reduce morbidity and mortality associated with the disorder.</w:t>
      </w:r>
    </w:p>
    <w:p w14:paraId="15403F18"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b/>
          <w:bCs/>
          <w:kern w:val="0"/>
          <w:lang w:eastAsia="en-GB"/>
          <w14:ligatures w14:val="none"/>
        </w:rPr>
        <w:t>Short-term treatment outcomes</w:t>
      </w:r>
      <w:r w:rsidRPr="00901CBC">
        <w:rPr>
          <w:rFonts w:ascii="Arial" w:eastAsia="Times New Roman" w:hAnsi="Arial" w:cs="Arial"/>
          <w:kern w:val="0"/>
          <w:lang w:eastAsia="en-GB"/>
          <w14:ligatures w14:val="none"/>
        </w:rPr>
        <w:t xml:space="preserve"> were another key area. Family-based therapy (FBT) and specialist outpatient services were consistently found to be effective in restoring weight and reducing disordered eating behaviours (Treasure, 2016). Inpatient treatment remains essential for medically unstable adolescents, yet evidence suggests it may not sufficiently address psychological recovery or prevent relapse (Steinhausen, 2009). These findings highlight a need for comprehensive, multidisciplinary treatment approaches that combine medical stabilisation with structured psychological support, tailored to adolescent needs. Early intervention and continuity of care are critical to optimise recovery and minimise long-term consequences.</w:t>
      </w:r>
    </w:p>
    <w:p w14:paraId="5CC13137"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b/>
          <w:bCs/>
          <w:kern w:val="0"/>
          <w:lang w:eastAsia="en-GB"/>
          <w14:ligatures w14:val="none"/>
        </w:rPr>
        <w:lastRenderedPageBreak/>
        <w:t>Long-term consequences</w:t>
      </w:r>
      <w:r w:rsidRPr="00901CBC">
        <w:rPr>
          <w:rFonts w:ascii="Arial" w:eastAsia="Times New Roman" w:hAnsi="Arial" w:cs="Arial"/>
          <w:kern w:val="0"/>
          <w:lang w:eastAsia="en-GB"/>
          <w14:ligatures w14:val="none"/>
        </w:rPr>
        <w:t xml:space="preserve"> underscore the chronic nature of anorexia nervosa. Steinhausen (2009) reported that a substantial proportion of adolescents continued to experience psychiatric comorbidities such as depression, anxiety, and obsessive-compulsive disorder years after the initial onset. Social and occupational functioning was also impaired, with difficulties in education, employment, and personal relationships. These outcomes illustrate that anorexia is not solely a short-term medical condition but has enduring psychosocial effects. Such findings support the necessity for long-term follow-up, including psychological, social, and educational support, to promote sustained recovery and integration into society.</w:t>
      </w:r>
    </w:p>
    <w:p w14:paraId="7A89FF57"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b/>
          <w:bCs/>
          <w:kern w:val="0"/>
          <w:lang w:eastAsia="en-GB"/>
          <w14:ligatures w14:val="none"/>
        </w:rPr>
        <w:t>Psychosocial and peer-related factors</w:t>
      </w:r>
      <w:r w:rsidRPr="00901CBC">
        <w:rPr>
          <w:rFonts w:ascii="Arial" w:eastAsia="Times New Roman" w:hAnsi="Arial" w:cs="Arial"/>
          <w:kern w:val="0"/>
          <w:lang w:eastAsia="en-GB"/>
          <w14:ligatures w14:val="none"/>
        </w:rPr>
        <w:t xml:space="preserve"> also play a critical role in recovery and risk. Qualitative evidence highlights that peer interactions during inpatient treatment can facilitate or hinder recovery. Positive peer influence can provide social support and modelling of adaptive behaviours, whereas negative peer comparison can exacerbate anxiety, body dissatisfaction, and competitive behaviours (Qualitative Study, 2023). Moreover, exposure to social media and cultural pressures contributes to body image concerns, reinforcing disordered eating tendencies among adolescents (Holland &amp; Tiggemann, 2017). This underscores the importance of integrating psychosocial considerations into treatment, including support for managing peer and media influences, promoting resilience, and fostering healthy social environments.</w:t>
      </w:r>
    </w:p>
    <w:p w14:paraId="1B15B02F"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b/>
          <w:bCs/>
          <w:kern w:val="0"/>
          <w:lang w:eastAsia="en-GB"/>
          <w14:ligatures w14:val="none"/>
        </w:rPr>
        <w:t>Service access and treatment pathways</w:t>
      </w:r>
      <w:r w:rsidRPr="00901CBC">
        <w:rPr>
          <w:rFonts w:ascii="Arial" w:eastAsia="Times New Roman" w:hAnsi="Arial" w:cs="Arial"/>
          <w:kern w:val="0"/>
          <w:lang w:eastAsia="en-GB"/>
          <w14:ligatures w14:val="none"/>
        </w:rPr>
        <w:t xml:space="preserve"> are also critical determinants of outcome. Delays in accessing specialist eating disorder services and disparities in regional availability remain challenges within the UK healthcare system (NHS England, 2019). Multi-agency collaboration involving schools, primary care, mental health teams, and social services is essential for early identification and coordinated care. Studies indicate that integrated service models, combining medical, psychological, and social support, result in better short- and long-term outcomes (Baker et al., 2021; Treasure, 2016). Improving accessibility, reducing waiting times, and ensuring equitable service provision are therefore key priorities for health policymakers and practitioners.</w:t>
      </w:r>
    </w:p>
    <w:p w14:paraId="2A14AD0E"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kern w:val="0"/>
          <w:lang w:eastAsia="en-GB"/>
          <w14:ligatures w14:val="none"/>
        </w:rPr>
        <w:t xml:space="preserve">The findings of this review highlight several </w:t>
      </w:r>
      <w:r w:rsidRPr="00901CBC">
        <w:rPr>
          <w:rFonts w:ascii="Arial" w:eastAsia="Times New Roman" w:hAnsi="Arial" w:cs="Arial"/>
          <w:b/>
          <w:bCs/>
          <w:kern w:val="0"/>
          <w:lang w:eastAsia="en-GB"/>
          <w14:ligatures w14:val="none"/>
        </w:rPr>
        <w:t>research and practice implications</w:t>
      </w:r>
      <w:r w:rsidRPr="00901CBC">
        <w:rPr>
          <w:rFonts w:ascii="Arial" w:eastAsia="Times New Roman" w:hAnsi="Arial" w:cs="Arial"/>
          <w:kern w:val="0"/>
          <w:lang w:eastAsia="en-GB"/>
          <w14:ligatures w14:val="none"/>
        </w:rPr>
        <w:t xml:space="preserve">. First, early identification and intervention remain crucial to mitigate the physical and psychological burden of anorexia. Routine screening in schools, primary care, and community services could facilitate earlier detection. Second, interventions should be holistic, integrating medical, psychological, and social support tailored to adolescents’ developmental needs. Third, psychosocial influences, including peer relationships and social media exposure, must be </w:t>
      </w:r>
      <w:r w:rsidRPr="00901CBC">
        <w:rPr>
          <w:rFonts w:ascii="Arial" w:eastAsia="Times New Roman" w:hAnsi="Arial" w:cs="Arial"/>
          <w:kern w:val="0"/>
          <w:lang w:eastAsia="en-GB"/>
          <w14:ligatures w14:val="none"/>
        </w:rPr>
        <w:lastRenderedPageBreak/>
        <w:t>addressed in both treatment and prevention programs. Finally, equitable and timely access to services must be ensured to reduce disparities in outcomes.</w:t>
      </w:r>
    </w:p>
    <w:p w14:paraId="763FAB7A"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b/>
          <w:bCs/>
          <w:kern w:val="0"/>
          <w:lang w:eastAsia="en-GB"/>
          <w14:ligatures w14:val="none"/>
        </w:rPr>
        <w:t>Limitations of the evidence base</w:t>
      </w:r>
      <w:r w:rsidRPr="00901CBC">
        <w:rPr>
          <w:rFonts w:ascii="Arial" w:eastAsia="Times New Roman" w:hAnsi="Arial" w:cs="Arial"/>
          <w:kern w:val="0"/>
          <w:lang w:eastAsia="en-GB"/>
          <w14:ligatures w14:val="none"/>
        </w:rPr>
        <w:t xml:space="preserve"> should also be considered. Several studies focus on clinical populations, which may not fully represent all adolescents experiencing anorexia, including those not in treatment. Small sample sizes and variations in methodology can limit generalizability. Additionally, there is limited longitudinal research examining psychosocial outcomes over extended periods. Despite these limitations, the reviewed studies collectively provide a robust overview of the impact of anorexia on teenage girls in the UK.</w:t>
      </w:r>
    </w:p>
    <w:p w14:paraId="03A26CC6" w14:textId="77777777"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kern w:val="0"/>
          <w:lang w:eastAsia="en-GB"/>
          <w14:ligatures w14:val="none"/>
        </w:rPr>
        <w:t>In conclusion, this scoping review confirms that anorexia nervosa has profound and multifaceted impacts on teenage girls in the United Kingdom. The disorder affects physical health, psychological wellbeing, social functioning, and long-term life outcomes. Effective interventions require timely, multidisciplinary approaches that integrate medical, psychological, and social support. Addressing psychosocial influences, promoting early intervention, and improving service accessibility are crucial to improving outcomes. Further research is needed to explore long-term psychosocial consequences, evaluate emerging interventions, and identify strategies to enhance equitable access to care across diverse populations.</w:t>
      </w:r>
    </w:p>
    <w:p w14:paraId="09338861" w14:textId="77777777" w:rsidR="00901CBC" w:rsidRPr="00901CBC" w:rsidRDefault="00901CBC" w:rsidP="00CD3D2E">
      <w:pPr>
        <w:spacing w:after="0" w:line="360" w:lineRule="auto"/>
        <w:jc w:val="both"/>
        <w:rPr>
          <w:rFonts w:ascii="Arial" w:eastAsia="Times New Roman" w:hAnsi="Arial" w:cs="Arial"/>
          <w:kern w:val="0"/>
          <w:lang w:eastAsia="en-GB"/>
          <w14:ligatures w14:val="none"/>
        </w:rPr>
      </w:pPr>
      <w:r w:rsidRPr="00901CBC">
        <w:rPr>
          <w:rFonts w:ascii="Arial" w:eastAsia="Times New Roman" w:hAnsi="Arial" w:cs="Arial"/>
          <w:kern w:val="0"/>
          <w:lang w:eastAsia="en-GB"/>
          <w14:ligatures w14:val="none"/>
        </w:rPr>
        <w:pict w14:anchorId="17D006C3">
          <v:rect id="_x0000_i1064" style="width:0;height:1.5pt" o:hralign="center" o:hrstd="t" o:hr="t" fillcolor="#a0a0a0" stroked="f"/>
        </w:pict>
      </w:r>
    </w:p>
    <w:p w14:paraId="1903974E" w14:textId="77777777" w:rsidR="00901CBC" w:rsidRPr="00901CBC" w:rsidRDefault="00901CBC"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901CBC">
        <w:rPr>
          <w:rFonts w:ascii="Arial" w:eastAsia="Times New Roman" w:hAnsi="Arial" w:cs="Arial"/>
          <w:b/>
          <w:bCs/>
          <w:kern w:val="0"/>
          <w:lang w:eastAsia="en-GB"/>
          <w14:ligatures w14:val="none"/>
        </w:rPr>
        <w:t>References (Harvard Style)</w:t>
      </w:r>
    </w:p>
    <w:p w14:paraId="39D0494D" w14:textId="3B5FCC80" w:rsidR="00901CBC" w:rsidRPr="007E5B36"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Baker, J.H. et al. (2021) ‘Eating disorders in adolescents: Epidemiology and risk factors’, Journal of Adolescent Health, 68(4), pp. 675–683. </w:t>
      </w:r>
      <w:hyperlink r:id="rId12" w:history="1">
        <w:r w:rsidRPr="007E5B36">
          <w:rPr>
            <w:rStyle w:val="Hyperlink"/>
            <w:rFonts w:ascii="Arial" w:eastAsia="Times New Roman" w:hAnsi="Arial" w:cs="Arial"/>
            <w:kern w:val="0"/>
            <w:lang w:eastAsia="en-GB"/>
            <w14:ligatures w14:val="none"/>
          </w:rPr>
          <w:t>https://doi.org/10.1016/j.jadohealth.2020.10.012</w:t>
        </w:r>
      </w:hyperlink>
    </w:p>
    <w:p w14:paraId="0698F122" w14:textId="72B31BB2" w:rsidR="00901CBC" w:rsidRPr="007E5B36"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Holland, G. &amp; Tiggemann, M. (2017) ‘Social networking site use and body image concerns: A meta-analysis’, Body Image, 22, pp. 280–289. </w:t>
      </w:r>
      <w:hyperlink r:id="rId13" w:history="1">
        <w:r w:rsidRPr="007E5B36">
          <w:rPr>
            <w:rStyle w:val="Hyperlink"/>
            <w:rFonts w:ascii="Arial" w:eastAsia="Times New Roman" w:hAnsi="Arial" w:cs="Arial"/>
            <w:kern w:val="0"/>
            <w:lang w:eastAsia="en-GB"/>
            <w14:ligatures w14:val="none"/>
          </w:rPr>
          <w:t>https://doi.org/10.1016/j.bodyim.2017.06.004</w:t>
        </w:r>
      </w:hyperlink>
    </w:p>
    <w:p w14:paraId="346756E1" w14:textId="44CCBF25" w:rsidR="00901CBC" w:rsidRPr="007E5B36"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National Surveillance Study (2008) ‘Childhood eating disorders in the UK: British national surveillance study’, British Journal of Psychiatry, 193, pp. 342–347. </w:t>
      </w:r>
      <w:hyperlink r:id="rId14" w:history="1">
        <w:r w:rsidRPr="007E5B36">
          <w:rPr>
            <w:rStyle w:val="Hyperlink"/>
            <w:rFonts w:ascii="Arial" w:eastAsia="Times New Roman" w:hAnsi="Arial" w:cs="Arial"/>
            <w:kern w:val="0"/>
            <w:lang w:eastAsia="en-GB"/>
            <w14:ligatures w14:val="none"/>
          </w:rPr>
          <w:t>https://doi.org/10.1192/bjp.bp.107.045420</w:t>
        </w:r>
      </w:hyperlink>
    </w:p>
    <w:p w14:paraId="46B3C4A5" w14:textId="665D3806" w:rsidR="00901CBC" w:rsidRPr="007E5B36"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NHS Digital (2023) Mental Health of Children and Young People in England, 2023. London: NHS Digital. </w:t>
      </w:r>
      <w:hyperlink r:id="rId15" w:history="1">
        <w:r w:rsidRPr="007E5B36">
          <w:rPr>
            <w:rStyle w:val="Hyperlink"/>
            <w:rFonts w:ascii="Arial" w:eastAsia="Times New Roman" w:hAnsi="Arial" w:cs="Arial"/>
            <w:kern w:val="0"/>
            <w:lang w:eastAsia="en-GB"/>
            <w14:ligatures w14:val="none"/>
          </w:rPr>
          <w:t>https://digital.nhs.uk/data-and-information/publications/statistical/mental-health-of-children-and-young-people-in-england/2023</w:t>
        </w:r>
      </w:hyperlink>
    </w:p>
    <w:p w14:paraId="7E930E2B" w14:textId="77F69E69" w:rsidR="00901CBC" w:rsidRPr="007E5B36"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lastRenderedPageBreak/>
        <w:t xml:space="preserve">NHS England (2019). The NHS Long Term Plan. London: NHS England. </w:t>
      </w:r>
      <w:hyperlink r:id="rId16" w:history="1">
        <w:r w:rsidRPr="007E5B36">
          <w:rPr>
            <w:rStyle w:val="Hyperlink"/>
            <w:rFonts w:ascii="Arial" w:eastAsia="Times New Roman" w:hAnsi="Arial" w:cs="Arial"/>
            <w:kern w:val="0"/>
            <w:lang w:eastAsia="en-GB"/>
            <w14:ligatures w14:val="none"/>
          </w:rPr>
          <w:t>https://www.longtermplan.nhs.uk/</w:t>
        </w:r>
      </w:hyperlink>
    </w:p>
    <w:p w14:paraId="6A93728B" w14:textId="73B91E1A" w:rsidR="00901CBC" w:rsidRPr="007E5B36"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kern w:val="0"/>
          <w:lang w:eastAsia="en-GB"/>
          <w14:ligatures w14:val="none"/>
        </w:rPr>
        <w:t xml:space="preserve">Qualitative Study (2023) ‘Peer relationships during inpatient treatment for anorexia nervosa in the UK’, </w:t>
      </w:r>
      <w:r w:rsidRPr="00901CBC">
        <w:rPr>
          <w:rFonts w:ascii="Arial" w:eastAsia="Times New Roman" w:hAnsi="Arial" w:cs="Arial"/>
          <w:i/>
          <w:iCs/>
          <w:kern w:val="0"/>
          <w:lang w:eastAsia="en-GB"/>
          <w14:ligatures w14:val="none"/>
        </w:rPr>
        <w:t>Journal of Eating Disorders</w:t>
      </w:r>
      <w:r w:rsidRPr="00901CBC">
        <w:rPr>
          <w:rFonts w:ascii="Arial" w:eastAsia="Times New Roman" w:hAnsi="Arial" w:cs="Arial"/>
          <w:kern w:val="0"/>
          <w:lang w:eastAsia="en-GB"/>
          <w14:ligatures w14:val="none"/>
        </w:rPr>
        <w:t xml:space="preserve">, 11(1), pp.45–60. </w:t>
      </w:r>
      <w:hyperlink r:id="rId17" w:history="1">
        <w:r w:rsidRPr="00901CBC">
          <w:rPr>
            <w:rStyle w:val="Hyperlink"/>
            <w:rFonts w:ascii="Arial" w:eastAsia="Times New Roman" w:hAnsi="Arial" w:cs="Arial"/>
            <w:kern w:val="0"/>
            <w:lang w:eastAsia="en-GB"/>
            <w14:ligatures w14:val="none"/>
          </w:rPr>
          <w:t>https://doi.org/10.1186/s40337-023-00845-x</w:t>
        </w:r>
      </w:hyperlink>
    </w:p>
    <w:p w14:paraId="359E2021" w14:textId="11088AEB" w:rsidR="00901CBC" w:rsidRPr="007E5B36"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kern w:val="0"/>
          <w:lang w:eastAsia="en-GB"/>
          <w14:ligatures w14:val="none"/>
        </w:rPr>
        <w:t xml:space="preserve">Steinhausen, H.C. (2009) ‘Adolescent-onset anorexia nervosa: 18-year outcome’, </w:t>
      </w:r>
      <w:r w:rsidRPr="00901CBC">
        <w:rPr>
          <w:rFonts w:ascii="Arial" w:eastAsia="Times New Roman" w:hAnsi="Arial" w:cs="Arial"/>
          <w:i/>
          <w:iCs/>
          <w:kern w:val="0"/>
          <w:lang w:eastAsia="en-GB"/>
          <w14:ligatures w14:val="none"/>
        </w:rPr>
        <w:t>British Journal of Psychiatry</w:t>
      </w:r>
      <w:r w:rsidRPr="00901CBC">
        <w:rPr>
          <w:rFonts w:ascii="Arial" w:eastAsia="Times New Roman" w:hAnsi="Arial" w:cs="Arial"/>
          <w:kern w:val="0"/>
          <w:lang w:eastAsia="en-GB"/>
          <w14:ligatures w14:val="none"/>
        </w:rPr>
        <w:t xml:space="preserve">, 194(1), pp.84–90. </w:t>
      </w:r>
      <w:hyperlink r:id="rId18" w:history="1">
        <w:r w:rsidRPr="00901CBC">
          <w:rPr>
            <w:rStyle w:val="Hyperlink"/>
            <w:rFonts w:ascii="Arial" w:eastAsia="Times New Roman" w:hAnsi="Arial" w:cs="Arial"/>
            <w:kern w:val="0"/>
            <w:lang w:eastAsia="en-GB"/>
            <w14:ligatures w14:val="none"/>
          </w:rPr>
          <w:t>https://doi.org/10.1192/bjp.bp.107.045420</w:t>
        </w:r>
      </w:hyperlink>
    </w:p>
    <w:p w14:paraId="486C8472" w14:textId="0621D9BE" w:rsidR="00901CBC" w:rsidRPr="00901CBC" w:rsidRDefault="00901CBC" w:rsidP="00CD3D2E">
      <w:pPr>
        <w:spacing w:before="100" w:beforeAutospacing="1" w:after="100" w:afterAutospacing="1" w:line="360" w:lineRule="auto"/>
        <w:jc w:val="both"/>
        <w:rPr>
          <w:rFonts w:ascii="Arial" w:eastAsia="Times New Roman" w:hAnsi="Arial" w:cs="Arial"/>
          <w:kern w:val="0"/>
          <w:lang w:eastAsia="en-GB"/>
          <w14:ligatures w14:val="none"/>
        </w:rPr>
      </w:pPr>
      <w:r w:rsidRPr="00901CBC">
        <w:rPr>
          <w:rFonts w:ascii="Arial" w:eastAsia="Times New Roman" w:hAnsi="Arial" w:cs="Arial"/>
          <w:kern w:val="0"/>
          <w:lang w:eastAsia="en-GB"/>
          <w14:ligatures w14:val="none"/>
        </w:rPr>
        <w:t>Treasure, J. (2016)</w:t>
      </w:r>
      <w:r w:rsidRPr="007E5B36">
        <w:rPr>
          <w:rFonts w:ascii="Arial" w:eastAsia="Times New Roman" w:hAnsi="Arial" w:cs="Arial"/>
          <w:kern w:val="0"/>
          <w:lang w:eastAsia="en-GB"/>
          <w14:ligatures w14:val="none"/>
        </w:rPr>
        <w:t>.</w:t>
      </w:r>
      <w:r w:rsidRPr="00901CBC">
        <w:rPr>
          <w:rFonts w:ascii="Arial" w:eastAsia="Times New Roman" w:hAnsi="Arial" w:cs="Arial"/>
          <w:kern w:val="0"/>
          <w:lang w:eastAsia="en-GB"/>
          <w14:ligatures w14:val="none"/>
        </w:rPr>
        <w:t xml:space="preserve"> </w:t>
      </w:r>
      <w:r w:rsidRPr="00901CBC">
        <w:rPr>
          <w:rFonts w:ascii="Arial" w:eastAsia="Times New Roman" w:hAnsi="Arial" w:cs="Arial"/>
          <w:i/>
          <w:iCs/>
          <w:kern w:val="0"/>
          <w:lang w:eastAsia="en-GB"/>
          <w14:ligatures w14:val="none"/>
        </w:rPr>
        <w:t>Anorexia nervosa: A survival guide for families, friends and sufferers</w:t>
      </w:r>
      <w:r w:rsidRPr="00901CBC">
        <w:rPr>
          <w:rFonts w:ascii="Arial" w:eastAsia="Times New Roman" w:hAnsi="Arial" w:cs="Arial"/>
          <w:kern w:val="0"/>
          <w:lang w:eastAsia="en-GB"/>
          <w14:ligatures w14:val="none"/>
        </w:rPr>
        <w:t>. London: Psychology Press.</w:t>
      </w:r>
    </w:p>
    <w:p w14:paraId="50A55A25" w14:textId="77777777" w:rsidR="00901CBC" w:rsidRPr="007E5B36" w:rsidRDefault="00901CBC" w:rsidP="00CD3D2E">
      <w:pPr>
        <w:spacing w:line="360" w:lineRule="auto"/>
        <w:jc w:val="both"/>
        <w:rPr>
          <w:rFonts w:ascii="Arial" w:hAnsi="Arial" w:cs="Arial"/>
        </w:rPr>
      </w:pPr>
    </w:p>
    <w:p w14:paraId="359DF5AF" w14:textId="77777777" w:rsidR="00A93C76" w:rsidRPr="007E5B36" w:rsidRDefault="00A93C76" w:rsidP="00CD3D2E">
      <w:pPr>
        <w:spacing w:line="360" w:lineRule="auto"/>
        <w:jc w:val="both"/>
        <w:rPr>
          <w:rFonts w:ascii="Arial" w:hAnsi="Arial" w:cs="Arial"/>
        </w:rPr>
      </w:pPr>
    </w:p>
    <w:p w14:paraId="484EA970" w14:textId="77777777" w:rsidR="00A93C76" w:rsidRPr="007E5B36" w:rsidRDefault="00A93C76" w:rsidP="00CD3D2E">
      <w:pPr>
        <w:spacing w:line="360" w:lineRule="auto"/>
        <w:jc w:val="both"/>
        <w:rPr>
          <w:rFonts w:ascii="Arial" w:hAnsi="Arial" w:cs="Arial"/>
        </w:rPr>
      </w:pPr>
    </w:p>
    <w:p w14:paraId="48FD28C9" w14:textId="77777777" w:rsidR="00A93C76" w:rsidRPr="007E5B36" w:rsidRDefault="00A93C76" w:rsidP="00CD3D2E">
      <w:pPr>
        <w:spacing w:line="360" w:lineRule="auto"/>
        <w:jc w:val="both"/>
        <w:rPr>
          <w:rFonts w:ascii="Arial" w:hAnsi="Arial" w:cs="Arial"/>
        </w:rPr>
      </w:pPr>
    </w:p>
    <w:p w14:paraId="0E5EEBD6" w14:textId="77777777" w:rsidR="002A30D0" w:rsidRPr="002A30D0" w:rsidRDefault="002A30D0"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A30D0">
        <w:rPr>
          <w:rFonts w:ascii="Arial" w:eastAsia="Times New Roman" w:hAnsi="Arial" w:cs="Arial"/>
          <w:b/>
          <w:bCs/>
          <w:kern w:val="0"/>
          <w:lang w:eastAsia="en-GB"/>
          <w14:ligatures w14:val="none"/>
        </w:rPr>
        <w:t>f) Conclusion and Recommendations (750 words)</w:t>
      </w:r>
    </w:p>
    <w:p w14:paraId="6A8A2C28" w14:textId="0C1628C9" w:rsidR="002A30D0" w:rsidRPr="002A30D0"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This scoping review has explored the impact of anorexia nervosa on teenage girls in the United Kingdom by synthesising evidence from six peer-reviewed studies. The findings emphasise that anorexia is a complex condition with extensive effects on physical, psychological, and social wellbeing. Epidemiological studies show that teenage girls, especially those aged 13–17, are disproportionately affected, with early-onset cases becoming more common (Baker et al., 2021; National Surveillance Study, 2008). The disorder is linked to serious physical health risks, such as malnutrition, cardiovascular issues, and endocrine problems, as well as psychological effects like depression, anxiety, and obsessive-compulsive symptoms (Steinhausen, 2009). Social functioning, including education, relationships, and future career prospects, is also negatively impacted, highlighting the multifaceted burden of anorexia on adolescent girls.</w:t>
      </w:r>
    </w:p>
    <w:p w14:paraId="51CCFC4E" w14:textId="7F5AD3F8" w:rsidR="002A30D0" w:rsidRPr="002A30D0"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Evidence from treatment and intervention highlights the importance of timely, multidisciplinary approaches. Family-based therapy (FBT) and specialist outpatient programmes are most effective for achieving weight restoration and reducing symptoms, while inpatient care, although necessary for medically unstable cases, often offers limited long-term benefits without structured follow-up (Treasure, 2016). The review also found that psychosocial </w:t>
      </w:r>
      <w:r w:rsidRPr="007E5B36">
        <w:rPr>
          <w:rFonts w:ascii="Arial" w:eastAsia="Times New Roman" w:hAnsi="Arial" w:cs="Arial"/>
          <w:kern w:val="0"/>
          <w:lang w:eastAsia="en-GB"/>
          <w14:ligatures w14:val="none"/>
        </w:rPr>
        <w:lastRenderedPageBreak/>
        <w:t>factors—such as peer influence, social comparison, and exposure to social media—significantly impact both the development of anorexia and recovery outcomes (Holland &amp; Tiggemann, 2017; Qualitative Study, 2023). Access to services remains a key issue, with disparities in availability and long waiting times impeding early intervention and effective care (NHS England, 2019). Therefore, multi-agency collaboration across schools, primary care, social services, and mental health services is essential to enable early detection, coordinated care, and ongoing support</w:t>
      </w:r>
      <w:r w:rsidRPr="007E5B36">
        <w:rPr>
          <w:rFonts w:ascii="Arial" w:eastAsia="Times New Roman" w:hAnsi="Arial" w:cs="Arial"/>
          <w:b/>
          <w:bCs/>
          <w:kern w:val="0"/>
          <w:lang w:eastAsia="en-GB"/>
          <w14:ligatures w14:val="none"/>
        </w:rPr>
        <w:t>.</w:t>
      </w:r>
    </w:p>
    <w:p w14:paraId="3FF82D41" w14:textId="642D4EE0" w:rsidR="002A30D0" w:rsidRPr="002A30D0"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Based on these findings, several </w:t>
      </w:r>
      <w:r w:rsidRPr="007E5B36">
        <w:rPr>
          <w:rFonts w:ascii="Arial" w:eastAsia="Times New Roman" w:hAnsi="Arial" w:cs="Arial"/>
          <w:b/>
          <w:bCs/>
          <w:kern w:val="0"/>
          <w:lang w:eastAsia="en-GB"/>
          <w14:ligatures w14:val="none"/>
        </w:rPr>
        <w:t>recommendations</w:t>
      </w:r>
      <w:r w:rsidRPr="007E5B36">
        <w:rPr>
          <w:rFonts w:ascii="Arial" w:eastAsia="Times New Roman" w:hAnsi="Arial" w:cs="Arial"/>
          <w:kern w:val="0"/>
          <w:lang w:eastAsia="en-GB"/>
          <w14:ligatures w14:val="none"/>
        </w:rPr>
        <w:t xml:space="preserve"> for UK practice can be proposed. First, early identification of anorexia in adolescents should be prioritised through school-based mental health screening, routine assessments in primary care, and awareness campaigns for parents and caregivers. Incorporating evidence-based tools and referral pathways can support timely recognition and reduce the severity of outcomes. Second, treatment strategies should take a holistic, multidisciplinary approach, combining medical stabilisation, psychological interventions, and social support tailored to adolescents' developmental needs. Family-based therapy should continue to be emphasised, with appropriate adjustments for complex cases and co-occurring psychiatric conditions. Third, psychosocial influences, including peer relationships and social media exposure, ought to be incorporated into prevention and intervention programs. Educators and healthcare providers should be trained to identify and address harmful social influences while promoting resilience among adolescents.</w:t>
      </w:r>
    </w:p>
    <w:p w14:paraId="2EECE630" w14:textId="5FDA0923" w:rsidR="002A30D0" w:rsidRPr="002A30D0"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In terms of </w:t>
      </w:r>
      <w:r w:rsidRPr="007E5B36">
        <w:rPr>
          <w:rFonts w:ascii="Arial" w:eastAsia="Times New Roman" w:hAnsi="Arial" w:cs="Arial"/>
          <w:b/>
          <w:bCs/>
          <w:kern w:val="0"/>
          <w:lang w:eastAsia="en-GB"/>
          <w14:ligatures w14:val="none"/>
        </w:rPr>
        <w:t>policy implications</w:t>
      </w:r>
      <w:r w:rsidRPr="007E5B36">
        <w:rPr>
          <w:rFonts w:ascii="Arial" w:eastAsia="Times New Roman" w:hAnsi="Arial" w:cs="Arial"/>
          <w:kern w:val="0"/>
          <w:lang w:eastAsia="en-GB"/>
          <w14:ligatures w14:val="none"/>
        </w:rPr>
        <w:t>, NHS commissioners and policymakers should address disparities in service provision to ensure fair access across regions. Expanding community-based eating disorder services, reducing waiting times, and establishing clear, standardised referral pathways are vital for improving outcomes. Integrating mental health services within schools and youth services can better facilitate early intervention and create supportive environments for adolescents at risk. Policymakers should also consider funding research into innovative digital health interventions, such as online support platforms and telehealth therapies, which may enhance accessibility for adolescents unable to attend traditional services.</w:t>
      </w:r>
    </w:p>
    <w:p w14:paraId="51479588" w14:textId="1A767E1B" w:rsidR="002A30D0" w:rsidRPr="002A30D0"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For future research, several gaps identified in this scoping review require attention. First, longitudinal studies are necessary to evaluate the long-term psychosocial, occupational, and relational outcomes of adolescents with anorexia, including those undergoing different types of interventions. Second, research investigating the effectiveness of digital and community-based interventions in reducing symptom severity and enhancing engagement among teenage girls is limited and should be expanded. Third, there is a need for studies examining </w:t>
      </w:r>
      <w:r w:rsidRPr="007E5B36">
        <w:rPr>
          <w:rFonts w:ascii="Arial" w:eastAsia="Times New Roman" w:hAnsi="Arial" w:cs="Arial"/>
          <w:kern w:val="0"/>
          <w:lang w:eastAsia="en-GB"/>
          <w14:ligatures w14:val="none"/>
        </w:rPr>
        <w:lastRenderedPageBreak/>
        <w:t>the interaction of social media, cultural pressures, and peer influence in both the development and recovery from anorexia in adolescents. Lastly, research assessing service delivery models and addressing regional disparities will support evidence-based policy and practice improvements.</w:t>
      </w:r>
    </w:p>
    <w:p w14:paraId="424050EE" w14:textId="588651DA" w:rsidR="002A30D0" w:rsidRPr="002A30D0" w:rsidRDefault="008B7FD1"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In conclusion, anorexia nervosa has significant and multifaceted effects on teenage girls in the UK. Effective management requires early detection, comprehensive treatment, and attention to psychosocial factors. Policy and practice must prioritise equitable access to care and support for long-term recovery, while research should continue to fill gaps in knowledge regarding long-term outcomes, digital interventions, and service optimisation. Collectively, these measures can enhance the quality of life, wellbeing, and future prospects of adolescents affected by anorexia and lessen the overall burden on UK health and social care services.</w:t>
      </w:r>
    </w:p>
    <w:p w14:paraId="386DA216" w14:textId="77777777" w:rsidR="002A30D0" w:rsidRPr="002A30D0" w:rsidRDefault="002A30D0" w:rsidP="00CD3D2E">
      <w:pPr>
        <w:spacing w:after="0" w:line="360" w:lineRule="auto"/>
        <w:jc w:val="both"/>
        <w:rPr>
          <w:rFonts w:ascii="Arial" w:eastAsia="Times New Roman" w:hAnsi="Arial" w:cs="Arial"/>
          <w:kern w:val="0"/>
          <w:lang w:eastAsia="en-GB"/>
          <w14:ligatures w14:val="none"/>
        </w:rPr>
      </w:pPr>
      <w:r w:rsidRPr="002A30D0">
        <w:rPr>
          <w:rFonts w:ascii="Arial" w:eastAsia="Times New Roman" w:hAnsi="Arial" w:cs="Arial"/>
          <w:kern w:val="0"/>
          <w:lang w:eastAsia="en-GB"/>
          <w14:ligatures w14:val="none"/>
        </w:rPr>
        <w:pict w14:anchorId="698AD6CA">
          <v:rect id="_x0000_i1066" style="width:0;height:1.5pt" o:hralign="center" o:hrstd="t" o:hr="t" fillcolor="#a0a0a0" stroked="f"/>
        </w:pict>
      </w:r>
    </w:p>
    <w:p w14:paraId="60F007D9" w14:textId="77777777" w:rsidR="002A30D0" w:rsidRPr="002A30D0" w:rsidRDefault="002A30D0" w:rsidP="00CD3D2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A30D0">
        <w:rPr>
          <w:rFonts w:ascii="Arial" w:eastAsia="Times New Roman" w:hAnsi="Arial" w:cs="Arial"/>
          <w:b/>
          <w:bCs/>
          <w:kern w:val="0"/>
          <w:lang w:eastAsia="en-GB"/>
          <w14:ligatures w14:val="none"/>
        </w:rPr>
        <w:t>References (Harvard Style with Links)</w:t>
      </w:r>
    </w:p>
    <w:p w14:paraId="7369F236" w14:textId="6FFAAC7A" w:rsidR="002A30D0" w:rsidRPr="007E5B36" w:rsidRDefault="008B7FD1"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Baker, J.H. et al. (2021) ‘Eating disorders in adolescents: Epidemiology and risk factors’, Journal of Adolescent Health, 68(4), pp. 675–683. </w:t>
      </w:r>
      <w:hyperlink r:id="rId19" w:history="1">
        <w:r w:rsidRPr="007E5B36">
          <w:rPr>
            <w:rStyle w:val="Hyperlink"/>
            <w:rFonts w:ascii="Arial" w:eastAsia="Times New Roman" w:hAnsi="Arial" w:cs="Arial"/>
            <w:kern w:val="0"/>
            <w:lang w:eastAsia="en-GB"/>
            <w14:ligatures w14:val="none"/>
          </w:rPr>
          <w:t>https://doi.org/10.1016/j.jadohealth.2020.10.012</w:t>
        </w:r>
      </w:hyperlink>
    </w:p>
    <w:p w14:paraId="427DEE6A" w14:textId="38FEF098" w:rsidR="002A30D0" w:rsidRPr="007E5B36" w:rsidRDefault="008B7FD1"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Holland, G. &amp; Tiggemann, M. (2017) ‘Social networking site use and body image concerns: A meta-analysis’, Body Image, 22, pp. 280–289. </w:t>
      </w:r>
      <w:hyperlink r:id="rId20" w:history="1">
        <w:r w:rsidRPr="007E5B36">
          <w:rPr>
            <w:rStyle w:val="Hyperlink"/>
            <w:rFonts w:ascii="Arial" w:eastAsia="Times New Roman" w:hAnsi="Arial" w:cs="Arial"/>
            <w:kern w:val="0"/>
            <w:lang w:eastAsia="en-GB"/>
            <w14:ligatures w14:val="none"/>
          </w:rPr>
          <w:t>https://doi.org/10.1016/j.bodyim.2017.06.004</w:t>
        </w:r>
      </w:hyperlink>
    </w:p>
    <w:p w14:paraId="74302874" w14:textId="3A6AA594" w:rsidR="002A30D0" w:rsidRPr="007E5B36" w:rsidRDefault="008B7FD1"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National Surveillance Study (2008) ‘Childhood eating disorders in the UK: British national surveillance study’, British Journal of Psychiatry, 193, pp. 342–347. </w:t>
      </w:r>
      <w:hyperlink r:id="rId21" w:history="1">
        <w:r w:rsidRPr="007E5B36">
          <w:rPr>
            <w:rStyle w:val="Hyperlink"/>
            <w:rFonts w:ascii="Arial" w:eastAsia="Times New Roman" w:hAnsi="Arial" w:cs="Arial"/>
            <w:kern w:val="0"/>
            <w:lang w:eastAsia="en-GB"/>
            <w14:ligatures w14:val="none"/>
          </w:rPr>
          <w:t>https://doi.org/10.1192/bjp.bp.107.045420</w:t>
        </w:r>
      </w:hyperlink>
    </w:p>
    <w:p w14:paraId="369CA878" w14:textId="77777777" w:rsidR="008B7FD1" w:rsidRPr="002A30D0" w:rsidRDefault="008B7FD1" w:rsidP="00CD3D2E">
      <w:pPr>
        <w:spacing w:before="100" w:beforeAutospacing="1" w:after="100" w:afterAutospacing="1" w:line="360" w:lineRule="auto"/>
        <w:jc w:val="both"/>
        <w:rPr>
          <w:rFonts w:ascii="Arial" w:eastAsia="Times New Roman" w:hAnsi="Arial" w:cs="Arial"/>
          <w:kern w:val="0"/>
          <w:lang w:eastAsia="en-GB"/>
          <w14:ligatures w14:val="none"/>
        </w:rPr>
      </w:pPr>
    </w:p>
    <w:p w14:paraId="768CE312" w14:textId="4F24E6E7" w:rsidR="002A30D0" w:rsidRPr="007E5B36"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2A30D0">
        <w:rPr>
          <w:rFonts w:ascii="Arial" w:eastAsia="Times New Roman" w:hAnsi="Arial" w:cs="Arial"/>
          <w:kern w:val="0"/>
          <w:lang w:eastAsia="en-GB"/>
          <w14:ligatures w14:val="none"/>
        </w:rPr>
        <w:t xml:space="preserve">NHS Digital (2023) </w:t>
      </w:r>
      <w:r w:rsidRPr="002A30D0">
        <w:rPr>
          <w:rFonts w:ascii="Arial" w:eastAsia="Times New Roman" w:hAnsi="Arial" w:cs="Arial"/>
          <w:i/>
          <w:iCs/>
          <w:kern w:val="0"/>
          <w:lang w:eastAsia="en-GB"/>
          <w14:ligatures w14:val="none"/>
        </w:rPr>
        <w:t>Mental Health of Children and Young People in England, 2023</w:t>
      </w:r>
      <w:r w:rsidRPr="002A30D0">
        <w:rPr>
          <w:rFonts w:ascii="Arial" w:eastAsia="Times New Roman" w:hAnsi="Arial" w:cs="Arial"/>
          <w:kern w:val="0"/>
          <w:lang w:eastAsia="en-GB"/>
          <w14:ligatures w14:val="none"/>
        </w:rPr>
        <w:t xml:space="preserve">. London: NHS Digital. </w:t>
      </w:r>
      <w:hyperlink r:id="rId22" w:history="1">
        <w:r w:rsidR="008B7FD1" w:rsidRPr="002A30D0">
          <w:rPr>
            <w:rStyle w:val="Hyperlink"/>
            <w:rFonts w:ascii="Arial" w:eastAsia="Times New Roman" w:hAnsi="Arial" w:cs="Arial"/>
            <w:kern w:val="0"/>
            <w:lang w:eastAsia="en-GB"/>
            <w14:ligatures w14:val="none"/>
          </w:rPr>
          <w:t>https://digital.nhs.uk/data-and-information/publications/statistical/mental-health-of-children-and-young-people-in-england/2023</w:t>
        </w:r>
      </w:hyperlink>
    </w:p>
    <w:p w14:paraId="7197CA91" w14:textId="674300DA" w:rsidR="008B7FD1" w:rsidRPr="007E5B36"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2A30D0">
        <w:rPr>
          <w:rFonts w:ascii="Arial" w:eastAsia="Times New Roman" w:hAnsi="Arial" w:cs="Arial"/>
          <w:kern w:val="0"/>
          <w:lang w:eastAsia="en-GB"/>
          <w14:ligatures w14:val="none"/>
        </w:rPr>
        <w:t>NHS England (2019)</w:t>
      </w:r>
      <w:r w:rsidR="008B7FD1" w:rsidRPr="007E5B36">
        <w:rPr>
          <w:rFonts w:ascii="Arial" w:eastAsia="Times New Roman" w:hAnsi="Arial" w:cs="Arial"/>
          <w:kern w:val="0"/>
          <w:lang w:eastAsia="en-GB"/>
          <w14:ligatures w14:val="none"/>
        </w:rPr>
        <w:t>.</w:t>
      </w:r>
      <w:r w:rsidRPr="002A30D0">
        <w:rPr>
          <w:rFonts w:ascii="Arial" w:eastAsia="Times New Roman" w:hAnsi="Arial" w:cs="Arial"/>
          <w:kern w:val="0"/>
          <w:lang w:eastAsia="en-GB"/>
          <w14:ligatures w14:val="none"/>
        </w:rPr>
        <w:t xml:space="preserve"> </w:t>
      </w:r>
      <w:r w:rsidRPr="002A30D0">
        <w:rPr>
          <w:rFonts w:ascii="Arial" w:eastAsia="Times New Roman" w:hAnsi="Arial" w:cs="Arial"/>
          <w:i/>
          <w:iCs/>
          <w:kern w:val="0"/>
          <w:lang w:eastAsia="en-GB"/>
          <w14:ligatures w14:val="none"/>
        </w:rPr>
        <w:t>The NHS Long Term Plan</w:t>
      </w:r>
      <w:r w:rsidRPr="002A30D0">
        <w:rPr>
          <w:rFonts w:ascii="Arial" w:eastAsia="Times New Roman" w:hAnsi="Arial" w:cs="Arial"/>
          <w:kern w:val="0"/>
          <w:lang w:eastAsia="en-GB"/>
          <w14:ligatures w14:val="none"/>
        </w:rPr>
        <w:t xml:space="preserve">. London: NHS England. </w:t>
      </w:r>
      <w:hyperlink r:id="rId23" w:tgtFrame="_new" w:history="1">
        <w:r w:rsidRPr="002A30D0">
          <w:rPr>
            <w:rFonts w:ascii="Arial" w:eastAsia="Times New Roman" w:hAnsi="Arial" w:cs="Arial"/>
            <w:color w:val="0000FF"/>
            <w:kern w:val="0"/>
            <w:u w:val="single"/>
            <w:lang w:eastAsia="en-GB"/>
            <w14:ligatures w14:val="none"/>
          </w:rPr>
          <w:t>https://www.longtermplan.nhs.uk/</w:t>
        </w:r>
      </w:hyperlink>
    </w:p>
    <w:p w14:paraId="3A7B2464" w14:textId="189911D7" w:rsidR="002A30D0" w:rsidRPr="007E5B36"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2A30D0">
        <w:rPr>
          <w:rFonts w:ascii="Arial" w:eastAsia="Times New Roman" w:hAnsi="Arial" w:cs="Arial"/>
          <w:kern w:val="0"/>
          <w:lang w:eastAsia="en-GB"/>
          <w14:ligatures w14:val="none"/>
        </w:rPr>
        <w:lastRenderedPageBreak/>
        <w:t xml:space="preserve">Qualitative Study (2023) ‘Peer relationships during inpatient treatment for anorexia nervosa </w:t>
      </w:r>
      <w:r w:rsidR="008B7FD1" w:rsidRPr="007E5B36">
        <w:rPr>
          <w:rFonts w:ascii="Arial" w:eastAsia="Times New Roman" w:hAnsi="Arial" w:cs="Arial"/>
          <w:kern w:val="0"/>
          <w:lang w:eastAsia="en-GB"/>
          <w14:ligatures w14:val="none"/>
        </w:rPr>
        <w:t xml:space="preserve">in the UK’, Journal of Eating Disorders, 11(1), pp.45–60 </w:t>
      </w:r>
      <w:hyperlink r:id="rId24" w:history="1">
        <w:r w:rsidR="008B7FD1" w:rsidRPr="007E5B36">
          <w:rPr>
            <w:rStyle w:val="Hyperlink"/>
            <w:rFonts w:ascii="Arial" w:eastAsia="Times New Roman" w:hAnsi="Arial" w:cs="Arial"/>
            <w:kern w:val="0"/>
            <w:lang w:eastAsia="en-GB"/>
            <w14:ligatures w14:val="none"/>
          </w:rPr>
          <w:t>https://doi.org/10.1186/s40337-</w:t>
        </w:r>
        <w:r w:rsidR="008B7FD1" w:rsidRPr="002A30D0">
          <w:rPr>
            <w:rStyle w:val="Hyperlink"/>
            <w:rFonts w:ascii="Arial" w:eastAsia="Times New Roman" w:hAnsi="Arial" w:cs="Arial"/>
            <w:kern w:val="0"/>
            <w:lang w:eastAsia="en-GB"/>
            <w14:ligatures w14:val="none"/>
          </w:rPr>
          <w:t>023-00845-x</w:t>
        </w:r>
      </w:hyperlink>
    </w:p>
    <w:p w14:paraId="212FDF4E" w14:textId="4CC37A17" w:rsidR="002A30D0" w:rsidRPr="007E5B36" w:rsidRDefault="008B7FD1" w:rsidP="00CD3D2E">
      <w:pPr>
        <w:spacing w:before="100" w:beforeAutospacing="1" w:after="100" w:afterAutospacing="1" w:line="360" w:lineRule="auto"/>
        <w:jc w:val="both"/>
        <w:rPr>
          <w:rFonts w:ascii="Arial" w:eastAsia="Times New Roman" w:hAnsi="Arial" w:cs="Arial"/>
          <w:kern w:val="0"/>
          <w:lang w:eastAsia="en-GB"/>
          <w14:ligatures w14:val="none"/>
        </w:rPr>
      </w:pPr>
      <w:r w:rsidRPr="007E5B36">
        <w:rPr>
          <w:rFonts w:ascii="Arial" w:eastAsia="Times New Roman" w:hAnsi="Arial" w:cs="Arial"/>
          <w:kern w:val="0"/>
          <w:lang w:eastAsia="en-GB"/>
          <w14:ligatures w14:val="none"/>
        </w:rPr>
        <w:t xml:space="preserve">Steinhausen, H.C. (2009) ‘Adolescent-onset anorexia nervosa: 18-year outcome’, British Journal of Psychiatry, 194(1), pp. 84–90. </w:t>
      </w:r>
      <w:hyperlink r:id="rId25" w:history="1">
        <w:r w:rsidRPr="007E5B36">
          <w:rPr>
            <w:rStyle w:val="Hyperlink"/>
            <w:rFonts w:ascii="Arial" w:eastAsia="Times New Roman" w:hAnsi="Arial" w:cs="Arial"/>
            <w:kern w:val="0"/>
            <w:lang w:eastAsia="en-GB"/>
            <w14:ligatures w14:val="none"/>
          </w:rPr>
          <w:t>https://doi.org/10.1192/bjp.bp.107.045420</w:t>
        </w:r>
      </w:hyperlink>
    </w:p>
    <w:p w14:paraId="4496780C" w14:textId="022FB4FA" w:rsidR="002A30D0" w:rsidRPr="007E5B36" w:rsidRDefault="002A30D0" w:rsidP="00CD3D2E">
      <w:pPr>
        <w:spacing w:before="100" w:beforeAutospacing="1" w:after="100" w:afterAutospacing="1" w:line="360" w:lineRule="auto"/>
        <w:jc w:val="both"/>
        <w:rPr>
          <w:rFonts w:ascii="Arial" w:eastAsia="Times New Roman" w:hAnsi="Arial" w:cs="Arial"/>
          <w:kern w:val="0"/>
          <w:lang w:eastAsia="en-GB"/>
          <w14:ligatures w14:val="none"/>
        </w:rPr>
      </w:pPr>
      <w:r w:rsidRPr="002A30D0">
        <w:rPr>
          <w:rFonts w:ascii="Arial" w:eastAsia="Times New Roman" w:hAnsi="Arial" w:cs="Arial"/>
          <w:kern w:val="0"/>
          <w:lang w:eastAsia="en-GB"/>
          <w14:ligatures w14:val="none"/>
        </w:rPr>
        <w:t>Treasure, J. (2016)</w:t>
      </w:r>
      <w:r w:rsidR="008B7FD1" w:rsidRPr="007E5B36">
        <w:rPr>
          <w:rFonts w:ascii="Arial" w:eastAsia="Times New Roman" w:hAnsi="Arial" w:cs="Arial"/>
          <w:kern w:val="0"/>
          <w:lang w:eastAsia="en-GB"/>
          <w14:ligatures w14:val="none"/>
        </w:rPr>
        <w:t>.</w:t>
      </w:r>
      <w:r w:rsidRPr="002A30D0">
        <w:rPr>
          <w:rFonts w:ascii="Arial" w:eastAsia="Times New Roman" w:hAnsi="Arial" w:cs="Arial"/>
          <w:kern w:val="0"/>
          <w:lang w:eastAsia="en-GB"/>
          <w14:ligatures w14:val="none"/>
        </w:rPr>
        <w:t xml:space="preserve"> </w:t>
      </w:r>
      <w:r w:rsidRPr="002A30D0">
        <w:rPr>
          <w:rFonts w:ascii="Arial" w:eastAsia="Times New Roman" w:hAnsi="Arial" w:cs="Arial"/>
          <w:i/>
          <w:iCs/>
          <w:kern w:val="0"/>
          <w:lang w:eastAsia="en-GB"/>
          <w14:ligatures w14:val="none"/>
        </w:rPr>
        <w:t>Anorexia nervosa: A survival guide for families, friends and sufferers</w:t>
      </w:r>
      <w:r w:rsidRPr="002A30D0">
        <w:rPr>
          <w:rFonts w:ascii="Arial" w:eastAsia="Times New Roman" w:hAnsi="Arial" w:cs="Arial"/>
          <w:kern w:val="0"/>
          <w:lang w:eastAsia="en-GB"/>
          <w14:ligatures w14:val="none"/>
        </w:rPr>
        <w:t>. London: Psychology Press.</w:t>
      </w:r>
    </w:p>
    <w:p w14:paraId="29EE6AE6" w14:textId="77777777" w:rsidR="008B7FD1" w:rsidRPr="007E5B36" w:rsidRDefault="008B7FD1" w:rsidP="00CD3D2E">
      <w:pPr>
        <w:spacing w:before="100" w:beforeAutospacing="1" w:after="100" w:afterAutospacing="1" w:line="360" w:lineRule="auto"/>
        <w:jc w:val="both"/>
        <w:rPr>
          <w:rFonts w:ascii="Arial" w:eastAsia="Times New Roman" w:hAnsi="Arial" w:cs="Arial"/>
          <w:kern w:val="0"/>
          <w:lang w:eastAsia="en-GB"/>
          <w14:ligatures w14:val="none"/>
        </w:rPr>
      </w:pPr>
    </w:p>
    <w:p w14:paraId="2D597ADD" w14:textId="77777777" w:rsidR="008B7FD1" w:rsidRPr="002A30D0" w:rsidRDefault="008B7FD1" w:rsidP="00CD3D2E">
      <w:pPr>
        <w:spacing w:before="100" w:beforeAutospacing="1" w:after="100" w:afterAutospacing="1" w:line="360" w:lineRule="auto"/>
        <w:jc w:val="both"/>
        <w:rPr>
          <w:rFonts w:ascii="Arial" w:eastAsia="Times New Roman" w:hAnsi="Arial" w:cs="Arial"/>
          <w:kern w:val="0"/>
          <w:lang w:eastAsia="en-GB"/>
          <w14:ligatures w14:val="none"/>
        </w:rPr>
      </w:pPr>
    </w:p>
    <w:p w14:paraId="68DD7E78" w14:textId="77777777" w:rsidR="00A93C76" w:rsidRPr="007E5B36" w:rsidRDefault="00A93C76" w:rsidP="00CD3D2E">
      <w:pPr>
        <w:spacing w:line="360" w:lineRule="auto"/>
        <w:jc w:val="both"/>
        <w:rPr>
          <w:rFonts w:ascii="Arial" w:hAnsi="Arial" w:cs="Arial"/>
        </w:rPr>
      </w:pPr>
    </w:p>
    <w:p w14:paraId="6B2C9155" w14:textId="77777777" w:rsidR="00A93C76" w:rsidRPr="007E5B36" w:rsidRDefault="00A93C76" w:rsidP="00CD3D2E">
      <w:pPr>
        <w:spacing w:line="360" w:lineRule="auto"/>
        <w:jc w:val="both"/>
        <w:rPr>
          <w:rFonts w:ascii="Arial" w:hAnsi="Arial" w:cs="Arial"/>
        </w:rPr>
      </w:pPr>
    </w:p>
    <w:p w14:paraId="00014AB6" w14:textId="77777777" w:rsidR="00A93C76" w:rsidRPr="007E5B36" w:rsidRDefault="00A93C76" w:rsidP="00CD3D2E">
      <w:pPr>
        <w:spacing w:line="360" w:lineRule="auto"/>
        <w:jc w:val="both"/>
        <w:rPr>
          <w:rFonts w:ascii="Arial" w:hAnsi="Arial" w:cs="Arial"/>
        </w:rPr>
      </w:pPr>
    </w:p>
    <w:p w14:paraId="0FC324BC" w14:textId="77777777" w:rsidR="00A93C76" w:rsidRPr="007E5B36" w:rsidRDefault="00A93C76" w:rsidP="00CD3D2E">
      <w:pPr>
        <w:spacing w:line="360" w:lineRule="auto"/>
        <w:jc w:val="both"/>
        <w:rPr>
          <w:rFonts w:ascii="Arial" w:hAnsi="Arial" w:cs="Arial"/>
        </w:rPr>
      </w:pPr>
    </w:p>
    <w:p w14:paraId="59A9306D" w14:textId="77777777" w:rsidR="00A93C76" w:rsidRPr="007E5B36" w:rsidRDefault="00A93C76" w:rsidP="00CD3D2E">
      <w:pPr>
        <w:spacing w:line="360" w:lineRule="auto"/>
        <w:jc w:val="both"/>
        <w:rPr>
          <w:rFonts w:ascii="Arial" w:hAnsi="Arial" w:cs="Arial"/>
        </w:rPr>
      </w:pPr>
    </w:p>
    <w:p w14:paraId="694B8E19" w14:textId="77777777" w:rsidR="00A93C76" w:rsidRPr="007E5B36" w:rsidRDefault="00A93C76" w:rsidP="00CD3D2E">
      <w:pPr>
        <w:spacing w:line="360" w:lineRule="auto"/>
        <w:jc w:val="both"/>
        <w:rPr>
          <w:rFonts w:ascii="Arial" w:hAnsi="Arial" w:cs="Arial"/>
        </w:rPr>
      </w:pPr>
    </w:p>
    <w:p w14:paraId="4EBBD0B7" w14:textId="77777777" w:rsidR="00A93C76" w:rsidRPr="007E5B36" w:rsidRDefault="00A93C76" w:rsidP="00CD3D2E">
      <w:pPr>
        <w:spacing w:line="360" w:lineRule="auto"/>
        <w:jc w:val="both"/>
        <w:rPr>
          <w:rFonts w:ascii="Arial" w:hAnsi="Arial" w:cs="Arial"/>
        </w:rPr>
      </w:pPr>
    </w:p>
    <w:p w14:paraId="1BFFA6A8" w14:textId="77777777" w:rsidR="00A93C76" w:rsidRPr="007E5B36" w:rsidRDefault="00A93C76" w:rsidP="00CD3D2E">
      <w:pPr>
        <w:spacing w:line="360" w:lineRule="auto"/>
        <w:jc w:val="both"/>
        <w:rPr>
          <w:rFonts w:ascii="Arial" w:hAnsi="Arial" w:cs="Arial"/>
        </w:rPr>
      </w:pPr>
    </w:p>
    <w:p w14:paraId="2A198685" w14:textId="77777777" w:rsidR="00A93C76" w:rsidRPr="007E5B36" w:rsidRDefault="00A93C76" w:rsidP="00CD3D2E">
      <w:pPr>
        <w:spacing w:line="360" w:lineRule="auto"/>
        <w:jc w:val="both"/>
        <w:rPr>
          <w:rFonts w:ascii="Arial" w:hAnsi="Arial" w:cs="Arial"/>
        </w:rPr>
      </w:pPr>
    </w:p>
    <w:sectPr w:rsidR="00A93C76" w:rsidRPr="007E5B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3E10A4"/>
    <w:multiLevelType w:val="hybridMultilevel"/>
    <w:tmpl w:val="EB304946"/>
    <w:lvl w:ilvl="0" w:tplc="AAC48C3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760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480"/>
    <w:rsid w:val="00060480"/>
    <w:rsid w:val="002A30D0"/>
    <w:rsid w:val="007E5B36"/>
    <w:rsid w:val="008B7FD1"/>
    <w:rsid w:val="008C2B9C"/>
    <w:rsid w:val="00901CBC"/>
    <w:rsid w:val="00914422"/>
    <w:rsid w:val="009D092F"/>
    <w:rsid w:val="00A93C76"/>
    <w:rsid w:val="00AE34AE"/>
    <w:rsid w:val="00AF10EF"/>
    <w:rsid w:val="00B6703D"/>
    <w:rsid w:val="00CD3D2E"/>
    <w:rsid w:val="00CD4DDB"/>
    <w:rsid w:val="00E977A4"/>
    <w:rsid w:val="00F37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B801D"/>
  <w15:chartTrackingRefBased/>
  <w15:docId w15:val="{A4B2285A-5125-4245-8F05-5A166413F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4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04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04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4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4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4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4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4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4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4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04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04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4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4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4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4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4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480"/>
    <w:rPr>
      <w:rFonts w:eastAsiaTheme="majorEastAsia" w:cstheme="majorBidi"/>
      <w:color w:val="272727" w:themeColor="text1" w:themeTint="D8"/>
    </w:rPr>
  </w:style>
  <w:style w:type="paragraph" w:styleId="Title">
    <w:name w:val="Title"/>
    <w:basedOn w:val="Normal"/>
    <w:next w:val="Normal"/>
    <w:link w:val="TitleChar"/>
    <w:uiPriority w:val="10"/>
    <w:qFormat/>
    <w:rsid w:val="000604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4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4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4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480"/>
    <w:pPr>
      <w:spacing w:before="160"/>
      <w:jc w:val="center"/>
    </w:pPr>
    <w:rPr>
      <w:i/>
      <w:iCs/>
      <w:color w:val="404040" w:themeColor="text1" w:themeTint="BF"/>
    </w:rPr>
  </w:style>
  <w:style w:type="character" w:customStyle="1" w:styleId="QuoteChar">
    <w:name w:val="Quote Char"/>
    <w:basedOn w:val="DefaultParagraphFont"/>
    <w:link w:val="Quote"/>
    <w:uiPriority w:val="29"/>
    <w:rsid w:val="00060480"/>
    <w:rPr>
      <w:i/>
      <w:iCs/>
      <w:color w:val="404040" w:themeColor="text1" w:themeTint="BF"/>
    </w:rPr>
  </w:style>
  <w:style w:type="paragraph" w:styleId="ListParagraph">
    <w:name w:val="List Paragraph"/>
    <w:basedOn w:val="Normal"/>
    <w:uiPriority w:val="34"/>
    <w:qFormat/>
    <w:rsid w:val="00060480"/>
    <w:pPr>
      <w:ind w:left="720"/>
      <w:contextualSpacing/>
    </w:pPr>
  </w:style>
  <w:style w:type="character" w:styleId="IntenseEmphasis">
    <w:name w:val="Intense Emphasis"/>
    <w:basedOn w:val="DefaultParagraphFont"/>
    <w:uiPriority w:val="21"/>
    <w:qFormat/>
    <w:rsid w:val="00060480"/>
    <w:rPr>
      <w:i/>
      <w:iCs/>
      <w:color w:val="0F4761" w:themeColor="accent1" w:themeShade="BF"/>
    </w:rPr>
  </w:style>
  <w:style w:type="paragraph" w:styleId="IntenseQuote">
    <w:name w:val="Intense Quote"/>
    <w:basedOn w:val="Normal"/>
    <w:next w:val="Normal"/>
    <w:link w:val="IntenseQuoteChar"/>
    <w:uiPriority w:val="30"/>
    <w:qFormat/>
    <w:rsid w:val="000604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480"/>
    <w:rPr>
      <w:i/>
      <w:iCs/>
      <w:color w:val="0F4761" w:themeColor="accent1" w:themeShade="BF"/>
    </w:rPr>
  </w:style>
  <w:style w:type="character" w:styleId="IntenseReference">
    <w:name w:val="Intense Reference"/>
    <w:basedOn w:val="DefaultParagraphFont"/>
    <w:uiPriority w:val="32"/>
    <w:qFormat/>
    <w:rsid w:val="00060480"/>
    <w:rPr>
      <w:b/>
      <w:bCs/>
      <w:smallCaps/>
      <w:color w:val="0F4761" w:themeColor="accent1" w:themeShade="BF"/>
      <w:spacing w:val="5"/>
    </w:rPr>
  </w:style>
  <w:style w:type="character" w:styleId="Hyperlink">
    <w:name w:val="Hyperlink"/>
    <w:basedOn w:val="DefaultParagraphFont"/>
    <w:uiPriority w:val="99"/>
    <w:unhideWhenUsed/>
    <w:rsid w:val="00901CBC"/>
    <w:rPr>
      <w:color w:val="467886" w:themeColor="hyperlink"/>
      <w:u w:val="single"/>
    </w:rPr>
  </w:style>
  <w:style w:type="character" w:styleId="UnresolvedMention">
    <w:name w:val="Unresolved Mention"/>
    <w:basedOn w:val="DefaultParagraphFont"/>
    <w:uiPriority w:val="99"/>
    <w:semiHidden/>
    <w:unhideWhenUsed/>
    <w:rsid w:val="00901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hyperlink" Target="https://doi.org/10.1016/j.bodyim.2017.06.004" TargetMode="External"/><Relationship Id="rId18" Type="http://schemas.openxmlformats.org/officeDocument/2006/relationships/hyperlink" Target="https://doi.org/10.1192/bjp.bp.107.04542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92/bjp.bp.107.045420" TargetMode="External"/><Relationship Id="rId7" Type="http://schemas.openxmlformats.org/officeDocument/2006/relationships/hyperlink" Target="https://jeatdisord.biomedcentral.com/" TargetMode="External"/><Relationship Id="rId12" Type="http://schemas.openxmlformats.org/officeDocument/2006/relationships/hyperlink" Target="https://doi.org/10.1016/j.jadohealth.2020.10.012" TargetMode="External"/><Relationship Id="rId17" Type="http://schemas.openxmlformats.org/officeDocument/2006/relationships/hyperlink" Target="https://doi.org/10.1186/s40337-023-00845-x" TargetMode="External"/><Relationship Id="rId25" Type="http://schemas.openxmlformats.org/officeDocument/2006/relationships/hyperlink" Target="https://doi.org/10.1192/bjp.bp.107.045420" TargetMode="Externa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hyperlink" Target="https://doi.org/10.1016/j.bodyim.2017.06.004" TargetMode="External"/><Relationship Id="rId1" Type="http://schemas.openxmlformats.org/officeDocument/2006/relationships/customXml" Target="../customXml/item1.xml"/><Relationship Id="rId6" Type="http://schemas.openxmlformats.org/officeDocument/2006/relationships/hyperlink" Target="https://www.beateatingdisorders.org.uk/" TargetMode="External"/><Relationship Id="rId11" Type="http://schemas.openxmlformats.org/officeDocument/2006/relationships/hyperlink" Target="https://onlinelibrary.wiley.com/" TargetMode="External"/><Relationship Id="rId24" Type="http://schemas.openxmlformats.org/officeDocument/2006/relationships/hyperlink" Target="https://doi.org/10.1186/s40337-023-00845-x" TargetMode="External"/><Relationship Id="rId5" Type="http://schemas.openxmlformats.org/officeDocument/2006/relationships/webSettings" Target="webSettings.xml"/><Relationship Id="rId15" Type="http://schemas.openxmlformats.org/officeDocument/2006/relationships/hyperlink" Target="https://digital.nhs.uk/data-and-information/publications/statistical/mental-health-of-children-and-young-people-in-england/2023" TargetMode="External"/><Relationship Id="rId23" Type="http://schemas.openxmlformats.org/officeDocument/2006/relationships/hyperlink" Target="https://www.longtermplan.nhs.uk/" TargetMode="External"/><Relationship Id="rId10" Type="http://schemas.openxmlformats.org/officeDocument/2006/relationships/hyperlink" Target="https://www.rcpsych.ac.uk/" TargetMode="External"/><Relationship Id="rId19" Type="http://schemas.openxmlformats.org/officeDocument/2006/relationships/hyperlink" Target="https://doi.org/10.1016/j.jadohealth.2020.10.012" TargetMode="External"/><Relationship Id="rId4" Type="http://schemas.openxmlformats.org/officeDocument/2006/relationships/settings" Target="settings.xml"/><Relationship Id="rId9" Type="http://schemas.openxmlformats.org/officeDocument/2006/relationships/hyperlink" Target="https://www.ofcom.org.uk/" TargetMode="External"/><Relationship Id="rId14" Type="http://schemas.openxmlformats.org/officeDocument/2006/relationships/hyperlink" Target="https://doi.org/10.1192/bjp.bp.107.045420" TargetMode="External"/><Relationship Id="rId22" Type="http://schemas.openxmlformats.org/officeDocument/2006/relationships/hyperlink" Target="https://digital.nhs.uk/data-and-information/publications/statistical/mental-health-of-children-and-young-people-in-england/202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01D5C-856F-4400-90BB-D65131D2B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19</Pages>
  <Words>4706</Words>
  <Characters>31392</Characters>
  <Application>Microsoft Office Word</Application>
  <DocSecurity>0</DocSecurity>
  <Lines>627</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Grobry (2244710)</dc:creator>
  <cp:keywords/>
  <dc:description/>
  <cp:lastModifiedBy>Nadia Grobry (2244710)</cp:lastModifiedBy>
  <cp:revision>4</cp:revision>
  <dcterms:created xsi:type="dcterms:W3CDTF">2025-11-28T21:33:00Z</dcterms:created>
  <dcterms:modified xsi:type="dcterms:W3CDTF">2025-11-29T03:24:00Z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f52c6045-2b80-4aa6-85f1-5eb0f53576ec</vt:lpwstr>
  </property>
</Properties>
</file>