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word/numbering.xml" ContentType="application/vnd.openxmlformats-officedocument.wordprocessingml.numbering+xml"/>
  <Override PartName="/customXml/itemProps2.xml" ContentType="application/vnd.openxmlformats-officedocument.customXmlProperties+xml"/>
  <Override PartName="/word/settings.xml" ContentType="application/vnd.openxmlformats-officedocument.wordprocessingml.settings+xml"/>
  <Override PartName="/docProps/custom.xml" ContentType="application/vnd.openxmlformats-officedocument.custom-properties+xml"/>
  <Override PartName="/word/header2.xml" ContentType="application/vnd.openxmlformats-officedocument.wordprocessingml.header+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3D3C6ABC">
      <w:pPr>
        <w:pStyle w:val="style0"/>
        <w:jc w:val="center"/>
        <w:rPr>
          <w:b/>
          <w:bCs/>
          <w:sz w:val="32"/>
          <w:szCs w:val="32"/>
        </w:rPr>
      </w:pPr>
      <w:r>
        <w:rPr>
          <w:b/>
          <w:bCs/>
          <w:sz w:val="32"/>
          <w:szCs w:val="32"/>
        </w:rPr>
        <w:t>Assessment component 1:</w:t>
      </w:r>
    </w:p>
    <w:p w14:paraId="51D77C26">
      <w:pPr>
        <w:pStyle w:val="style0"/>
        <w:jc w:val="center"/>
        <w:rPr>
          <w:b/>
          <w:bCs/>
          <w:sz w:val="32"/>
          <w:szCs w:val="32"/>
        </w:rPr>
      </w:pPr>
      <w:r>
        <w:rPr>
          <w:b/>
          <w:bCs/>
          <w:sz w:val="32"/>
          <w:szCs w:val="32"/>
        </w:rPr>
        <w:t>Individual report</w:t>
      </w:r>
    </w:p>
    <w:p w14:paraId="52C28D14">
      <w:pPr>
        <w:pStyle w:val="style0"/>
        <w:jc w:val="center"/>
        <w:rPr>
          <w:b/>
          <w:bCs/>
          <w:sz w:val="32"/>
          <w:szCs w:val="32"/>
        </w:rPr>
      </w:pPr>
      <w:r>
        <w:rPr>
          <w:b/>
          <w:bCs/>
          <w:sz w:val="32"/>
          <w:szCs w:val="32"/>
        </w:rPr>
        <w:t>Chosen Brand: Pizza Hut</w:t>
      </w:r>
    </w:p>
    <w:p w14:paraId="0CAB18DA">
      <w:pPr>
        <w:pStyle w:val="style0"/>
        <w:jc w:val="center"/>
        <w:rPr>
          <w:b/>
          <w:bCs/>
          <w:sz w:val="32"/>
          <w:szCs w:val="32"/>
        </w:rPr>
      </w:pPr>
      <w:r>
        <w:rPr>
          <w:b/>
          <w:bCs/>
          <w:sz w:val="32"/>
          <w:szCs w:val="32"/>
        </w:rPr>
        <w:t xml:space="preserve">Home </w:t>
      </w:r>
      <w:r>
        <w:rPr>
          <w:b/>
          <w:bCs/>
          <w:sz w:val="32"/>
          <w:szCs w:val="32"/>
        </w:rPr>
        <w:t>Country :</w:t>
      </w:r>
      <w:r>
        <w:rPr>
          <w:b/>
          <w:bCs/>
          <w:sz w:val="32"/>
          <w:szCs w:val="32"/>
        </w:rPr>
        <w:t xml:space="preserve">  USA</w:t>
      </w:r>
    </w:p>
    <w:p w14:paraId="D10FD024">
      <w:pPr>
        <w:pStyle w:val="style0"/>
        <w:jc w:val="center"/>
        <w:rPr>
          <w:b/>
          <w:bCs/>
          <w:sz w:val="32"/>
          <w:szCs w:val="32"/>
        </w:rPr>
      </w:pPr>
      <w:r>
        <w:rPr>
          <w:b/>
          <w:bCs/>
          <w:sz w:val="32"/>
          <w:szCs w:val="32"/>
        </w:rPr>
        <w:t xml:space="preserve">Host </w:t>
      </w:r>
      <w:r>
        <w:rPr>
          <w:b/>
          <w:bCs/>
          <w:sz w:val="32"/>
          <w:szCs w:val="32"/>
        </w:rPr>
        <w:t>Country :</w:t>
      </w:r>
      <w:r>
        <w:rPr>
          <w:b/>
          <w:bCs/>
          <w:sz w:val="32"/>
          <w:szCs w:val="32"/>
        </w:rPr>
        <w:t xml:space="preserve">  India</w:t>
      </w:r>
    </w:p>
    <w:p w14:paraId="987F0588">
      <w:pPr>
        <w:pStyle w:val="style0"/>
        <w:jc w:val="center"/>
        <w:rPr>
          <w:b/>
          <w:bCs/>
          <w:sz w:val="32"/>
          <w:szCs w:val="32"/>
          <w:lang w:val="en-US"/>
        </w:rPr>
      </w:pPr>
      <w:r>
        <w:rPr>
          <w:b/>
          <w:bCs/>
          <w:sz w:val="32"/>
          <w:szCs w:val="32"/>
          <w:lang w:val="en-US"/>
        </w:rPr>
        <w:t xml:space="preserve">Module: International Marketing : </w:t>
      </w:r>
    </w:p>
    <w:p w14:paraId="2741B617">
      <w:pPr>
        <w:pStyle w:val="style0"/>
        <w:jc w:val="center"/>
        <w:rPr>
          <w:b/>
          <w:bCs/>
          <w:sz w:val="32"/>
          <w:szCs w:val="32"/>
        </w:rPr>
      </w:pPr>
      <w:r>
        <w:rPr>
          <w:b/>
          <w:bCs/>
          <w:sz w:val="32"/>
          <w:szCs w:val="32"/>
          <w:lang w:val="en-US"/>
        </w:rPr>
        <w:t xml:space="preserve">Principles and Practices </w:t>
      </w:r>
    </w:p>
    <w:p w14:paraId="838E8C05">
      <w:pPr>
        <w:pStyle w:val="style0"/>
        <w:jc w:val="center"/>
        <w:rPr>
          <w:b/>
          <w:bCs/>
          <w:sz w:val="32"/>
          <w:szCs w:val="32"/>
          <w:lang w:val="en-US"/>
        </w:rPr>
      </w:pPr>
      <w:r>
        <w:rPr>
          <w:b/>
          <w:bCs/>
          <w:sz w:val="32"/>
          <w:szCs w:val="32"/>
          <w:lang w:val="en-US"/>
        </w:rPr>
        <w:t>Lecture name: Tushara balendran</w:t>
      </w:r>
    </w:p>
    <w:p w14:paraId="A0B3ACFC">
      <w:pPr>
        <w:pStyle w:val="style0"/>
        <w:jc w:val="center"/>
        <w:rPr>
          <w:b/>
          <w:bCs/>
          <w:sz w:val="32"/>
          <w:szCs w:val="32"/>
          <w:lang w:val="en-US"/>
        </w:rPr>
      </w:pPr>
      <w:r>
        <w:rPr>
          <w:b/>
          <w:bCs/>
          <w:sz w:val="32"/>
          <w:szCs w:val="32"/>
          <w:lang w:val="en-US"/>
        </w:rPr>
        <w:t>Module code: LCMB7026</w:t>
      </w:r>
    </w:p>
    <w:p w14:paraId="AEAF1853">
      <w:pPr>
        <w:pStyle w:val="style0"/>
        <w:jc w:val="center"/>
        <w:rPr>
          <w:b/>
          <w:bCs/>
          <w:sz w:val="32"/>
          <w:szCs w:val="32"/>
          <w:lang w:val="en-US"/>
        </w:rPr>
      </w:pPr>
      <w:r>
        <w:rPr>
          <w:b/>
          <w:bCs/>
          <w:sz w:val="32"/>
          <w:szCs w:val="32"/>
          <w:lang w:val="en-US"/>
        </w:rPr>
        <w:t xml:space="preserve">Student Name: Vaishali Modhwadiya </w:t>
      </w:r>
    </w:p>
    <w:p w14:paraId="4FF6DA22">
      <w:pPr>
        <w:pStyle w:val="style0"/>
        <w:jc w:val="center"/>
        <w:rPr>
          <w:b/>
          <w:bCs/>
          <w:sz w:val="32"/>
          <w:szCs w:val="32"/>
          <w:lang w:val="en-US"/>
        </w:rPr>
      </w:pPr>
      <w:r>
        <w:rPr>
          <w:b/>
          <w:bCs/>
          <w:sz w:val="32"/>
          <w:szCs w:val="32"/>
          <w:lang w:val="en-US"/>
        </w:rPr>
        <w:t>Student ID: 2527761</w:t>
      </w:r>
    </w:p>
    <w:p w14:paraId="14FC1827">
      <w:pPr>
        <w:pStyle w:val="style0"/>
        <w:jc w:val="center"/>
        <w:rPr>
          <w:b/>
          <w:bCs/>
          <w:sz w:val="32"/>
          <w:szCs w:val="32"/>
          <w:lang w:val="en-US"/>
        </w:rPr>
      </w:pPr>
    </w:p>
    <w:p w14:paraId="1AE51BD8">
      <w:pPr>
        <w:pStyle w:val="style0"/>
        <w:jc w:val="left"/>
        <w:rPr>
          <w:b/>
          <w:bCs/>
          <w:sz w:val="32"/>
          <w:szCs w:val="32"/>
        </w:rPr>
      </w:pPr>
      <w:r>
        <w:br w:type="page"/>
      </w:r>
    </w:p>
    <w:p w14:paraId="167D949A">
      <w:pPr>
        <w:pStyle w:val="style0"/>
        <w:jc w:val="center"/>
        <w:rPr>
          <w:b/>
          <w:bCs/>
          <w:sz w:val="28"/>
          <w:szCs w:val="28"/>
        </w:rPr>
      </w:pPr>
      <w:r>
        <w:rPr>
          <w:b/>
          <w:bCs/>
          <w:sz w:val="28"/>
          <w:szCs w:val="28"/>
        </w:rPr>
        <w:t>Table of Contents</w:t>
      </w:r>
    </w:p>
    <w:p w14:paraId="540B3785">
      <w:pPr>
        <w:pStyle w:val="style266"/>
        <w:rPr/>
      </w:pPr>
    </w:p>
    <w:p w14:paraId="479E71B9">
      <w:pPr>
        <w:pStyle w:val="style19"/>
        <w:tabs>
          <w:tab w:val="right" w:leader="dot" w:pos="9350"/>
        </w:tabs>
        <w:rPr>
          <w:noProof/>
        </w:rPr>
      </w:pPr>
      <w:r>
        <w:rPr/>
        <w:fldChar w:fldCharType="begin"/>
      </w:r>
      <w:r>
        <w:instrText xml:space="preserve"> TOC \o "1-3" \h \z \u </w:instrText>
      </w:r>
      <w:r>
        <w:rPr/>
        <w:fldChar w:fldCharType="separate"/>
      </w:r>
      <w:r>
        <w:rPr/>
        <w:fldChar w:fldCharType="begin"/>
      </w:r>
      <w:r>
        <w:instrText xml:space="preserve"> HYPERLINK \l "_Toc235398667" </w:instrText>
      </w:r>
      <w:r>
        <w:rPr/>
        <w:fldChar w:fldCharType="separate"/>
      </w:r>
      <w:r>
        <w:rPr>
          <w:rStyle w:val="style85"/>
          <w:noProof/>
        </w:rPr>
        <w:t>Section 1: Report</w:t>
      </w:r>
      <w:r>
        <w:rPr>
          <w:noProof/>
          <w:webHidden/>
        </w:rPr>
        <w:tab/>
      </w:r>
      <w:r>
        <w:rPr>
          <w:noProof/>
          <w:webHidden/>
        </w:rPr>
        <w:fldChar w:fldCharType="begin"/>
      </w:r>
      <w:r>
        <w:rPr>
          <w:noProof/>
          <w:webHidden/>
        </w:rPr>
        <w:instrText xml:space="preserve"> PAGEREF _Toc235398667 \h </w:instrText>
      </w:r>
      <w:r>
        <w:rPr>
          <w:noProof/>
          <w:webHidden/>
        </w:rPr>
        <w:fldChar w:fldCharType="separate"/>
      </w:r>
      <w:r>
        <w:rPr>
          <w:noProof/>
          <w:webHidden/>
        </w:rPr>
        <w:t>4</w:t>
      </w:r>
      <w:r>
        <w:rPr>
          <w:noProof/>
          <w:webHidden/>
        </w:rPr>
        <w:fldChar w:fldCharType="end"/>
      </w:r>
      <w:r>
        <w:rPr/>
        <w:fldChar w:fldCharType="end"/>
      </w:r>
    </w:p>
    <w:p w14:paraId="247DAAB0">
      <w:pPr>
        <w:pStyle w:val="style20"/>
        <w:tabs>
          <w:tab w:val="right" w:leader="dot" w:pos="9350"/>
        </w:tabs>
        <w:rPr>
          <w:noProof/>
        </w:rPr>
      </w:pPr>
      <w:r>
        <w:rPr/>
        <w:fldChar w:fldCharType="begin"/>
      </w:r>
      <w:r>
        <w:instrText xml:space="preserve"> HYPERLINK \l "_Toc235398668" </w:instrText>
      </w:r>
      <w:r>
        <w:rPr/>
        <w:fldChar w:fldCharType="separate"/>
      </w:r>
      <w:r>
        <w:rPr>
          <w:rStyle w:val="style85"/>
          <w:noProof/>
        </w:rPr>
        <w:t>Introduction</w:t>
      </w:r>
      <w:r>
        <w:rPr>
          <w:noProof/>
          <w:webHidden/>
        </w:rPr>
        <w:tab/>
      </w:r>
      <w:r>
        <w:rPr>
          <w:noProof/>
          <w:webHidden/>
        </w:rPr>
        <w:fldChar w:fldCharType="begin"/>
      </w:r>
      <w:r>
        <w:rPr>
          <w:noProof/>
          <w:webHidden/>
        </w:rPr>
        <w:instrText xml:space="preserve"> PAGEREF _Toc235398668 \h </w:instrText>
      </w:r>
      <w:r>
        <w:rPr>
          <w:noProof/>
          <w:webHidden/>
        </w:rPr>
        <w:fldChar w:fldCharType="separate"/>
      </w:r>
      <w:r>
        <w:rPr>
          <w:noProof/>
          <w:webHidden/>
        </w:rPr>
        <w:t>4</w:t>
      </w:r>
      <w:r>
        <w:rPr>
          <w:noProof/>
          <w:webHidden/>
        </w:rPr>
        <w:fldChar w:fldCharType="end"/>
      </w:r>
      <w:r>
        <w:rPr/>
        <w:fldChar w:fldCharType="end"/>
      </w:r>
    </w:p>
    <w:p w14:paraId="0409EBAC">
      <w:pPr>
        <w:pStyle w:val="style21"/>
        <w:tabs>
          <w:tab w:val="right" w:leader="dot" w:pos="9350"/>
        </w:tabs>
        <w:rPr>
          <w:noProof/>
        </w:rPr>
      </w:pPr>
      <w:r>
        <w:rPr/>
        <w:fldChar w:fldCharType="begin"/>
      </w:r>
      <w:r>
        <w:instrText xml:space="preserve"> HYPERLINK \l "_Toc235398669" </w:instrText>
      </w:r>
      <w:r>
        <w:rPr/>
        <w:fldChar w:fldCharType="separate"/>
      </w:r>
      <w:r>
        <w:rPr>
          <w:rStyle w:val="style85"/>
          <w:noProof/>
        </w:rPr>
        <w:t>Overview of the Assignment</w:t>
      </w:r>
      <w:r>
        <w:rPr>
          <w:noProof/>
          <w:webHidden/>
        </w:rPr>
        <w:tab/>
      </w:r>
      <w:r>
        <w:rPr>
          <w:noProof/>
          <w:webHidden/>
        </w:rPr>
        <w:fldChar w:fldCharType="begin"/>
      </w:r>
      <w:r>
        <w:rPr>
          <w:noProof/>
          <w:webHidden/>
        </w:rPr>
        <w:instrText xml:space="preserve"> PAGEREF _Toc235398669 \h </w:instrText>
      </w:r>
      <w:r>
        <w:rPr>
          <w:noProof/>
          <w:webHidden/>
        </w:rPr>
        <w:fldChar w:fldCharType="separate"/>
      </w:r>
      <w:r>
        <w:rPr>
          <w:noProof/>
          <w:webHidden/>
        </w:rPr>
        <w:t>4</w:t>
      </w:r>
      <w:r>
        <w:rPr>
          <w:noProof/>
          <w:webHidden/>
        </w:rPr>
        <w:fldChar w:fldCharType="end"/>
      </w:r>
      <w:r>
        <w:rPr/>
        <w:fldChar w:fldCharType="end"/>
      </w:r>
    </w:p>
    <w:p w14:paraId="0BA2CEC6">
      <w:pPr>
        <w:pStyle w:val="style21"/>
        <w:tabs>
          <w:tab w:val="right" w:leader="dot" w:pos="9350"/>
        </w:tabs>
        <w:rPr>
          <w:noProof/>
        </w:rPr>
      </w:pPr>
      <w:r>
        <w:rPr/>
        <w:fldChar w:fldCharType="begin"/>
      </w:r>
      <w:r>
        <w:instrText xml:space="preserve"> HYPERLINK \l "_Toc235398670" </w:instrText>
      </w:r>
      <w:r>
        <w:rPr/>
        <w:fldChar w:fldCharType="separate"/>
      </w:r>
      <w:r>
        <w:rPr>
          <w:rStyle w:val="style85"/>
          <w:noProof/>
        </w:rPr>
        <w:t>Justification for Selecting Pizza Hut</w:t>
      </w:r>
      <w:r>
        <w:rPr>
          <w:noProof/>
          <w:webHidden/>
        </w:rPr>
        <w:tab/>
      </w:r>
      <w:r>
        <w:rPr>
          <w:noProof/>
          <w:webHidden/>
        </w:rPr>
        <w:fldChar w:fldCharType="begin"/>
      </w:r>
      <w:r>
        <w:rPr>
          <w:noProof/>
          <w:webHidden/>
        </w:rPr>
        <w:instrText xml:space="preserve"> PAGEREF _Toc235398670 \h </w:instrText>
      </w:r>
      <w:r>
        <w:rPr>
          <w:noProof/>
          <w:webHidden/>
        </w:rPr>
        <w:fldChar w:fldCharType="separate"/>
      </w:r>
      <w:r>
        <w:rPr>
          <w:noProof/>
          <w:webHidden/>
        </w:rPr>
        <w:t>4</w:t>
      </w:r>
      <w:r>
        <w:rPr>
          <w:noProof/>
          <w:webHidden/>
        </w:rPr>
        <w:fldChar w:fldCharType="end"/>
      </w:r>
      <w:r>
        <w:rPr/>
        <w:fldChar w:fldCharType="end"/>
      </w:r>
    </w:p>
    <w:p w14:paraId="7FE338A0">
      <w:pPr>
        <w:pStyle w:val="style21"/>
        <w:tabs>
          <w:tab w:val="right" w:leader="dot" w:pos="9350"/>
        </w:tabs>
        <w:rPr>
          <w:noProof/>
        </w:rPr>
      </w:pPr>
      <w:r>
        <w:rPr/>
        <w:fldChar w:fldCharType="begin"/>
      </w:r>
      <w:r>
        <w:instrText xml:space="preserve"> HYPERLINK \l "_Toc235398671" </w:instrText>
      </w:r>
      <w:r>
        <w:rPr/>
        <w:fldChar w:fldCharType="separate"/>
      </w:r>
      <w:r>
        <w:rPr>
          <w:rStyle w:val="style85"/>
          <w:noProof/>
        </w:rPr>
        <w:t>Rationale for Choosing USA and India</w:t>
      </w:r>
      <w:r>
        <w:rPr>
          <w:noProof/>
          <w:webHidden/>
        </w:rPr>
        <w:tab/>
      </w:r>
      <w:r>
        <w:rPr>
          <w:noProof/>
          <w:webHidden/>
        </w:rPr>
        <w:fldChar w:fldCharType="begin"/>
      </w:r>
      <w:r>
        <w:rPr>
          <w:noProof/>
          <w:webHidden/>
        </w:rPr>
        <w:instrText xml:space="preserve"> PAGEREF _Toc235398671 \h </w:instrText>
      </w:r>
      <w:r>
        <w:rPr>
          <w:noProof/>
          <w:webHidden/>
        </w:rPr>
        <w:fldChar w:fldCharType="separate"/>
      </w:r>
      <w:r>
        <w:rPr>
          <w:noProof/>
          <w:webHidden/>
        </w:rPr>
        <w:t>4</w:t>
      </w:r>
      <w:r>
        <w:rPr>
          <w:noProof/>
          <w:webHidden/>
        </w:rPr>
        <w:fldChar w:fldCharType="end"/>
      </w:r>
      <w:r>
        <w:rPr/>
        <w:fldChar w:fldCharType="end"/>
      </w:r>
    </w:p>
    <w:p w14:paraId="4B0042E4">
      <w:pPr>
        <w:pStyle w:val="style20"/>
        <w:tabs>
          <w:tab w:val="right" w:leader="dot" w:pos="9350"/>
        </w:tabs>
        <w:rPr>
          <w:noProof/>
        </w:rPr>
      </w:pPr>
      <w:r>
        <w:rPr/>
        <w:fldChar w:fldCharType="begin"/>
      </w:r>
      <w:r>
        <w:instrText xml:space="preserve"> HYPERLINK \l "_Toc235398672" </w:instrText>
      </w:r>
      <w:r>
        <w:rPr/>
        <w:fldChar w:fldCharType="separate"/>
      </w:r>
      <w:r>
        <w:rPr>
          <w:rStyle w:val="style85"/>
          <w:noProof/>
        </w:rPr>
        <w:t>1. Background of the Company and Brand</w:t>
      </w:r>
      <w:r>
        <w:rPr>
          <w:noProof/>
          <w:webHidden/>
        </w:rPr>
        <w:tab/>
      </w:r>
      <w:r>
        <w:rPr>
          <w:noProof/>
          <w:webHidden/>
        </w:rPr>
        <w:fldChar w:fldCharType="begin"/>
      </w:r>
      <w:r>
        <w:rPr>
          <w:noProof/>
          <w:webHidden/>
        </w:rPr>
        <w:instrText xml:space="preserve"> PAGEREF _Toc235398672 \h </w:instrText>
      </w:r>
      <w:r>
        <w:rPr>
          <w:noProof/>
          <w:webHidden/>
        </w:rPr>
        <w:fldChar w:fldCharType="separate"/>
      </w:r>
      <w:r>
        <w:rPr>
          <w:noProof/>
          <w:webHidden/>
        </w:rPr>
        <w:t>5</w:t>
      </w:r>
      <w:r>
        <w:rPr>
          <w:noProof/>
          <w:webHidden/>
        </w:rPr>
        <w:fldChar w:fldCharType="end"/>
      </w:r>
      <w:r>
        <w:rPr/>
        <w:fldChar w:fldCharType="end"/>
      </w:r>
    </w:p>
    <w:p w14:paraId="64130CE7">
      <w:pPr>
        <w:pStyle w:val="style21"/>
        <w:tabs>
          <w:tab w:val="right" w:leader="dot" w:pos="9350"/>
        </w:tabs>
        <w:rPr>
          <w:noProof/>
        </w:rPr>
      </w:pPr>
      <w:r>
        <w:rPr/>
        <w:fldChar w:fldCharType="begin"/>
      </w:r>
      <w:r>
        <w:instrText xml:space="preserve"> HYPERLINK \l "_Toc235398673" </w:instrText>
      </w:r>
      <w:r>
        <w:rPr/>
        <w:fldChar w:fldCharType="separate"/>
      </w:r>
      <w:r>
        <w:rPr>
          <w:rStyle w:val="style85"/>
          <w:noProof/>
        </w:rPr>
        <w:t>1.1 Company Overview</w:t>
      </w:r>
      <w:r>
        <w:rPr>
          <w:noProof/>
          <w:webHidden/>
        </w:rPr>
        <w:tab/>
      </w:r>
      <w:r>
        <w:rPr>
          <w:noProof/>
          <w:webHidden/>
        </w:rPr>
        <w:fldChar w:fldCharType="begin"/>
      </w:r>
      <w:r>
        <w:rPr>
          <w:noProof/>
          <w:webHidden/>
        </w:rPr>
        <w:instrText xml:space="preserve"> PAGEREF _Toc235398673 \h </w:instrText>
      </w:r>
      <w:r>
        <w:rPr>
          <w:noProof/>
          <w:webHidden/>
        </w:rPr>
        <w:fldChar w:fldCharType="separate"/>
      </w:r>
      <w:r>
        <w:rPr>
          <w:noProof/>
          <w:webHidden/>
        </w:rPr>
        <w:t>5</w:t>
      </w:r>
      <w:r>
        <w:rPr>
          <w:noProof/>
          <w:webHidden/>
        </w:rPr>
        <w:fldChar w:fldCharType="end"/>
      </w:r>
      <w:r>
        <w:rPr/>
        <w:fldChar w:fldCharType="end"/>
      </w:r>
    </w:p>
    <w:p w14:paraId="49E2DF39">
      <w:pPr>
        <w:pStyle w:val="style21"/>
        <w:tabs>
          <w:tab w:val="right" w:leader="dot" w:pos="9350"/>
        </w:tabs>
        <w:rPr>
          <w:noProof/>
        </w:rPr>
      </w:pPr>
      <w:r>
        <w:rPr/>
        <w:fldChar w:fldCharType="begin"/>
      </w:r>
      <w:r>
        <w:instrText xml:space="preserve"> HYPERLINK \l "_Toc235398674" </w:instrText>
      </w:r>
      <w:r>
        <w:rPr/>
        <w:fldChar w:fldCharType="separate"/>
      </w:r>
      <w:r>
        <w:rPr>
          <w:rStyle w:val="style85"/>
          <w:noProof/>
        </w:rPr>
        <w:t>1.2 Brand Overview</w:t>
      </w:r>
      <w:r>
        <w:rPr>
          <w:noProof/>
          <w:webHidden/>
        </w:rPr>
        <w:tab/>
      </w:r>
      <w:r>
        <w:rPr>
          <w:noProof/>
          <w:webHidden/>
        </w:rPr>
        <w:fldChar w:fldCharType="begin"/>
      </w:r>
      <w:r>
        <w:rPr>
          <w:noProof/>
          <w:webHidden/>
        </w:rPr>
        <w:instrText xml:space="preserve"> PAGEREF _Toc235398674 \h </w:instrText>
      </w:r>
      <w:r>
        <w:rPr>
          <w:noProof/>
          <w:webHidden/>
        </w:rPr>
        <w:fldChar w:fldCharType="separate"/>
      </w:r>
      <w:r>
        <w:rPr>
          <w:noProof/>
          <w:webHidden/>
        </w:rPr>
        <w:t>6</w:t>
      </w:r>
      <w:r>
        <w:rPr>
          <w:noProof/>
          <w:webHidden/>
        </w:rPr>
        <w:fldChar w:fldCharType="end"/>
      </w:r>
      <w:r>
        <w:rPr/>
        <w:fldChar w:fldCharType="end"/>
      </w:r>
    </w:p>
    <w:p w14:paraId="1F9A575D">
      <w:pPr>
        <w:pStyle w:val="style21"/>
        <w:tabs>
          <w:tab w:val="right" w:leader="dot" w:pos="9350"/>
        </w:tabs>
        <w:rPr>
          <w:noProof/>
        </w:rPr>
      </w:pPr>
      <w:r>
        <w:rPr/>
        <w:fldChar w:fldCharType="begin"/>
      </w:r>
      <w:r>
        <w:instrText xml:space="preserve"> HYPERLINK \l "_Toc235398675" </w:instrText>
      </w:r>
      <w:r>
        <w:rPr/>
        <w:fldChar w:fldCharType="separate"/>
      </w:r>
      <w:r>
        <w:rPr>
          <w:rStyle w:val="style85"/>
          <w:noProof/>
        </w:rPr>
        <w:t>1.3 Global Presence and Market Performance</w:t>
      </w:r>
      <w:r>
        <w:rPr>
          <w:noProof/>
          <w:webHidden/>
        </w:rPr>
        <w:tab/>
      </w:r>
      <w:r>
        <w:rPr>
          <w:noProof/>
          <w:webHidden/>
        </w:rPr>
        <w:fldChar w:fldCharType="begin"/>
      </w:r>
      <w:r>
        <w:rPr>
          <w:noProof/>
          <w:webHidden/>
        </w:rPr>
        <w:instrText xml:space="preserve"> PAGEREF _Toc235398675 \h </w:instrText>
      </w:r>
      <w:r>
        <w:rPr>
          <w:noProof/>
          <w:webHidden/>
        </w:rPr>
        <w:fldChar w:fldCharType="separate"/>
      </w:r>
      <w:r>
        <w:rPr>
          <w:noProof/>
          <w:webHidden/>
        </w:rPr>
        <w:t>6</w:t>
      </w:r>
      <w:r>
        <w:rPr>
          <w:noProof/>
          <w:webHidden/>
        </w:rPr>
        <w:fldChar w:fldCharType="end"/>
      </w:r>
      <w:r>
        <w:rPr/>
        <w:fldChar w:fldCharType="end"/>
      </w:r>
    </w:p>
    <w:p w14:paraId="7F165376">
      <w:pPr>
        <w:pStyle w:val="style19"/>
        <w:tabs>
          <w:tab w:val="right" w:leader="dot" w:pos="9350"/>
        </w:tabs>
        <w:rPr>
          <w:noProof/>
        </w:rPr>
      </w:pPr>
      <w:r>
        <w:rPr/>
        <w:fldChar w:fldCharType="begin"/>
      </w:r>
      <w:r>
        <w:instrText xml:space="preserve"> HYPERLINK \l "_Toc235398676" </w:instrText>
      </w:r>
      <w:r>
        <w:rPr/>
        <w:fldChar w:fldCharType="separate"/>
      </w:r>
      <w:r>
        <w:rPr>
          <w:rStyle w:val="style85"/>
          <w:noProof/>
        </w:rPr>
        <w:t>2. Macro Environment Analysis</w:t>
      </w:r>
      <w:r>
        <w:rPr>
          <w:noProof/>
          <w:webHidden/>
        </w:rPr>
        <w:tab/>
      </w:r>
      <w:r>
        <w:rPr>
          <w:noProof/>
          <w:webHidden/>
        </w:rPr>
        <w:fldChar w:fldCharType="begin"/>
      </w:r>
      <w:r>
        <w:rPr>
          <w:noProof/>
          <w:webHidden/>
        </w:rPr>
        <w:instrText xml:space="preserve"> PAGEREF _Toc235398676 \h </w:instrText>
      </w:r>
      <w:r>
        <w:rPr>
          <w:noProof/>
          <w:webHidden/>
        </w:rPr>
        <w:fldChar w:fldCharType="separate"/>
      </w:r>
      <w:r>
        <w:rPr>
          <w:noProof/>
          <w:webHidden/>
        </w:rPr>
        <w:t>7</w:t>
      </w:r>
      <w:r>
        <w:rPr>
          <w:noProof/>
          <w:webHidden/>
        </w:rPr>
        <w:fldChar w:fldCharType="end"/>
      </w:r>
      <w:r>
        <w:rPr/>
        <w:fldChar w:fldCharType="end"/>
      </w:r>
    </w:p>
    <w:p w14:paraId="168CDD6A">
      <w:pPr>
        <w:pStyle w:val="style21"/>
        <w:tabs>
          <w:tab w:val="right" w:leader="dot" w:pos="9350"/>
        </w:tabs>
        <w:rPr>
          <w:noProof/>
        </w:rPr>
      </w:pPr>
      <w:r>
        <w:rPr/>
        <w:fldChar w:fldCharType="begin"/>
      </w:r>
      <w:r>
        <w:instrText xml:space="preserve"> HYPERLINK \l "_Toc235398677" </w:instrText>
      </w:r>
      <w:r>
        <w:rPr/>
        <w:fldChar w:fldCharType="separate"/>
      </w:r>
      <w:r>
        <w:rPr>
          <w:rStyle w:val="style85"/>
          <w:noProof/>
        </w:rPr>
        <w:t>2.1 PESTLE Analysis</w:t>
      </w:r>
      <w:r>
        <w:rPr>
          <w:noProof/>
          <w:webHidden/>
        </w:rPr>
        <w:tab/>
      </w:r>
      <w:r>
        <w:rPr>
          <w:noProof/>
          <w:webHidden/>
        </w:rPr>
        <w:fldChar w:fldCharType="begin"/>
      </w:r>
      <w:r>
        <w:rPr>
          <w:noProof/>
          <w:webHidden/>
        </w:rPr>
        <w:instrText xml:space="preserve"> PAGEREF _Toc235398677 \h </w:instrText>
      </w:r>
      <w:r>
        <w:rPr>
          <w:noProof/>
          <w:webHidden/>
        </w:rPr>
        <w:fldChar w:fldCharType="separate"/>
      </w:r>
      <w:r>
        <w:rPr>
          <w:noProof/>
          <w:webHidden/>
        </w:rPr>
        <w:t>7</w:t>
      </w:r>
      <w:r>
        <w:rPr>
          <w:noProof/>
          <w:webHidden/>
        </w:rPr>
        <w:fldChar w:fldCharType="end"/>
      </w:r>
      <w:r>
        <w:rPr/>
        <w:fldChar w:fldCharType="end"/>
      </w:r>
    </w:p>
    <w:p w14:paraId="3516F59D">
      <w:pPr>
        <w:pStyle w:val="style21"/>
        <w:tabs>
          <w:tab w:val="right" w:leader="dot" w:pos="9350"/>
        </w:tabs>
        <w:rPr>
          <w:noProof/>
        </w:rPr>
      </w:pPr>
      <w:r>
        <w:rPr/>
        <w:fldChar w:fldCharType="begin"/>
      </w:r>
      <w:r>
        <w:instrText xml:space="preserve"> HYPERLINK \l "_Toc235398678" </w:instrText>
      </w:r>
      <w:r>
        <w:rPr/>
        <w:fldChar w:fldCharType="separate"/>
      </w:r>
      <w:r>
        <w:rPr>
          <w:rStyle w:val="style85"/>
          <w:noProof/>
        </w:rPr>
        <w:t>2.2 Industry Analysis Using Porter’s Five Forces</w:t>
      </w:r>
      <w:r>
        <w:rPr>
          <w:noProof/>
          <w:webHidden/>
        </w:rPr>
        <w:tab/>
      </w:r>
      <w:r>
        <w:rPr>
          <w:noProof/>
          <w:webHidden/>
        </w:rPr>
        <w:fldChar w:fldCharType="begin"/>
      </w:r>
      <w:r>
        <w:rPr>
          <w:noProof/>
          <w:webHidden/>
        </w:rPr>
        <w:instrText xml:space="preserve"> PAGEREF _Toc235398678 \h </w:instrText>
      </w:r>
      <w:r>
        <w:rPr>
          <w:noProof/>
          <w:webHidden/>
        </w:rPr>
        <w:fldChar w:fldCharType="separate"/>
      </w:r>
      <w:r>
        <w:rPr>
          <w:noProof/>
          <w:webHidden/>
        </w:rPr>
        <w:t>10</w:t>
      </w:r>
      <w:r>
        <w:rPr>
          <w:noProof/>
          <w:webHidden/>
        </w:rPr>
        <w:fldChar w:fldCharType="end"/>
      </w:r>
      <w:r>
        <w:rPr/>
        <w:fldChar w:fldCharType="end"/>
      </w:r>
    </w:p>
    <w:p w14:paraId="4CD95429">
      <w:pPr>
        <w:pStyle w:val="style21"/>
        <w:tabs>
          <w:tab w:val="right" w:leader="dot" w:pos="9350"/>
        </w:tabs>
        <w:rPr>
          <w:noProof/>
        </w:rPr>
      </w:pPr>
      <w:r>
        <w:rPr/>
        <w:fldChar w:fldCharType="begin"/>
      </w:r>
      <w:r>
        <w:instrText xml:space="preserve"> HYPERLINK \l "_Toc235398679" </w:instrText>
      </w:r>
      <w:r>
        <w:rPr/>
        <w:fldChar w:fldCharType="separate"/>
      </w:r>
      <w:r>
        <w:rPr>
          <w:rStyle w:val="style85"/>
          <w:noProof/>
        </w:rPr>
        <w:t>2.3 Cultural Analysis Using Hofstede Dimensions</w:t>
      </w:r>
      <w:r>
        <w:rPr>
          <w:noProof/>
          <w:webHidden/>
        </w:rPr>
        <w:tab/>
      </w:r>
      <w:r>
        <w:rPr>
          <w:noProof/>
          <w:webHidden/>
        </w:rPr>
        <w:fldChar w:fldCharType="begin"/>
      </w:r>
      <w:r>
        <w:rPr>
          <w:noProof/>
          <w:webHidden/>
        </w:rPr>
        <w:instrText xml:space="preserve"> PAGEREF _Toc235398679 \h </w:instrText>
      </w:r>
      <w:r>
        <w:rPr>
          <w:noProof/>
          <w:webHidden/>
        </w:rPr>
        <w:fldChar w:fldCharType="separate"/>
      </w:r>
      <w:r>
        <w:rPr>
          <w:noProof/>
          <w:webHidden/>
        </w:rPr>
        <w:t>14</w:t>
      </w:r>
      <w:r>
        <w:rPr>
          <w:noProof/>
          <w:webHidden/>
        </w:rPr>
        <w:fldChar w:fldCharType="end"/>
      </w:r>
      <w:r>
        <w:rPr/>
        <w:fldChar w:fldCharType="end"/>
      </w:r>
    </w:p>
    <w:p w14:paraId="487E97B7">
      <w:pPr>
        <w:pStyle w:val="style21"/>
        <w:tabs>
          <w:tab w:val="right" w:leader="dot" w:pos="9350"/>
        </w:tabs>
        <w:rPr>
          <w:noProof/>
        </w:rPr>
      </w:pPr>
      <w:r>
        <w:rPr/>
        <w:fldChar w:fldCharType="begin"/>
      </w:r>
      <w:r>
        <w:instrText xml:space="preserve"> HYPERLINK \l "_Toc235398680" </w:instrText>
      </w:r>
      <w:r>
        <w:rPr/>
        <w:fldChar w:fldCharType="separate"/>
      </w:r>
      <w:r>
        <w:rPr>
          <w:rStyle w:val="style85"/>
          <w:noProof/>
        </w:rPr>
        <w:t>2.4 Strength and Weakness of Hofstede Insights</w:t>
      </w:r>
      <w:r>
        <w:rPr>
          <w:noProof/>
          <w:webHidden/>
        </w:rPr>
        <w:tab/>
      </w:r>
      <w:r>
        <w:rPr>
          <w:noProof/>
          <w:webHidden/>
        </w:rPr>
        <w:fldChar w:fldCharType="begin"/>
      </w:r>
      <w:r>
        <w:rPr>
          <w:noProof/>
          <w:webHidden/>
        </w:rPr>
        <w:instrText xml:space="preserve"> PAGEREF _Toc235398680 \h </w:instrText>
      </w:r>
      <w:r>
        <w:rPr>
          <w:noProof/>
          <w:webHidden/>
        </w:rPr>
        <w:fldChar w:fldCharType="separate"/>
      </w:r>
      <w:r>
        <w:rPr>
          <w:noProof/>
          <w:webHidden/>
        </w:rPr>
        <w:t>16</w:t>
      </w:r>
      <w:r>
        <w:rPr>
          <w:noProof/>
          <w:webHidden/>
        </w:rPr>
        <w:fldChar w:fldCharType="end"/>
      </w:r>
      <w:r>
        <w:rPr/>
        <w:fldChar w:fldCharType="end"/>
      </w:r>
    </w:p>
    <w:p w14:paraId="3B8F13C2">
      <w:pPr>
        <w:pStyle w:val="style20"/>
        <w:tabs>
          <w:tab w:val="right" w:leader="dot" w:pos="9350"/>
        </w:tabs>
        <w:rPr>
          <w:noProof/>
        </w:rPr>
      </w:pPr>
      <w:r>
        <w:rPr/>
        <w:fldChar w:fldCharType="begin"/>
      </w:r>
      <w:r>
        <w:instrText xml:space="preserve"> HYPERLINK \l "_Toc235398681" </w:instrText>
      </w:r>
      <w:r>
        <w:rPr/>
        <w:fldChar w:fldCharType="separate"/>
      </w:r>
      <w:r>
        <w:rPr>
          <w:rStyle w:val="style85"/>
          <w:noProof/>
        </w:rPr>
        <w:t>3. Market Segmentation, Targeting and Positioning (STP)</w:t>
      </w:r>
      <w:r>
        <w:rPr>
          <w:noProof/>
          <w:webHidden/>
        </w:rPr>
        <w:tab/>
      </w:r>
      <w:r>
        <w:rPr>
          <w:noProof/>
          <w:webHidden/>
        </w:rPr>
        <w:fldChar w:fldCharType="begin"/>
      </w:r>
      <w:r>
        <w:rPr>
          <w:noProof/>
          <w:webHidden/>
        </w:rPr>
        <w:instrText xml:space="preserve"> PAGEREF _Toc235398681 \h </w:instrText>
      </w:r>
      <w:r>
        <w:rPr>
          <w:noProof/>
          <w:webHidden/>
        </w:rPr>
        <w:fldChar w:fldCharType="separate"/>
      </w:r>
      <w:r>
        <w:rPr>
          <w:noProof/>
          <w:webHidden/>
        </w:rPr>
        <w:t>17</w:t>
      </w:r>
      <w:r>
        <w:rPr>
          <w:noProof/>
          <w:webHidden/>
        </w:rPr>
        <w:fldChar w:fldCharType="end"/>
      </w:r>
      <w:r>
        <w:rPr/>
        <w:fldChar w:fldCharType="end"/>
      </w:r>
    </w:p>
    <w:p w14:paraId="7AF5CFDE">
      <w:pPr>
        <w:pStyle w:val="style21"/>
        <w:tabs>
          <w:tab w:val="right" w:leader="dot" w:pos="9350"/>
        </w:tabs>
        <w:rPr>
          <w:noProof/>
        </w:rPr>
      </w:pPr>
      <w:r>
        <w:rPr/>
        <w:fldChar w:fldCharType="begin"/>
      </w:r>
      <w:r>
        <w:instrText xml:space="preserve"> HYPERLINK \l "_Toc235398682" </w:instrText>
      </w:r>
      <w:r>
        <w:rPr/>
        <w:fldChar w:fldCharType="separate"/>
      </w:r>
      <w:r>
        <w:rPr>
          <w:rStyle w:val="style85"/>
          <w:noProof/>
        </w:rPr>
        <w:t>3.1 STP Analysis</w:t>
      </w:r>
      <w:r>
        <w:rPr>
          <w:noProof/>
          <w:webHidden/>
        </w:rPr>
        <w:tab/>
      </w:r>
      <w:r>
        <w:rPr>
          <w:noProof/>
          <w:webHidden/>
        </w:rPr>
        <w:fldChar w:fldCharType="begin"/>
      </w:r>
      <w:r>
        <w:rPr>
          <w:noProof/>
          <w:webHidden/>
        </w:rPr>
        <w:instrText xml:space="preserve"> PAGEREF _Toc235398682 \h </w:instrText>
      </w:r>
      <w:r>
        <w:rPr>
          <w:noProof/>
          <w:webHidden/>
        </w:rPr>
        <w:fldChar w:fldCharType="separate"/>
      </w:r>
      <w:r>
        <w:rPr>
          <w:noProof/>
          <w:webHidden/>
        </w:rPr>
        <w:t>17</w:t>
      </w:r>
      <w:r>
        <w:rPr>
          <w:noProof/>
          <w:webHidden/>
        </w:rPr>
        <w:fldChar w:fldCharType="end"/>
      </w:r>
      <w:r>
        <w:rPr/>
        <w:fldChar w:fldCharType="end"/>
      </w:r>
    </w:p>
    <w:p w14:paraId="4334620C">
      <w:pPr>
        <w:pStyle w:val="style21"/>
        <w:tabs>
          <w:tab w:val="right" w:leader="dot" w:pos="9350"/>
        </w:tabs>
        <w:rPr>
          <w:noProof/>
        </w:rPr>
      </w:pPr>
      <w:r>
        <w:rPr/>
        <w:fldChar w:fldCharType="begin"/>
      </w:r>
      <w:r>
        <w:instrText xml:space="preserve"> HYPERLINK \l "_Toc235398683" </w:instrText>
      </w:r>
      <w:r>
        <w:rPr/>
        <w:fldChar w:fldCharType="separate"/>
      </w:r>
      <w:r>
        <w:rPr>
          <w:rStyle w:val="style85"/>
          <w:noProof/>
        </w:rPr>
        <w:t>3.2 Similarity and Difference between two countries</w:t>
      </w:r>
      <w:r>
        <w:rPr>
          <w:noProof/>
          <w:webHidden/>
        </w:rPr>
        <w:tab/>
      </w:r>
      <w:r>
        <w:rPr>
          <w:noProof/>
          <w:webHidden/>
        </w:rPr>
        <w:fldChar w:fldCharType="begin"/>
      </w:r>
      <w:r>
        <w:rPr>
          <w:noProof/>
          <w:webHidden/>
        </w:rPr>
        <w:instrText xml:space="preserve"> PAGEREF _Toc235398683 \h </w:instrText>
      </w:r>
      <w:r>
        <w:rPr>
          <w:noProof/>
          <w:webHidden/>
        </w:rPr>
        <w:fldChar w:fldCharType="separate"/>
      </w:r>
      <w:r>
        <w:rPr>
          <w:noProof/>
          <w:webHidden/>
        </w:rPr>
        <w:t>18</w:t>
      </w:r>
      <w:r>
        <w:rPr>
          <w:noProof/>
          <w:webHidden/>
        </w:rPr>
        <w:fldChar w:fldCharType="end"/>
      </w:r>
      <w:r>
        <w:rPr/>
        <w:fldChar w:fldCharType="end"/>
      </w:r>
    </w:p>
    <w:p w14:paraId="4BA23D80">
      <w:pPr>
        <w:pStyle w:val="style20"/>
        <w:tabs>
          <w:tab w:val="right" w:leader="dot" w:pos="9350"/>
        </w:tabs>
        <w:rPr>
          <w:noProof/>
        </w:rPr>
      </w:pPr>
      <w:r>
        <w:rPr/>
        <w:fldChar w:fldCharType="begin"/>
      </w:r>
      <w:r>
        <w:instrText xml:space="preserve"> HYPERLINK \l "_Toc235398684" </w:instrText>
      </w:r>
      <w:r>
        <w:rPr/>
        <w:fldChar w:fldCharType="separate"/>
      </w:r>
      <w:r>
        <w:rPr>
          <w:rStyle w:val="style85"/>
          <w:noProof/>
        </w:rPr>
        <w:t>4. Marketing Mix (7Ps)</w:t>
      </w:r>
      <w:r>
        <w:rPr>
          <w:noProof/>
          <w:webHidden/>
        </w:rPr>
        <w:tab/>
      </w:r>
      <w:r>
        <w:rPr>
          <w:noProof/>
          <w:webHidden/>
        </w:rPr>
        <w:fldChar w:fldCharType="begin"/>
      </w:r>
      <w:r>
        <w:rPr>
          <w:noProof/>
          <w:webHidden/>
        </w:rPr>
        <w:instrText xml:space="preserve"> PAGEREF _Toc235398684 \h </w:instrText>
      </w:r>
      <w:r>
        <w:rPr>
          <w:noProof/>
          <w:webHidden/>
        </w:rPr>
        <w:fldChar w:fldCharType="separate"/>
      </w:r>
      <w:r>
        <w:rPr>
          <w:noProof/>
          <w:webHidden/>
        </w:rPr>
        <w:t>20</w:t>
      </w:r>
      <w:r>
        <w:rPr>
          <w:noProof/>
          <w:webHidden/>
        </w:rPr>
        <w:fldChar w:fldCharType="end"/>
      </w:r>
      <w:r>
        <w:rPr/>
        <w:fldChar w:fldCharType="end"/>
      </w:r>
    </w:p>
    <w:p w14:paraId="2A1E3ADB">
      <w:pPr>
        <w:pStyle w:val="style20"/>
        <w:tabs>
          <w:tab w:val="right" w:leader="dot" w:pos="9350"/>
        </w:tabs>
        <w:rPr>
          <w:noProof/>
        </w:rPr>
      </w:pPr>
      <w:r>
        <w:rPr/>
        <w:fldChar w:fldCharType="begin"/>
      </w:r>
      <w:r>
        <w:instrText xml:space="preserve"> HYPERLINK \l "_Toc235398685" </w:instrText>
      </w:r>
      <w:r>
        <w:rPr/>
        <w:fldChar w:fldCharType="separate"/>
      </w:r>
      <w:r>
        <w:rPr>
          <w:rStyle w:val="style85"/>
          <w:noProof/>
        </w:rPr>
        <w:t>5. Analysis of Entry Methods</w:t>
      </w:r>
      <w:r>
        <w:rPr>
          <w:noProof/>
          <w:webHidden/>
        </w:rPr>
        <w:tab/>
      </w:r>
      <w:r>
        <w:rPr>
          <w:noProof/>
          <w:webHidden/>
        </w:rPr>
        <w:fldChar w:fldCharType="begin"/>
      </w:r>
      <w:r>
        <w:rPr>
          <w:noProof/>
          <w:webHidden/>
        </w:rPr>
        <w:instrText xml:space="preserve"> PAGEREF _Toc235398685 \h </w:instrText>
      </w:r>
      <w:r>
        <w:rPr>
          <w:noProof/>
          <w:webHidden/>
        </w:rPr>
        <w:fldChar w:fldCharType="separate"/>
      </w:r>
      <w:r>
        <w:rPr>
          <w:noProof/>
          <w:webHidden/>
        </w:rPr>
        <w:t>23</w:t>
      </w:r>
      <w:r>
        <w:rPr>
          <w:noProof/>
          <w:webHidden/>
        </w:rPr>
        <w:fldChar w:fldCharType="end"/>
      </w:r>
      <w:r>
        <w:rPr/>
        <w:fldChar w:fldCharType="end"/>
      </w:r>
    </w:p>
    <w:p w14:paraId="64C4B7DA">
      <w:pPr>
        <w:pStyle w:val="style21"/>
        <w:tabs>
          <w:tab w:val="right" w:leader="dot" w:pos="9350"/>
        </w:tabs>
        <w:rPr>
          <w:noProof/>
        </w:rPr>
      </w:pPr>
      <w:r>
        <w:rPr/>
        <w:fldChar w:fldCharType="begin"/>
      </w:r>
      <w:r>
        <w:instrText xml:space="preserve"> HYPERLINK \l "_Toc235398686" </w:instrText>
      </w:r>
      <w:r>
        <w:rPr/>
        <w:fldChar w:fldCharType="separate"/>
      </w:r>
      <w:r>
        <w:rPr>
          <w:rStyle w:val="style85"/>
          <w:noProof/>
        </w:rPr>
        <w:t>5.1 Franchising as the Primary Entry Mode</w:t>
      </w:r>
      <w:r>
        <w:rPr>
          <w:noProof/>
          <w:webHidden/>
        </w:rPr>
        <w:tab/>
      </w:r>
      <w:r>
        <w:rPr>
          <w:noProof/>
          <w:webHidden/>
        </w:rPr>
        <w:fldChar w:fldCharType="begin"/>
      </w:r>
      <w:r>
        <w:rPr>
          <w:noProof/>
          <w:webHidden/>
        </w:rPr>
        <w:instrText xml:space="preserve"> PAGEREF _Toc235398686 \h </w:instrText>
      </w:r>
      <w:r>
        <w:rPr>
          <w:noProof/>
          <w:webHidden/>
        </w:rPr>
        <w:fldChar w:fldCharType="separate"/>
      </w:r>
      <w:r>
        <w:rPr>
          <w:noProof/>
          <w:webHidden/>
        </w:rPr>
        <w:t>23</w:t>
      </w:r>
      <w:r>
        <w:rPr>
          <w:noProof/>
          <w:webHidden/>
        </w:rPr>
        <w:fldChar w:fldCharType="end"/>
      </w:r>
      <w:r>
        <w:rPr/>
        <w:fldChar w:fldCharType="end"/>
      </w:r>
    </w:p>
    <w:p w14:paraId="69CE0D4B">
      <w:pPr>
        <w:pStyle w:val="style21"/>
        <w:tabs>
          <w:tab w:val="right" w:leader="dot" w:pos="9350"/>
        </w:tabs>
        <w:rPr>
          <w:noProof/>
        </w:rPr>
      </w:pPr>
      <w:r>
        <w:rPr/>
        <w:fldChar w:fldCharType="begin"/>
      </w:r>
      <w:r>
        <w:instrText xml:space="preserve"> HYPERLINK \l "_Toc235398687" </w:instrText>
      </w:r>
      <w:r>
        <w:rPr/>
        <w:fldChar w:fldCharType="separate"/>
      </w:r>
      <w:r>
        <w:rPr>
          <w:rStyle w:val="style85"/>
          <w:noProof/>
        </w:rPr>
        <w:t>5.2 Advantages of Franchising</w:t>
      </w:r>
      <w:r>
        <w:rPr>
          <w:noProof/>
          <w:webHidden/>
        </w:rPr>
        <w:tab/>
      </w:r>
      <w:r>
        <w:rPr>
          <w:noProof/>
          <w:webHidden/>
        </w:rPr>
        <w:fldChar w:fldCharType="begin"/>
      </w:r>
      <w:r>
        <w:rPr>
          <w:noProof/>
          <w:webHidden/>
        </w:rPr>
        <w:instrText xml:space="preserve"> PAGEREF _Toc235398687 \h </w:instrText>
      </w:r>
      <w:r>
        <w:rPr>
          <w:noProof/>
          <w:webHidden/>
        </w:rPr>
        <w:fldChar w:fldCharType="separate"/>
      </w:r>
      <w:r>
        <w:rPr>
          <w:noProof/>
          <w:webHidden/>
        </w:rPr>
        <w:t>24</w:t>
      </w:r>
      <w:r>
        <w:rPr>
          <w:noProof/>
          <w:webHidden/>
        </w:rPr>
        <w:fldChar w:fldCharType="end"/>
      </w:r>
      <w:r>
        <w:rPr/>
        <w:fldChar w:fldCharType="end"/>
      </w:r>
    </w:p>
    <w:p w14:paraId="20E0F40E">
      <w:pPr>
        <w:pStyle w:val="style21"/>
        <w:tabs>
          <w:tab w:val="right" w:leader="dot" w:pos="9350"/>
        </w:tabs>
        <w:rPr>
          <w:noProof/>
        </w:rPr>
      </w:pPr>
      <w:r>
        <w:rPr/>
        <w:fldChar w:fldCharType="begin"/>
      </w:r>
      <w:r>
        <w:instrText xml:space="preserve"> HYPERLINK \l "_Toc235398688" </w:instrText>
      </w:r>
      <w:r>
        <w:rPr/>
        <w:fldChar w:fldCharType="separate"/>
      </w:r>
      <w:r>
        <w:rPr>
          <w:rStyle w:val="style85"/>
          <w:noProof/>
        </w:rPr>
        <w:t>5.3 Disadvantages of Franchising</w:t>
      </w:r>
      <w:r>
        <w:rPr>
          <w:noProof/>
          <w:webHidden/>
        </w:rPr>
        <w:tab/>
      </w:r>
      <w:r>
        <w:rPr>
          <w:noProof/>
          <w:webHidden/>
        </w:rPr>
        <w:fldChar w:fldCharType="begin"/>
      </w:r>
      <w:r>
        <w:rPr>
          <w:noProof/>
          <w:webHidden/>
        </w:rPr>
        <w:instrText xml:space="preserve"> PAGEREF _Toc235398688 \h </w:instrText>
      </w:r>
      <w:r>
        <w:rPr>
          <w:noProof/>
          <w:webHidden/>
        </w:rPr>
        <w:fldChar w:fldCharType="separate"/>
      </w:r>
      <w:r>
        <w:rPr>
          <w:noProof/>
          <w:webHidden/>
        </w:rPr>
        <w:t>24</w:t>
      </w:r>
      <w:r>
        <w:rPr>
          <w:noProof/>
          <w:webHidden/>
        </w:rPr>
        <w:fldChar w:fldCharType="end"/>
      </w:r>
      <w:r>
        <w:rPr/>
        <w:fldChar w:fldCharType="end"/>
      </w:r>
    </w:p>
    <w:p w14:paraId="70FF6F96">
      <w:pPr>
        <w:pStyle w:val="style20"/>
        <w:tabs>
          <w:tab w:val="right" w:leader="dot" w:pos="9350"/>
        </w:tabs>
        <w:rPr>
          <w:noProof/>
        </w:rPr>
      </w:pPr>
      <w:r>
        <w:rPr/>
        <w:fldChar w:fldCharType="begin"/>
      </w:r>
      <w:r>
        <w:instrText xml:space="preserve"> HYPERLINK \l "_Toc235398689" </w:instrText>
      </w:r>
      <w:r>
        <w:rPr/>
        <w:fldChar w:fldCharType="separate"/>
      </w:r>
      <w:r>
        <w:rPr>
          <w:rStyle w:val="style85"/>
          <w:noProof/>
        </w:rPr>
        <w:t>6. Ethical Evaluation of Pizza Hut's Marketing Mix in India</w:t>
      </w:r>
      <w:r>
        <w:rPr>
          <w:noProof/>
          <w:webHidden/>
        </w:rPr>
        <w:tab/>
      </w:r>
      <w:r>
        <w:rPr>
          <w:noProof/>
          <w:webHidden/>
        </w:rPr>
        <w:fldChar w:fldCharType="begin"/>
      </w:r>
      <w:r>
        <w:rPr>
          <w:noProof/>
          <w:webHidden/>
        </w:rPr>
        <w:instrText xml:space="preserve"> PAGEREF _Toc235398689 \h </w:instrText>
      </w:r>
      <w:r>
        <w:rPr>
          <w:noProof/>
          <w:webHidden/>
        </w:rPr>
        <w:fldChar w:fldCharType="separate"/>
      </w:r>
      <w:r>
        <w:rPr>
          <w:noProof/>
          <w:webHidden/>
        </w:rPr>
        <w:t>25</w:t>
      </w:r>
      <w:r>
        <w:rPr>
          <w:noProof/>
          <w:webHidden/>
        </w:rPr>
        <w:fldChar w:fldCharType="end"/>
      </w:r>
      <w:r>
        <w:rPr/>
        <w:fldChar w:fldCharType="end"/>
      </w:r>
    </w:p>
    <w:p w14:paraId="1268B7AB">
      <w:pPr>
        <w:pStyle w:val="style21"/>
        <w:tabs>
          <w:tab w:val="right" w:leader="dot" w:pos="9350"/>
        </w:tabs>
        <w:rPr>
          <w:noProof/>
        </w:rPr>
      </w:pPr>
      <w:r>
        <w:rPr/>
        <w:fldChar w:fldCharType="begin"/>
      </w:r>
      <w:r>
        <w:instrText xml:space="preserve"> HYPERLINK \l "_Toc235398690" </w:instrText>
      </w:r>
      <w:r>
        <w:rPr/>
        <w:fldChar w:fldCharType="separate"/>
      </w:r>
      <w:r>
        <w:rPr>
          <w:rStyle w:val="style85"/>
          <w:noProof/>
        </w:rPr>
        <w:t>6.1 Ethical Marketing Practices</w:t>
      </w:r>
      <w:r>
        <w:rPr>
          <w:noProof/>
          <w:webHidden/>
        </w:rPr>
        <w:tab/>
      </w:r>
      <w:r>
        <w:rPr>
          <w:noProof/>
          <w:webHidden/>
        </w:rPr>
        <w:fldChar w:fldCharType="begin"/>
      </w:r>
      <w:r>
        <w:rPr>
          <w:noProof/>
          <w:webHidden/>
        </w:rPr>
        <w:instrText xml:space="preserve"> PAGEREF _Toc235398690 \h </w:instrText>
      </w:r>
      <w:r>
        <w:rPr>
          <w:noProof/>
          <w:webHidden/>
        </w:rPr>
        <w:fldChar w:fldCharType="separate"/>
      </w:r>
      <w:r>
        <w:rPr>
          <w:noProof/>
          <w:webHidden/>
        </w:rPr>
        <w:t>25</w:t>
      </w:r>
      <w:r>
        <w:rPr>
          <w:noProof/>
          <w:webHidden/>
        </w:rPr>
        <w:fldChar w:fldCharType="end"/>
      </w:r>
      <w:r>
        <w:rPr/>
        <w:fldChar w:fldCharType="end"/>
      </w:r>
    </w:p>
    <w:p w14:paraId="565ADD6E">
      <w:pPr>
        <w:pStyle w:val="style21"/>
        <w:tabs>
          <w:tab w:val="right" w:leader="dot" w:pos="9350"/>
        </w:tabs>
        <w:rPr>
          <w:noProof/>
        </w:rPr>
      </w:pPr>
      <w:r>
        <w:rPr/>
        <w:fldChar w:fldCharType="begin"/>
      </w:r>
      <w:r>
        <w:instrText xml:space="preserve"> HYPERLINK \l "_Toc235398691" </w:instrText>
      </w:r>
      <w:r>
        <w:rPr/>
        <w:fldChar w:fldCharType="separate"/>
      </w:r>
      <w:r>
        <w:rPr>
          <w:rStyle w:val="style85"/>
          <w:noProof/>
        </w:rPr>
        <w:t>6.2 Unethical Marketing Practices</w:t>
      </w:r>
      <w:r>
        <w:rPr>
          <w:noProof/>
          <w:webHidden/>
        </w:rPr>
        <w:tab/>
      </w:r>
      <w:r>
        <w:rPr>
          <w:noProof/>
          <w:webHidden/>
        </w:rPr>
        <w:fldChar w:fldCharType="begin"/>
      </w:r>
      <w:r>
        <w:rPr>
          <w:noProof/>
          <w:webHidden/>
        </w:rPr>
        <w:instrText xml:space="preserve"> PAGEREF _Toc235398691 \h </w:instrText>
      </w:r>
      <w:r>
        <w:rPr>
          <w:noProof/>
          <w:webHidden/>
        </w:rPr>
        <w:fldChar w:fldCharType="separate"/>
      </w:r>
      <w:r>
        <w:rPr>
          <w:noProof/>
          <w:webHidden/>
        </w:rPr>
        <w:t>26</w:t>
      </w:r>
      <w:r>
        <w:rPr>
          <w:noProof/>
          <w:webHidden/>
        </w:rPr>
        <w:fldChar w:fldCharType="end"/>
      </w:r>
      <w:r>
        <w:rPr/>
        <w:fldChar w:fldCharType="end"/>
      </w:r>
    </w:p>
    <w:p w14:paraId="76EDBBA5">
      <w:pPr>
        <w:pStyle w:val="style20"/>
        <w:tabs>
          <w:tab w:val="right" w:leader="dot" w:pos="9350"/>
        </w:tabs>
        <w:rPr>
          <w:noProof/>
        </w:rPr>
      </w:pPr>
      <w:r>
        <w:rPr/>
        <w:fldChar w:fldCharType="begin"/>
      </w:r>
      <w:r>
        <w:instrText xml:space="preserve"> HYPERLINK \l "_Toc235398692" </w:instrText>
      </w:r>
      <w:r>
        <w:rPr/>
        <w:fldChar w:fldCharType="separate"/>
      </w:r>
      <w:r>
        <w:rPr>
          <w:rStyle w:val="style85"/>
          <w:noProof/>
        </w:rPr>
        <w:t>Conclusion and Recommendations 420 words</w:t>
      </w:r>
      <w:r>
        <w:rPr>
          <w:noProof/>
          <w:webHidden/>
        </w:rPr>
        <w:tab/>
      </w:r>
      <w:r>
        <w:rPr>
          <w:noProof/>
          <w:webHidden/>
        </w:rPr>
        <w:fldChar w:fldCharType="begin"/>
      </w:r>
      <w:r>
        <w:rPr>
          <w:noProof/>
          <w:webHidden/>
        </w:rPr>
        <w:instrText xml:space="preserve"> PAGEREF _Toc235398692 \h </w:instrText>
      </w:r>
      <w:r>
        <w:rPr>
          <w:noProof/>
          <w:webHidden/>
        </w:rPr>
        <w:fldChar w:fldCharType="separate"/>
      </w:r>
      <w:r>
        <w:rPr>
          <w:noProof/>
          <w:webHidden/>
        </w:rPr>
        <w:t>27</w:t>
      </w:r>
      <w:r>
        <w:rPr>
          <w:noProof/>
          <w:webHidden/>
        </w:rPr>
        <w:fldChar w:fldCharType="end"/>
      </w:r>
      <w:r>
        <w:rPr/>
        <w:fldChar w:fldCharType="end"/>
      </w:r>
    </w:p>
    <w:p w14:paraId="19449E5B">
      <w:pPr>
        <w:pStyle w:val="style21"/>
        <w:tabs>
          <w:tab w:val="right" w:leader="dot" w:pos="9350"/>
        </w:tabs>
        <w:rPr>
          <w:noProof/>
        </w:rPr>
      </w:pPr>
      <w:r>
        <w:rPr/>
        <w:fldChar w:fldCharType="begin"/>
      </w:r>
      <w:r>
        <w:instrText xml:space="preserve"> HYPERLINK \l "_Toc235398693" </w:instrText>
      </w:r>
      <w:r>
        <w:rPr/>
        <w:fldChar w:fldCharType="separate"/>
      </w:r>
      <w:r>
        <w:rPr>
          <w:rStyle w:val="style85"/>
          <w:noProof/>
        </w:rPr>
        <w:t>Summary of Key Findings</w:t>
      </w:r>
      <w:r>
        <w:rPr>
          <w:noProof/>
          <w:webHidden/>
        </w:rPr>
        <w:tab/>
      </w:r>
      <w:r>
        <w:rPr>
          <w:noProof/>
          <w:webHidden/>
        </w:rPr>
        <w:fldChar w:fldCharType="begin"/>
      </w:r>
      <w:r>
        <w:rPr>
          <w:noProof/>
          <w:webHidden/>
        </w:rPr>
        <w:instrText xml:space="preserve"> PAGEREF _Toc235398693 \h </w:instrText>
      </w:r>
      <w:r>
        <w:rPr>
          <w:noProof/>
          <w:webHidden/>
        </w:rPr>
        <w:fldChar w:fldCharType="separate"/>
      </w:r>
      <w:r>
        <w:rPr>
          <w:noProof/>
          <w:webHidden/>
        </w:rPr>
        <w:t>27</w:t>
      </w:r>
      <w:r>
        <w:rPr>
          <w:noProof/>
          <w:webHidden/>
        </w:rPr>
        <w:fldChar w:fldCharType="end"/>
      </w:r>
      <w:r>
        <w:rPr/>
        <w:fldChar w:fldCharType="end"/>
      </w:r>
    </w:p>
    <w:p w14:paraId="787BD4CF">
      <w:pPr>
        <w:pStyle w:val="style21"/>
        <w:tabs>
          <w:tab w:val="right" w:leader="dot" w:pos="9350"/>
        </w:tabs>
        <w:rPr>
          <w:noProof/>
        </w:rPr>
      </w:pPr>
      <w:r>
        <w:rPr/>
        <w:fldChar w:fldCharType="begin"/>
      </w:r>
      <w:r>
        <w:instrText xml:space="preserve"> HYPERLINK \l "_Toc235398694" </w:instrText>
      </w:r>
      <w:r>
        <w:rPr/>
        <w:fldChar w:fldCharType="separate"/>
      </w:r>
      <w:r>
        <w:rPr>
          <w:rStyle w:val="style85"/>
          <w:noProof/>
        </w:rPr>
        <w:t>Recommendations for Pizza Hut in USA and India</w:t>
      </w:r>
      <w:r>
        <w:rPr>
          <w:noProof/>
          <w:webHidden/>
        </w:rPr>
        <w:tab/>
      </w:r>
      <w:r>
        <w:rPr>
          <w:noProof/>
          <w:webHidden/>
        </w:rPr>
        <w:fldChar w:fldCharType="begin"/>
      </w:r>
      <w:r>
        <w:rPr>
          <w:noProof/>
          <w:webHidden/>
        </w:rPr>
        <w:instrText xml:space="preserve"> PAGEREF _Toc235398694 \h </w:instrText>
      </w:r>
      <w:r>
        <w:rPr>
          <w:noProof/>
          <w:webHidden/>
        </w:rPr>
        <w:fldChar w:fldCharType="separate"/>
      </w:r>
      <w:r>
        <w:rPr>
          <w:noProof/>
          <w:webHidden/>
        </w:rPr>
        <w:t>27</w:t>
      </w:r>
      <w:r>
        <w:rPr>
          <w:noProof/>
          <w:webHidden/>
        </w:rPr>
        <w:fldChar w:fldCharType="end"/>
      </w:r>
      <w:r>
        <w:rPr/>
        <w:fldChar w:fldCharType="end"/>
      </w:r>
    </w:p>
    <w:p w14:paraId="419FFB8A">
      <w:pPr>
        <w:pStyle w:val="style19"/>
        <w:tabs>
          <w:tab w:val="right" w:leader="dot" w:pos="9350"/>
        </w:tabs>
        <w:rPr>
          <w:noProof/>
        </w:rPr>
      </w:pPr>
      <w:r>
        <w:rPr/>
        <w:fldChar w:fldCharType="begin"/>
      </w:r>
      <w:r>
        <w:instrText xml:space="preserve"> HYPERLINK \l "_Toc235398695" </w:instrText>
      </w:r>
      <w:r>
        <w:rPr/>
        <w:fldChar w:fldCharType="separate"/>
      </w:r>
      <w:r>
        <w:rPr>
          <w:rStyle w:val="style85"/>
          <w:noProof/>
        </w:rPr>
        <w:t>Section 2: Reflective Account Using Gibbs' Reflective Cycle</w:t>
      </w:r>
      <w:r>
        <w:rPr>
          <w:noProof/>
          <w:webHidden/>
        </w:rPr>
        <w:tab/>
      </w:r>
      <w:r>
        <w:rPr>
          <w:noProof/>
          <w:webHidden/>
        </w:rPr>
        <w:fldChar w:fldCharType="begin"/>
      </w:r>
      <w:r>
        <w:rPr>
          <w:noProof/>
          <w:webHidden/>
        </w:rPr>
        <w:instrText xml:space="preserve"> PAGEREF _Toc235398695 \h </w:instrText>
      </w:r>
      <w:r>
        <w:rPr>
          <w:noProof/>
          <w:webHidden/>
        </w:rPr>
        <w:fldChar w:fldCharType="separate"/>
      </w:r>
      <w:r>
        <w:rPr>
          <w:noProof/>
          <w:webHidden/>
        </w:rPr>
        <w:t>28</w:t>
      </w:r>
      <w:r>
        <w:rPr>
          <w:noProof/>
          <w:webHidden/>
        </w:rPr>
        <w:fldChar w:fldCharType="end"/>
      </w:r>
      <w:r>
        <w:rPr/>
        <w:fldChar w:fldCharType="end"/>
      </w:r>
    </w:p>
    <w:p w14:paraId="3181BE2B">
      <w:pPr>
        <w:pStyle w:val="style20"/>
        <w:tabs>
          <w:tab w:val="right" w:leader="dot" w:pos="9350"/>
        </w:tabs>
        <w:rPr>
          <w:noProof/>
        </w:rPr>
      </w:pPr>
      <w:r>
        <w:rPr/>
        <w:fldChar w:fldCharType="begin"/>
      </w:r>
      <w:r>
        <w:instrText xml:space="preserve"> HYPERLINK \l "_Toc235398696" </w:instrText>
      </w:r>
      <w:r>
        <w:rPr/>
        <w:fldChar w:fldCharType="separate"/>
      </w:r>
      <w:r>
        <w:rPr>
          <w:rStyle w:val="style85"/>
          <w:noProof/>
        </w:rPr>
        <w:t>Introduction to the Model</w:t>
      </w:r>
      <w:r>
        <w:rPr>
          <w:noProof/>
          <w:webHidden/>
        </w:rPr>
        <w:tab/>
      </w:r>
      <w:r>
        <w:rPr>
          <w:noProof/>
          <w:webHidden/>
        </w:rPr>
        <w:fldChar w:fldCharType="begin"/>
      </w:r>
      <w:r>
        <w:rPr>
          <w:noProof/>
          <w:webHidden/>
        </w:rPr>
        <w:instrText xml:space="preserve"> PAGEREF _Toc235398696 \h </w:instrText>
      </w:r>
      <w:r>
        <w:rPr>
          <w:noProof/>
          <w:webHidden/>
        </w:rPr>
        <w:fldChar w:fldCharType="separate"/>
      </w:r>
      <w:r>
        <w:rPr>
          <w:noProof/>
          <w:webHidden/>
        </w:rPr>
        <w:t>28</w:t>
      </w:r>
      <w:r>
        <w:rPr>
          <w:noProof/>
          <w:webHidden/>
        </w:rPr>
        <w:fldChar w:fldCharType="end"/>
      </w:r>
      <w:r>
        <w:rPr/>
        <w:fldChar w:fldCharType="end"/>
      </w:r>
    </w:p>
    <w:p w14:paraId="596933B6">
      <w:pPr>
        <w:pStyle w:val="style20"/>
        <w:tabs>
          <w:tab w:val="right" w:leader="dot" w:pos="9350"/>
        </w:tabs>
        <w:rPr>
          <w:noProof/>
        </w:rPr>
      </w:pPr>
      <w:r>
        <w:rPr/>
        <w:fldChar w:fldCharType="begin"/>
      </w:r>
      <w:r>
        <w:instrText xml:space="preserve"> HYPERLINK \l "_Toc235398697" </w:instrText>
      </w:r>
      <w:r>
        <w:rPr/>
        <w:fldChar w:fldCharType="separate"/>
      </w:r>
      <w:r>
        <w:rPr>
          <w:rStyle w:val="style85"/>
          <w:noProof/>
        </w:rPr>
        <w:t>Application of Model</w:t>
      </w:r>
      <w:r>
        <w:rPr>
          <w:noProof/>
          <w:webHidden/>
        </w:rPr>
        <w:tab/>
      </w:r>
      <w:r>
        <w:rPr>
          <w:noProof/>
          <w:webHidden/>
        </w:rPr>
        <w:fldChar w:fldCharType="begin"/>
      </w:r>
      <w:r>
        <w:rPr>
          <w:noProof/>
          <w:webHidden/>
        </w:rPr>
        <w:instrText xml:space="preserve"> PAGEREF _Toc235398697 \h </w:instrText>
      </w:r>
      <w:r>
        <w:rPr>
          <w:noProof/>
          <w:webHidden/>
        </w:rPr>
        <w:fldChar w:fldCharType="separate"/>
      </w:r>
      <w:r>
        <w:rPr>
          <w:noProof/>
          <w:webHidden/>
        </w:rPr>
        <w:t>28</w:t>
      </w:r>
      <w:r>
        <w:rPr>
          <w:noProof/>
          <w:webHidden/>
        </w:rPr>
        <w:fldChar w:fldCharType="end"/>
      </w:r>
      <w:r>
        <w:rPr/>
        <w:fldChar w:fldCharType="end"/>
      </w:r>
    </w:p>
    <w:p w14:paraId="33F1C0E2">
      <w:pPr>
        <w:pStyle w:val="style19"/>
        <w:tabs>
          <w:tab w:val="right" w:leader="dot" w:pos="9350"/>
        </w:tabs>
        <w:rPr>
          <w:noProof/>
        </w:rPr>
      </w:pPr>
      <w:r>
        <w:rPr/>
        <w:fldChar w:fldCharType="begin"/>
      </w:r>
      <w:r>
        <w:instrText xml:space="preserve"> HYPERLINK \l "_Toc235398698" </w:instrText>
      </w:r>
      <w:r>
        <w:rPr/>
        <w:fldChar w:fldCharType="separate"/>
      </w:r>
      <w:r>
        <w:rPr>
          <w:rStyle w:val="style85"/>
          <w:noProof/>
        </w:rPr>
        <w:t>Reference List</w:t>
      </w:r>
      <w:r>
        <w:rPr>
          <w:noProof/>
          <w:webHidden/>
        </w:rPr>
        <w:tab/>
      </w:r>
      <w:r>
        <w:rPr>
          <w:noProof/>
          <w:webHidden/>
        </w:rPr>
        <w:fldChar w:fldCharType="begin"/>
      </w:r>
      <w:r>
        <w:rPr>
          <w:noProof/>
          <w:webHidden/>
        </w:rPr>
        <w:instrText xml:space="preserve"> PAGEREF _Toc235398698 \h </w:instrText>
      </w:r>
      <w:r>
        <w:rPr>
          <w:noProof/>
          <w:webHidden/>
        </w:rPr>
        <w:fldChar w:fldCharType="separate"/>
      </w:r>
      <w:r>
        <w:rPr>
          <w:noProof/>
          <w:webHidden/>
        </w:rPr>
        <w:t>31</w:t>
      </w:r>
      <w:r>
        <w:rPr>
          <w:noProof/>
          <w:webHidden/>
        </w:rPr>
        <w:fldChar w:fldCharType="end"/>
      </w:r>
      <w:r>
        <w:rPr/>
        <w:fldChar w:fldCharType="end"/>
      </w:r>
    </w:p>
    <w:p w14:paraId="4D5DD942">
      <w:pPr>
        <w:pStyle w:val="style0"/>
        <w:rPr/>
      </w:pPr>
      <w:r>
        <w:rPr>
          <w:b/>
          <w:bCs/>
          <w:noProof/>
        </w:rPr>
        <w:fldChar w:fldCharType="end"/>
      </w:r>
    </w:p>
    <w:p w14:paraId="6BF01BDF">
      <w:pPr>
        <w:pStyle w:val="style0"/>
        <w:rPr/>
      </w:pPr>
      <w:r>
        <w:br w:type="page"/>
      </w:r>
    </w:p>
    <w:bookmarkStart w:id="0" w:name="_heading=h.zfl0btmxdadh" w:colFirst="0" w:colLast="0"/>
    <w:bookmarkStart w:id="1" w:name="_Toc235398667"/>
    <w:bookmarkEnd w:id="0"/>
    <w:p w14:paraId="6ABA93F6">
      <w:pPr>
        <w:pStyle w:val="style1"/>
        <w:rPr/>
      </w:pPr>
      <w:r>
        <w:t>Section 1: Report</w:t>
      </w:r>
      <w:bookmarkEnd w:id="1"/>
    </w:p>
    <w:bookmarkStart w:id="2" w:name="_heading=h.pns0qr7u8wkk" w:colFirst="0" w:colLast="0"/>
    <w:bookmarkStart w:id="3" w:name="_Toc235398668"/>
    <w:bookmarkEnd w:id="2"/>
    <w:p w14:paraId="12CB312B">
      <w:pPr>
        <w:pStyle w:val="style2"/>
        <w:keepNext w:val="false"/>
        <w:keepLines w:val="false"/>
        <w:spacing w:before="360" w:after="80"/>
        <w:rPr/>
      </w:pPr>
      <w:r>
        <w:t>Introduction</w:t>
      </w:r>
      <w:bookmarkEnd w:id="3"/>
      <w:r>
        <w:t xml:space="preserve"> </w:t>
      </w:r>
    </w:p>
    <w:bookmarkStart w:id="4" w:name="_heading=h.84b7099kqk4t" w:colFirst="0" w:colLast="0"/>
    <w:bookmarkStart w:id="5" w:name="_Toc235398669"/>
    <w:bookmarkEnd w:id="4"/>
    <w:p w14:paraId="1829E836">
      <w:pPr>
        <w:pStyle w:val="style3"/>
        <w:keepNext w:val="false"/>
        <w:keepLines w:val="false"/>
        <w:spacing w:before="280" w:after="80"/>
        <w:rPr/>
      </w:pPr>
      <w:r>
        <w:t>Overview of the Assignment</w:t>
      </w:r>
      <w:bookmarkEnd w:id="5"/>
    </w:p>
    <w:p w14:paraId="1ABE0BD4">
      <w:pPr>
        <w:pStyle w:val="style0"/>
        <w:rPr/>
      </w:pPr>
      <w:r>
        <w:t xml:space="preserve">The Pizza Hut is a well </w:t>
      </w:r>
      <w:r>
        <w:t>recognised</w:t>
      </w:r>
      <w:r>
        <w:t xml:space="preserve"> quick-service restaurant (QSR), brand which serves millions of customers in more than 100 countries with </w:t>
      </w:r>
      <w:r>
        <w:t>its</w:t>
      </w:r>
      <w:r>
        <w:t xml:space="preserve"> dine-in, takeaway, and delivery service. With international market consumer tastes constantly shifting, international restaurant brands need to modify their marketing to fit the local market, economy, culture, and competitive factors. In this report, the international marketing strategy of Pizza Hut has been </w:t>
      </w:r>
      <w:r>
        <w:t>analysed</w:t>
      </w:r>
      <w:r>
        <w:t xml:space="preserve"> by comparing its business activities in the United States, the home country, and India, one of the most important growth markets (Manhas, Sharma and Quintela, 2024).</w:t>
      </w:r>
    </w:p>
    <w:bookmarkStart w:id="6" w:name="_heading=h.n48qqjuw4b4a" w:colFirst="0" w:colLast="0"/>
    <w:bookmarkStart w:id="7" w:name="_Toc235398670"/>
    <w:bookmarkEnd w:id="6"/>
    <w:p w14:paraId="07D87DF0">
      <w:pPr>
        <w:pStyle w:val="style3"/>
        <w:keepNext w:val="false"/>
        <w:keepLines w:val="false"/>
        <w:spacing w:before="280" w:after="80"/>
        <w:rPr/>
      </w:pPr>
      <w:r>
        <w:t>Justification for Selecting Pizza Hut</w:t>
      </w:r>
      <w:bookmarkEnd w:id="7"/>
    </w:p>
    <w:p w14:paraId="17642353">
      <w:pPr>
        <w:pStyle w:val="style0"/>
        <w:rPr/>
      </w:pPr>
      <w:r>
        <w:t xml:space="preserve">The choice of Pizza Hut was </w:t>
      </w:r>
      <w:r>
        <w:t>based on the fact that</w:t>
      </w:r>
      <w:r>
        <w:t xml:space="preserve"> it serves in more than 100 </w:t>
      </w:r>
      <w:r>
        <w:t>countries</w:t>
      </w:r>
      <w:r>
        <w:t xml:space="preserve"> thus one of the most geographically diversified quick service restaurant brands globally. Its effective </w:t>
      </w:r>
      <w:r>
        <w:t>localisation</w:t>
      </w:r>
      <w:r>
        <w:t xml:space="preserve">, such as the Momo Mia Pizza in India, seafood-inspired pizzas in Japan and vegan menu in the UK, shows that it adapts successfully in terms of the product, pricing and promotional strategies, preserving its globally </w:t>
      </w:r>
      <w:r>
        <w:t>recognised</w:t>
      </w:r>
      <w:r>
        <w:t xml:space="preserve"> brand reputation.</w:t>
      </w:r>
    </w:p>
    <w:bookmarkStart w:id="8" w:name="_heading=h.q0ieyimaj6g7" w:colFirst="0" w:colLast="0"/>
    <w:bookmarkStart w:id="9" w:name="_Toc235398671"/>
    <w:bookmarkEnd w:id="8"/>
    <w:p w14:paraId="77ABF766">
      <w:pPr>
        <w:pStyle w:val="style3"/>
        <w:keepNext w:val="false"/>
        <w:keepLines w:val="false"/>
        <w:spacing w:before="280" w:after="80"/>
        <w:rPr/>
      </w:pPr>
      <w:r>
        <w:t>Rationale for Choosing USA and India</w:t>
      </w:r>
      <w:bookmarkEnd w:id="9"/>
    </w:p>
    <w:p w14:paraId="1B3EF280">
      <w:pPr>
        <w:pStyle w:val="style0"/>
        <w:rPr/>
      </w:pPr>
      <w:r>
        <w:t xml:space="preserve">Both the United States and India are chosen as they are two opposite market environments. The U.S. is an experienced and highly competitive fast-food market with a high consumer buying power, developed digital orderings, and evolving attitudes towards healthier food selections. Conversely, India is a developing </w:t>
      </w:r>
      <w:r>
        <w:t>fast moving</w:t>
      </w:r>
      <w:r>
        <w:t xml:space="preserve"> economy that has a big population, has begun and continues to </w:t>
      </w:r>
      <w:r>
        <w:t>urbanise</w:t>
      </w:r>
      <w:r>
        <w:t xml:space="preserve">, has a big middle-class population and has high demand for affordable dining out (World Bank, 2025). The cultural and food cultures as well as the consumer </w:t>
      </w:r>
      <w:r>
        <w:t>behaviour</w:t>
      </w:r>
      <w:r>
        <w:t xml:space="preserve"> of each country vary a lot and therefore Pizza Hut will need to alter its marketing tactics.</w:t>
      </w:r>
    </w:p>
    <w:bookmarkStart w:id="10" w:name="_heading=h.pkof4oq1kg3z" w:colFirst="0" w:colLast="0"/>
    <w:bookmarkStart w:id="11" w:name="_Toc235398672"/>
    <w:bookmarkEnd w:id="10"/>
    <w:p w14:paraId="0AD247A5">
      <w:pPr>
        <w:pStyle w:val="style0"/>
        <w:rPr>
          <w:b/>
          <w:bCs/>
        </w:rPr>
      </w:pPr>
      <w:r>
        <w:br w:type="page"/>
      </w:r>
    </w:p>
    <w:p w14:paraId="58E9E873">
      <w:pPr>
        <w:pStyle w:val="style2"/>
        <w:keepNext w:val="false"/>
        <w:keepLines w:val="false"/>
        <w:spacing w:before="360" w:after="80"/>
        <w:rPr/>
      </w:pPr>
      <w:r>
        <w:t>1. Background of the Company and Brand</w:t>
      </w:r>
      <w:bookmarkEnd w:id="11"/>
    </w:p>
    <w:bookmarkStart w:id="12" w:name="_heading=h.paopnun8y3gc" w:colFirst="0" w:colLast="0"/>
    <w:bookmarkStart w:id="13" w:name="_Toc235398673"/>
    <w:bookmarkEnd w:id="12"/>
    <w:p w14:paraId="2087565A">
      <w:pPr>
        <w:pStyle w:val="style3"/>
        <w:keepNext w:val="false"/>
        <w:keepLines w:val="false"/>
        <w:spacing w:before="280" w:after="80"/>
        <w:rPr/>
      </w:pPr>
      <w:r>
        <w:t>1.1 Company Overview</w:t>
      </w:r>
      <w:bookmarkEnd w:id="13"/>
    </w:p>
    <w:p w14:paraId="0308749E">
      <w:pPr>
        <w:pStyle w:val="style0"/>
        <w:jc w:val="center"/>
        <w:rPr/>
      </w:pPr>
      <w:r>
        <w:rPr>
          <w:noProof/>
        </w:rPr>
        <w:drawing>
          <wp:inline distL="0" distT="0" distB="0" distR="0">
            <wp:extent cx="3897629" cy="4872038"/>
            <wp:effectExtent l="0" t="0" r="0" b="0"/>
            <wp:docPr id="1026" name="image2.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2.png"/>
                    <pic:cNvPicPr/>
                  </pic:nvPicPr>
                  <pic:blipFill>
                    <a:blip r:embed="rId2" cstate="print"/>
                    <a:srcRect l="0" t="0" r="0" b="0"/>
                    <a:stretch/>
                  </pic:blipFill>
                  <pic:spPr>
                    <a:xfrm rot="0">
                      <a:off x="0" y="0"/>
                      <a:ext cx="3897629" cy="4872038"/>
                    </a:xfrm>
                    <a:prstGeom prst="rect"/>
                    <a:ln cmpd="sng" cap="flat" w="9525">
                      <a:solidFill>
                        <a:srgbClr val="000000"/>
                      </a:solidFill>
                      <a:prstDash val="solid"/>
                      <a:round/>
                      <a:headEnd/>
                      <a:tailEnd/>
                    </a:ln>
                  </pic:spPr>
                </pic:pic>
              </a:graphicData>
            </a:graphic>
          </wp:inline>
        </w:drawing>
      </w:r>
    </w:p>
    <w:p w14:paraId="766E9488">
      <w:pPr>
        <w:pStyle w:val="style0"/>
        <w:jc w:val="center"/>
        <w:rPr>
          <w:b/>
          <w:bCs/>
        </w:rPr>
      </w:pPr>
      <w:r>
        <w:rPr>
          <w:b/>
          <w:bCs/>
        </w:rPr>
        <w:t>Figure 1: Pizza Hut By Numbers</w:t>
      </w:r>
    </w:p>
    <w:p w14:paraId="0B451C06">
      <w:pPr>
        <w:pStyle w:val="style0"/>
        <w:jc w:val="center"/>
        <w:rPr/>
      </w:pPr>
      <w:r>
        <w:t>(Source: Sarda, 2026)</w:t>
      </w:r>
    </w:p>
    <w:p w14:paraId="7550CAE6">
      <w:pPr>
        <w:pStyle w:val="style0"/>
        <w:rPr/>
      </w:pPr>
      <w:r>
        <w:t xml:space="preserve">Dan and Frank Carney own and started Pizza Hut in 1958 in Wichita, Kansas. It has been part of Yum! The group has brands, originally based in Louisville, Kentucky, since the spin-off with PepsiCo in 1997. In June 2026, </w:t>
      </w:r>
      <w:r>
        <w:t>Yum</w:t>
      </w:r>
      <w:r>
        <w:t xml:space="preserve">! sold the enterprises Pizza Hut in the country to the sum of 2.7 billion total, with the non-mainland Chinese business to be sold to Yum China at a price of 1.2 billion and the services of the business to be sold to </w:t>
      </w:r>
      <w:r>
        <w:t>LongRange</w:t>
      </w:r>
      <w:r>
        <w:t xml:space="preserve"> Capital at the price of 1.5 billion; the deals would be finalized in the third quarter of 2026 (Company-Histories.com, 2026). Pizza </w:t>
      </w:r>
      <w:r>
        <w:t xml:space="preserve">Hut has over 15,500 restaurants in 108 countries and has </w:t>
      </w:r>
      <w:r>
        <w:t>annual system</w:t>
      </w:r>
      <w:r>
        <w:t xml:space="preserve"> wide sales of about $10 billion. The company had approximately 97% franchisee restaurants around the world as of December 2025, and therefore, Pizza Hut is a highly franchise-based global brand (Business Wire, 2026).</w:t>
      </w:r>
    </w:p>
    <w:bookmarkStart w:id="14" w:name="_heading=h.tzq4pdydgo4t" w:colFirst="0" w:colLast="0"/>
    <w:bookmarkStart w:id="15" w:name="_Toc235398674"/>
    <w:bookmarkEnd w:id="14"/>
    <w:p w14:paraId="3784C6A7">
      <w:pPr>
        <w:pStyle w:val="style3"/>
        <w:keepNext w:val="false"/>
        <w:keepLines w:val="false"/>
        <w:spacing w:before="280" w:after="80"/>
        <w:rPr/>
      </w:pPr>
      <w:r>
        <w:t>1.2 Brand Overview</w:t>
      </w:r>
      <w:bookmarkEnd w:id="15"/>
    </w:p>
    <w:p w14:paraId="7BC5BA20">
      <w:pPr>
        <w:pStyle w:val="style0"/>
        <w:rPr/>
      </w:pPr>
      <w:r>
        <w:t xml:space="preserve">In addition to its main menu, Pizza Hut has grown by being devoted to innovation. It became historical in 1994, the first online food order ever </w:t>
      </w:r>
      <w:r>
        <w:t>ordered</w:t>
      </w:r>
      <w:r>
        <w:t xml:space="preserve"> and nowadays online channels of transactions are more than 50 percent all over the world. The brand, in August 2025, launched its biggest global menu globally with more than 20 countries offering Crafted </w:t>
      </w:r>
      <w:r>
        <w:t>Flatzz</w:t>
      </w:r>
      <w:r>
        <w:t xml:space="preserve"> personal pizzas, wikis customized with region-specific ingredients. Hut reward is also a loyalty </w:t>
      </w:r>
      <w:r>
        <w:t>programme</w:t>
      </w:r>
      <w:r>
        <w:t xml:space="preserve"> of Pizza Hut. Having almost 20,000 restaurants in nine than 110 markets, the brand incorporates classic products with new, </w:t>
      </w:r>
      <w:r>
        <w:t>locally-adaptive</w:t>
      </w:r>
      <w:r>
        <w:t xml:space="preserve"> innovation to remain relevant around the world (Sarda, 2026).</w:t>
      </w:r>
    </w:p>
    <w:bookmarkStart w:id="16" w:name="_heading=h.5bc2bp2215hf" w:colFirst="0" w:colLast="0"/>
    <w:bookmarkStart w:id="17" w:name="_Toc235398675"/>
    <w:bookmarkEnd w:id="16"/>
    <w:p w14:paraId="6B824613">
      <w:pPr>
        <w:pStyle w:val="style3"/>
        <w:keepNext w:val="false"/>
        <w:keepLines w:val="false"/>
        <w:spacing w:before="280" w:after="80"/>
        <w:rPr/>
      </w:pPr>
      <w:r>
        <w:t>1.3 Global Presence and Market Performance</w:t>
      </w:r>
      <w:bookmarkEnd w:id="17"/>
    </w:p>
    <w:p w14:paraId="7FC728D4">
      <w:pPr>
        <w:pStyle w:val="style0"/>
        <w:spacing w:before="240" w:after="0"/>
        <w:rPr/>
      </w:pPr>
      <w:r>
        <w:rPr>
          <w:b/>
          <w:bCs/>
          <w:i/>
          <w:iCs/>
        </w:rPr>
        <w:t xml:space="preserve">USA market performance: </w:t>
      </w:r>
      <w:r>
        <w:t>The home market performance has decelerated, fiscal 2025 U.S. same-store sales fell by 5% and system sales fell by 8% with the chain ending the first quarter of 2026 with 6,121 U.S. restaurants (6,551 five years ago); and the chain is experiencing consecutive years of decline (Coley, 2026).</w:t>
      </w:r>
    </w:p>
    <w:p w14:paraId="16765CCE">
      <w:pPr>
        <w:pStyle w:val="style0"/>
        <w:spacing w:after="240"/>
        <w:rPr/>
      </w:pPr>
      <w:r>
        <w:rPr>
          <w:b/>
          <w:bCs/>
          <w:i/>
          <w:iCs/>
        </w:rPr>
        <w:t xml:space="preserve">India market performance: </w:t>
      </w:r>
      <w:r>
        <w:t xml:space="preserve">Pizza Hut is franchised in India with its host market being Devyani international which had 649 restaurants by the end of December 2025. Devyani paused net new openings in 2026 and started closing about-to-close loss-making stores to lead its turnaround with dine-in to focus on its planned merger with fellow franchisee Sapphire Foods (Jaswal, 2026). It </w:t>
      </w:r>
      <w:r>
        <w:t>had experienced</w:t>
      </w:r>
      <w:r>
        <w:t xml:space="preserve"> a 6.3% decline in revenue on an annual basis in the December 2025 quarter.</w:t>
      </w:r>
    </w:p>
    <w:bookmarkStart w:id="18" w:name="_heading=h.m0kk073wae0w" w:colFirst="0" w:colLast="0"/>
    <w:bookmarkStart w:id="19" w:name="_Toc235398676"/>
    <w:bookmarkEnd w:id="18"/>
    <w:p w14:paraId="38AB8674">
      <w:pPr>
        <w:pStyle w:val="style0"/>
        <w:rPr>
          <w:b/>
          <w:bCs/>
          <w:sz w:val="28"/>
          <w:szCs w:val="28"/>
        </w:rPr>
      </w:pPr>
      <w:r>
        <w:br w:type="page"/>
      </w:r>
    </w:p>
    <w:p w14:paraId="55D31431">
      <w:pPr>
        <w:pStyle w:val="style1"/>
        <w:rPr/>
      </w:pPr>
      <w:r>
        <w:t>2. Macro Environment Analysis</w:t>
      </w:r>
      <w:bookmarkEnd w:id="19"/>
    </w:p>
    <w:bookmarkStart w:id="20" w:name="_heading=h.uho1cghv1k0u" w:colFirst="0" w:colLast="0"/>
    <w:bookmarkStart w:id="21" w:name="_Toc235398677"/>
    <w:bookmarkEnd w:id="20"/>
    <w:p w14:paraId="1DBA6EF9">
      <w:pPr>
        <w:pStyle w:val="style3"/>
        <w:spacing w:before="240" w:after="240"/>
        <w:rPr/>
      </w:pPr>
      <w:r>
        <w:t>2.1 PESTLE Analysis</w:t>
      </w:r>
      <w:bookmarkEnd w:id="21"/>
    </w:p>
    <w:p w14:paraId="144011C3">
      <w:pPr>
        <w:pStyle w:val="style0"/>
        <w:rPr>
          <w:b/>
          <w:bCs/>
          <w:i/>
          <w:iCs/>
        </w:rPr>
      </w:pPr>
      <w:r>
        <w:rPr>
          <w:b/>
          <w:bCs/>
          <w:i/>
          <w:iCs/>
        </w:rPr>
        <w:t>Political</w:t>
      </w:r>
    </w:p>
    <w:p w14:paraId="78F62E5E">
      <w:pPr>
        <w:pStyle w:val="style0"/>
        <w:jc w:val="center"/>
        <w:rPr/>
      </w:pPr>
      <w:r>
        <w:rPr>
          <w:noProof/>
        </w:rPr>
        <w:drawing>
          <wp:inline distL="0" distT="0" distB="0" distR="0">
            <wp:extent cx="5943600" cy="3314700"/>
            <wp:effectExtent l="25400" t="25400" r="25400" b="25400"/>
            <wp:docPr id="1027" name="image4.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image4.png"/>
                    <pic:cNvPicPr/>
                  </pic:nvPicPr>
                  <pic:blipFill>
                    <a:blip r:embed="rId3" cstate="print"/>
                    <a:srcRect l="0" t="0" r="0" b="0"/>
                    <a:stretch/>
                  </pic:blipFill>
                  <pic:spPr>
                    <a:xfrm rot="0">
                      <a:off x="0" y="0"/>
                      <a:ext cx="5943600" cy="3314700"/>
                    </a:xfrm>
                    <a:prstGeom prst="rect"/>
                    <a:ln cmpd="sng" cap="flat" w="25400">
                      <a:solidFill>
                        <a:srgbClr val="000000"/>
                      </a:solidFill>
                      <a:prstDash val="solid"/>
                      <a:round/>
                      <a:headEnd/>
                      <a:tailEnd/>
                    </a:ln>
                  </pic:spPr>
                </pic:pic>
              </a:graphicData>
            </a:graphic>
          </wp:inline>
        </w:drawing>
      </w:r>
    </w:p>
    <w:p w14:paraId="175DC5C3">
      <w:pPr>
        <w:pStyle w:val="style0"/>
        <w:jc w:val="center"/>
        <w:rPr>
          <w:b/>
          <w:bCs/>
        </w:rPr>
      </w:pPr>
      <w:r>
        <w:rPr>
          <w:b/>
          <w:bCs/>
        </w:rPr>
        <w:t>Figure 2: Reduction in the GST Prices</w:t>
      </w:r>
    </w:p>
    <w:p w14:paraId="037875D4">
      <w:pPr>
        <w:pStyle w:val="style0"/>
        <w:jc w:val="center"/>
        <w:rPr/>
      </w:pPr>
      <w:r>
        <w:t xml:space="preserve">(Source: </w:t>
      </w:r>
      <w:r>
        <w:t>SmartGST</w:t>
      </w:r>
      <w:r>
        <w:t>, 2026)</w:t>
      </w:r>
    </w:p>
    <w:p w14:paraId="3F4CEB08">
      <w:pPr>
        <w:pStyle w:val="style0"/>
        <w:rPr/>
      </w:pPr>
      <w:r>
        <w:rPr>
          <w:b/>
          <w:bCs/>
        </w:rPr>
        <w:t>India:</w:t>
      </w:r>
      <w:r>
        <w:t xml:space="preserve"> The 2025 GST 2.0 rate </w:t>
      </w:r>
      <w:r>
        <w:t>rationalisation</w:t>
      </w:r>
      <w:r>
        <w:t xml:space="preserve"> increases simplicity in pricing of </w:t>
      </w:r>
      <w:r>
        <w:t>food-service</w:t>
      </w:r>
      <w:r>
        <w:t>, which puts pressure on the prices of Devyani-operated outlets in the Pizza Hut brand, and compliance with the FSSAI and changes in state legislations are still influencing operations (</w:t>
      </w:r>
      <w:r>
        <w:t>SmartGST</w:t>
      </w:r>
      <w:r>
        <w:t>, 2026).</w:t>
      </w:r>
    </w:p>
    <w:p w14:paraId="04E16169">
      <w:pPr>
        <w:pStyle w:val="style0"/>
        <w:rPr/>
      </w:pPr>
      <w:r>
        <w:rPr>
          <w:b/>
          <w:bCs/>
        </w:rPr>
        <w:t>USA:</w:t>
      </w:r>
      <w:r>
        <w:t xml:space="preserve"> 2025-26 tariff policy increased importation prices of cheese, packaging and equipment which feeds the consumer prices, and the annual consumer spending statistics were transiently tarnished by the federal government shutdown in October-November 2025 (Congress.gov, 2025).</w:t>
      </w:r>
    </w:p>
    <w:p w14:paraId="5562A1E8">
      <w:pPr>
        <w:pStyle w:val="style0"/>
        <w:rPr>
          <w:b/>
          <w:bCs/>
          <w:i/>
          <w:iCs/>
        </w:rPr>
      </w:pPr>
      <w:r>
        <w:rPr>
          <w:b/>
          <w:bCs/>
          <w:i/>
          <w:iCs/>
        </w:rPr>
        <w:t>Economic</w:t>
      </w:r>
    </w:p>
    <w:p w14:paraId="43EA13ED">
      <w:pPr>
        <w:pStyle w:val="style0"/>
        <w:jc w:val="center"/>
        <w:rPr>
          <w:b/>
          <w:bCs/>
        </w:rPr>
      </w:pPr>
      <w:r>
        <w:rPr>
          <w:b/>
          <w:bCs/>
          <w:noProof/>
        </w:rPr>
        <w:drawing>
          <wp:inline distL="0" distT="0" distB="0" distR="0">
            <wp:extent cx="5943600" cy="2616200"/>
            <wp:effectExtent l="0" t="0" r="0" b="0"/>
            <wp:docPr id="1028" name="image1.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4" cstate="print"/>
                    <a:srcRect l="0" t="0" r="0" b="0"/>
                    <a:stretch/>
                  </pic:blipFill>
                  <pic:spPr>
                    <a:xfrm rot="0">
                      <a:off x="0" y="0"/>
                      <a:ext cx="5943600" cy="2616200"/>
                    </a:xfrm>
                    <a:prstGeom prst="rect"/>
                    <a:ln cmpd="sng" cap="flat" w="9525">
                      <a:solidFill>
                        <a:srgbClr val="000000"/>
                      </a:solidFill>
                      <a:prstDash val="solid"/>
                      <a:round/>
                      <a:headEnd/>
                      <a:tailEnd/>
                    </a:ln>
                  </pic:spPr>
                </pic:pic>
              </a:graphicData>
            </a:graphic>
          </wp:inline>
        </w:drawing>
      </w:r>
    </w:p>
    <w:p w14:paraId="060B525A">
      <w:pPr>
        <w:pStyle w:val="style0"/>
        <w:jc w:val="center"/>
        <w:rPr>
          <w:b/>
          <w:bCs/>
        </w:rPr>
      </w:pPr>
      <w:r>
        <w:rPr>
          <w:b/>
          <w:bCs/>
        </w:rPr>
        <w:t>Figure 3: Quarterly GDP and GVA Estimates of India</w:t>
      </w:r>
    </w:p>
    <w:p w14:paraId="7B6305B5">
      <w:pPr>
        <w:pStyle w:val="style0"/>
        <w:jc w:val="center"/>
        <w:rPr/>
      </w:pPr>
      <w:r>
        <w:t>(Source: Pib.gov.in, 2025)</w:t>
      </w:r>
    </w:p>
    <w:p w14:paraId="20DEE7BE">
      <w:pPr>
        <w:pStyle w:val="style0"/>
        <w:rPr/>
      </w:pPr>
      <w:r>
        <w:rPr>
          <w:b/>
          <w:bCs/>
        </w:rPr>
        <w:t>India:</w:t>
      </w:r>
      <w:r>
        <w:t xml:space="preserve"> Real GDP increased 8.2% in the second quarter of FY2025-26, with the RBI estimating the full year growth will be 6.8% and CPI inflation decreased to levels unprecedented by the levels near 0.7 per cent in November 2025, which boosted discretionary food spending (Pib.gov.in, 2025).</w:t>
      </w:r>
    </w:p>
    <w:p w14:paraId="226D2896">
      <w:pPr>
        <w:pStyle w:val="style0"/>
        <w:jc w:val="center"/>
        <w:rPr/>
      </w:pPr>
      <w:r>
        <w:rPr>
          <w:noProof/>
        </w:rPr>
        <w:drawing>
          <wp:inline distL="0" distT="0" distB="0" distR="0">
            <wp:extent cx="5207000" cy="2298700"/>
            <wp:effectExtent l="38100" t="38100" r="31750" b="44450"/>
            <wp:docPr id="1029" name="image5.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image5.png"/>
                    <pic:cNvPicPr/>
                  </pic:nvPicPr>
                  <pic:blipFill>
                    <a:blip r:embed="rId5" cstate="print"/>
                    <a:srcRect l="6571" t="0" r="0" b="0"/>
                    <a:stretch/>
                  </pic:blipFill>
                  <pic:spPr>
                    <a:xfrm rot="0">
                      <a:off x="0" y="0"/>
                      <a:ext cx="5207000" cy="2298700"/>
                    </a:xfrm>
                    <a:prstGeom prst="rect"/>
                    <a:ln cmpd="sng" cap="flat" w="25400">
                      <a:solidFill>
                        <a:srgbClr val="000000"/>
                      </a:solidFill>
                      <a:prstDash val="solid"/>
                      <a:round/>
                      <a:headEnd/>
                      <a:tailEnd/>
                    </a:ln>
                  </pic:spPr>
                </pic:pic>
              </a:graphicData>
            </a:graphic>
          </wp:inline>
        </w:drawing>
      </w:r>
    </w:p>
    <w:p w14:paraId="50BABDAF">
      <w:pPr>
        <w:pStyle w:val="style0"/>
        <w:jc w:val="center"/>
        <w:rPr>
          <w:b/>
          <w:bCs/>
        </w:rPr>
      </w:pPr>
      <w:r>
        <w:rPr>
          <w:b/>
          <w:bCs/>
        </w:rPr>
        <w:t>Figure 4: Increase in Real GDP of USA</w:t>
      </w:r>
    </w:p>
    <w:p w14:paraId="270BCF72">
      <w:pPr>
        <w:pStyle w:val="style0"/>
        <w:jc w:val="center"/>
        <w:rPr/>
      </w:pPr>
      <w:r>
        <w:t>(Source: Bea.gov, 2026)</w:t>
      </w:r>
    </w:p>
    <w:p w14:paraId="0B221F56">
      <w:pPr>
        <w:pStyle w:val="style0"/>
        <w:rPr/>
      </w:pPr>
      <w:r>
        <w:rPr>
          <w:b/>
          <w:bCs/>
          <w:i/>
          <w:iCs/>
        </w:rPr>
        <w:t xml:space="preserve">USA: </w:t>
      </w:r>
      <w:r>
        <w:t xml:space="preserve">USA Real GDP increased at a rate of 2.1% </w:t>
      </w:r>
      <w:r>
        <w:t>annualised</w:t>
      </w:r>
      <w:r>
        <w:t xml:space="preserve"> in Q1 2026; however, tariff-induced inflation is nearly 2.833%, and the slower consumer spending at 2.1 is putting the </w:t>
      </w:r>
      <w:r>
        <w:t>squeezer</w:t>
      </w:r>
      <w:r>
        <w:t xml:space="preserve"> on margins and discretionary dining expenditure (Bea.gov, 2026).</w:t>
      </w:r>
    </w:p>
    <w:p w14:paraId="3718CE54">
      <w:pPr>
        <w:pStyle w:val="style0"/>
        <w:rPr>
          <w:b/>
          <w:bCs/>
          <w:i/>
          <w:iCs/>
        </w:rPr>
      </w:pPr>
      <w:r>
        <w:rPr>
          <w:b/>
          <w:bCs/>
          <w:i/>
          <w:iCs/>
        </w:rPr>
        <w:t>Social</w:t>
      </w:r>
    </w:p>
    <w:p w14:paraId="4DB04D2C">
      <w:pPr>
        <w:pStyle w:val="style0"/>
        <w:rPr/>
      </w:pPr>
      <w:r>
        <w:rPr>
          <w:b/>
          <w:bCs/>
        </w:rPr>
        <w:t xml:space="preserve">India: </w:t>
      </w:r>
      <w:r>
        <w:t xml:space="preserve">There </w:t>
      </w:r>
      <w:r>
        <w:t>is</w:t>
      </w:r>
      <w:r>
        <w:t xml:space="preserve"> a young rapidly urbanizing population and a growing size in the middle classes, preferring to eat out in family-friendly ways and with </w:t>
      </w:r>
      <w:r>
        <w:t>the majority of</w:t>
      </w:r>
      <w:r>
        <w:t xml:space="preserve"> our festivals offering high demand spikes to shared pizza deals.</w:t>
      </w:r>
    </w:p>
    <w:p w14:paraId="7F8D76F5">
      <w:pPr>
        <w:pStyle w:val="style0"/>
        <w:rPr/>
      </w:pPr>
      <w:r>
        <w:rPr>
          <w:b/>
          <w:bCs/>
        </w:rPr>
        <w:t xml:space="preserve">USA: </w:t>
      </w:r>
      <w:r>
        <w:t xml:space="preserve">Demand is changing based on health-conscious and value-seeking consumer </w:t>
      </w:r>
      <w:r>
        <w:t>behaviour</w:t>
      </w:r>
      <w:r>
        <w:t xml:space="preserve"> with Gen z choosing smaller and </w:t>
      </w:r>
      <w:r>
        <w:t>personalised</w:t>
      </w:r>
      <w:r>
        <w:t xml:space="preserve"> versions of pizzas compared to traditional shared ones due to the continued inflation fatigue (Campbell, 2025).</w:t>
      </w:r>
    </w:p>
    <w:p w14:paraId="71199D5F">
      <w:pPr>
        <w:pStyle w:val="style0"/>
        <w:rPr>
          <w:b/>
          <w:bCs/>
          <w:i/>
          <w:iCs/>
        </w:rPr>
      </w:pPr>
      <w:r>
        <w:rPr>
          <w:b/>
          <w:bCs/>
          <w:i/>
          <w:iCs/>
        </w:rPr>
        <w:t>Technological</w:t>
      </w:r>
    </w:p>
    <w:p w14:paraId="7EB735D3">
      <w:pPr>
        <w:pStyle w:val="style0"/>
        <w:jc w:val="center"/>
        <w:rPr>
          <w:b/>
          <w:bCs/>
        </w:rPr>
      </w:pPr>
      <w:r>
        <w:rPr>
          <w:b/>
          <w:bCs/>
          <w:noProof/>
        </w:rPr>
        <w:drawing>
          <wp:inline distL="0" distT="0" distB="0" distR="0">
            <wp:extent cx="5943600" cy="3568700"/>
            <wp:effectExtent l="25400" t="25400" r="25400" b="25400"/>
            <wp:docPr id="1030" name="image3.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6" cstate="print"/>
                    <a:srcRect l="0" t="0" r="0" b="0"/>
                    <a:stretch/>
                  </pic:blipFill>
                  <pic:spPr>
                    <a:xfrm rot="0">
                      <a:off x="0" y="0"/>
                      <a:ext cx="5943600" cy="3568700"/>
                    </a:xfrm>
                    <a:prstGeom prst="rect"/>
                    <a:ln cmpd="sng" cap="flat" w="25400">
                      <a:solidFill>
                        <a:srgbClr val="000000"/>
                      </a:solidFill>
                      <a:prstDash val="solid"/>
                      <a:round/>
                      <a:headEnd/>
                      <a:tailEnd/>
                    </a:ln>
                  </pic:spPr>
                </pic:pic>
              </a:graphicData>
            </a:graphic>
          </wp:inline>
        </w:drawing>
      </w:r>
    </w:p>
    <w:p w14:paraId="5598EAA5">
      <w:pPr>
        <w:pStyle w:val="style0"/>
        <w:jc w:val="center"/>
        <w:rPr>
          <w:b/>
          <w:bCs/>
        </w:rPr>
      </w:pPr>
      <w:r>
        <w:rPr>
          <w:b/>
          <w:bCs/>
        </w:rPr>
        <w:t>Figure 5: Smartphone and UPI Penetration in India</w:t>
      </w:r>
    </w:p>
    <w:p w14:paraId="666E93AE">
      <w:pPr>
        <w:pStyle w:val="style0"/>
        <w:jc w:val="center"/>
        <w:rPr/>
      </w:pPr>
      <w:r>
        <w:t>(Source: Kirtika Suneja, 2025)</w:t>
      </w:r>
    </w:p>
    <w:p w14:paraId="3B246EF3">
      <w:pPr>
        <w:pStyle w:val="style0"/>
        <w:rPr/>
      </w:pPr>
      <w:r>
        <w:rPr>
          <w:b/>
          <w:bCs/>
        </w:rPr>
        <w:t xml:space="preserve">India: </w:t>
      </w:r>
      <w:r>
        <w:t>Smartphone penetration is increasing and provided as a UPI-enabled payment system. This underpins the app-based and model of Devyani ordering focused on delivery in markets in urban and semi-urban areas (Kirtika Suneja, 2025).</w:t>
      </w:r>
    </w:p>
    <w:p w14:paraId="7FC139F7">
      <w:pPr>
        <w:pStyle w:val="style0"/>
        <w:rPr/>
      </w:pPr>
      <w:r>
        <w:rPr>
          <w:b/>
          <w:bCs/>
        </w:rPr>
        <w:t xml:space="preserve">USA: </w:t>
      </w:r>
      <w:r>
        <w:t xml:space="preserve">Byte by Yum! by Yum! Over half the transactions in the world are driven digitally by AI and digital platforms, which fuels </w:t>
      </w:r>
      <w:r>
        <w:t>personalised</w:t>
      </w:r>
      <w:r>
        <w:t xml:space="preserve"> offers and Hut Rewards loyalty </w:t>
      </w:r>
      <w:r>
        <w:t>programme</w:t>
      </w:r>
      <w:r>
        <w:t>.</w:t>
      </w:r>
    </w:p>
    <w:p w14:paraId="32D9A2D4">
      <w:pPr>
        <w:pStyle w:val="style0"/>
        <w:rPr>
          <w:b/>
          <w:bCs/>
          <w:i/>
          <w:iCs/>
        </w:rPr>
      </w:pPr>
      <w:r>
        <w:rPr>
          <w:b/>
          <w:bCs/>
          <w:i/>
          <w:iCs/>
        </w:rPr>
        <w:t>Legal</w:t>
      </w:r>
    </w:p>
    <w:p w14:paraId="624880A5">
      <w:pPr>
        <w:pStyle w:val="style0"/>
        <w:rPr/>
      </w:pPr>
      <w:r>
        <w:rPr>
          <w:b/>
          <w:bCs/>
        </w:rPr>
        <w:t>India:</w:t>
      </w:r>
      <w:r>
        <w:t xml:space="preserve"> This country has compliance requirements such as the FSSAI food-safety requirement and an average GST rate of 5% of standalone restaurant services and stricter Extended Producer Responsibility laws on plastic packaging.</w:t>
      </w:r>
    </w:p>
    <w:p w14:paraId="127C2DC9">
      <w:pPr>
        <w:pStyle w:val="style0"/>
        <w:rPr/>
      </w:pPr>
      <w:r>
        <w:rPr>
          <w:b/>
          <w:bCs/>
        </w:rPr>
        <w:t>USA:</w:t>
      </w:r>
      <w:r>
        <w:t xml:space="preserve"> There are federal FDA food-safety and menu-labeling regulations in addition to increasing state minimum-wage regulations that still burden franchise operators with higher </w:t>
      </w:r>
      <w:r>
        <w:t>labour</w:t>
      </w:r>
      <w:r>
        <w:t xml:space="preserve"> expenses (Human Foods Program, 2024).</w:t>
      </w:r>
    </w:p>
    <w:p w14:paraId="40F52474">
      <w:pPr>
        <w:pStyle w:val="style0"/>
        <w:rPr>
          <w:b/>
          <w:bCs/>
          <w:i/>
          <w:iCs/>
        </w:rPr>
      </w:pPr>
      <w:r>
        <w:rPr>
          <w:b/>
          <w:bCs/>
          <w:i/>
          <w:iCs/>
        </w:rPr>
        <w:t>Environmental</w:t>
      </w:r>
    </w:p>
    <w:p w14:paraId="178444F8">
      <w:pPr>
        <w:pStyle w:val="style0"/>
        <w:rPr/>
      </w:pPr>
      <w:r>
        <w:rPr>
          <w:b/>
          <w:bCs/>
          <w:i/>
          <w:iCs/>
        </w:rPr>
        <w:t xml:space="preserve">India: </w:t>
      </w:r>
      <w:r>
        <w:t xml:space="preserve">Sustainable efforts by the government on plastic waste reduction are driving and packaging regulations are encouraging more recyclable materials in packaging of deliveries (JB </w:t>
      </w:r>
      <w:r>
        <w:t>Ecotex</w:t>
      </w:r>
      <w:r>
        <w:t>, 2025).</w:t>
      </w:r>
    </w:p>
    <w:p w14:paraId="485694DE">
      <w:pPr>
        <w:pStyle w:val="style0"/>
        <w:rPr/>
      </w:pPr>
      <w:r>
        <w:rPr>
          <w:b/>
          <w:bCs/>
          <w:i/>
          <w:iCs/>
        </w:rPr>
        <w:t xml:space="preserve">USA: </w:t>
      </w:r>
      <w:r>
        <w:t>Yum! The sustainability of brands focuses on carbon impact and improved packaging, and climate variability remains a continual threat to supply chains of wheat, dairy, and tomatoes.</w:t>
      </w:r>
    </w:p>
    <w:bookmarkStart w:id="22" w:name="_heading=h.bskne1qqpgbd" w:colFirst="0" w:colLast="0"/>
    <w:bookmarkStart w:id="23" w:name="_Toc235398678"/>
    <w:bookmarkEnd w:id="22"/>
    <w:p w14:paraId="3C99DA05">
      <w:pPr>
        <w:pStyle w:val="style3"/>
        <w:keepNext w:val="false"/>
        <w:keepLines w:val="false"/>
        <w:spacing w:before="360" w:after="80"/>
        <w:rPr/>
      </w:pPr>
      <w:r>
        <w:t>2.2 Industry Analysis Using Porter’s Five Forces</w:t>
      </w:r>
      <w:bookmarkEnd w:id="23"/>
      <w:r>
        <w:t xml:space="preserve"> </w:t>
      </w:r>
    </w:p>
    <w:p w14:paraId="754DD5B1">
      <w:pPr>
        <w:pStyle w:val="style0"/>
        <w:spacing w:before="280" w:after="80"/>
        <w:rPr>
          <w:b/>
          <w:bCs/>
        </w:rPr>
      </w:pPr>
      <w:r>
        <w:rPr>
          <w:b/>
          <w:bCs/>
        </w:rPr>
        <w:t>Threat of New Entrants</w:t>
      </w:r>
    </w:p>
    <w:p w14:paraId="460BEC60">
      <w:pPr>
        <w:pStyle w:val="style0"/>
        <w:rPr>
          <w:b/>
          <w:bCs/>
          <w:i/>
          <w:iCs/>
        </w:rPr>
      </w:pPr>
      <w:r>
        <w:rPr>
          <w:b/>
          <w:bCs/>
          <w:i/>
          <w:iCs/>
        </w:rPr>
        <w:t xml:space="preserve">India: Medium. </w:t>
      </w:r>
    </w:p>
    <w:p w14:paraId="5277E921">
      <w:pPr>
        <w:pStyle w:val="style0"/>
        <w:rPr/>
      </w:pPr>
      <w:r>
        <w:t xml:space="preserve">New local brands such as La Pino </w:t>
      </w:r>
      <w:r>
        <w:t>unusa</w:t>
      </w:r>
      <w:r>
        <w:t>, Oven Story, cloud-kitchens on Zomato and Swiggy continue to enter the Indian pizza market. Devyani operates 649 pizza hut stores by December 2025, yet the capital investment cost, cold-chain supply chain and franchise moat of Yum! remain such that no one outside of the top three chains can easily enter this industry fully (</w:t>
      </w:r>
      <w:r>
        <w:t>FranchiseBazar</w:t>
      </w:r>
      <w:r>
        <w:t>, 2026).</w:t>
      </w:r>
    </w:p>
    <w:p w14:paraId="5D37710D">
      <w:pPr>
        <w:pStyle w:val="style0"/>
        <w:rPr/>
      </w:pPr>
      <w:r>
        <w:rPr>
          <w:b/>
          <w:bCs/>
          <w:i/>
          <w:iCs/>
        </w:rPr>
        <w:t>USA: Low.</w:t>
      </w:r>
      <w:r>
        <w:t xml:space="preserve"> </w:t>
      </w:r>
    </w:p>
    <w:p w14:paraId="32F8E64D">
      <w:pPr>
        <w:pStyle w:val="style0"/>
        <w:rPr/>
      </w:pPr>
      <w:r>
        <w:t>The pizza market is established with numerous players and is made up of Domino, Pizza Hut, Papa John and Little Caesars. Decades of brand equity and real estate as well as national supply contracts keep serious contenders off. Independents have a significant share, however, in recent years no new national breakthrough chain.</w:t>
      </w:r>
    </w:p>
    <w:p w14:paraId="11A7E501">
      <w:pPr>
        <w:pStyle w:val="style0"/>
        <w:rPr>
          <w:b/>
          <w:bCs/>
        </w:rPr>
      </w:pPr>
      <w:r>
        <w:rPr>
          <w:b/>
          <w:bCs/>
        </w:rPr>
        <w:t>Bargaining Power of Suppliers</w:t>
      </w:r>
    </w:p>
    <w:p w14:paraId="71090059">
      <w:pPr>
        <w:pStyle w:val="style0"/>
        <w:rPr/>
      </w:pPr>
      <w:r>
        <w:rPr>
          <w:b/>
          <w:bCs/>
          <w:i/>
          <w:iCs/>
        </w:rPr>
        <w:t>India: Medium.</w:t>
      </w:r>
      <w:r>
        <w:t xml:space="preserve"> </w:t>
      </w:r>
    </w:p>
    <w:p w14:paraId="015F3DE3">
      <w:pPr>
        <w:pStyle w:val="style0"/>
        <w:rPr/>
      </w:pPr>
      <w:r>
        <w:t>Cheese, wheat flour, tomatoes, and packaging are all monsoon-linked agricultural items that have rupee volatility. Devyani obtains most of its inputs internally under long-term contracts, which is not very responsive to shocks, but leaves margins vulnerable in times of dairy price spikes.</w:t>
      </w:r>
    </w:p>
    <w:p w14:paraId="3DD5E224">
      <w:pPr>
        <w:pStyle w:val="style0"/>
        <w:rPr>
          <w:b/>
          <w:bCs/>
          <w:i/>
          <w:iCs/>
        </w:rPr>
      </w:pPr>
      <w:r>
        <w:rPr>
          <w:b/>
          <w:bCs/>
          <w:i/>
          <w:iCs/>
        </w:rPr>
        <w:t xml:space="preserve">USA: Low. </w:t>
      </w:r>
    </w:p>
    <w:p w14:paraId="51514D27">
      <w:pPr>
        <w:pStyle w:val="style0"/>
        <w:jc w:val="center"/>
        <w:rPr/>
      </w:pPr>
      <w:r>
        <w:rPr>
          <w:noProof/>
        </w:rPr>
        <w:drawing>
          <wp:inline distL="0" distT="0" distB="0" distR="0">
            <wp:extent cx="3683000" cy="3492500"/>
            <wp:effectExtent l="38100" t="38100" r="31750" b="31750"/>
            <wp:docPr id="1031" name="image6.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image6.png"/>
                    <pic:cNvPicPr/>
                  </pic:nvPicPr>
                  <pic:blipFill>
                    <a:blip r:embed="rId7" cstate="print"/>
                    <a:srcRect l="0" t="0" r="0" b="0"/>
                    <a:stretch/>
                  </pic:blipFill>
                  <pic:spPr>
                    <a:xfrm rot="0">
                      <a:off x="0" y="0"/>
                      <a:ext cx="3683000" cy="3492500"/>
                    </a:xfrm>
                    <a:prstGeom prst="rect"/>
                    <a:ln cmpd="sng" cap="flat" w="25400">
                      <a:solidFill>
                        <a:srgbClr val="000000"/>
                      </a:solidFill>
                      <a:prstDash val="solid"/>
                      <a:round/>
                      <a:headEnd/>
                      <a:tailEnd/>
                    </a:ln>
                  </pic:spPr>
                </pic:pic>
              </a:graphicData>
            </a:graphic>
          </wp:inline>
        </w:drawing>
      </w:r>
    </w:p>
    <w:p w14:paraId="3709C0D0">
      <w:pPr>
        <w:pStyle w:val="style0"/>
        <w:jc w:val="center"/>
        <w:rPr>
          <w:b/>
          <w:bCs/>
        </w:rPr>
      </w:pPr>
      <w:r>
        <w:rPr>
          <w:b/>
          <w:bCs/>
        </w:rPr>
        <w:t>Figure 6: Unification of Yum brands</w:t>
      </w:r>
    </w:p>
    <w:p w14:paraId="0C36B7C5">
      <w:pPr>
        <w:pStyle w:val="style0"/>
        <w:jc w:val="center"/>
        <w:rPr/>
      </w:pPr>
      <w:r>
        <w:t>(Source: Gonsalves, 2025)</w:t>
      </w:r>
    </w:p>
    <w:p w14:paraId="2A34A9A1">
      <w:pPr>
        <w:pStyle w:val="style0"/>
        <w:rPr/>
      </w:pPr>
      <w:r>
        <w:t xml:space="preserve">The consolidated supply chain of Yum! includes Pizza Hut, KFC, and Taco Bell that offers it a good bargaining power when purchasing cheese, dough and boxes. Pass </w:t>
      </w:r>
      <w:r>
        <w:t>throughs</w:t>
      </w:r>
      <w:r>
        <w:t xml:space="preserve"> in tariffs in 2025-26 increase costs of the inputs in general, but the risk of supplier concentration is not high </w:t>
      </w:r>
      <w:r>
        <w:t>due to the effects</w:t>
      </w:r>
      <w:r>
        <w:t xml:space="preserve"> of scale and multi-sourcing (Gonsalves, 2025).</w:t>
      </w:r>
    </w:p>
    <w:p w14:paraId="415C4DA5">
      <w:pPr>
        <w:pStyle w:val="style0"/>
        <w:spacing w:before="280" w:after="80"/>
        <w:rPr>
          <w:b/>
          <w:bCs/>
        </w:rPr>
      </w:pPr>
      <w:r>
        <w:rPr>
          <w:b/>
          <w:bCs/>
        </w:rPr>
        <w:t>Bargaining Power of Buyers</w:t>
      </w:r>
    </w:p>
    <w:p w14:paraId="0D1B89B6">
      <w:pPr>
        <w:pStyle w:val="style0"/>
        <w:rPr>
          <w:b/>
          <w:bCs/>
          <w:i/>
          <w:iCs/>
        </w:rPr>
      </w:pPr>
      <w:r>
        <w:rPr>
          <w:b/>
          <w:bCs/>
          <w:i/>
          <w:iCs/>
        </w:rPr>
        <w:t xml:space="preserve">India: High. </w:t>
      </w:r>
    </w:p>
    <w:p w14:paraId="747ECBA1">
      <w:pPr>
        <w:pStyle w:val="style0"/>
        <w:rPr/>
      </w:pPr>
      <w:r>
        <w:t xml:space="preserve">Depending on the price and delivery time consumers easily change between </w:t>
      </w:r>
      <w:r>
        <w:t>Domino,</w:t>
      </w:r>
      <w:r>
        <w:t xml:space="preserve"> Pizza Hut to such local players. Aggregator sites accomplish menu and cost comparison within two seconds. The same-store sales of Pizza Hut India recorded a 5.3% at Devyani and 9% at Sapphire in FY26, indicating how fast the buyers can change their mind once the value is compromised (Dsouza, 2026).</w:t>
      </w:r>
    </w:p>
    <w:p w14:paraId="3F56C863">
      <w:pPr>
        <w:pStyle w:val="style0"/>
        <w:rPr/>
      </w:pPr>
      <w:r>
        <w:rPr>
          <w:b/>
          <w:bCs/>
          <w:i/>
          <w:iCs/>
        </w:rPr>
        <w:t>USA: High.</w:t>
      </w:r>
      <w:r>
        <w:t xml:space="preserve"> </w:t>
      </w:r>
    </w:p>
    <w:p w14:paraId="7F526330">
      <w:pPr>
        <w:pStyle w:val="style0"/>
        <w:rPr/>
      </w:pPr>
      <w:r>
        <w:t>American buyers are bargain hungry, loyalty-sketchy and prone to switching to whichever chain is promoting the better weekly deal. The decrease in Pizza Hut US same-store sales was 5% in FY2025 and 4% in Q1 2026, mainly due to customers concerning them with a weaker value proposition compared to Domino and Little Caesars (Lucas, 2025).</w:t>
      </w:r>
    </w:p>
    <w:p w14:paraId="16B437DA">
      <w:pPr>
        <w:pStyle w:val="style0"/>
        <w:spacing w:before="280" w:after="80"/>
        <w:rPr>
          <w:b/>
          <w:bCs/>
        </w:rPr>
      </w:pPr>
      <w:r>
        <w:rPr>
          <w:b/>
          <w:bCs/>
        </w:rPr>
        <w:t>Threat of Substitutes</w:t>
      </w:r>
    </w:p>
    <w:p w14:paraId="1ACF7326">
      <w:pPr>
        <w:pStyle w:val="style0"/>
        <w:rPr>
          <w:b/>
          <w:bCs/>
          <w:i/>
          <w:iCs/>
        </w:rPr>
      </w:pPr>
      <w:r>
        <w:rPr>
          <w:b/>
          <w:bCs/>
          <w:i/>
          <w:iCs/>
        </w:rPr>
        <w:t xml:space="preserve">India: Medium. </w:t>
      </w:r>
    </w:p>
    <w:p w14:paraId="23814130">
      <w:pPr>
        <w:pStyle w:val="style0"/>
        <w:rPr/>
      </w:pPr>
      <w:r>
        <w:t xml:space="preserve">Burger QSRs, biryani chains, and South Indian dosa outlets, as well as street food, draw </w:t>
      </w:r>
      <w:r>
        <w:t>off of</w:t>
      </w:r>
      <w:r>
        <w:t xml:space="preserve"> the same occasion budget. Home-cooked meals are the largest threat particularly in Tier-2 and Tier-3 cities where dining out is yet a special occasions segment.</w:t>
      </w:r>
    </w:p>
    <w:p w14:paraId="30AE93BF">
      <w:pPr>
        <w:pStyle w:val="style0"/>
        <w:rPr>
          <w:b/>
          <w:bCs/>
          <w:i/>
          <w:iCs/>
        </w:rPr>
      </w:pPr>
      <w:r>
        <w:rPr>
          <w:b/>
          <w:bCs/>
          <w:i/>
          <w:iCs/>
        </w:rPr>
        <w:t xml:space="preserve">USA: High. </w:t>
      </w:r>
    </w:p>
    <w:p w14:paraId="3466E0E7">
      <w:pPr>
        <w:pStyle w:val="style0"/>
        <w:rPr/>
      </w:pPr>
      <w:r>
        <w:t xml:space="preserve">People will no longer consider having to pass on pizza in favor of burgers, </w:t>
      </w:r>
      <w:r>
        <w:t>chickenger</w:t>
      </w:r>
      <w:r>
        <w:t>, Mexican QSR and frozen choices found in the grocery-store. Competition The same weeknight dinner slot so far is shared by Chipotle, Chick-fil-A, and Taco Bell and inflation fatigue in 2025-26 has compelled more families to cook at home more often than order it in (Coley, 2025).</w:t>
      </w:r>
    </w:p>
    <w:p w14:paraId="69CEC193">
      <w:pPr>
        <w:pStyle w:val="style0"/>
        <w:spacing w:before="280" w:after="80"/>
        <w:rPr>
          <w:b/>
          <w:bCs/>
        </w:rPr>
      </w:pPr>
      <w:r>
        <w:rPr>
          <w:b/>
          <w:bCs/>
        </w:rPr>
        <w:t>Competitive Rivalry</w:t>
      </w:r>
    </w:p>
    <w:p w14:paraId="3BE5256E">
      <w:pPr>
        <w:pStyle w:val="style0"/>
        <w:rPr>
          <w:b/>
          <w:bCs/>
          <w:i/>
          <w:iCs/>
        </w:rPr>
      </w:pPr>
      <w:r>
        <w:rPr>
          <w:b/>
          <w:bCs/>
          <w:i/>
          <w:iCs/>
        </w:rPr>
        <w:t xml:space="preserve">India: High. </w:t>
      </w:r>
    </w:p>
    <w:p w14:paraId="60D9BE8E">
      <w:pPr>
        <w:pStyle w:val="style0"/>
        <w:jc w:val="center"/>
        <w:rPr/>
      </w:pPr>
      <w:r>
        <w:rPr>
          <w:noProof/>
        </w:rPr>
        <w:drawing>
          <wp:inline distL="0" distT="0" distB="0" distR="0">
            <wp:extent cx="5943600" cy="3340100"/>
            <wp:effectExtent l="25400" t="25400" r="25400" b="25400"/>
            <wp:docPr id="1032" name="image9.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 name="image9.png"/>
                    <pic:cNvPicPr/>
                  </pic:nvPicPr>
                  <pic:blipFill>
                    <a:blip r:embed="rId8" cstate="print"/>
                    <a:srcRect l="0" t="0" r="0" b="0"/>
                    <a:stretch/>
                  </pic:blipFill>
                  <pic:spPr>
                    <a:xfrm rot="0">
                      <a:off x="0" y="0"/>
                      <a:ext cx="5943600" cy="3340100"/>
                    </a:xfrm>
                    <a:prstGeom prst="rect"/>
                    <a:ln cmpd="sng" cap="flat" w="25400">
                      <a:solidFill>
                        <a:srgbClr val="000000"/>
                      </a:solidFill>
                      <a:prstDash val="solid"/>
                      <a:round/>
                      <a:headEnd/>
                      <a:tailEnd/>
                    </a:ln>
                  </pic:spPr>
                </pic:pic>
              </a:graphicData>
            </a:graphic>
          </wp:inline>
        </w:drawing>
      </w:r>
    </w:p>
    <w:p w14:paraId="1C70465F">
      <w:pPr>
        <w:pStyle w:val="style0"/>
        <w:jc w:val="center"/>
        <w:rPr>
          <w:b/>
          <w:bCs/>
        </w:rPr>
      </w:pPr>
      <w:r>
        <w:rPr>
          <w:b/>
          <w:bCs/>
        </w:rPr>
        <w:t>Figure 7: India’s Pizza Powerhouses: Revenue Insights 2024-25</w:t>
      </w:r>
    </w:p>
    <w:p w14:paraId="1A487CDC">
      <w:pPr>
        <w:pStyle w:val="style0"/>
        <w:jc w:val="center"/>
        <w:rPr/>
      </w:pPr>
      <w:r>
        <w:t>(Source: Anas, 2026)</w:t>
      </w:r>
    </w:p>
    <w:p w14:paraId="69EACF4C">
      <w:pPr>
        <w:pStyle w:val="style0"/>
        <w:rPr/>
      </w:pPr>
      <w:r>
        <w:t xml:space="preserve">The obvious leader in the market is Domino, owned by Jubilant FoodWorks, which has approximately three times as many outlets as Pizza Hut as well as a delivery system that is faster than light in execution. Devyani now has </w:t>
      </w:r>
      <w:r>
        <w:t>stalled net</w:t>
      </w:r>
      <w:r>
        <w:t xml:space="preserve"> new Pizza Hut openings at least through 2026 (Anas, 2026).</w:t>
      </w:r>
    </w:p>
    <w:p w14:paraId="701F8C78">
      <w:pPr>
        <w:pStyle w:val="style0"/>
        <w:rPr>
          <w:b/>
          <w:bCs/>
        </w:rPr>
      </w:pPr>
      <w:r>
        <w:rPr>
          <w:b/>
          <w:bCs/>
          <w:i/>
          <w:iCs/>
        </w:rPr>
        <w:t>USA: Very high.</w:t>
      </w:r>
      <w:r>
        <w:t xml:space="preserve"> </w:t>
      </w:r>
    </w:p>
    <w:p w14:paraId="055CCD16">
      <w:pPr>
        <w:pStyle w:val="style0"/>
        <w:rPr/>
      </w:pPr>
      <w:r>
        <w:t xml:space="preserve">Pizza Hut is ranked 3rd within the category sales after Domino and Little Caesars that are ranked 2nd and 3rd respectively, and Papa Johns are following closely. The chain had shut between 250 weak performing US stores in early 2026 and had 6,121 US stores at the end of Q1 2026, compared to 6,551 at the end of 2021 (Boggs, 2026).  </w:t>
      </w:r>
    </w:p>
    <w:bookmarkStart w:id="24" w:name="_heading=h.2kzed0ch3r5i" w:colFirst="0" w:colLast="0"/>
    <w:bookmarkStart w:id="25" w:name="_Toc235398679"/>
    <w:bookmarkEnd w:id="24"/>
    <w:p w14:paraId="54347146">
      <w:pPr>
        <w:pStyle w:val="style3"/>
        <w:spacing w:before="240" w:after="240"/>
        <w:rPr/>
      </w:pPr>
      <w:r>
        <w:t>2.3 Cultural Analysis Using Hofstede Dimensions</w:t>
      </w:r>
      <w:bookmarkEnd w:id="25"/>
    </w:p>
    <w:p w14:paraId="7AEA71AD">
      <w:pPr>
        <w:pStyle w:val="style0"/>
        <w:jc w:val="center"/>
        <w:rPr/>
      </w:pPr>
      <w:r>
        <w:rPr>
          <w:noProof/>
        </w:rPr>
        <w:drawing>
          <wp:inline distL="0" distT="0" distB="0" distR="0">
            <wp:extent cx="5581650" cy="3086100"/>
            <wp:effectExtent l="25400" t="25400" r="25400" b="25400"/>
            <wp:docPr id="1033" name="image8.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 name="image8.png"/>
                    <pic:cNvPicPr/>
                  </pic:nvPicPr>
                  <pic:blipFill>
                    <a:blip r:embed="rId9" cstate="print"/>
                    <a:srcRect l="6090" t="0" r="0" b="0"/>
                    <a:stretch/>
                  </pic:blipFill>
                  <pic:spPr>
                    <a:xfrm rot="0">
                      <a:off x="0" y="0"/>
                      <a:ext cx="5581650" cy="3086100"/>
                    </a:xfrm>
                    <a:prstGeom prst="rect"/>
                    <a:ln cmpd="sng" cap="flat" w="25400">
                      <a:solidFill>
                        <a:srgbClr val="000000"/>
                      </a:solidFill>
                      <a:prstDash val="solid"/>
                      <a:round/>
                      <a:headEnd/>
                      <a:tailEnd/>
                    </a:ln>
                  </pic:spPr>
                </pic:pic>
              </a:graphicData>
            </a:graphic>
          </wp:inline>
        </w:drawing>
      </w:r>
    </w:p>
    <w:p w14:paraId="0F180598">
      <w:pPr>
        <w:pStyle w:val="style0"/>
        <w:jc w:val="center"/>
        <w:rPr>
          <w:b/>
          <w:bCs/>
        </w:rPr>
      </w:pPr>
      <w:r>
        <w:rPr>
          <w:b/>
          <w:bCs/>
        </w:rPr>
        <w:t>Figure 8: Cultural Analysis Using Hofstede Dimensions</w:t>
      </w:r>
    </w:p>
    <w:p w14:paraId="279B428E">
      <w:pPr>
        <w:pStyle w:val="style0"/>
        <w:jc w:val="center"/>
        <w:rPr/>
      </w:pPr>
      <w:r>
        <w:t>(Source: Hofstede Insights, 2026)</w:t>
      </w:r>
    </w:p>
    <w:p w14:paraId="0A550D1E">
      <w:pPr>
        <w:pStyle w:val="style0"/>
        <w:rPr>
          <w:b/>
          <w:bCs/>
          <w:i/>
          <w:iCs/>
        </w:rPr>
      </w:pPr>
      <w:r>
        <w:rPr>
          <w:b/>
          <w:bCs/>
          <w:i/>
          <w:iCs/>
        </w:rPr>
        <w:t>Power Distance</w:t>
      </w:r>
    </w:p>
    <w:p w14:paraId="7BE4EEF8">
      <w:pPr>
        <w:pStyle w:val="style0"/>
        <w:rPr/>
      </w:pPr>
      <w:r>
        <w:rPr>
          <w:b/>
          <w:bCs/>
        </w:rPr>
        <w:t>India (77):</w:t>
      </w:r>
      <w:r>
        <w:t xml:space="preserve"> Top-down brand authority which is supported by a hierarchical culture is evident in the celebrity led campaigns which use celebrities such as Indian cricketers.</w:t>
      </w:r>
    </w:p>
    <w:p w14:paraId="18B08D58">
      <w:pPr>
        <w:pStyle w:val="style0"/>
        <w:rPr/>
      </w:pPr>
      <w:r>
        <w:rPr>
          <w:b/>
          <w:bCs/>
        </w:rPr>
        <w:t xml:space="preserve">USA (40): </w:t>
      </w:r>
      <w:r>
        <w:t xml:space="preserve">Lower hierarchy prefers egalitarian dialogue where personal choice is </w:t>
      </w:r>
      <w:r>
        <w:t>prioritised</w:t>
      </w:r>
      <w:r>
        <w:t xml:space="preserve"> above the approach that endorses through authority (Hofstede Insights, 2026).</w:t>
      </w:r>
    </w:p>
    <w:p w14:paraId="482B1626">
      <w:pPr>
        <w:pStyle w:val="style0"/>
        <w:rPr>
          <w:b/>
          <w:bCs/>
          <w:i/>
          <w:iCs/>
        </w:rPr>
      </w:pPr>
      <w:r>
        <w:rPr>
          <w:b/>
          <w:bCs/>
          <w:i/>
          <w:iCs/>
        </w:rPr>
        <w:t>Individualism</w:t>
      </w:r>
    </w:p>
    <w:p w14:paraId="37FD9DF3">
      <w:pPr>
        <w:pStyle w:val="style0"/>
        <w:rPr/>
      </w:pPr>
      <w:r>
        <w:rPr>
          <w:b/>
          <w:bCs/>
        </w:rPr>
        <w:t xml:space="preserve">India (24): </w:t>
      </w:r>
      <w:r>
        <w:t>Collectivist culture likes family sized boxes and deals based on sharing which are centered on togetherness (Ghosh and Sarkar, 2024).</w:t>
      </w:r>
    </w:p>
    <w:p w14:paraId="17A14D92">
      <w:pPr>
        <w:pStyle w:val="style0"/>
        <w:rPr/>
      </w:pPr>
      <w:r>
        <w:rPr>
          <w:b/>
          <w:bCs/>
        </w:rPr>
        <w:t xml:space="preserve">USA (60): </w:t>
      </w:r>
      <w:r>
        <w:t xml:space="preserve">This culture, individualistic, would fit right into the 2025 Crafted </w:t>
      </w:r>
      <w:r>
        <w:t>Flatzz</w:t>
      </w:r>
      <w:r>
        <w:t xml:space="preserve"> launch, which is an overtly marketed personal treat, a kind of me time.</w:t>
      </w:r>
    </w:p>
    <w:p w14:paraId="47348C13">
      <w:pPr>
        <w:pStyle w:val="style0"/>
        <w:rPr>
          <w:b/>
          <w:bCs/>
          <w:i/>
          <w:iCs/>
        </w:rPr>
      </w:pPr>
      <w:r>
        <w:rPr>
          <w:b/>
          <w:bCs/>
          <w:i/>
          <w:iCs/>
        </w:rPr>
        <w:br w:type="page"/>
      </w:r>
    </w:p>
    <w:p w14:paraId="222988CC">
      <w:pPr>
        <w:pStyle w:val="style0"/>
        <w:rPr>
          <w:b/>
          <w:bCs/>
          <w:i/>
          <w:iCs/>
        </w:rPr>
      </w:pPr>
      <w:r>
        <w:rPr>
          <w:b/>
          <w:bCs/>
          <w:i/>
          <w:iCs/>
        </w:rPr>
        <w:t>Motivation to Objective, Realization.</w:t>
      </w:r>
    </w:p>
    <w:p w14:paraId="2E71BAC6">
      <w:pPr>
        <w:pStyle w:val="style0"/>
        <w:rPr/>
      </w:pPr>
      <w:r>
        <w:rPr>
          <w:b/>
          <w:bCs/>
        </w:rPr>
        <w:t>India (56) and USA (62):</w:t>
      </w:r>
      <w:r>
        <w:rPr>
          <w:b/>
          <w:bCs/>
          <w:i/>
          <w:iCs/>
        </w:rPr>
        <w:t xml:space="preserve"> </w:t>
      </w:r>
      <w:r>
        <w:t>Both markets are sensitive to rivalry-based, accomplishment-based advertisements, value-driven advertising to (or even) an appearance contract with a star in the sports world.</w:t>
      </w:r>
    </w:p>
    <w:p w14:paraId="5C170E67">
      <w:pPr>
        <w:pStyle w:val="style0"/>
        <w:rPr>
          <w:b/>
          <w:bCs/>
          <w:i/>
          <w:iCs/>
        </w:rPr>
      </w:pPr>
      <w:r>
        <w:rPr>
          <w:b/>
          <w:bCs/>
          <w:i/>
          <w:iCs/>
        </w:rPr>
        <w:t>Uncertainty Avoidance</w:t>
      </w:r>
    </w:p>
    <w:p w14:paraId="7B906267">
      <w:pPr>
        <w:pStyle w:val="style0"/>
        <w:rPr/>
      </w:pPr>
      <w:r>
        <w:rPr>
          <w:b/>
          <w:bCs/>
        </w:rPr>
        <w:t>India (40):</w:t>
      </w:r>
      <w:r>
        <w:t xml:space="preserve"> Hardly stays out of moderate comfort with novelty encourages often changes of limited-edition menu and </w:t>
      </w:r>
      <w:r>
        <w:t>flavour</w:t>
      </w:r>
      <w:r>
        <w:t xml:space="preserve"> testing.</w:t>
      </w:r>
    </w:p>
    <w:p w14:paraId="6D1BF337">
      <w:pPr>
        <w:pStyle w:val="style0"/>
        <w:jc w:val="center"/>
        <w:rPr/>
      </w:pPr>
      <w:r>
        <w:rPr>
          <w:noProof/>
        </w:rPr>
        <w:drawing>
          <wp:inline distL="0" distT="0" distB="0" distR="0">
            <wp:extent cx="5943600" cy="3340100"/>
            <wp:effectExtent l="25400" t="25400" r="25400" b="25400"/>
            <wp:docPr id="1034" name="image7.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0" cstate="print"/>
                    <a:srcRect l="0" t="0" r="0" b="0"/>
                    <a:stretch/>
                  </pic:blipFill>
                  <pic:spPr>
                    <a:xfrm rot="0">
                      <a:off x="0" y="0"/>
                      <a:ext cx="5943600" cy="3340100"/>
                    </a:xfrm>
                    <a:prstGeom prst="rect"/>
                    <a:ln cmpd="sng" cap="flat" w="25400">
                      <a:solidFill>
                        <a:srgbClr val="000000"/>
                      </a:solidFill>
                      <a:prstDash val="solid"/>
                      <a:round/>
                      <a:headEnd/>
                      <a:tailEnd/>
                    </a:ln>
                  </pic:spPr>
                </pic:pic>
              </a:graphicData>
            </a:graphic>
          </wp:inline>
        </w:drawing>
      </w:r>
    </w:p>
    <w:p w14:paraId="644E711A">
      <w:pPr>
        <w:pStyle w:val="style0"/>
        <w:jc w:val="center"/>
        <w:rPr>
          <w:b/>
          <w:bCs/>
        </w:rPr>
      </w:pPr>
      <w:r>
        <w:rPr>
          <w:b/>
          <w:bCs/>
        </w:rPr>
        <w:t xml:space="preserve">Figure 9: PIZZA HUT DEBUTS NEW CRISPY PARM PAN PIZZA </w:t>
      </w:r>
    </w:p>
    <w:p w14:paraId="3055D07B">
      <w:pPr>
        <w:pStyle w:val="style0"/>
        <w:jc w:val="center"/>
        <w:rPr/>
      </w:pPr>
      <w:r>
        <w:t>(Source: Pizza Hut, 2026)</w:t>
      </w:r>
    </w:p>
    <w:p w14:paraId="672BD6F2">
      <w:pPr>
        <w:pStyle w:val="style0"/>
        <w:rPr/>
      </w:pPr>
      <w:r>
        <w:rPr>
          <w:b/>
          <w:bCs/>
        </w:rPr>
        <w:t>USA (46):</w:t>
      </w:r>
      <w:r>
        <w:t xml:space="preserve"> Continuous innovation (like Crispy Parm Pan Pizza 2026) is only made possible due to similar moderate levels of tolerance (Pizza Hut, 2026).</w:t>
      </w:r>
    </w:p>
    <w:p w14:paraId="17E20112">
      <w:pPr>
        <w:pStyle w:val="style0"/>
        <w:rPr>
          <w:b/>
          <w:bCs/>
          <w:i/>
          <w:iCs/>
        </w:rPr>
      </w:pPr>
      <w:r>
        <w:rPr>
          <w:b/>
          <w:bCs/>
          <w:i/>
          <w:iCs/>
        </w:rPr>
        <w:t>Long-Term Orientation</w:t>
      </w:r>
    </w:p>
    <w:p w14:paraId="544FCC61">
      <w:pPr>
        <w:pStyle w:val="style0"/>
        <w:rPr/>
      </w:pPr>
      <w:r>
        <w:rPr>
          <w:b/>
          <w:bCs/>
        </w:rPr>
        <w:t xml:space="preserve">India (51) and USA (50): </w:t>
      </w:r>
      <w:r>
        <w:t>balanced scores contribute to long-term loyalty investments, such as Hut Rewards and long-term brands, such as 2026 Hut Originals.</w:t>
      </w:r>
    </w:p>
    <w:p w14:paraId="146091F6">
      <w:pPr>
        <w:pStyle w:val="style0"/>
        <w:rPr>
          <w:b/>
          <w:bCs/>
          <w:i/>
          <w:iCs/>
        </w:rPr>
      </w:pPr>
      <w:r>
        <w:rPr>
          <w:b/>
          <w:bCs/>
          <w:i/>
          <w:iCs/>
        </w:rPr>
        <w:t>Indulgence</w:t>
      </w:r>
    </w:p>
    <w:p w14:paraId="57CC5359">
      <w:pPr>
        <w:pStyle w:val="style0"/>
        <w:rPr/>
      </w:pPr>
      <w:r>
        <w:rPr>
          <w:b/>
          <w:bCs/>
        </w:rPr>
        <w:t xml:space="preserve">India (26): </w:t>
      </w:r>
      <w:r>
        <w:t>Restraint prefers to postpone consumption of pizza and make it an occasional, low-cost snack instead of something daily (Sharma et al., 2024).</w:t>
      </w:r>
    </w:p>
    <w:p w14:paraId="54A65406">
      <w:pPr>
        <w:pStyle w:val="style0"/>
        <w:rPr/>
      </w:pPr>
      <w:r>
        <w:rPr>
          <w:b/>
          <w:bCs/>
        </w:rPr>
        <w:t xml:space="preserve">USA (68): </w:t>
      </w:r>
      <w:r>
        <w:t xml:space="preserve">High indulgence promotes frequent promotions and campaigning </w:t>
      </w:r>
      <w:r>
        <w:t>on the basis of</w:t>
      </w:r>
      <w:r>
        <w:t xml:space="preserve"> nostalgia that promotes frequent buying of self-rewards.</w:t>
      </w:r>
    </w:p>
    <w:bookmarkStart w:id="26" w:name="_heading=h.3r4uhzo6u7e7" w:colFirst="0" w:colLast="0"/>
    <w:bookmarkStart w:id="27" w:name="_Toc235398680"/>
    <w:bookmarkEnd w:id="26"/>
    <w:p w14:paraId="0BF24A17">
      <w:pPr>
        <w:pStyle w:val="style3"/>
        <w:rPr/>
      </w:pPr>
      <w:r>
        <w:t>2.4 Strength and Weakness of Hofstede Insights</w:t>
      </w:r>
      <w:bookmarkEnd w:id="27"/>
    </w:p>
    <w:p w14:paraId="69111B03">
      <w:pPr>
        <w:pStyle w:val="style0"/>
        <w:rPr>
          <w:b/>
          <w:bCs/>
          <w:i/>
          <w:iCs/>
        </w:rPr>
      </w:pPr>
      <w:r>
        <w:rPr>
          <w:b/>
          <w:bCs/>
          <w:i/>
          <w:iCs/>
        </w:rPr>
        <w:t>Strengths</w:t>
      </w:r>
    </w:p>
    <w:p w14:paraId="504626F1">
      <w:pPr>
        <w:pStyle w:val="style0"/>
        <w:rPr/>
      </w:pPr>
      <w:r>
        <w:t xml:space="preserve">The framework by Hofstede provides Pizza Hut with a viable initial point of comparison between India and the USA based on measurable cultural dimensions, simplifying the adaptation of campaigns, collectivism of family versus individualism of solo of America. </w:t>
      </w:r>
      <w:r>
        <w:t>Large-sample</w:t>
      </w:r>
      <w:r>
        <w:t xml:space="preserve"> research supports the </w:t>
      </w:r>
      <w:r>
        <w:t>scores</w:t>
      </w:r>
      <w:r>
        <w:t xml:space="preserve"> and they are still popular in the international marketing strategy (Asir and Manohar, 2023).</w:t>
      </w:r>
    </w:p>
    <w:p w14:paraId="2E50D820">
      <w:pPr>
        <w:pStyle w:val="style0"/>
        <w:rPr>
          <w:b/>
          <w:bCs/>
          <w:i/>
          <w:iCs/>
        </w:rPr>
      </w:pPr>
      <w:r>
        <w:rPr>
          <w:b/>
          <w:bCs/>
          <w:i/>
          <w:iCs/>
        </w:rPr>
        <w:t>Weaknesses</w:t>
      </w:r>
    </w:p>
    <w:p w14:paraId="6E7FFEAA">
      <w:pPr>
        <w:pStyle w:val="style0"/>
        <w:rPr/>
      </w:pPr>
      <w:r>
        <w:t xml:space="preserve">Still, the model assumes that whole nations are homogenous cultures, which falls apart in the faster than fast case of India where the </w:t>
      </w:r>
      <w:r>
        <w:t>behaviour</w:t>
      </w:r>
      <w:r>
        <w:t xml:space="preserve"> of consumers in Mumbai is unreflective of their counterparts in rural Rajasthan (Thakur, 2025). The figures are also based on the 1990s surveys of IBM workplaces, which makes one wonder whether scores are still the same to capture the attitude of consumers in 2025-26 due to social media, globalization, and changes in generational values among consumers in the two markets.</w:t>
      </w:r>
    </w:p>
    <w:p w14:paraId="3F59C50E">
      <w:pPr>
        <w:pStyle w:val="style0"/>
        <w:rPr/>
      </w:pPr>
    </w:p>
    <w:bookmarkStart w:id="28" w:name="_heading=h.7j43ilia6gat" w:colFirst="0" w:colLast="0"/>
    <w:bookmarkStart w:id="29" w:name="_Toc235398681"/>
    <w:bookmarkEnd w:id="28"/>
    <w:p w14:paraId="72108178">
      <w:pPr>
        <w:pStyle w:val="style0"/>
        <w:rPr>
          <w:b/>
          <w:bCs/>
        </w:rPr>
      </w:pPr>
      <w:r>
        <w:br w:type="page"/>
      </w:r>
    </w:p>
    <w:p w14:paraId="71E98951">
      <w:pPr>
        <w:pStyle w:val="style2"/>
        <w:rPr/>
      </w:pPr>
      <w:r>
        <w:t>3. Market Segmentation, Targeting and Positioning (STP)</w:t>
      </w:r>
      <w:bookmarkEnd w:id="29"/>
    </w:p>
    <w:bookmarkStart w:id="30" w:name="_heading=h.8k00l5b9rxbc" w:colFirst="0" w:colLast="0"/>
    <w:bookmarkStart w:id="31" w:name="_Toc235398682"/>
    <w:bookmarkEnd w:id="30"/>
    <w:p w14:paraId="2745E376">
      <w:pPr>
        <w:pStyle w:val="style3"/>
        <w:rPr/>
      </w:pPr>
      <w:r>
        <w:t>3.1 STP Analysis</w:t>
      </w:r>
      <w:bookmarkEnd w:id="31"/>
    </w:p>
    <w:p w14:paraId="3F33E33C">
      <w:pPr>
        <w:pStyle w:val="style0"/>
        <w:rPr>
          <w:b/>
          <w:bCs/>
          <w:i/>
          <w:iCs/>
        </w:rPr>
      </w:pPr>
      <w:r>
        <w:rPr>
          <w:b/>
          <w:bCs/>
          <w:i/>
          <w:iCs/>
        </w:rPr>
        <w:t>Segmentation</w:t>
      </w:r>
    </w:p>
    <w:p w14:paraId="44A14592">
      <w:pPr>
        <w:pStyle w:val="style0"/>
        <w:jc w:val="center"/>
        <w:rPr/>
      </w:pPr>
      <w:r>
        <w:rPr>
          <w:noProof/>
        </w:rPr>
        <w:drawing>
          <wp:inline distL="0" distT="0" distB="0" distR="0">
            <wp:extent cx="5943600" cy="3048000"/>
            <wp:effectExtent l="25400" t="25400" r="25400" b="25400"/>
            <wp:docPr id="1035" name="image13.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 name="image13.png"/>
                    <pic:cNvPicPr/>
                  </pic:nvPicPr>
                  <pic:blipFill>
                    <a:blip r:embed="rId11" cstate="print"/>
                    <a:srcRect l="0" t="0" r="0" b="0"/>
                    <a:stretch/>
                  </pic:blipFill>
                  <pic:spPr>
                    <a:xfrm rot="0">
                      <a:off x="0" y="0"/>
                      <a:ext cx="5943600" cy="3048000"/>
                    </a:xfrm>
                    <a:prstGeom prst="rect"/>
                    <a:ln cmpd="sng" cap="flat" w="25400">
                      <a:solidFill>
                        <a:srgbClr val="000000"/>
                      </a:solidFill>
                      <a:prstDash val="solid"/>
                      <a:round/>
                      <a:headEnd/>
                      <a:tailEnd/>
                    </a:ln>
                  </pic:spPr>
                </pic:pic>
              </a:graphicData>
            </a:graphic>
          </wp:inline>
        </w:drawing>
      </w:r>
    </w:p>
    <w:p w14:paraId="79F6C488">
      <w:pPr>
        <w:pStyle w:val="style0"/>
        <w:jc w:val="center"/>
        <w:rPr>
          <w:b/>
          <w:bCs/>
        </w:rPr>
      </w:pPr>
      <w:r>
        <w:rPr>
          <w:b/>
          <w:bCs/>
        </w:rPr>
        <w:t>Figure 10: Pizza Hut’s Social Media Presence (2025)</w:t>
      </w:r>
    </w:p>
    <w:p w14:paraId="0ADE9516">
      <w:pPr>
        <w:pStyle w:val="style0"/>
        <w:jc w:val="center"/>
        <w:rPr/>
      </w:pPr>
      <w:r>
        <w:t xml:space="preserve">(Source: Digital </w:t>
      </w:r>
      <w:r>
        <w:t>CourseAI</w:t>
      </w:r>
      <w:r>
        <w:t xml:space="preserve"> Pvt. Ltd, 2025)</w:t>
      </w:r>
    </w:p>
    <w:p w14:paraId="180A3440">
      <w:pPr>
        <w:pStyle w:val="style0"/>
        <w:rPr/>
      </w:pPr>
      <w:r>
        <w:rPr>
          <w:b/>
          <w:bCs/>
        </w:rPr>
        <w:t xml:space="preserve">India: </w:t>
      </w:r>
      <w:r>
        <w:t xml:space="preserve">Pizza Hut uses income level, age, and city size segmentation with obvious attention given to middle class families in big cities, students and the young professionals in Tier-1 and Tier-2 cities. Behavioral cues are focused around in- dining events and family meals (Digital </w:t>
      </w:r>
      <w:r>
        <w:t>CourseAI</w:t>
      </w:r>
      <w:r>
        <w:t xml:space="preserve"> Pvt. Ltd, 2025).</w:t>
      </w:r>
    </w:p>
    <w:p w14:paraId="5A834B1F">
      <w:pPr>
        <w:pStyle w:val="style0"/>
        <w:rPr/>
      </w:pPr>
      <w:r>
        <w:rPr>
          <w:b/>
          <w:bCs/>
        </w:rPr>
        <w:t>USA:</w:t>
      </w:r>
      <w:r>
        <w:t xml:space="preserve"> Segmentation is based on income and age, and household type, but gives much more weight to value-seeking families, students and delivery-first millennials and Gen Z placing orders via apps.</w:t>
      </w:r>
    </w:p>
    <w:p w14:paraId="0CC9B14F">
      <w:pPr>
        <w:pStyle w:val="style0"/>
        <w:rPr>
          <w:b/>
          <w:bCs/>
          <w:i/>
          <w:iCs/>
        </w:rPr>
      </w:pPr>
      <w:r>
        <w:rPr>
          <w:b/>
          <w:bCs/>
          <w:i/>
          <w:iCs/>
        </w:rPr>
        <w:br w:type="page"/>
      </w:r>
    </w:p>
    <w:p w14:paraId="79E5D639">
      <w:pPr>
        <w:pStyle w:val="style0"/>
        <w:rPr>
          <w:b/>
          <w:bCs/>
          <w:i/>
          <w:iCs/>
        </w:rPr>
      </w:pPr>
      <w:r>
        <w:rPr>
          <w:b/>
          <w:bCs/>
          <w:i/>
          <w:iCs/>
        </w:rPr>
        <w:t>Targeting</w:t>
      </w:r>
    </w:p>
    <w:p w14:paraId="0158537A">
      <w:pPr>
        <w:pStyle w:val="style0"/>
        <w:rPr/>
      </w:pPr>
      <w:r>
        <w:rPr>
          <w:b/>
          <w:bCs/>
        </w:rPr>
        <w:t>India:</w:t>
      </w:r>
      <w:r>
        <w:t xml:space="preserve"> Devyani is focusing on aspirational middle-class families with the dine-in-forward omnichannel model, with which the company keeps reporting double-digit same-store sales growth in the state of Tamil Nadu when the national scope is getting weaker.</w:t>
      </w:r>
    </w:p>
    <w:p w14:paraId="34873215">
      <w:pPr>
        <w:pStyle w:val="style0"/>
        <w:rPr/>
      </w:pPr>
      <w:r>
        <w:rPr>
          <w:b/>
          <w:bCs/>
        </w:rPr>
        <w:t>USA:</w:t>
      </w:r>
      <w:r>
        <w:t xml:space="preserve"> Pizza Hut focuses on dealers and solo-diners on piercing price deals, the most notable of 2-dollar Tuesday Personal Pan Pizza promotions and the introduction of 5-dollar Crafted </w:t>
      </w:r>
      <w:r>
        <w:t>Flatzz</w:t>
      </w:r>
      <w:r>
        <w:t xml:space="preserve"> personal pizzas in August 2025 (Cobe, 2025).</w:t>
      </w:r>
    </w:p>
    <w:p w14:paraId="41992366">
      <w:pPr>
        <w:pStyle w:val="style0"/>
        <w:rPr>
          <w:b/>
          <w:bCs/>
          <w:i/>
          <w:iCs/>
        </w:rPr>
      </w:pPr>
      <w:r>
        <w:rPr>
          <w:b/>
          <w:bCs/>
          <w:i/>
          <w:iCs/>
        </w:rPr>
        <w:t>Positioning</w:t>
      </w:r>
    </w:p>
    <w:p w14:paraId="2AEFE83E">
      <w:pPr>
        <w:pStyle w:val="style0"/>
        <w:rPr/>
      </w:pPr>
      <w:r>
        <w:rPr>
          <w:b/>
          <w:bCs/>
        </w:rPr>
        <w:t xml:space="preserve">India: </w:t>
      </w:r>
      <w:r>
        <w:t>As a low cost and family-friendly dine-in and delivery restaurant, it will be differentiated on experience and not extreme speed as Domino Pizza.</w:t>
      </w:r>
    </w:p>
    <w:p w14:paraId="50AD6F22">
      <w:pPr>
        <w:pStyle w:val="style0"/>
        <w:rPr/>
      </w:pPr>
      <w:r>
        <w:rPr>
          <w:b/>
          <w:bCs/>
        </w:rPr>
        <w:t>USA:</w:t>
      </w:r>
      <w:r>
        <w:t xml:space="preserve"> Circled by innovation, nostalgia, and value, with a </w:t>
      </w:r>
      <w:r>
        <w:t>centre</w:t>
      </w:r>
      <w:r>
        <w:t xml:space="preserve"> around </w:t>
      </w:r>
      <w:r>
        <w:t>the June</w:t>
      </w:r>
      <w:r>
        <w:t xml:space="preserve"> 2026 Hut Originals platform - bringing back red roofs, checkered </w:t>
      </w:r>
      <w:r>
        <w:t>tableclothing</w:t>
      </w:r>
      <w:r>
        <w:t xml:space="preserve">, and the BOOK IT! reading </w:t>
      </w:r>
      <w:r>
        <w:t>programme</w:t>
      </w:r>
      <w:r>
        <w:t xml:space="preserve"> (Pizza Hut, 2026a).</w:t>
      </w:r>
    </w:p>
    <w:bookmarkStart w:id="32" w:name="_heading=h.aiggptrnc196" w:colFirst="0" w:colLast="0"/>
    <w:bookmarkStart w:id="33" w:name="_Toc235398683"/>
    <w:bookmarkEnd w:id="32"/>
    <w:p w14:paraId="288D58AC">
      <w:pPr>
        <w:pStyle w:val="style3"/>
        <w:rPr/>
      </w:pPr>
      <w:r>
        <w:t>3.2 Similarity and Difference between two countries</w:t>
      </w:r>
      <w:bookmarkEnd w:id="33"/>
    </w:p>
    <w:p w14:paraId="518F98D9">
      <w:pPr>
        <w:pStyle w:val="style0"/>
        <w:rPr>
          <w:b/>
          <w:bCs/>
        </w:rPr>
      </w:pPr>
      <w:r>
        <w:rPr>
          <w:b/>
          <w:bCs/>
        </w:rPr>
        <w:t>Similarities</w:t>
      </w:r>
    </w:p>
    <w:p w14:paraId="0CE798EC">
      <w:pPr>
        <w:pStyle w:val="style0"/>
        <w:rPr/>
      </w:pPr>
      <w:r>
        <w:t xml:space="preserve">The countries, including the UK and India, were chosen, as they are both strategically crucial markets to Pizza Hut, involving a high level of </w:t>
      </w:r>
      <w:r>
        <w:t>urbanisation</w:t>
      </w:r>
      <w:r>
        <w:t xml:space="preserve">, digital food delivery growth, and youth and family demand. The comparison of Pizza hut UK and India reveals that the </w:t>
      </w:r>
      <w:r>
        <w:t>globalisation</w:t>
      </w:r>
      <w:r>
        <w:t xml:space="preserve"> of brand positioning and </w:t>
      </w:r>
      <w:r>
        <w:t>localisation</w:t>
      </w:r>
      <w:r>
        <w:t xml:space="preserve"> of product, price, promotion and digital marketing to unique consumer </w:t>
      </w:r>
      <w:r>
        <w:t>behaviour</w:t>
      </w:r>
      <w:r>
        <w:t xml:space="preserve"> following specific preferences and competitive and risk factors (Hynum, 2025).</w:t>
      </w:r>
    </w:p>
    <w:p w14:paraId="2BE25247">
      <w:pPr>
        <w:pStyle w:val="style0"/>
        <w:rPr>
          <w:b/>
          <w:bCs/>
        </w:rPr>
      </w:pPr>
      <w:r>
        <w:rPr>
          <w:b/>
          <w:bCs/>
        </w:rPr>
        <w:t>Differences</w:t>
      </w:r>
    </w:p>
    <w:p w14:paraId="247B3EA5">
      <w:pPr>
        <w:pStyle w:val="style0"/>
        <w:rPr/>
      </w:pPr>
      <w:r>
        <w:rPr>
          <w:b/>
          <w:bCs/>
          <w:i/>
          <w:iCs/>
        </w:rPr>
        <w:t xml:space="preserve">India: </w:t>
      </w:r>
      <w:r>
        <w:t xml:space="preserve">The distribution of the segmentation is biased towards price-sensitive, collectivist families in/metros and Tier-2 cities. Dining out </w:t>
      </w:r>
      <w:r>
        <w:t>The</w:t>
      </w:r>
      <w:r>
        <w:t xml:space="preserve"> focus of targeting is on dine-in-forward events with sharing offers of ₹99 (Iyer, 2025). Positioning focuses on the idea of affordability and community and creates aspirational relevance based on the endorsement of cricket stars.</w:t>
      </w:r>
    </w:p>
    <w:p w14:paraId="271EF30B">
      <w:pPr>
        <w:pStyle w:val="style0"/>
        <w:rPr/>
      </w:pPr>
      <w:r>
        <w:rPr>
          <w:b/>
          <w:bCs/>
          <w:i/>
          <w:iCs/>
        </w:rPr>
        <w:t xml:space="preserve">USA: </w:t>
      </w:r>
      <w:r>
        <w:t xml:space="preserve">The target is health-conscious millennials and Gen Z solo diners, and deal seekers. Targeting races personal offers such as 5-dollar Crafted </w:t>
      </w:r>
      <w:r>
        <w:t>Flatzz</w:t>
      </w:r>
      <w:r>
        <w:t xml:space="preserve"> and $2 Tuesday deals. Positioning is based on nostalgia using the 2026 Hut Originals prominent platform and customized self-reward message (Thakkar, 2026).</w:t>
      </w:r>
    </w:p>
    <w:p w14:paraId="695EC230">
      <w:pPr>
        <w:pStyle w:val="style0"/>
        <w:rPr/>
      </w:pPr>
    </w:p>
    <w:bookmarkStart w:id="34" w:name="_heading=h.3piil0p246nh" w:colFirst="0" w:colLast="0"/>
    <w:bookmarkStart w:id="35" w:name="_Toc235398684"/>
    <w:bookmarkEnd w:id="34"/>
    <w:p w14:paraId="0AFB7D0E">
      <w:pPr>
        <w:pStyle w:val="style0"/>
        <w:rPr>
          <w:b/>
          <w:bCs/>
        </w:rPr>
      </w:pPr>
      <w:r>
        <w:br w:type="page"/>
      </w:r>
    </w:p>
    <w:p w14:paraId="734C996E">
      <w:pPr>
        <w:pStyle w:val="style2"/>
        <w:keepNext w:val="false"/>
        <w:keepLines w:val="false"/>
        <w:spacing w:before="360" w:after="80"/>
        <w:rPr/>
      </w:pPr>
      <w:r>
        <w:t>4. Marketing Mix (7Ps)</w:t>
      </w:r>
      <w:bookmarkEnd w:id="35"/>
    </w:p>
    <w:p w14:paraId="5CA703AD">
      <w:pPr>
        <w:pStyle w:val="style0"/>
        <w:rPr>
          <w:b/>
          <w:bCs/>
        </w:rPr>
      </w:pPr>
      <w:r>
        <w:rPr>
          <w:b/>
          <w:bCs/>
        </w:rPr>
        <w:t>Product</w:t>
      </w:r>
    </w:p>
    <w:p w14:paraId="0E44E149">
      <w:pPr>
        <w:pStyle w:val="style0"/>
        <w:rPr/>
      </w:pPr>
      <w:r>
        <w:rPr>
          <w:b/>
          <w:bCs/>
          <w:i/>
          <w:iCs/>
        </w:rPr>
        <w:t xml:space="preserve">India: </w:t>
      </w:r>
      <w:r>
        <w:t xml:space="preserve">Menu varies to local preferences topped with paneer, tandoori and chicken tikka, large vegetarian menu, and smaller portions. In late 2025, Crafted </w:t>
      </w:r>
      <w:r>
        <w:t>Flatzz</w:t>
      </w:r>
      <w:r>
        <w:t xml:space="preserve"> rolled out to India, with a Pesto Veggie (Crafted </w:t>
      </w:r>
      <w:r>
        <w:t>Flatzz</w:t>
      </w:r>
      <w:r>
        <w:t>) with Balsamic Drizzle variation tailored to the market (Hynum, 2025).</w:t>
      </w:r>
    </w:p>
    <w:p w14:paraId="03837468">
      <w:pPr>
        <w:pStyle w:val="style0"/>
        <w:rPr/>
      </w:pPr>
      <w:r>
        <w:rPr>
          <w:b/>
          <w:bCs/>
          <w:i/>
          <w:iCs/>
        </w:rPr>
        <w:t>USA:</w:t>
      </w:r>
      <w:r>
        <w:t xml:space="preserve"> U.S. menu is pegged on traditional icons such as Original Pan and Stuffed </w:t>
      </w:r>
      <w:r>
        <w:t>Crust</w:t>
      </w:r>
      <w:r>
        <w:t xml:space="preserve"> and the innovation is pushing through Crafted </w:t>
      </w:r>
      <w:r>
        <w:t>Flatzz</w:t>
      </w:r>
      <w:r>
        <w:t xml:space="preserve"> (August 2025) and Crispy Parm Pan Pizza under the Hut Crust branding in May 2026. The Hut Originals brand of 2026 brought back menu items and formats reminiscent of the past.</w:t>
      </w:r>
    </w:p>
    <w:p w14:paraId="651566D0">
      <w:pPr>
        <w:pStyle w:val="style0"/>
        <w:rPr>
          <w:b/>
          <w:bCs/>
        </w:rPr>
      </w:pPr>
      <w:r>
        <w:rPr>
          <w:b/>
          <w:bCs/>
        </w:rPr>
        <w:t>Price</w:t>
      </w:r>
    </w:p>
    <w:p w14:paraId="011619C6">
      <w:pPr>
        <w:pStyle w:val="style0"/>
        <w:rPr/>
      </w:pPr>
      <w:r>
        <w:rPr>
          <w:b/>
          <w:bCs/>
          <w:i/>
          <w:iCs/>
        </w:rPr>
        <w:t xml:space="preserve">India: </w:t>
      </w:r>
      <w:r>
        <w:t xml:space="preserve">Value-based, pan pizzas costing around ₹99, and family packs at prices to match Domino Everyday Value. In September 2025 the GST 2.0 </w:t>
      </w:r>
      <w:r>
        <w:t>rationalisation</w:t>
      </w:r>
      <w:r>
        <w:t xml:space="preserve"> assisted in consumer price pressures.</w:t>
      </w:r>
    </w:p>
    <w:p w14:paraId="47E77D19">
      <w:pPr>
        <w:pStyle w:val="style0"/>
        <w:jc w:val="center"/>
        <w:rPr/>
      </w:pPr>
      <w:r>
        <w:rPr>
          <w:noProof/>
        </w:rPr>
        <w:drawing>
          <wp:inline distL="0" distT="0" distB="0" distR="0">
            <wp:extent cx="5549900" cy="2984500"/>
            <wp:effectExtent l="38100" t="38100" r="31750" b="44450"/>
            <wp:docPr id="1036" name="image11.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 name="image11.png"/>
                    <pic:cNvPicPr/>
                  </pic:nvPicPr>
                  <pic:blipFill>
                    <a:blip r:embed="rId12" cstate="print"/>
                    <a:srcRect l="0" t="0" r="0" b="0"/>
                    <a:stretch/>
                  </pic:blipFill>
                  <pic:spPr>
                    <a:xfrm rot="0">
                      <a:off x="0" y="0"/>
                      <a:ext cx="5549900" cy="2984500"/>
                    </a:xfrm>
                    <a:prstGeom prst="rect"/>
                    <a:ln cmpd="sng" cap="flat" w="25400">
                      <a:solidFill>
                        <a:srgbClr val="000000"/>
                      </a:solidFill>
                      <a:prstDash val="solid"/>
                      <a:round/>
                      <a:headEnd/>
                      <a:tailEnd/>
                    </a:ln>
                  </pic:spPr>
                </pic:pic>
              </a:graphicData>
            </a:graphic>
          </wp:inline>
        </w:drawing>
      </w:r>
    </w:p>
    <w:p w14:paraId="16B6FC75">
      <w:pPr>
        <w:pStyle w:val="style0"/>
        <w:jc w:val="center"/>
        <w:rPr>
          <w:b/>
          <w:bCs/>
        </w:rPr>
      </w:pPr>
      <w:r>
        <w:rPr>
          <w:b/>
          <w:bCs/>
        </w:rPr>
        <w:t xml:space="preserve">Figure 11: Drop in </w:t>
      </w:r>
      <w:r>
        <w:rPr>
          <w:b/>
          <w:bCs/>
        </w:rPr>
        <w:t>same store sales</w:t>
      </w:r>
      <w:r>
        <w:rPr>
          <w:b/>
          <w:bCs/>
        </w:rPr>
        <w:t xml:space="preserve"> of Yum!</w:t>
      </w:r>
    </w:p>
    <w:p w14:paraId="04FFC151">
      <w:pPr>
        <w:pStyle w:val="style0"/>
        <w:jc w:val="center"/>
        <w:rPr/>
      </w:pPr>
      <w:r>
        <w:t>(Source: Kayode Omotosho, 2026)</w:t>
      </w:r>
    </w:p>
    <w:p w14:paraId="62A7E55D">
      <w:pPr>
        <w:pStyle w:val="style0"/>
        <w:rPr/>
      </w:pPr>
      <w:r>
        <w:rPr>
          <w:b/>
          <w:bCs/>
          <w:i/>
          <w:iCs/>
        </w:rPr>
        <w:t xml:space="preserve">USA: </w:t>
      </w:r>
      <w:r>
        <w:t xml:space="preserve">Price war in 202526- Aggressive Value pricing as it responds to Dominos with headline deals (which will be $2 Tuesday Personal Pan Pizza and 5 Crafted </w:t>
      </w:r>
      <w:r>
        <w:t>Flatzz</w:t>
      </w:r>
      <w:r>
        <w:t xml:space="preserve"> before 5pm). Yum! CEO </w:t>
      </w:r>
      <w:r>
        <w:t>publically</w:t>
      </w:r>
      <w:r>
        <w:t xml:space="preserve"> attributed the drop of value perception to the 5% FY25 U.S. same-store sales to the value perception. (Kayode Omotosho, 2026)</w:t>
      </w:r>
    </w:p>
    <w:p w14:paraId="5E170FAD">
      <w:pPr>
        <w:pStyle w:val="style0"/>
        <w:rPr>
          <w:b/>
          <w:bCs/>
        </w:rPr>
      </w:pPr>
      <w:r>
        <w:rPr>
          <w:b/>
          <w:bCs/>
        </w:rPr>
        <w:t>Place</w:t>
      </w:r>
    </w:p>
    <w:p w14:paraId="35C15975">
      <w:pPr>
        <w:pStyle w:val="style0"/>
        <w:rPr/>
      </w:pPr>
      <w:r>
        <w:rPr>
          <w:b/>
          <w:bCs/>
          <w:i/>
          <w:iCs/>
        </w:rPr>
        <w:t xml:space="preserve">India: </w:t>
      </w:r>
      <w:r>
        <w:t>649 Pizza Hut franchisees arranged by Devyani and elsewhere with Sapphire distributed across the dine-in restaurants and delivery hubs and food-court kiosks. The Devyani-Sapphire merger puts the footprint of the franchisee under one Yum! India operator (Salve, 2026).</w:t>
      </w:r>
    </w:p>
    <w:p w14:paraId="5591AFC6">
      <w:pPr>
        <w:pStyle w:val="style0"/>
        <w:rPr/>
      </w:pPr>
      <w:r>
        <w:rPr>
          <w:b/>
          <w:bCs/>
          <w:i/>
          <w:iCs/>
        </w:rPr>
        <w:t>USA:</w:t>
      </w:r>
      <w:r>
        <w:t xml:space="preserve"> 6,121 Red Roof restaurants in the U.S. to Q1 2026, divided by dine-in, delivery-only and Express format within Target stores and airports. At the start of 2026, approximately 250 loss-making stores were shut as a part of the Hut Forward program (Hynum, 2026).</w:t>
      </w:r>
    </w:p>
    <w:p w14:paraId="511129B4">
      <w:pPr>
        <w:pStyle w:val="style0"/>
        <w:rPr>
          <w:b/>
          <w:bCs/>
        </w:rPr>
      </w:pPr>
      <w:r>
        <w:rPr>
          <w:b/>
          <w:bCs/>
        </w:rPr>
        <w:t>Promotion</w:t>
      </w:r>
    </w:p>
    <w:p w14:paraId="1A79B203">
      <w:pPr>
        <w:pStyle w:val="style0"/>
        <w:rPr/>
      </w:pPr>
      <w:r>
        <w:rPr>
          <w:b/>
          <w:bCs/>
          <w:i/>
          <w:iCs/>
        </w:rPr>
        <w:t>India:</w:t>
      </w:r>
      <w:r>
        <w:t xml:space="preserve"> Crafted </w:t>
      </w:r>
      <w:r>
        <w:t>Flatzz</w:t>
      </w:r>
      <w:r>
        <w:t xml:space="preserve"> 2026 was a campaign that involved cricketing players (Shivam Dube, Varun Chakravarthy, and Harshit Rana) through cashing in on the attention of IPL season. Zomato, Swiggy and Instagram Reels are extensively used in terms of promoting.</w:t>
      </w:r>
    </w:p>
    <w:p w14:paraId="49AEEBD7">
      <w:pPr>
        <w:pStyle w:val="style0"/>
        <w:rPr/>
      </w:pPr>
      <w:r>
        <w:rPr>
          <w:b/>
          <w:bCs/>
          <w:i/>
          <w:iCs/>
        </w:rPr>
        <w:t xml:space="preserve">USA: </w:t>
      </w:r>
      <w:r>
        <w:t>Content and promotions via digital means: Hut Rewards, Tik Tok and time-boxed value. The Hut Originals of June 2026 platform drives very heavy on Gen X and millennial nostalgia, in the form of red cups, check tablecloths, BOOK IT! Retros (Grocery Trade News, 2026).</w:t>
      </w:r>
    </w:p>
    <w:p w14:paraId="1707521C">
      <w:pPr>
        <w:pStyle w:val="style0"/>
        <w:rPr>
          <w:b/>
          <w:bCs/>
        </w:rPr>
      </w:pPr>
      <w:r>
        <w:rPr>
          <w:b/>
          <w:bCs/>
        </w:rPr>
        <w:br w:type="page"/>
      </w:r>
    </w:p>
    <w:p w14:paraId="569A6D46">
      <w:pPr>
        <w:pStyle w:val="style0"/>
        <w:rPr>
          <w:b/>
          <w:bCs/>
        </w:rPr>
      </w:pPr>
      <w:r>
        <w:rPr>
          <w:b/>
          <w:bCs/>
        </w:rPr>
        <w:t>People</w:t>
      </w:r>
    </w:p>
    <w:p w14:paraId="7D5EEBEB">
      <w:pPr>
        <w:pStyle w:val="style0"/>
        <w:jc w:val="center"/>
        <w:rPr>
          <w:b/>
          <w:bCs/>
        </w:rPr>
      </w:pPr>
      <w:r>
        <w:rPr>
          <w:b/>
          <w:bCs/>
          <w:noProof/>
        </w:rPr>
        <w:drawing>
          <wp:inline distL="0" distT="0" distB="0" distR="0">
            <wp:extent cx="5943600" cy="5130800"/>
            <wp:effectExtent l="25400" t="25400" r="25400" b="25400"/>
            <wp:docPr id="1037" name="image10.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1" name="image10.png"/>
                    <pic:cNvPicPr/>
                  </pic:nvPicPr>
                  <pic:blipFill>
                    <a:blip r:embed="rId13" cstate="print"/>
                    <a:srcRect l="0" t="0" r="0" b="0"/>
                    <a:stretch/>
                  </pic:blipFill>
                  <pic:spPr>
                    <a:xfrm rot="0">
                      <a:off x="0" y="0"/>
                      <a:ext cx="5943600" cy="5130800"/>
                    </a:xfrm>
                    <a:prstGeom prst="rect"/>
                    <a:ln cmpd="sng" cap="flat" w="25400">
                      <a:solidFill>
                        <a:srgbClr val="000000"/>
                      </a:solidFill>
                      <a:prstDash val="solid"/>
                      <a:round/>
                      <a:headEnd/>
                      <a:tailEnd/>
                    </a:ln>
                  </pic:spPr>
                </pic:pic>
              </a:graphicData>
            </a:graphic>
          </wp:inline>
        </w:drawing>
      </w:r>
    </w:p>
    <w:p w14:paraId="3D8DA03D">
      <w:pPr>
        <w:pStyle w:val="style0"/>
        <w:jc w:val="center"/>
        <w:rPr>
          <w:b/>
          <w:bCs/>
        </w:rPr>
      </w:pPr>
      <w:r>
        <w:rPr>
          <w:b/>
          <w:bCs/>
        </w:rPr>
        <w:t>Figure 12: Average Daily Sales of Yum Group</w:t>
      </w:r>
    </w:p>
    <w:p w14:paraId="7D492663">
      <w:pPr>
        <w:pStyle w:val="style0"/>
        <w:jc w:val="center"/>
        <w:rPr/>
      </w:pPr>
      <w:r>
        <w:t>(Source: Patil, 2026)</w:t>
      </w:r>
    </w:p>
    <w:p w14:paraId="7A52A92F">
      <w:pPr>
        <w:pStyle w:val="style0"/>
        <w:rPr/>
      </w:pPr>
      <w:r>
        <w:rPr>
          <w:b/>
          <w:bCs/>
          <w:i/>
          <w:iCs/>
        </w:rPr>
        <w:t xml:space="preserve">India: </w:t>
      </w:r>
      <w:r>
        <w:t>Devyani has thousands of personnel in its Yum! The network of India is based on the training which is focused on the quality of dine-in service provided - a significant differentiator with Dino Pizza delivery-only business model. There are Tier-2 cities that are very heavy on hiring (Patil, 2026).</w:t>
      </w:r>
    </w:p>
    <w:p w14:paraId="50316EC7">
      <w:pPr>
        <w:pStyle w:val="style0"/>
        <w:rPr/>
      </w:pPr>
      <w:r>
        <w:rPr>
          <w:b/>
          <w:bCs/>
          <w:i/>
          <w:iCs/>
        </w:rPr>
        <w:t xml:space="preserve">USA: </w:t>
      </w:r>
      <w:r>
        <w:t xml:space="preserve">There </w:t>
      </w:r>
      <w:r>
        <w:t>is</w:t>
      </w:r>
      <w:r>
        <w:t xml:space="preserve"> the increasing state minimum wages, which remains in the process of increasing </w:t>
      </w:r>
      <w:r>
        <w:t>labour</w:t>
      </w:r>
      <w:r>
        <w:t xml:space="preserve"> costs, and this is one of the reasons why Yum! is selling off Pizza Hut. Training of staff is </w:t>
      </w:r>
      <w:r>
        <w:t>aimed at speed, accuracy of digital orders and drive-through implementation as opposed to dine-in.</w:t>
      </w:r>
    </w:p>
    <w:p w14:paraId="1373A821">
      <w:pPr>
        <w:pStyle w:val="style0"/>
        <w:rPr>
          <w:b/>
          <w:bCs/>
        </w:rPr>
      </w:pPr>
      <w:r>
        <w:rPr>
          <w:b/>
          <w:bCs/>
        </w:rPr>
        <w:t>Process</w:t>
      </w:r>
    </w:p>
    <w:p w14:paraId="5705B9AD">
      <w:pPr>
        <w:pStyle w:val="style0"/>
        <w:rPr/>
      </w:pPr>
      <w:r>
        <w:rPr>
          <w:b/>
          <w:bCs/>
          <w:i/>
          <w:iCs/>
        </w:rPr>
        <w:t xml:space="preserve">India: </w:t>
      </w:r>
      <w:r>
        <w:t>Devyani has made investments in central commissaries and Swiggy and Zomato delivery integrations. Most small ticket transactions are now done by UPI payments, reducing friction associated with takeaway orders.</w:t>
      </w:r>
    </w:p>
    <w:p w14:paraId="11B10AD3">
      <w:pPr>
        <w:pStyle w:val="style0"/>
        <w:rPr/>
      </w:pPr>
      <w:r>
        <w:rPr>
          <w:b/>
          <w:bCs/>
          <w:i/>
          <w:iCs/>
        </w:rPr>
        <w:t xml:space="preserve">USA: </w:t>
      </w:r>
      <w:r>
        <w:t xml:space="preserve">Byte by Yum! operates the digital-order and kitchen management stack, and digital orders currently make up over half of all the transactions. Hut Rewards feeds </w:t>
      </w:r>
      <w:r>
        <w:t>off of</w:t>
      </w:r>
      <w:r>
        <w:t xml:space="preserve"> AI-based </w:t>
      </w:r>
      <w:r>
        <w:t>personalisation</w:t>
      </w:r>
      <w:r>
        <w:t xml:space="preserve"> (Yum.com, 2025).</w:t>
      </w:r>
    </w:p>
    <w:p w14:paraId="4FF9067C">
      <w:pPr>
        <w:pStyle w:val="style0"/>
        <w:rPr>
          <w:b/>
          <w:bCs/>
        </w:rPr>
      </w:pPr>
      <w:r>
        <w:rPr>
          <w:b/>
          <w:bCs/>
        </w:rPr>
        <w:t>Physical Evidence</w:t>
      </w:r>
    </w:p>
    <w:p w14:paraId="1F7AA7FA">
      <w:pPr>
        <w:pStyle w:val="style0"/>
        <w:rPr/>
      </w:pPr>
      <w:r>
        <w:rPr>
          <w:b/>
          <w:bCs/>
          <w:i/>
          <w:iCs/>
        </w:rPr>
        <w:t>India:</w:t>
      </w:r>
      <w:r>
        <w:t xml:space="preserve"> The traditional Red Roof branding and locally themed interiors are found in the dine-in restaurants with cricket-linked signage in the IPL season and veggie symbols attractively displayed on packaging.</w:t>
      </w:r>
    </w:p>
    <w:p w14:paraId="3F8AEEFF">
      <w:pPr>
        <w:pStyle w:val="style0"/>
        <w:rPr/>
      </w:pPr>
      <w:r>
        <w:rPr>
          <w:b/>
          <w:bCs/>
          <w:i/>
          <w:iCs/>
        </w:rPr>
        <w:t>USA:</w:t>
      </w:r>
      <w:r>
        <w:t xml:space="preserve"> Hut Originals when launched in 2026 reintroduced red roofs, red cups, and checkered </w:t>
      </w:r>
      <w:r>
        <w:t>table cloths</w:t>
      </w:r>
      <w:r>
        <w:t xml:space="preserve"> as a reference to emotion. Packaging has not changed </w:t>
      </w:r>
      <w:r>
        <w:t>much</w:t>
      </w:r>
      <w:r>
        <w:t xml:space="preserve"> and sustainability upgrades accompaniment is linked to Better Packaging commitments of Yum! (</w:t>
      </w:r>
      <w:r>
        <w:t>Buyikian</w:t>
      </w:r>
      <w:r>
        <w:t>, 2026).</w:t>
      </w:r>
    </w:p>
    <w:bookmarkStart w:id="36" w:name="_heading=h.8gfsqwj3qaww" w:colFirst="0" w:colLast="0"/>
    <w:bookmarkStart w:id="37" w:name="_Toc235398685"/>
    <w:bookmarkEnd w:id="36"/>
    <w:p w14:paraId="4FFF89EC">
      <w:pPr>
        <w:pStyle w:val="style2"/>
        <w:rPr/>
      </w:pPr>
      <w:r>
        <w:t>5. Analysis of Entry Methods</w:t>
      </w:r>
      <w:bookmarkEnd w:id="37"/>
    </w:p>
    <w:bookmarkStart w:id="38" w:name="_heading=h.ralu9gdx3rti" w:colFirst="0" w:colLast="0"/>
    <w:bookmarkStart w:id="39" w:name="_Toc235398686"/>
    <w:bookmarkEnd w:id="38"/>
    <w:p w14:paraId="195B020C">
      <w:pPr>
        <w:pStyle w:val="style3"/>
        <w:spacing w:before="240" w:after="240"/>
        <w:rPr/>
      </w:pPr>
      <w:r>
        <w:t>5.1 Franchising as the Primary Entry Mode</w:t>
      </w:r>
      <w:bookmarkEnd w:id="39"/>
    </w:p>
    <w:p w14:paraId="536A3BA2">
      <w:pPr>
        <w:pStyle w:val="style0"/>
        <w:spacing w:before="240" w:after="240"/>
        <w:rPr/>
      </w:pPr>
      <w:r>
        <w:t xml:space="preserve">Pizza Hut had entered the Indian market in 1996 with a master franchise concept, which had allowed it to have </w:t>
      </w:r>
      <w:r>
        <w:t>high-presence</w:t>
      </w:r>
      <w:r>
        <w:t xml:space="preserve"> in major areas. As of December 2025, Devyani International had 649 Pizza Hut franchises, and Sapphire Foods operated restaurants in 11 states of India. The Devyani-Sapphire merger suggested should help Pizza Hut increase its presence in the market as a part of Yum! Brands, developing a bigger integrated franchise network with a higher level of operation scale and market coverage. The franchisees altogether earned 3,022 stores as part of their brand portfolios, with ₹6.49 crore in revenue contribution as of March 2025 (Jaswal, 2026b).</w:t>
      </w:r>
    </w:p>
    <w:bookmarkStart w:id="40" w:name="_heading=h.5iowv6d40fpz" w:colFirst="0" w:colLast="0"/>
    <w:bookmarkStart w:id="41" w:name="_Toc235398687"/>
    <w:bookmarkEnd w:id="40"/>
    <w:p w14:paraId="2D7E9550">
      <w:pPr>
        <w:pStyle w:val="style3"/>
        <w:spacing w:before="240" w:after="240"/>
        <w:rPr/>
      </w:pPr>
      <w:r>
        <w:t>5.2 Advantages of Franchising</w:t>
      </w:r>
      <w:bookmarkEnd w:id="41"/>
    </w:p>
    <w:p w14:paraId="6C32E145">
      <w:pPr>
        <w:pStyle w:val="style0"/>
        <w:spacing w:before="240" w:after="240"/>
        <w:rPr/>
      </w:pPr>
      <w:r>
        <w:rPr>
          <w:b/>
          <w:bCs/>
          <w:i/>
          <w:iCs/>
        </w:rPr>
        <w:t>Reduced capital risk:</w:t>
      </w:r>
      <w:r>
        <w:t xml:space="preserve"> Yum! does not have to invest directly in real estate, personnel and supply chains within a geographically complex market. </w:t>
      </w:r>
    </w:p>
    <w:p w14:paraId="76F911A5">
      <w:pPr>
        <w:pStyle w:val="style0"/>
        <w:spacing w:before="240" w:after="240"/>
        <w:rPr/>
      </w:pPr>
      <w:r>
        <w:rPr>
          <w:b/>
          <w:bCs/>
          <w:i/>
          <w:iCs/>
        </w:rPr>
        <w:t>Local know-how</w:t>
      </w:r>
      <w:r>
        <w:t xml:space="preserve">: Devyani and Sapphire would have local market experience, developed contacts with existing vendors, and contact with landlords in metro and Tier-2 towns. </w:t>
      </w:r>
    </w:p>
    <w:p w14:paraId="4C26D144">
      <w:pPr>
        <w:pStyle w:val="style0"/>
        <w:spacing w:before="240" w:after="240"/>
        <w:rPr/>
      </w:pPr>
      <w:r>
        <w:rPr>
          <w:b/>
          <w:bCs/>
          <w:i/>
          <w:iCs/>
        </w:rPr>
        <w:t>More rapid scalability</w:t>
      </w:r>
      <w:r>
        <w:t>: Franchising has allowed Yum! to grow fast without operations incurring losses directly which is vital considering that same-store sales decreased at Pizza Hut India at Devyani by 5.3% FY26 (Misra, 2026).</w:t>
      </w:r>
    </w:p>
    <w:bookmarkStart w:id="42" w:name="_heading=h.10vf8wt9c91v" w:colFirst="0" w:colLast="0"/>
    <w:bookmarkStart w:id="43" w:name="_Toc235398688"/>
    <w:bookmarkEnd w:id="42"/>
    <w:p w14:paraId="0836EDF4">
      <w:pPr>
        <w:pStyle w:val="style3"/>
        <w:rPr/>
      </w:pPr>
      <w:r>
        <w:t>5.3 Disadvantages of Franchising</w:t>
      </w:r>
      <w:bookmarkEnd w:id="43"/>
    </w:p>
    <w:p w14:paraId="3E5371B9">
      <w:pPr>
        <w:pStyle w:val="style0"/>
        <w:rPr/>
      </w:pPr>
      <w:r>
        <w:rPr>
          <w:b/>
          <w:bCs/>
          <w:i/>
          <w:iCs/>
        </w:rPr>
        <w:t xml:space="preserve">Lack of control: </w:t>
      </w:r>
      <w:r>
        <w:t xml:space="preserve">The operation of two competing franchisees over several years resulted in irregular pricing and quality of service and brand experience in different regions. </w:t>
      </w:r>
    </w:p>
    <w:p w14:paraId="223E9602">
      <w:pPr>
        <w:pStyle w:val="style0"/>
        <w:rPr/>
      </w:pPr>
      <w:r>
        <w:rPr>
          <w:b/>
          <w:bCs/>
          <w:i/>
          <w:iCs/>
        </w:rPr>
        <w:t>Turnaround challenge:</w:t>
      </w:r>
      <w:r>
        <w:t xml:space="preserve"> The announcement of a stop in the net new openings and a shutting down of loss-making stores in 2026 indicates that </w:t>
      </w:r>
      <w:r>
        <w:t>franchisee</w:t>
      </w:r>
      <w:r>
        <w:t>-level losses can decelerate brand expansion in the country (Wojciehowski, 2026).</w:t>
      </w:r>
    </w:p>
    <w:bookmarkStart w:id="44" w:name="_heading=h.ew4ggo9k5ppy" w:colFirst="0" w:colLast="0"/>
    <w:bookmarkStart w:id="45" w:name="_Toc235398689"/>
    <w:bookmarkEnd w:id="44"/>
    <w:p w14:paraId="0C77F627">
      <w:pPr>
        <w:pStyle w:val="style0"/>
        <w:rPr>
          <w:b/>
          <w:bCs/>
        </w:rPr>
      </w:pPr>
      <w:r>
        <w:br w:type="page"/>
      </w:r>
    </w:p>
    <w:p w14:paraId="560D8F5C">
      <w:pPr>
        <w:pStyle w:val="style2"/>
        <w:rPr/>
      </w:pPr>
      <w:r>
        <w:t>6. Ethical Evaluation of Pizza Hut's Marketing Mix in India</w:t>
      </w:r>
      <w:bookmarkEnd w:id="45"/>
    </w:p>
    <w:bookmarkStart w:id="46" w:name="_heading=h.32xhshajma2c" w:colFirst="0" w:colLast="0"/>
    <w:bookmarkStart w:id="47" w:name="_Toc235398690"/>
    <w:bookmarkEnd w:id="46"/>
    <w:p w14:paraId="6141A4F2">
      <w:pPr>
        <w:pStyle w:val="style3"/>
        <w:spacing w:before="240" w:after="240"/>
        <w:rPr/>
      </w:pPr>
      <w:r>
        <w:t>6.1 Ethical Marketing Practices</w:t>
      </w:r>
      <w:bookmarkEnd w:id="47"/>
    </w:p>
    <w:p w14:paraId="2E61C0AA">
      <w:pPr>
        <w:pStyle w:val="style0"/>
        <w:spacing w:before="240" w:after="240"/>
        <w:rPr>
          <w:b/>
          <w:bCs/>
        </w:rPr>
      </w:pPr>
      <w:r>
        <w:rPr>
          <w:b/>
          <w:bCs/>
        </w:rPr>
        <w:t>1. Physical Evidence — Plastic-Free Packaging</w:t>
      </w:r>
    </w:p>
    <w:p w14:paraId="7729110C">
      <w:pPr>
        <w:pStyle w:val="style0"/>
        <w:spacing w:before="240" w:after="240"/>
        <w:jc w:val="center"/>
        <w:rPr>
          <w:b/>
          <w:bCs/>
        </w:rPr>
      </w:pPr>
      <w:r>
        <w:rPr>
          <w:b/>
          <w:bCs/>
          <w:noProof/>
        </w:rPr>
        <w:drawing>
          <wp:inline distL="0" distT="0" distB="0" distR="0">
            <wp:extent cx="5353050" cy="5915025"/>
            <wp:effectExtent l="25400" t="25400" r="25400" b="25400"/>
            <wp:docPr id="1038" name="image12.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2" name="image12.png"/>
                    <pic:cNvPicPr/>
                  </pic:nvPicPr>
                  <pic:blipFill>
                    <a:blip r:embed="rId14" cstate="print"/>
                    <a:srcRect l="0" t="0" r="0" b="0"/>
                    <a:stretch/>
                  </pic:blipFill>
                  <pic:spPr>
                    <a:xfrm rot="0">
                      <a:off x="0" y="0"/>
                      <a:ext cx="5353050" cy="5915025"/>
                    </a:xfrm>
                    <a:prstGeom prst="rect"/>
                    <a:ln cmpd="sng" cap="flat" w="25400">
                      <a:solidFill>
                        <a:srgbClr val="000000"/>
                      </a:solidFill>
                      <a:prstDash val="solid"/>
                      <a:round/>
                      <a:headEnd/>
                      <a:tailEnd/>
                    </a:ln>
                  </pic:spPr>
                </pic:pic>
              </a:graphicData>
            </a:graphic>
          </wp:inline>
        </w:drawing>
      </w:r>
    </w:p>
    <w:p w14:paraId="7D7FEAA6">
      <w:pPr>
        <w:pStyle w:val="style0"/>
        <w:spacing w:before="240" w:after="240"/>
        <w:jc w:val="center"/>
        <w:rPr>
          <w:b/>
          <w:bCs/>
        </w:rPr>
      </w:pPr>
      <w:r>
        <w:rPr>
          <w:b/>
          <w:bCs/>
        </w:rPr>
        <w:t>Figure 13: Pizza Hut Sustainable Packaging</w:t>
      </w:r>
    </w:p>
    <w:p w14:paraId="2F59D4B9">
      <w:pPr>
        <w:pStyle w:val="style0"/>
        <w:spacing w:before="240" w:after="240"/>
        <w:jc w:val="center"/>
        <w:rPr/>
      </w:pPr>
      <w:r>
        <w:t xml:space="preserve">(Source: </w:t>
      </w:r>
      <w:r>
        <w:t>Elopak</w:t>
      </w:r>
      <w:r>
        <w:t>, 2026)</w:t>
      </w:r>
    </w:p>
    <w:p w14:paraId="24427EC5">
      <w:pPr>
        <w:pStyle w:val="style0"/>
        <w:spacing w:before="240" w:after="240"/>
        <w:rPr/>
      </w:pPr>
      <w:r>
        <w:t xml:space="preserve">At </w:t>
      </w:r>
      <w:r>
        <w:t>Yum!,</w:t>
      </w:r>
      <w:r>
        <w:t xml:space="preserve"> Pizza Hut India is the pioneer market in the world to rid its restaurants of all consumer-facing plastics in restaurant packaging. Brands' sustainability strategy. The use of corrugated cardboard in making pizza boxes, and the elimination of single-use plastic straws, cutlery and containers out of stores have been implemented. Such efforts illustrate its adherence to the Indian Extended Producer Responsibility (EPR) policies, build the brand's environmental image, and increase the customer confidence in doing business sustainably (</w:t>
      </w:r>
      <w:r>
        <w:t>Elopak</w:t>
      </w:r>
      <w:r>
        <w:t>, 2026).</w:t>
      </w:r>
    </w:p>
    <w:p w14:paraId="260622EF">
      <w:pPr>
        <w:pStyle w:val="style0"/>
        <w:spacing w:before="240" w:after="240"/>
        <w:rPr>
          <w:b/>
          <w:bCs/>
        </w:rPr>
      </w:pPr>
      <w:r>
        <w:rPr>
          <w:b/>
          <w:bCs/>
        </w:rPr>
        <w:t>2. Product — MSG-Free Menu</w:t>
      </w:r>
    </w:p>
    <w:p w14:paraId="5476FCB8">
      <w:pPr>
        <w:pStyle w:val="style0"/>
        <w:spacing w:before="240" w:after="240"/>
        <w:rPr/>
      </w:pPr>
      <w:r>
        <w:t xml:space="preserve">Pizza Hut India has the fully MSG-free menu, which is not such in a number of </w:t>
      </w:r>
      <w:r>
        <w:t>rival</w:t>
      </w:r>
      <w:r>
        <w:t xml:space="preserve"> QSR in the Indian market (Restaurant India, 2025). Such ingredient transparency at the product level responds to an increase in health consciousness among Indian consumers and is an exercise in ethical accountability in the selection and formulation of the products especially given the fact women with young children have a large proportion of the brand dine-in patrons.</w:t>
      </w:r>
    </w:p>
    <w:bookmarkStart w:id="48" w:name="_heading=h.u41584m98fsj" w:colFirst="0" w:colLast="0"/>
    <w:bookmarkStart w:id="49" w:name="_Toc235398691"/>
    <w:bookmarkEnd w:id="48"/>
    <w:p w14:paraId="73CA0D23">
      <w:pPr>
        <w:pStyle w:val="style3"/>
        <w:spacing w:before="240" w:after="240"/>
        <w:rPr/>
      </w:pPr>
      <w:r>
        <w:t>6.2 Unethical Marketing Practices</w:t>
      </w:r>
      <w:bookmarkEnd w:id="49"/>
    </w:p>
    <w:p w14:paraId="2966DFF1">
      <w:pPr>
        <w:pStyle w:val="style0"/>
        <w:spacing w:before="240" w:after="240"/>
        <w:rPr>
          <w:b/>
          <w:bCs/>
        </w:rPr>
      </w:pPr>
      <w:r>
        <w:rPr>
          <w:b/>
          <w:bCs/>
        </w:rPr>
        <w:t>1. Price — Deceptive Billing Practices</w:t>
      </w:r>
    </w:p>
    <w:p w14:paraId="6AA9ED80">
      <w:pPr>
        <w:pStyle w:val="style0"/>
        <w:spacing w:before="240" w:after="240"/>
        <w:rPr/>
      </w:pPr>
      <w:r>
        <w:t xml:space="preserve">As of 2025, complaints made by consumers on sites such as ConsumerComplaints.in consistently tell stories of the Pizza Hut India branches charging clients more than they ordered or for a more expensive combination that was purchased. In one incident reported in October 2025, a Bhopal outlet billed on two occasions a 99 meal as a 99 pizza, as compared with 2 x 99 pizzas, which was explicitly ordered by the customer (Indian Retailer Bureau, 2026). This </w:t>
      </w:r>
      <w:r>
        <w:t>behaviour</w:t>
      </w:r>
      <w:r>
        <w:t xml:space="preserve"> compromises prices transparency and ignores the trust required by ethical pricing in the Price element.</w:t>
      </w:r>
    </w:p>
    <w:p w14:paraId="1409363F">
      <w:pPr>
        <w:pStyle w:val="style0"/>
        <w:spacing w:before="240" w:after="240"/>
        <w:rPr>
          <w:b/>
          <w:bCs/>
        </w:rPr>
      </w:pPr>
      <w:r>
        <w:rPr>
          <w:b/>
          <w:bCs/>
        </w:rPr>
        <w:t>2. Process — Failed Digital Orders Without Refunds</w:t>
      </w:r>
    </w:p>
    <w:p w14:paraId="4072D432">
      <w:pPr>
        <w:pStyle w:val="style0"/>
        <w:spacing w:before="240" w:after="240"/>
        <w:rPr/>
      </w:pPr>
      <w:r>
        <w:t xml:space="preserve">Over 2025 complaints posted by consumers claim the existence of an identical pattern of behavior: users order products via Pizza Hut India webpage or application, the money is debited, but the order remains unverified and undelivered. Refunds take weeks to respond </w:t>
      </w:r>
      <w:r>
        <w:t>to</w:t>
      </w:r>
      <w:r>
        <w:t xml:space="preserve"> and Helpline workers have been reported to be non-responsive or dismissive. This is one of the systemic failures of the Process element in which the digital ordering system collects money and does not provide the </w:t>
      </w:r>
      <w:r>
        <w:t>promised service, which prompts ethical issues with serious consequences such as the responsibility of taking care of the after-</w:t>
      </w:r>
      <w:r>
        <w:t>sale</w:t>
      </w:r>
      <w:r>
        <w:t xml:space="preserve"> and consumer rights.</w:t>
      </w:r>
    </w:p>
    <w:bookmarkStart w:id="50" w:name="_heading=h.gxv2446q3zxl" w:colFirst="0" w:colLast="0"/>
    <w:bookmarkStart w:id="51" w:name="_Toc235398692"/>
    <w:bookmarkEnd w:id="50"/>
    <w:p w14:paraId="10435CAE">
      <w:pPr>
        <w:pStyle w:val="style2"/>
        <w:keepNext w:val="false"/>
        <w:keepLines w:val="false"/>
        <w:spacing w:before="360" w:after="80"/>
        <w:rPr/>
      </w:pPr>
      <w:r>
        <w:t>Conclusion and Recommendations 420 words</w:t>
      </w:r>
      <w:bookmarkEnd w:id="51"/>
    </w:p>
    <w:bookmarkStart w:id="52" w:name="_heading=h.vwqfmjqltjhf" w:colFirst="0" w:colLast="0"/>
    <w:bookmarkStart w:id="53" w:name="_Toc235398693"/>
    <w:bookmarkEnd w:id="52"/>
    <w:p w14:paraId="034742E0">
      <w:pPr>
        <w:pStyle w:val="style3"/>
        <w:keepNext w:val="false"/>
        <w:keepLines w:val="false"/>
        <w:spacing w:before="280" w:after="80"/>
        <w:rPr/>
      </w:pPr>
      <w:r>
        <w:t>Summary of Key Findings</w:t>
      </w:r>
      <w:bookmarkEnd w:id="53"/>
    </w:p>
    <w:p w14:paraId="5FDD3FAC">
      <w:pPr>
        <w:pStyle w:val="style0"/>
        <w:rPr/>
      </w:pPr>
      <w:r>
        <w:t xml:space="preserve">Pizza Hut has almost 110 markets and is operating almost 20,000 </w:t>
      </w:r>
      <w:r>
        <w:t>restaurants, and</w:t>
      </w:r>
      <w:r>
        <w:t xml:space="preserve"> displays nearly US 10 billion of yearly sales on its systems, but the business has faltered both in the United States and in India. More </w:t>
      </w:r>
      <w:r>
        <w:t>favourable</w:t>
      </w:r>
      <w:r>
        <w:t xml:space="preserve"> demand conditions, and thus achieved through the better macroeconomic environment, including a healthy GDP growth and low inflation, in India, but the falling revenues suggest more competitive and operational issues. Conversely, the U.S. market is still struggling to cope with inflationary pressures, sluggish consumer spending and store closures.  </w:t>
      </w:r>
    </w:p>
    <w:bookmarkStart w:id="54" w:name="_heading=h.6ceanb7d1fuj" w:colFirst="0" w:colLast="0"/>
    <w:bookmarkStart w:id="55" w:name="_Toc235398694"/>
    <w:bookmarkEnd w:id="54"/>
    <w:p w14:paraId="45E0A172">
      <w:pPr>
        <w:pStyle w:val="style3"/>
        <w:keepNext w:val="false"/>
        <w:keepLines w:val="false"/>
        <w:spacing w:before="280" w:after="80"/>
        <w:rPr/>
      </w:pPr>
      <w:r>
        <w:t>Recommendations for Pizza Hut in USA and India</w:t>
      </w:r>
      <w:bookmarkEnd w:id="55"/>
    </w:p>
    <w:p w14:paraId="559E7BD6">
      <w:pPr>
        <w:pStyle w:val="style0"/>
        <w:rPr/>
      </w:pPr>
      <w:r>
        <w:rPr>
          <w:b/>
          <w:bCs/>
          <w:i/>
          <w:iCs/>
        </w:rPr>
        <w:t xml:space="preserve">USA: </w:t>
      </w:r>
      <w:r>
        <w:t xml:space="preserve">Long range capital takes ownership in </w:t>
      </w:r>
      <w:r>
        <w:t>Long</w:t>
      </w:r>
      <w:r>
        <w:t xml:space="preserve"> range capital in Q3 2026, giving priority to unit-economics repair rather than net new openings. Recreate value through disciplined pricing </w:t>
      </w:r>
      <w:r>
        <w:t>everyday</w:t>
      </w:r>
      <w:r>
        <w:t xml:space="preserve">, instead of </w:t>
      </w:r>
      <w:r>
        <w:t>one time</w:t>
      </w:r>
      <w:r>
        <w:t xml:space="preserve"> gimmick — the $2 Tuesday deal and the 5 Crafted </w:t>
      </w:r>
      <w:r>
        <w:t>Flatzza</w:t>
      </w:r>
      <w:r>
        <w:t xml:space="preserve"> deals was merely a gimmick call, and not a positioning aspect that really worked (Das, Yu and Wu, 2026).  </w:t>
      </w:r>
    </w:p>
    <w:p w14:paraId="3C01B063">
      <w:pPr>
        <w:pStyle w:val="style0"/>
        <w:rPr/>
      </w:pPr>
      <w:r>
        <w:rPr>
          <w:b/>
          <w:bCs/>
          <w:i/>
          <w:iCs/>
        </w:rPr>
        <w:t>India:</w:t>
      </w:r>
      <w:r>
        <w:t xml:space="preserve"> Pay a dividend on a Devyani-Sapphire merger, jettison overlapping corporate and supply-chain overheads, and aim to recoup the ₹210-225 crore per annum of synergies that management has identified. Twin the already in place forward omnichannel strategy of dine-in with Tamil Nadu achieving enough same-store sales growth at 10 percent. </w:t>
      </w:r>
    </w:p>
    <w:p w14:paraId="27D8922B">
      <w:pPr>
        <w:pStyle w:val="style0"/>
        <w:rPr/>
      </w:pPr>
      <w:r>
        <w:br w:type="page"/>
      </w:r>
    </w:p>
    <w:bookmarkStart w:id="56" w:name="_heading=h.j1zhjeifyzu4" w:colFirst="0" w:colLast="0"/>
    <w:bookmarkStart w:id="57" w:name="_Toc235398695"/>
    <w:bookmarkEnd w:id="56"/>
    <w:p w14:paraId="3A6C4B0C">
      <w:pPr>
        <w:pStyle w:val="style1"/>
        <w:rPr/>
      </w:pPr>
      <w:r>
        <w:t>Section 2: Reflective Account Using Gibbs' Reflective Cycle</w:t>
      </w:r>
      <w:bookmarkEnd w:id="57"/>
    </w:p>
    <w:bookmarkStart w:id="58" w:name="_heading=h.mqkgoqolcsp" w:colFirst="0" w:colLast="0"/>
    <w:bookmarkStart w:id="59" w:name="_Toc235398696"/>
    <w:bookmarkEnd w:id="58"/>
    <w:p w14:paraId="6787D383">
      <w:pPr>
        <w:pStyle w:val="style2"/>
        <w:spacing w:before="240" w:after="240"/>
        <w:rPr/>
      </w:pPr>
      <w:r>
        <w:t>Introduction to the Model</w:t>
      </w:r>
      <w:bookmarkEnd w:id="59"/>
    </w:p>
    <w:p w14:paraId="60CA45B8">
      <w:pPr>
        <w:pStyle w:val="style0"/>
        <w:spacing w:before="240" w:after="240"/>
        <w:rPr/>
      </w:pPr>
      <w:r>
        <w:t xml:space="preserve">The Reflective Cycle by Graham Gibbs was created in 1988 and serves as a systematic framework to be followed by people to help them go through 6 stages which are: Description, Feelings, Evaluation, Analysis, Conclusion and Action Plan. The model goes beyond mere description into higher level critical thinking to enable the learner to know what transpired, why it transpired and how further practice can be better (Kagaba, 2025). I selected this model to think over the process of researching, </w:t>
      </w:r>
      <w:r>
        <w:t>analysing</w:t>
      </w:r>
      <w:r>
        <w:t>, and writing the international marketing strategy assessment of Pizza Hut in the USA and India.</w:t>
      </w:r>
    </w:p>
    <w:bookmarkStart w:id="60" w:name="_heading=h.7yjklkamm2n4" w:colFirst="0" w:colLast="0"/>
    <w:bookmarkStart w:id="61" w:name="_Toc235398697"/>
    <w:bookmarkEnd w:id="60"/>
    <w:p w14:paraId="4AE18AB8">
      <w:pPr>
        <w:pStyle w:val="style2"/>
        <w:spacing w:before="240" w:after="240"/>
        <w:rPr/>
      </w:pPr>
      <w:r>
        <w:t>Application of Model</w:t>
      </w:r>
      <w:bookmarkEnd w:id="61"/>
    </w:p>
    <w:p w14:paraId="49939DBE">
      <w:pPr>
        <w:pStyle w:val="style0"/>
        <w:spacing w:before="240" w:after="240"/>
        <w:rPr>
          <w:b/>
          <w:bCs/>
        </w:rPr>
      </w:pPr>
      <w:r>
        <w:rPr>
          <w:b/>
          <w:bCs/>
        </w:rPr>
        <w:t>Description</w:t>
      </w:r>
    </w:p>
    <w:p w14:paraId="3F176740">
      <w:pPr>
        <w:pStyle w:val="style0"/>
        <w:spacing w:before="240" w:after="240"/>
        <w:rPr/>
      </w:pPr>
      <w:r>
        <w:t xml:space="preserve">The assignment was in the form of creating a thorough international marketing analysis of Pizza Hut, with the comparison of its operations in the USA as a home country, and India being a host country. I had to discuss several strategic frameworks such as PESTLE, dimensional cultural dimensions by Hofstede, Porters Five Forces, SWOT, STP, marketing mix elements, which are the 7Ps, Ansoff, critical analysis and the ethical factors (Island, 2025). Each section required a certain </w:t>
      </w:r>
      <w:r>
        <w:t>amount</w:t>
      </w:r>
      <w:r>
        <w:t xml:space="preserve"> of words and was to contain the correct data of 2025 and 2026 without falsifying data. I started by reading the assignment </w:t>
      </w:r>
      <w:r>
        <w:t>brief</w:t>
      </w:r>
      <w:r>
        <w:t>, and undertook the research in a systematic manner, beginning with the background of the company, proceeding to the macro-environmental and industrial level analysis. Studies were based on corporate filings of Yum! Brands, franchisee reports at Devyani International and Sapphire Foods, government economic reports and authoritative publications in the industry. I then formatted, wrote and polished each section to fit the desired format (Devyani International Limited, 2025).</w:t>
      </w:r>
    </w:p>
    <w:p w14:paraId="7FE0EB4C">
      <w:pPr>
        <w:pStyle w:val="style0"/>
        <w:spacing w:before="240" w:after="240"/>
        <w:rPr>
          <w:b/>
          <w:bCs/>
        </w:rPr>
      </w:pPr>
      <w:r>
        <w:rPr>
          <w:b/>
          <w:bCs/>
        </w:rPr>
        <w:t>Feelings</w:t>
      </w:r>
    </w:p>
    <w:p w14:paraId="72AFB5C5">
      <w:pPr>
        <w:pStyle w:val="style0"/>
        <w:spacing w:before="240" w:after="240"/>
        <w:rPr/>
      </w:pPr>
      <w:r>
        <w:t xml:space="preserve">In the beginning, I was not sure how extensive it would be. Spanning two diverse markets under such </w:t>
      </w:r>
      <w:r>
        <w:t>a large number of</w:t>
      </w:r>
      <w:r>
        <w:t xml:space="preserve"> frameworks, with strict word counts and trying to have each statistic verifiable, it felt like a juggling act. One thing I was looking forward to is the accuracy since old </w:t>
      </w:r>
      <w:r>
        <w:t xml:space="preserve">and falsified information would nullify the whole analysis. However, my self-esteem increased as I went on. The discovery that Pizza Hut was experiencing an ever-real dramatic time, with the announcement of the sale, the merging of Indian franchisees, and high numbers of store shutting, made the analysis feel that it was </w:t>
      </w:r>
      <w:r>
        <w:t>up-to-date</w:t>
      </w:r>
      <w:r>
        <w:t xml:space="preserve"> as opposed to a textbook exercise (Dsouza, 2026). Later sections on ethical evaluation and growth strategy helped me feel more at ease </w:t>
      </w:r>
      <w:r>
        <w:t>synthesising</w:t>
      </w:r>
      <w:r>
        <w:t xml:space="preserve"> information across frameworks as opposed to dealing with each section on its own.</w:t>
      </w:r>
    </w:p>
    <w:p w14:paraId="59DD4DD0">
      <w:pPr>
        <w:pStyle w:val="style0"/>
        <w:spacing w:before="240" w:after="240"/>
        <w:rPr>
          <w:b/>
          <w:bCs/>
        </w:rPr>
      </w:pPr>
      <w:r>
        <w:rPr>
          <w:b/>
          <w:bCs/>
        </w:rPr>
        <w:t>Evaluation</w:t>
      </w:r>
    </w:p>
    <w:p w14:paraId="19FEF929">
      <w:pPr>
        <w:pStyle w:val="style0"/>
        <w:spacing w:before="240" w:after="240"/>
        <w:rPr/>
      </w:pPr>
      <w:r>
        <w:t xml:space="preserve">There are </w:t>
      </w:r>
      <w:r>
        <w:t>a number of</w:t>
      </w:r>
      <w:r>
        <w:t xml:space="preserve"> things that worked out. Studying the background and macro environment of the company provided me with a good background at the time, which was later sections, especially the SWOT and critical evaluation that were much easier since I knew the crucial drivers (Pereira et al., 2021). Application of Hofstede dimensions along with PESTLE allowed me to extract cultural differences, which directly informed the comparison of the STP and 7Ps and provided the report with an internal consistency as opposed to portions that do not seem to relate (</w:t>
      </w:r>
      <w:r>
        <w:t>Thetsane</w:t>
      </w:r>
      <w:r>
        <w:t xml:space="preserve">, Meyer and </w:t>
      </w:r>
      <w:r>
        <w:t>Chambwe</w:t>
      </w:r>
      <w:r>
        <w:t xml:space="preserve">, 2024). This ethical evaluation proved to be effective in the respect that I used concrete previously documented instances to underpin the ethical or unethical cases instead of </w:t>
      </w:r>
      <w:r>
        <w:t>generalisations</w:t>
      </w:r>
      <w:r>
        <w:t xml:space="preserve">. Conversely, word counts tended to be harder to handle than anticipated. Initial pieces of the PESTLE and the Porters sections were way above the mark and had to be cut at least in length by several edits and at the same time were not to be lost without content.  </w:t>
      </w:r>
    </w:p>
    <w:p w14:paraId="65A95024">
      <w:pPr>
        <w:pStyle w:val="style0"/>
        <w:spacing w:before="240" w:after="240"/>
        <w:rPr>
          <w:b/>
          <w:bCs/>
        </w:rPr>
      </w:pPr>
      <w:r>
        <w:rPr>
          <w:b/>
          <w:bCs/>
        </w:rPr>
        <w:t>Analysis</w:t>
      </w:r>
    </w:p>
    <w:p w14:paraId="2B746266">
      <w:pPr>
        <w:pStyle w:val="style0"/>
        <w:spacing w:before="240" w:after="240"/>
        <w:rPr/>
      </w:pPr>
      <w:r>
        <w:t xml:space="preserve">Most of the problems I had to overcome were mainly due to two elements. Firstly, the scope of frameworks that were necessary implied that I needed to alternate between macro-level thinking of the PESTLE and micro-level detailing of 7ps in the same report, which required continuous recalibration of the mind (McCabe, 2024). Second, the fact that we were writing about a brand that is actively structurally changing and the sale of Yum! was announced in the middle of a research process, providing an incentive to rewrite some of the earlier draft parts, as new information surfaced (Velasquez, 2026). This has made me realize that international marketing analysis is not a rigid practice that I should commit to memory but should also be responsive to the real-life events happening. The ethical evaluation section challenged me to engage my intellect in evaluation of </w:t>
      </w:r>
      <w:r>
        <w:t xml:space="preserve">marketing practices instead of merely describing the marketing practices as I have found this to be the most challenging when it came to being intellectual.  </w:t>
      </w:r>
    </w:p>
    <w:p w14:paraId="2AEFBD6B">
      <w:pPr>
        <w:pStyle w:val="style0"/>
        <w:spacing w:before="240" w:after="240"/>
        <w:rPr>
          <w:b/>
          <w:bCs/>
        </w:rPr>
      </w:pPr>
      <w:r>
        <w:rPr>
          <w:b/>
          <w:bCs/>
        </w:rPr>
        <w:t>Conclusion</w:t>
      </w:r>
    </w:p>
    <w:p w14:paraId="4A428DF5">
      <w:pPr>
        <w:pStyle w:val="style0"/>
        <w:spacing w:before="240" w:after="240"/>
        <w:rPr/>
      </w:pPr>
      <w:r>
        <w:t xml:space="preserve">This will give me the lesson that functional perception of an international marketing analysis relies as much on </w:t>
      </w:r>
      <w:r>
        <w:t>a well</w:t>
      </w:r>
      <w:r>
        <w:t xml:space="preserve">-structured organization and verified data as it relies on theoretical understanding. I came to understand that beginning to research the environment generally and then focus it on the company and its strategy is a good way to write this section because it has a logical progression from one section to the other (Kumar et al., 2021). I also </w:t>
      </w:r>
      <w:r>
        <w:t>realised</w:t>
      </w:r>
      <w:r>
        <w:t xml:space="preserve"> that word-count discipline is not merely an administrative necessity but in fact a short-</w:t>
      </w:r>
      <w:r>
        <w:t>circu</w:t>
      </w:r>
      <w:r>
        <w:t xml:space="preserve"> practice which compels tight-</w:t>
      </w:r>
      <w:r>
        <w:t>focussed</w:t>
      </w:r>
      <w:r>
        <w:t xml:space="preserve"> more analytic writing. Unless I had been under compulsory restriction to within certain rigid channels, I would have probably thrown in extraneous descriptive matter to the detriment of critical profundity.</w:t>
      </w:r>
    </w:p>
    <w:p w14:paraId="764CD2E8">
      <w:pPr>
        <w:pStyle w:val="style0"/>
        <w:spacing w:before="240" w:after="240"/>
        <w:rPr>
          <w:b/>
          <w:bCs/>
        </w:rPr>
      </w:pPr>
      <w:r>
        <w:rPr>
          <w:b/>
          <w:bCs/>
        </w:rPr>
        <w:t>Action Plan</w:t>
      </w:r>
    </w:p>
    <w:p w14:paraId="7C44057D">
      <w:pPr>
        <w:pStyle w:val="style0"/>
        <w:spacing w:before="240" w:after="240"/>
        <w:rPr/>
      </w:pPr>
      <w:r>
        <w:t xml:space="preserve">This experience also taught me that a good international marketing analysis should </w:t>
      </w:r>
      <w:r>
        <w:t>be as</w:t>
      </w:r>
      <w:r>
        <w:t xml:space="preserve"> disciplined in its structure and data redacted as much as it needs to be true to theoretical knowledge. I was also able to learn that it is preferable to first carry out general environmental research and then tend to narrow down to the strategy of the company which shall then spill over into the subsequent section of the strategy as it shall be far easier to write (Wu and Tham, 2023). I also learned that word-count discipline is not only an abiding administrative imperative, but is </w:t>
      </w:r>
      <w:r>
        <w:t>actually its</w:t>
      </w:r>
      <w:r>
        <w:t xml:space="preserve"> very stimulus, </w:t>
      </w:r>
      <w:r>
        <w:t>its</w:t>
      </w:r>
      <w:r>
        <w:t xml:space="preserve"> more cerebral and more concentrated headlong writing. Had I not felt bound to keep within close boundaries, I should have, probably, </w:t>
      </w:r>
      <w:r>
        <w:t>have added</w:t>
      </w:r>
      <w:r>
        <w:t xml:space="preserve"> unwanted descriptive matter to the cost of critical profundity.</w:t>
      </w:r>
    </w:p>
    <w:p w14:paraId="58938C50">
      <w:pPr>
        <w:pStyle w:val="style0"/>
        <w:rPr/>
      </w:pPr>
    </w:p>
    <w:p w14:paraId="2F7AB54D">
      <w:pPr>
        <w:pStyle w:val="style0"/>
        <w:rPr/>
      </w:pPr>
    </w:p>
    <w:bookmarkStart w:id="62" w:name="_heading=h.klil6sz4z1wb" w:colFirst="0" w:colLast="0"/>
    <w:bookmarkEnd w:id="62"/>
    <w:p w14:paraId="118A1574">
      <w:pPr>
        <w:pStyle w:val="style1"/>
        <w:keepNext w:val="false"/>
        <w:keepLines w:val="false"/>
        <w:spacing w:before="360" w:after="80"/>
        <w:rPr/>
      </w:pPr>
      <w:r>
        <w:br w:type="page"/>
      </w:r>
    </w:p>
    <w:bookmarkStart w:id="63" w:name="_heading=h.n1xeoq768sce" w:colFirst="0" w:colLast="0"/>
    <w:bookmarkStart w:id="64" w:name="_Toc235398698"/>
    <w:bookmarkEnd w:id="63"/>
    <w:p w14:paraId="7965CBBE">
      <w:pPr>
        <w:pStyle w:val="style1"/>
        <w:keepNext w:val="false"/>
        <w:keepLines w:val="false"/>
        <w:spacing w:before="360" w:after="80"/>
        <w:rPr/>
      </w:pPr>
      <w:r>
        <w:t>Reference List</w:t>
      </w:r>
      <w:bookmarkEnd w:id="64"/>
    </w:p>
    <w:p w14:paraId="5146389A">
      <w:pPr>
        <w:pStyle w:val="style0"/>
        <w:spacing w:after="240"/>
        <w:rPr/>
      </w:pPr>
      <w:r>
        <w:t xml:space="preserve">Anas, M. (2026). </w:t>
      </w:r>
      <w:r>
        <w:rPr>
          <w:i/>
          <w:iCs/>
        </w:rPr>
        <w:t>India’s Pizza Powerhouses: Revenue Insights 2024-25</w:t>
      </w:r>
      <w:r>
        <w:t xml:space="preserve">. [online] Available at: </w:t>
      </w:r>
      <w:r>
        <w:rPr/>
        <w:fldChar w:fldCharType="begin"/>
      </w:r>
      <w:r>
        <w:instrText xml:space="preserve"> HYPERLINK "https://www.linkedin.com/posts/fnb-strategy-leader_pizzaindustry-qsr-foodbusiness-share-7259475907520659456-xrRo/" </w:instrText>
      </w:r>
      <w:r>
        <w:rPr/>
        <w:fldChar w:fldCharType="separate"/>
      </w:r>
      <w:r>
        <w:rPr>
          <w:u w:val="single"/>
        </w:rPr>
        <w:t>https://www.linkedin.com/posts/fnb-strategy-leader_pizzaindustry-qsr-foodbusiness-share-7259475907520659456-xrRo/</w:t>
      </w:r>
      <w:r>
        <w:rPr/>
        <w:fldChar w:fldCharType="end"/>
      </w:r>
      <w:r>
        <w:t xml:space="preserve">. </w:t>
      </w:r>
    </w:p>
    <w:p w14:paraId="0DF63A19">
      <w:pPr>
        <w:pStyle w:val="style0"/>
        <w:spacing w:after="240"/>
        <w:rPr/>
      </w:pPr>
      <w:r>
        <w:t xml:space="preserve">Asir, R.G.G. and Manohar, H.L. (2023). Variations on Internet of Things adoption factors between India and the USA. </w:t>
      </w:r>
      <w:r>
        <w:rPr>
          <w:i/>
          <w:iCs/>
        </w:rPr>
        <w:t>South African journal of business management</w:t>
      </w:r>
      <w:r>
        <w:t xml:space="preserve">, 54(1). </w:t>
      </w:r>
      <w:r>
        <w:t>doi:</w:t>
      </w:r>
      <w:r>
        <w:rPr/>
        <w:fldChar w:fldCharType="begin"/>
      </w:r>
      <w:r>
        <w:instrText xml:space="preserve"> HYPERLINK "https://doi.org/10.4102/sajbm.v54i1.3810" </w:instrText>
      </w:r>
      <w:r>
        <w:rPr/>
        <w:fldChar w:fldCharType="separate"/>
      </w:r>
      <w:r>
        <w:rPr>
          <w:u w:val="single"/>
        </w:rPr>
        <w:t>https</w:t>
      </w:r>
      <w:r>
        <w:rPr>
          <w:u w:val="single"/>
        </w:rPr>
        <w:t>://doi.org/10.4102/sajbm.v54i1.3810</w:t>
      </w:r>
      <w:r>
        <w:rPr/>
        <w:fldChar w:fldCharType="end"/>
      </w:r>
      <w:r>
        <w:t xml:space="preserve">. </w:t>
      </w:r>
    </w:p>
    <w:p w14:paraId="3A1F95DE">
      <w:pPr>
        <w:pStyle w:val="style0"/>
        <w:spacing w:after="240"/>
        <w:rPr/>
      </w:pPr>
      <w:r>
        <w:t xml:space="preserve">Bea.gov. (2026). </w:t>
      </w:r>
      <w:r>
        <w:rPr>
          <w:i/>
          <w:iCs/>
        </w:rPr>
        <w:t>GDP (Third Estimate), Industries, Corporate Profits, State GDP, and State Personal Income, 1st Quarter 2026 | U.S. Bureau of Economic Analysis (BEA)</w:t>
      </w:r>
      <w:r>
        <w:t xml:space="preserve">. [online] Available at: </w:t>
      </w:r>
      <w:r>
        <w:rPr/>
        <w:fldChar w:fldCharType="begin"/>
      </w:r>
      <w:r>
        <w:instrText xml:space="preserve"> HYPERLINK "https://www.bea.gov/news/2026/gdp-third-estimate-industries-corporate-profits-state-gdp-and-state-personal-income-1st" </w:instrText>
      </w:r>
      <w:r>
        <w:rPr/>
        <w:fldChar w:fldCharType="separate"/>
      </w:r>
      <w:r>
        <w:rPr>
          <w:u w:val="single"/>
        </w:rPr>
        <w:t>https://www.bea.gov/news/2026/gdp-third-estimate-industries-corporate-profits-state-gdp-and-state-personal-income-1st</w:t>
      </w:r>
      <w:r>
        <w:rPr/>
        <w:fldChar w:fldCharType="end"/>
      </w:r>
      <w:r>
        <w:t xml:space="preserve">. </w:t>
      </w:r>
    </w:p>
    <w:p w14:paraId="68C535BF">
      <w:pPr>
        <w:pStyle w:val="style0"/>
        <w:spacing w:after="240"/>
        <w:rPr/>
      </w:pPr>
      <w:r>
        <w:t xml:space="preserve">Boggs, J. (2026). </w:t>
      </w:r>
      <w:r>
        <w:rPr>
          <w:i/>
          <w:iCs/>
        </w:rPr>
        <w:t>Yum Brands to shutter hundreds of Pizza Hut stores amid strategic review</w:t>
      </w:r>
      <w:r>
        <w:t xml:space="preserve">. [online] Scripps News. Available at: </w:t>
      </w:r>
      <w:r>
        <w:rPr/>
        <w:fldChar w:fldCharType="begin"/>
      </w:r>
      <w:r>
        <w:instrText xml:space="preserve"> HYPERLINK "https://www.scrippsnews.com/business/company-news/yum-brands-to-shutter-hundreds-of-pizza-hut-stores-amid-strategic-review" </w:instrText>
      </w:r>
      <w:r>
        <w:rPr/>
        <w:fldChar w:fldCharType="separate"/>
      </w:r>
      <w:r>
        <w:rPr>
          <w:u w:val="single"/>
        </w:rPr>
        <w:t>https://www.scrippsnews.com/business/company-news/yum-brands-to-shutter-hundreds-of-pizza-hut-stores-amid-strategic-review</w:t>
      </w:r>
      <w:r>
        <w:rPr/>
        <w:fldChar w:fldCharType="end"/>
      </w:r>
      <w:r>
        <w:t xml:space="preserve"> </w:t>
      </w:r>
    </w:p>
    <w:p w14:paraId="70ABC0E4">
      <w:pPr>
        <w:pStyle w:val="style0"/>
        <w:spacing w:after="240"/>
        <w:rPr/>
      </w:pPr>
      <w:r>
        <w:t xml:space="preserve">Business Wire (2026). </w:t>
      </w:r>
      <w:r>
        <w:rPr>
          <w:i/>
          <w:iCs/>
        </w:rPr>
        <w:t>LongRange</w:t>
      </w:r>
      <w:r>
        <w:rPr>
          <w:i/>
          <w:iCs/>
        </w:rPr>
        <w:t xml:space="preserve"> Capital to Acquire Pizza Hut, Excluding Mainland China, from Yum! Brands</w:t>
      </w:r>
      <w:r>
        <w:t xml:space="preserve">. [online] Available at: </w:t>
      </w:r>
      <w:r>
        <w:rPr/>
        <w:fldChar w:fldCharType="begin"/>
      </w:r>
      <w:r>
        <w:instrText xml:space="preserve"> HYPERLINK "https://www.businesswire.com/news/home/20260616886269/en/LongRange-Capital-to-Acquire-Pizza-Hut-Excluding-Mainland-China-from-Yum-Brands" </w:instrText>
      </w:r>
      <w:r>
        <w:rPr/>
        <w:fldChar w:fldCharType="separate"/>
      </w:r>
      <w:r>
        <w:rPr>
          <w:u w:val="single"/>
        </w:rPr>
        <w:t>https://www.businesswire.com/news/home/20260616886269/en/LongRange-Capital-to-Acquire-Pizza-Hut-Excluding-Mainland-China-from-Yum-Brands</w:t>
      </w:r>
      <w:r>
        <w:rPr/>
        <w:fldChar w:fldCharType="end"/>
      </w:r>
      <w:r>
        <w:t xml:space="preserve">. </w:t>
      </w:r>
    </w:p>
    <w:p w14:paraId="0813E93C">
      <w:pPr>
        <w:pStyle w:val="style0"/>
        <w:spacing w:after="240"/>
        <w:rPr/>
      </w:pPr>
      <w:r>
        <w:t>Buyikian</w:t>
      </w:r>
      <w:r>
        <w:t xml:space="preserve">, T. (2026). </w:t>
      </w:r>
      <w:r>
        <w:rPr>
          <w:i/>
          <w:iCs/>
        </w:rPr>
        <w:t xml:space="preserve">Pizza Hut Doubles Down </w:t>
      </w:r>
      <w:r>
        <w:rPr>
          <w:i/>
          <w:iCs/>
        </w:rPr>
        <w:t>On</w:t>
      </w:r>
      <w:r>
        <w:rPr>
          <w:i/>
          <w:iCs/>
        </w:rPr>
        <w:t xml:space="preserve"> Retro Appeal With ‘Hut Originals’ Platform</w:t>
      </w:r>
      <w:r>
        <w:t xml:space="preserve">. [online] Mediapost.com. Available at: </w:t>
      </w:r>
      <w:r>
        <w:rPr/>
        <w:fldChar w:fldCharType="begin"/>
      </w:r>
      <w:r>
        <w:instrText xml:space="preserve"> HYPERLINK "https://www.mediapost.com/publications/article/415666/pizza-hut-doubles-down-on-retro-appeal-with-hut-o.html?edition=142874" </w:instrText>
      </w:r>
      <w:r>
        <w:rPr/>
        <w:fldChar w:fldCharType="separate"/>
      </w:r>
      <w:r>
        <w:rPr>
          <w:u w:val="single"/>
        </w:rPr>
        <w:t>https://www.mediapost.com/publications/article/415666/pizza-hut-doubles-down-on-retro-appeal-with-hut-o.html?edition=142874</w:t>
      </w:r>
      <w:r>
        <w:rPr/>
        <w:fldChar w:fldCharType="end"/>
      </w:r>
      <w:r>
        <w:t xml:space="preserve"> </w:t>
      </w:r>
    </w:p>
    <w:p w14:paraId="7EE766C1">
      <w:pPr>
        <w:pStyle w:val="style0"/>
        <w:spacing w:after="240"/>
        <w:rPr/>
      </w:pPr>
      <w:r>
        <w:t xml:space="preserve">Campbell, T. (2025). </w:t>
      </w:r>
      <w:r>
        <w:rPr>
          <w:i/>
          <w:iCs/>
        </w:rPr>
        <w:t>How Gen Z Consumers Are Shaping Pizza Restaurant Options - Snappy</w:t>
      </w:r>
      <w:r>
        <w:t xml:space="preserve">. [online] Snappy. Available at: </w:t>
      </w:r>
      <w:r>
        <w:rPr/>
        <w:fldChar w:fldCharType="begin"/>
      </w:r>
      <w:r>
        <w:instrText xml:space="preserve"> HYPERLINK "https://gosnappy.io/blog/how-gen-z-consumers-are-shaping-pizza-restaurant-options/" </w:instrText>
      </w:r>
      <w:r>
        <w:rPr/>
        <w:fldChar w:fldCharType="separate"/>
      </w:r>
      <w:r>
        <w:rPr>
          <w:u w:val="single"/>
        </w:rPr>
        <w:t>https://gosnappy.io/blog/how-gen-z-consumers-are-shaping-pizza-restaurant-options/</w:t>
      </w:r>
      <w:r>
        <w:rPr/>
        <w:fldChar w:fldCharType="end"/>
      </w:r>
      <w:r>
        <w:t xml:space="preserve">. </w:t>
      </w:r>
    </w:p>
    <w:p w14:paraId="0E5DF0A7">
      <w:pPr>
        <w:pStyle w:val="style0"/>
        <w:spacing w:after="240"/>
        <w:rPr/>
      </w:pPr>
      <w:r>
        <w:t xml:space="preserve">Cobe, P. (2025). </w:t>
      </w:r>
      <w:r>
        <w:rPr>
          <w:i/>
          <w:iCs/>
        </w:rPr>
        <w:t xml:space="preserve">Pizza Hut launches Crafted </w:t>
      </w:r>
      <w:r>
        <w:rPr>
          <w:i/>
          <w:iCs/>
        </w:rPr>
        <w:t>Flatzz</w:t>
      </w:r>
      <w:r>
        <w:rPr>
          <w:i/>
          <w:iCs/>
        </w:rPr>
        <w:t xml:space="preserve"> around the world, each with a different flavor twist</w:t>
      </w:r>
      <w:r>
        <w:t xml:space="preserve">. [online] Restaurant Business. Available at: </w:t>
      </w:r>
      <w:r>
        <w:rPr/>
        <w:fldChar w:fldCharType="begin"/>
      </w:r>
      <w:r>
        <w:instrText xml:space="preserve"> HYPERLINK "https://www.restaurantbusinessonline.com/food/pizza-hut-launches-crafted-flatzz-around-world-each-different-flavor-twist" </w:instrText>
      </w:r>
      <w:r>
        <w:rPr/>
        <w:fldChar w:fldCharType="separate"/>
      </w:r>
      <w:r>
        <w:rPr>
          <w:u w:val="single"/>
        </w:rPr>
        <w:t>https://www.restaurantbusinessonline.com/food/pizza-hut-launches-crafted-flatzz-around-world-each-different-flavor-twist</w:t>
      </w:r>
      <w:r>
        <w:rPr/>
        <w:fldChar w:fldCharType="end"/>
      </w:r>
      <w:r>
        <w:t xml:space="preserve"> </w:t>
      </w:r>
    </w:p>
    <w:p w14:paraId="44E5F7EE">
      <w:pPr>
        <w:pStyle w:val="style0"/>
        <w:spacing w:after="240"/>
        <w:rPr/>
      </w:pPr>
      <w:r>
        <w:t xml:space="preserve">Coley, B. (2025). </w:t>
      </w:r>
      <w:r>
        <w:rPr>
          <w:i/>
          <w:iCs/>
        </w:rPr>
        <w:t>The 2025</w:t>
      </w:r>
      <w:r>
        <w:rPr>
          <w:i/>
          <w:iCs/>
        </w:rPr>
        <w:t xml:space="preserve"> QSR 50: Fast Food’s Leading Annual Report</w:t>
      </w:r>
      <w:r>
        <w:t xml:space="preserve">. [online] QSR Magazine. Available at: </w:t>
      </w:r>
      <w:r>
        <w:rPr/>
        <w:fldChar w:fldCharType="begin"/>
      </w:r>
      <w:r>
        <w:instrText xml:space="preserve"> HYPERLINK "https://www.qsrmagazine.com/story/the-2025-qsr-50-fast-foods-leading-annual-report/" </w:instrText>
      </w:r>
      <w:r>
        <w:rPr/>
        <w:fldChar w:fldCharType="separate"/>
      </w:r>
      <w:r>
        <w:rPr>
          <w:u w:val="single"/>
        </w:rPr>
        <w:t>https://www.qsrmagazine.com/story/the-2025-qsr-50-fast-foods-leading-annual-report/</w:t>
      </w:r>
      <w:r>
        <w:rPr/>
        <w:fldChar w:fldCharType="end"/>
      </w:r>
      <w:r>
        <w:t xml:space="preserve">. </w:t>
      </w:r>
    </w:p>
    <w:p w14:paraId="45654751">
      <w:pPr>
        <w:pStyle w:val="style0"/>
        <w:spacing w:after="240"/>
        <w:rPr/>
      </w:pPr>
      <w:r>
        <w:t xml:space="preserve">Coley, B. (2026). </w:t>
      </w:r>
      <w:r>
        <w:rPr>
          <w:i/>
          <w:iCs/>
        </w:rPr>
        <w:t>Pizza Hut to Shutter 250 U.S. Restaurants</w:t>
      </w:r>
      <w:r>
        <w:t xml:space="preserve">. [online] QSR Magazine. Available at: </w:t>
      </w:r>
      <w:r>
        <w:rPr/>
        <w:fldChar w:fldCharType="begin"/>
      </w:r>
      <w:r>
        <w:instrText xml:space="preserve"> HYPERLINK "https://www.qsrmagazine.com/story/pizza-hut-to-shutter-250-u-s-restaurants/" </w:instrText>
      </w:r>
      <w:r>
        <w:rPr/>
        <w:fldChar w:fldCharType="separate"/>
      </w:r>
      <w:r>
        <w:rPr>
          <w:u w:val="single"/>
        </w:rPr>
        <w:t>https://www.qsrmagazine.com/story/pizza-hut-to-shutter-250-u-s-restaurants/</w:t>
      </w:r>
      <w:r>
        <w:rPr/>
        <w:fldChar w:fldCharType="end"/>
      </w:r>
      <w:r>
        <w:t xml:space="preserve">. </w:t>
      </w:r>
    </w:p>
    <w:p w14:paraId="596DD0CE">
      <w:pPr>
        <w:pStyle w:val="style0"/>
        <w:spacing w:after="240"/>
        <w:rPr/>
      </w:pPr>
      <w:r>
        <w:t xml:space="preserve">Company-Histories.com (2026). </w:t>
      </w:r>
      <w:r>
        <w:rPr>
          <w:i/>
          <w:iCs/>
        </w:rPr>
        <w:t>Yum! Brands Inc. -- Company History</w:t>
      </w:r>
      <w:r>
        <w:t xml:space="preserve">. [online] www.company-histories.com. Available at: </w:t>
      </w:r>
      <w:r>
        <w:rPr/>
        <w:fldChar w:fldCharType="begin"/>
      </w:r>
      <w:r>
        <w:instrText xml:space="preserve"> HYPERLINK "https://www.company-histories.com/Yum-Brands-Inc-Company-History.html" </w:instrText>
      </w:r>
      <w:r>
        <w:rPr/>
        <w:fldChar w:fldCharType="separate"/>
      </w:r>
      <w:r>
        <w:rPr>
          <w:u w:val="single"/>
        </w:rPr>
        <w:t>https://www.company-histories.com/Yum-Brands-Inc-Company-History.html</w:t>
      </w:r>
      <w:r>
        <w:rPr/>
        <w:fldChar w:fldCharType="end"/>
      </w:r>
      <w:r>
        <w:t xml:space="preserve">. </w:t>
      </w:r>
    </w:p>
    <w:p w14:paraId="64F05BA1">
      <w:pPr>
        <w:pStyle w:val="style0"/>
        <w:spacing w:after="240"/>
        <w:rPr/>
      </w:pPr>
      <w:r>
        <w:t xml:space="preserve">Congress.gov. (2025). </w:t>
      </w:r>
      <w:r>
        <w:rPr>
          <w:i/>
          <w:iCs/>
        </w:rPr>
        <w:t>The 2025</w:t>
      </w:r>
      <w:r>
        <w:rPr>
          <w:i/>
          <w:iCs/>
        </w:rPr>
        <w:t xml:space="preserve"> (FY2026) Government Shutdown: Economic Effects</w:t>
      </w:r>
      <w:r>
        <w:t xml:space="preserve">. [online] Available at: </w:t>
      </w:r>
      <w:r>
        <w:rPr/>
        <w:fldChar w:fldCharType="begin"/>
      </w:r>
      <w:r>
        <w:instrText xml:space="preserve"> HYPERLINK "https://www.congress.gov/crs-product/R48832?__cf_chl_f_tk=tagvh9AmSZfgxFJcb08zgAX8RV_1Ilrxx92y4pHimwo-1782903564-1.0.1.1-9AOW9BPYrkmQPKdXCkgfZ0olPfdqtBTafmZP9V2Smk8" </w:instrText>
      </w:r>
      <w:r>
        <w:rPr/>
        <w:fldChar w:fldCharType="separate"/>
      </w:r>
      <w:r>
        <w:rPr>
          <w:u w:val="single"/>
        </w:rPr>
        <w:t>https://www.congress.gov/crs-product/R48832?__cf_chl_f_tk=tagvh9AmSZfgxFJcb08zgAX8RV_1Ilrxx92y4pHimwo-1782903564-1.0.1.1-9AOW9BPYrkmQPKdXCkgfZ0olPfdqtBTafmZP9V2Smk8</w:t>
      </w:r>
      <w:r>
        <w:rPr/>
        <w:fldChar w:fldCharType="end"/>
      </w:r>
      <w:r>
        <w:t xml:space="preserve"> </w:t>
      </w:r>
    </w:p>
    <w:p w14:paraId="73F825CC">
      <w:pPr>
        <w:pStyle w:val="style0"/>
        <w:spacing w:after="240"/>
        <w:rPr/>
      </w:pPr>
      <w:r>
        <w:t xml:space="preserve">Das, K., Yu, S. and Wu, K. (2026). Yum strikes two deals to sell Pizza Hut for $2.7 billion in tale of diverging fortunes. </w:t>
      </w:r>
      <w:r>
        <w:rPr>
          <w:i/>
          <w:iCs/>
        </w:rPr>
        <w:t>Reuters</w:t>
      </w:r>
      <w:r>
        <w:t xml:space="preserve">. [online] 16 Jun. Available at: </w:t>
      </w:r>
      <w:r>
        <w:rPr/>
        <w:fldChar w:fldCharType="begin"/>
      </w:r>
      <w:r>
        <w:instrText xml:space="preserve"> HYPERLINK "https://www.reuters.com/legal/transactional/yum-brands-sell-pizza-hut-longrange-capital-27-billion-2026-06-16/" </w:instrText>
      </w:r>
      <w:r>
        <w:rPr/>
        <w:fldChar w:fldCharType="separate"/>
      </w:r>
      <w:r>
        <w:rPr>
          <w:u w:val="single"/>
        </w:rPr>
        <w:t>https://www.reuters.com/legal/transactional/yum-brands-sell-pizza-hut-longrange-capital-27-billion-2026-06-16/</w:t>
      </w:r>
      <w:r>
        <w:rPr/>
        <w:fldChar w:fldCharType="end"/>
      </w:r>
      <w:r>
        <w:t xml:space="preserve">. </w:t>
      </w:r>
    </w:p>
    <w:p w14:paraId="11CEFC0C">
      <w:pPr>
        <w:pStyle w:val="style0"/>
        <w:spacing w:after="240"/>
        <w:rPr/>
      </w:pPr>
      <w:r>
        <w:t xml:space="preserve">Devyani International Limited (2025). </w:t>
      </w:r>
      <w:r>
        <w:rPr>
          <w:i/>
          <w:iCs/>
        </w:rPr>
        <w:t>Annual Report 2024-25 | Devyani International Limited</w:t>
      </w:r>
      <w:r>
        <w:t xml:space="preserve">. [online] Dil-rjcorp.com. Available at: </w:t>
      </w:r>
      <w:r>
        <w:rPr/>
        <w:fldChar w:fldCharType="begin"/>
      </w:r>
      <w:r>
        <w:instrText xml:space="preserve"> HYPERLINK "https://dil-rjcorp.com/reports/annual-report-2024-25/" </w:instrText>
      </w:r>
      <w:r>
        <w:rPr/>
        <w:fldChar w:fldCharType="separate"/>
      </w:r>
      <w:r>
        <w:rPr>
          <w:u w:val="single"/>
        </w:rPr>
        <w:t>https://dil-rjcorp.com/reports/annual-report-2024-25/</w:t>
      </w:r>
      <w:r>
        <w:rPr/>
        <w:fldChar w:fldCharType="end"/>
      </w:r>
      <w:r>
        <w:t xml:space="preserve">. </w:t>
      </w:r>
    </w:p>
    <w:p w14:paraId="4CA8126E">
      <w:pPr>
        <w:pStyle w:val="style0"/>
        <w:spacing w:after="240"/>
        <w:rPr/>
      </w:pPr>
      <w:r>
        <w:t xml:space="preserve">Digital </w:t>
      </w:r>
      <w:r>
        <w:t>CourseAI</w:t>
      </w:r>
      <w:r>
        <w:t xml:space="preserve"> Pvt. Ltd (2025). </w:t>
      </w:r>
      <w:r>
        <w:rPr>
          <w:i/>
          <w:iCs/>
        </w:rPr>
        <w:t xml:space="preserve">Pizza Hut Marketing Case Study 2025: How a $600 Startup Became a Global Pizza Powerhouse Through Digital Innovation - Digital </w:t>
      </w:r>
      <w:r>
        <w:rPr>
          <w:i/>
          <w:iCs/>
        </w:rPr>
        <w:t>CourseAI</w:t>
      </w:r>
      <w:r>
        <w:t xml:space="preserve">. [online] Digital </w:t>
      </w:r>
      <w:r>
        <w:t>CourseAI</w:t>
      </w:r>
      <w:r>
        <w:t xml:space="preserve"> -. Available at: </w:t>
      </w:r>
      <w:r>
        <w:rPr/>
        <w:fldChar w:fldCharType="begin"/>
      </w:r>
      <w:r>
        <w:instrText xml:space="preserve"> HYPERLINK "https://digitalcourseai.in/pizza-hut-marketing-case-study-2025-how-a-600-startup-became-a-global-pizza-powerhouse-through-digital-innovation/" </w:instrText>
      </w:r>
      <w:r>
        <w:rPr/>
        <w:fldChar w:fldCharType="separate"/>
      </w:r>
      <w:r>
        <w:rPr>
          <w:u w:val="single"/>
        </w:rPr>
        <w:t>https://digitalcourseai.in/pizza-hut-marketing-case-study-2025-how-a-600-startup-became-a-global-pizza-powerhouse-through-digital-innovation/</w:t>
      </w:r>
      <w:r>
        <w:rPr/>
        <w:fldChar w:fldCharType="end"/>
      </w:r>
      <w:r>
        <w:t xml:space="preserve">. </w:t>
      </w:r>
    </w:p>
    <w:p w14:paraId="66D7D708">
      <w:pPr>
        <w:pStyle w:val="style0"/>
        <w:spacing w:after="240"/>
        <w:rPr/>
      </w:pPr>
      <w:r>
        <w:t xml:space="preserve">Dsouza, S. (2026). </w:t>
      </w:r>
      <w:r>
        <w:rPr>
          <w:i/>
          <w:iCs/>
        </w:rPr>
        <w:t>Pizza Hut’s India partners go back to basics on products and pricing</w:t>
      </w:r>
      <w:r>
        <w:t xml:space="preserve">. [online] Business-standard.com. Available at: </w:t>
      </w:r>
      <w:r>
        <w:rPr/>
        <w:fldChar w:fldCharType="begin"/>
      </w:r>
      <w:r>
        <w:instrText xml:space="preserve"> HYPERLINK "https://www.business-standard.com/industry/news/pizza-hut-struggles-in-india-as-yum-franchisees-seek-revival-strategy-126061701136_1.html" </w:instrText>
      </w:r>
      <w:r>
        <w:rPr/>
        <w:fldChar w:fldCharType="separate"/>
      </w:r>
      <w:r>
        <w:rPr>
          <w:u w:val="single"/>
        </w:rPr>
        <w:t>https://www.business-standard.com/industry/news/pizza-hut-struggles-in-india-as-yum-franchisees-seek-revival-strategy-126061701136_1.html</w:t>
      </w:r>
      <w:r>
        <w:rPr/>
        <w:fldChar w:fldCharType="end"/>
      </w:r>
      <w:r>
        <w:t xml:space="preserve"> </w:t>
      </w:r>
    </w:p>
    <w:p w14:paraId="01613C48">
      <w:pPr>
        <w:pStyle w:val="style0"/>
        <w:spacing w:after="240"/>
        <w:rPr/>
      </w:pPr>
      <w:r>
        <w:t>Elopak</w:t>
      </w:r>
      <w:r>
        <w:t xml:space="preserve"> (2026). </w:t>
      </w:r>
      <w:r>
        <w:rPr>
          <w:i/>
          <w:iCs/>
        </w:rPr>
        <w:t>KFC and Pizza Hut’s packaging progress revealed in parent company’s report</w:t>
      </w:r>
      <w:r>
        <w:t xml:space="preserve">. [online] Packaging Europe. Available at: </w:t>
      </w:r>
      <w:r>
        <w:rPr/>
        <w:fldChar w:fldCharType="begin"/>
      </w:r>
      <w:r>
        <w:instrText xml:space="preserve"> HYPERLINK "https://packagingeurope.com/news/kfc-and-pizza-huts-packaging-progress-revealed-in-parent-companys-report/14419.article" </w:instrText>
      </w:r>
      <w:r>
        <w:rPr/>
        <w:fldChar w:fldCharType="separate"/>
      </w:r>
      <w:r>
        <w:rPr>
          <w:u w:val="single"/>
        </w:rPr>
        <w:t>https://packagingeurope.com/news/kfc-and-pizza-huts-packaging-progress-revealed-in-parent-companys-report/14419.article</w:t>
      </w:r>
      <w:r>
        <w:rPr/>
        <w:fldChar w:fldCharType="end"/>
      </w:r>
      <w:r>
        <w:t xml:space="preserve"> </w:t>
      </w:r>
    </w:p>
    <w:p w14:paraId="0A5238A0">
      <w:pPr>
        <w:pStyle w:val="style0"/>
        <w:spacing w:after="240"/>
        <w:rPr/>
      </w:pPr>
      <w:r>
        <w:t>FranchiseBazar</w:t>
      </w:r>
      <w:r>
        <w:t xml:space="preserve"> (2026). </w:t>
      </w:r>
      <w:r>
        <w:rPr>
          <w:i/>
          <w:iCs/>
        </w:rPr>
        <w:t>India’s Best Pizza Franchises Ranked For 2026</w:t>
      </w:r>
      <w:r>
        <w:t xml:space="preserve">. [online] Franchisebazar.com. Available at: </w:t>
      </w:r>
      <w:r>
        <w:rPr/>
        <w:fldChar w:fldCharType="begin"/>
      </w:r>
      <w:r>
        <w:instrText xml:space="preserve"> HYPERLINK "https://www.franchisebazar.com/blog/indias-best-pizza-franchises-ranked-for-2026" </w:instrText>
      </w:r>
      <w:r>
        <w:rPr/>
        <w:fldChar w:fldCharType="separate"/>
      </w:r>
      <w:r>
        <w:rPr>
          <w:u w:val="single"/>
        </w:rPr>
        <w:t>https://www.franchisebazar.com/blog/indias-best-pizza-franchises-ranked-for-2026</w:t>
      </w:r>
      <w:r>
        <w:rPr/>
        <w:fldChar w:fldCharType="end"/>
      </w:r>
      <w:r>
        <w:t xml:space="preserve"> </w:t>
      </w:r>
    </w:p>
    <w:p w14:paraId="0F531AE3">
      <w:pPr>
        <w:pStyle w:val="style0"/>
        <w:spacing w:after="240"/>
        <w:rPr/>
      </w:pPr>
      <w:r>
        <w:t xml:space="preserve">Ghosh, A. and Sarkar, R. (2024). </w:t>
      </w:r>
      <w:r>
        <w:rPr>
          <w:i/>
          <w:iCs/>
        </w:rPr>
        <w:t>SOCIETY AND CULTURE IN INDIA: THEMES AND PERSPECTIVES</w:t>
      </w:r>
      <w:r>
        <w:t xml:space="preserve">. [online] </w:t>
      </w:r>
      <w:r>
        <w:rPr>
          <w:i/>
          <w:iCs/>
        </w:rPr>
        <w:t>ResearchGate</w:t>
      </w:r>
      <w:r>
        <w:t xml:space="preserve">. </w:t>
      </w:r>
      <w:r>
        <w:t>Redshine</w:t>
      </w:r>
      <w:r>
        <w:t xml:space="preserve"> Publication. Available at: </w:t>
      </w:r>
      <w:r>
        <w:rPr/>
        <w:fldChar w:fldCharType="begin"/>
      </w:r>
      <w:r>
        <w:instrText xml:space="preserve"> HYPERLINK "https://www.researchgate.net/publication/381316639_SOCIETY_AND_CULTURE_IN_INDIA_THEMES_AND_PERSPECTIVES?enrichId=rgreq-3caabf33c3c0536d04ff2acfe202cc07-XXX&amp;enrichSource=Y292ZXJQYWdlOzM4MTMxNjYzOTtBUzoxMTQzMTI4MTI1MTIxNTEwOUAxNzE4MTM1MDYzNDc5&amp;el=1_x_2&amp;_esc=publicationCoverPdf" </w:instrText>
      </w:r>
      <w:r>
        <w:rPr/>
        <w:fldChar w:fldCharType="separate"/>
      </w:r>
      <w:r>
        <w:rPr>
          <w:u w:val="single"/>
        </w:rPr>
        <w:t>https://www.researchgate.net/publication/381316639_SOCIETY_AND_CULTURE_IN_INDIA_THEMES_AND_PERSPECTIVES?enrichId=rgreq-3caabf33c3c0536d04ff2acfe202cc07-XXX&amp;enrichSource=Y292ZXJQYWdlOzM4MTMxNjYzOTtBUzoxMTQzMTI4MTI1MTIxNTEwOUAxNzE4MTM1MDYzNDc5&amp;el=1_x_2&amp;_esc=publicationCoverPdf</w:t>
      </w:r>
      <w:r>
        <w:rPr/>
        <w:fldChar w:fldCharType="end"/>
      </w:r>
      <w:r>
        <w:t xml:space="preserve">. </w:t>
      </w:r>
    </w:p>
    <w:p w14:paraId="023B1D65">
      <w:pPr>
        <w:pStyle w:val="style0"/>
        <w:spacing w:after="240"/>
        <w:rPr/>
      </w:pPr>
      <w:r>
        <w:t xml:space="preserve">Gonsalves, A. (2025). </w:t>
      </w:r>
      <w:r>
        <w:rPr>
          <w:i/>
          <w:iCs/>
        </w:rPr>
        <w:t>Yum Brands aims to unify supply chain under ‘one voice’</w:t>
      </w:r>
      <w:r>
        <w:t xml:space="preserve">. [online] Supply Chain Dive. Available at: </w:t>
      </w:r>
      <w:r>
        <w:rPr/>
        <w:fldChar w:fldCharType="begin"/>
      </w:r>
      <w:r>
        <w:instrText xml:space="preserve"> HYPERLINK "https://www.supplychaindive.com/news/yum-brands-supply-chain-strategy-revamp-chief-supply-chain-officer-eric-craft/760997/" </w:instrText>
      </w:r>
      <w:r>
        <w:rPr/>
        <w:fldChar w:fldCharType="separate"/>
      </w:r>
      <w:r>
        <w:rPr>
          <w:u w:val="single"/>
        </w:rPr>
        <w:t>https://www.supplychaindive.com/news/yum-brands-supply-chain-strategy-revamp-chief-supply-chain-officer-eric-craft/760997/</w:t>
      </w:r>
      <w:r>
        <w:rPr/>
        <w:fldChar w:fldCharType="end"/>
      </w:r>
      <w:r>
        <w:t xml:space="preserve">. </w:t>
      </w:r>
    </w:p>
    <w:p w14:paraId="30E359E3">
      <w:pPr>
        <w:pStyle w:val="style0"/>
        <w:spacing w:after="240"/>
        <w:rPr/>
      </w:pPr>
      <w:r>
        <w:t xml:space="preserve">Grocery Trade News. (2026). </w:t>
      </w:r>
      <w:r>
        <w:rPr>
          <w:i/>
          <w:iCs/>
        </w:rPr>
        <w:t>Pizza Hut Launches Hut Originals Summer Platform</w:t>
      </w:r>
      <w:r>
        <w:t xml:space="preserve">. [online] Available at: </w:t>
      </w:r>
      <w:r>
        <w:rPr/>
        <w:fldChar w:fldCharType="begin"/>
      </w:r>
      <w:r>
        <w:instrText xml:space="preserve"> HYPERLINK "https://www.grocerytradenews.com/pizza-hut-hut-originals-summer-platform/" </w:instrText>
      </w:r>
      <w:r>
        <w:rPr/>
        <w:fldChar w:fldCharType="separate"/>
      </w:r>
      <w:r>
        <w:rPr>
          <w:u w:val="single"/>
        </w:rPr>
        <w:t>https://www.grocerytradenews.com/pizza-hut-hut-originals-summer-platform/</w:t>
      </w:r>
      <w:r>
        <w:rPr/>
        <w:fldChar w:fldCharType="end"/>
      </w:r>
      <w:r>
        <w:t xml:space="preserve"> </w:t>
      </w:r>
    </w:p>
    <w:p w14:paraId="1CFC1F6A">
      <w:pPr>
        <w:pStyle w:val="style0"/>
        <w:spacing w:after="240"/>
        <w:rPr/>
      </w:pPr>
      <w:r>
        <w:t xml:space="preserve">Hofstede Insights (2026). </w:t>
      </w:r>
      <w:r>
        <w:rPr>
          <w:i/>
          <w:iCs/>
        </w:rPr>
        <w:t>Country Comparison Tool</w:t>
      </w:r>
      <w:r>
        <w:t xml:space="preserve">. [online] Theculturefactor.com. Available at: </w:t>
      </w:r>
      <w:r>
        <w:rPr/>
        <w:fldChar w:fldCharType="begin"/>
      </w:r>
      <w:r>
        <w:instrText xml:space="preserve"> HYPERLINK "https://www.theculturefactor.com/country-comparison-tool?countries=india%2Cunited+states" </w:instrText>
      </w:r>
      <w:r>
        <w:rPr/>
        <w:fldChar w:fldCharType="separate"/>
      </w:r>
      <w:r>
        <w:rPr>
          <w:u w:val="single"/>
        </w:rPr>
        <w:t>https://www.theculturefactor.com/country-comparison-tool?countries=india%2Cunited+states</w:t>
      </w:r>
      <w:r>
        <w:rPr/>
        <w:fldChar w:fldCharType="end"/>
      </w:r>
      <w:r>
        <w:t xml:space="preserve">. </w:t>
      </w:r>
    </w:p>
    <w:p w14:paraId="0F4DF25A">
      <w:pPr>
        <w:pStyle w:val="style0"/>
        <w:spacing w:after="240"/>
        <w:rPr/>
      </w:pPr>
      <w:r>
        <w:t xml:space="preserve">Human Foods Program (2024). </w:t>
      </w:r>
      <w:r>
        <w:rPr>
          <w:i/>
          <w:iCs/>
        </w:rPr>
        <w:t>Menu Labeling Requirements</w:t>
      </w:r>
      <w:r>
        <w:t xml:space="preserve">. [online] U.S. Food and Drug Administration. Available at: </w:t>
      </w:r>
      <w:r>
        <w:rPr/>
        <w:fldChar w:fldCharType="begin"/>
      </w:r>
      <w:r>
        <w:instrText xml:space="preserve"> HYPERLINK "https://www.fda.gov/food/nutrition-food-labeling-and-critical-foods/menu-labeling-requirements" </w:instrText>
      </w:r>
      <w:r>
        <w:rPr/>
        <w:fldChar w:fldCharType="separate"/>
      </w:r>
      <w:r>
        <w:rPr>
          <w:u w:val="single"/>
        </w:rPr>
        <w:t>https://www.fda.gov/food/nutrition-food-labeling-and-critical-foods/menu-labeling-requirements</w:t>
      </w:r>
      <w:r>
        <w:rPr/>
        <w:fldChar w:fldCharType="end"/>
      </w:r>
      <w:r>
        <w:t xml:space="preserve">. </w:t>
      </w:r>
    </w:p>
    <w:p w14:paraId="3C571171">
      <w:pPr>
        <w:pStyle w:val="style0"/>
        <w:spacing w:after="240"/>
        <w:rPr/>
      </w:pPr>
      <w:r>
        <w:t xml:space="preserve">Hynum, R. (2025). </w:t>
      </w:r>
      <w:r>
        <w:rPr>
          <w:i/>
          <w:iCs/>
        </w:rPr>
        <w:t xml:space="preserve">Crafted </w:t>
      </w:r>
      <w:r>
        <w:rPr>
          <w:i/>
          <w:iCs/>
        </w:rPr>
        <w:t>Flatzz</w:t>
      </w:r>
      <w:r>
        <w:rPr>
          <w:i/>
          <w:iCs/>
        </w:rPr>
        <w:t>: Pizza Hut Rolls Out ‘Largest Simultaneous Global Menu Launch’ in Its History - PMQ Pizza</w:t>
      </w:r>
      <w:r>
        <w:t xml:space="preserve">. [online] PMQ Pizza. Available at: </w:t>
      </w:r>
      <w:r>
        <w:rPr/>
        <w:fldChar w:fldCharType="begin"/>
      </w:r>
      <w:r>
        <w:instrText xml:space="preserve"> HYPERLINK "https://www.pmq.com/pizza-huts-crafted-flatzz-is-largest-simultaneous-global-menu-launch-in-its-history/" </w:instrText>
      </w:r>
      <w:r>
        <w:rPr/>
        <w:fldChar w:fldCharType="separate"/>
      </w:r>
      <w:r>
        <w:rPr>
          <w:u w:val="single"/>
        </w:rPr>
        <w:t>https://www.pmq.com/pizza-huts-crafted-flatzz-is-largest-simultaneous-global-menu-launch-in-its-history/</w:t>
      </w:r>
      <w:r>
        <w:rPr/>
        <w:fldChar w:fldCharType="end"/>
      </w:r>
      <w:r>
        <w:t xml:space="preserve"> </w:t>
      </w:r>
    </w:p>
    <w:p w14:paraId="7344FAB8">
      <w:pPr>
        <w:pStyle w:val="style0"/>
        <w:spacing w:after="240"/>
        <w:rPr/>
      </w:pPr>
      <w:r>
        <w:t xml:space="preserve">Hynum, R. (2026). </w:t>
      </w:r>
      <w:r>
        <w:rPr>
          <w:i/>
          <w:iCs/>
        </w:rPr>
        <w:t>After $2.7 Billion Sale, What’s Next for Pizza Hut? - PMQ Pizza</w:t>
      </w:r>
      <w:r>
        <w:t xml:space="preserve">. [online] PMQ Pizza. Available at: </w:t>
      </w:r>
      <w:r>
        <w:rPr/>
        <w:fldChar w:fldCharType="begin"/>
      </w:r>
      <w:r>
        <w:instrText xml:space="preserve"> HYPERLINK "https://www.pmq.com/after-2-7-billion-sale-whats-next-for-pizza-hut/" </w:instrText>
      </w:r>
      <w:r>
        <w:rPr/>
        <w:fldChar w:fldCharType="separate"/>
      </w:r>
      <w:r>
        <w:rPr>
          <w:u w:val="single"/>
        </w:rPr>
        <w:t>https://www.pmq.com/after-2-7-billion-sale-whats-next-for-pizza-hut/</w:t>
      </w:r>
      <w:r>
        <w:rPr/>
        <w:fldChar w:fldCharType="end"/>
      </w:r>
      <w:r>
        <w:t xml:space="preserve"> </w:t>
      </w:r>
    </w:p>
    <w:p w14:paraId="3853651F">
      <w:pPr>
        <w:pStyle w:val="style0"/>
        <w:spacing w:after="240"/>
        <w:rPr/>
      </w:pPr>
      <w:r>
        <w:t xml:space="preserve">Indian Retailer Bureau (2026). </w:t>
      </w:r>
      <w:r>
        <w:rPr>
          <w:i/>
          <w:iCs/>
        </w:rPr>
        <w:t>Devyani International Names New Heads for Pizza Hut and Costa Coffee</w:t>
      </w:r>
      <w:r>
        <w:t xml:space="preserve">. [online] Indian Retailer. Available at: </w:t>
      </w:r>
      <w:r>
        <w:rPr/>
        <w:fldChar w:fldCharType="begin"/>
      </w:r>
      <w:r>
        <w:instrText xml:space="preserve"> HYPERLINK "https://www.indianretailer.com/news/devyani-international-names-new-heads-pizza-hut-and-costa-coffee" </w:instrText>
      </w:r>
      <w:r>
        <w:rPr/>
        <w:fldChar w:fldCharType="separate"/>
      </w:r>
      <w:r>
        <w:rPr>
          <w:u w:val="single"/>
        </w:rPr>
        <w:t>https://www.indianretailer.com/news/devyani-international-names-new-heads-pizza-hut-and-costa-coffee</w:t>
      </w:r>
      <w:r>
        <w:rPr/>
        <w:fldChar w:fldCharType="end"/>
      </w:r>
      <w:r>
        <w:t xml:space="preserve"> </w:t>
      </w:r>
    </w:p>
    <w:p w14:paraId="725B2EE6">
      <w:pPr>
        <w:pStyle w:val="style0"/>
        <w:spacing w:after="240"/>
        <w:rPr/>
      </w:pPr>
      <w:r>
        <w:t xml:space="preserve">Island, H. (2025). </w:t>
      </w:r>
      <w:r>
        <w:rPr>
          <w:i/>
          <w:iCs/>
        </w:rPr>
        <w:t>Top 7 Strategic Frameworks every leader should know</w:t>
      </w:r>
      <w:r>
        <w:t xml:space="preserve">. [online] Hyperisland.com. Available at: </w:t>
      </w:r>
      <w:r>
        <w:rPr/>
        <w:fldChar w:fldCharType="begin"/>
      </w:r>
      <w:r>
        <w:instrText xml:space="preserve"> HYPERLINK "https://hyperisland.com/en/blog/hyper-insights/top-7-strategic-frameworks-every-leader-should-know" </w:instrText>
      </w:r>
      <w:r>
        <w:rPr/>
        <w:fldChar w:fldCharType="separate"/>
      </w:r>
      <w:r>
        <w:rPr>
          <w:u w:val="single"/>
        </w:rPr>
        <w:t>https://hyperisland.com/en/blog/hyper-insights/top-7-strategic-frameworks-every-leader-should-know</w:t>
      </w:r>
      <w:r>
        <w:rPr/>
        <w:fldChar w:fldCharType="end"/>
      </w:r>
      <w:r>
        <w:t xml:space="preserve">. </w:t>
      </w:r>
    </w:p>
    <w:p w14:paraId="2F232930">
      <w:pPr>
        <w:pStyle w:val="style0"/>
        <w:spacing w:after="240"/>
        <w:rPr/>
      </w:pPr>
      <w:r>
        <w:t xml:space="preserve">Iyer, V. (2025). </w:t>
      </w:r>
      <w:r>
        <w:rPr>
          <w:i/>
          <w:iCs/>
        </w:rPr>
        <w:t xml:space="preserve">The Future of Food Service </w:t>
      </w:r>
      <w:r>
        <w:rPr>
          <w:i/>
          <w:iCs/>
        </w:rPr>
        <w:t>At</w:t>
      </w:r>
      <w:r>
        <w:rPr>
          <w:i/>
          <w:iCs/>
        </w:rPr>
        <w:t xml:space="preserve"> Home</w:t>
      </w:r>
      <w:r>
        <w:t xml:space="preserve">. [online] Restaurant India. Available at: </w:t>
      </w:r>
      <w:r>
        <w:rPr/>
        <w:fldChar w:fldCharType="begin"/>
      </w:r>
      <w:r>
        <w:instrText xml:space="preserve"> HYPERLINK "https://www.restaurantindia.in/article/the-future-of-food-service-at-home.13645" </w:instrText>
      </w:r>
      <w:r>
        <w:rPr/>
        <w:fldChar w:fldCharType="separate"/>
      </w:r>
      <w:r>
        <w:rPr>
          <w:u w:val="single"/>
        </w:rPr>
        <w:t>https://www.restaurantindia.in/article/the-future-of-food-service-at-home.13645</w:t>
      </w:r>
      <w:r>
        <w:rPr/>
        <w:fldChar w:fldCharType="end"/>
      </w:r>
      <w:r>
        <w:t xml:space="preserve"> </w:t>
      </w:r>
    </w:p>
    <w:p w14:paraId="72EFE52F">
      <w:pPr>
        <w:pStyle w:val="style0"/>
        <w:spacing w:after="240"/>
        <w:rPr/>
      </w:pPr>
      <w:r>
        <w:t xml:space="preserve">Jaswal, M. (2026a). </w:t>
      </w:r>
      <w:r>
        <w:rPr>
          <w:i/>
          <w:iCs/>
        </w:rPr>
        <w:t>Devyani International freezes new Pizza Hut stores in FY27 as loss-making brand undergoes marketing reset</w:t>
      </w:r>
      <w:r>
        <w:t xml:space="preserve">. [online] Storyboard18.com. Available at: </w:t>
      </w:r>
      <w:r>
        <w:rPr/>
        <w:fldChar w:fldCharType="begin"/>
      </w:r>
      <w:r>
        <w:instrText xml:space="preserve"> HYPERLINK "https://www.storyboard18.com/brand-marketing/devyani-international-stops-pizza-hut-expansion-focuses-on-kfc-growth-ws-l-98530.htm" </w:instrText>
      </w:r>
      <w:r>
        <w:rPr/>
        <w:fldChar w:fldCharType="separate"/>
      </w:r>
      <w:r>
        <w:rPr>
          <w:u w:val="single"/>
        </w:rPr>
        <w:t>https://www.storyboard18.com/brand-marketing/devyani-international-stops-pizza-hut-expansion-focuses-on-kfc-growth-ws-l-98530.htm</w:t>
      </w:r>
      <w:r>
        <w:rPr/>
        <w:fldChar w:fldCharType="end"/>
      </w:r>
      <w:r>
        <w:t xml:space="preserve">. </w:t>
      </w:r>
    </w:p>
    <w:p w14:paraId="7838389A">
      <w:pPr>
        <w:pStyle w:val="style0"/>
        <w:spacing w:after="240"/>
        <w:rPr/>
      </w:pPr>
      <w:r>
        <w:t xml:space="preserve">Jaswal, M. (2026b). </w:t>
      </w:r>
      <w:r>
        <w:rPr>
          <w:i/>
          <w:iCs/>
        </w:rPr>
        <w:t>Devyani International suspends Pizza Hut expansion, shuts loss-making stores</w:t>
      </w:r>
      <w:r>
        <w:t xml:space="preserve">. [online] Storyboard18.com. Available at: </w:t>
      </w:r>
      <w:r>
        <w:rPr/>
        <w:fldChar w:fldCharType="begin"/>
      </w:r>
      <w:r>
        <w:instrText xml:space="preserve"> HYPERLINK "https://www.storyboard18.com/brand-marketing/devyani-international-suspends-pizza-hut-expansion-shuts-loss-making-stores-90292.htm" </w:instrText>
      </w:r>
      <w:r>
        <w:rPr/>
        <w:fldChar w:fldCharType="separate"/>
      </w:r>
      <w:r>
        <w:rPr>
          <w:u w:val="single"/>
        </w:rPr>
        <w:t>https://www.storyboard18.com/brand-marketing/devyani-international-suspends-pizza-hut-expansion-shuts-loss-making-stores-90292.htm</w:t>
      </w:r>
      <w:r>
        <w:rPr/>
        <w:fldChar w:fldCharType="end"/>
      </w:r>
      <w:r>
        <w:t xml:space="preserve"> </w:t>
      </w:r>
    </w:p>
    <w:p w14:paraId="1FE067F4">
      <w:pPr>
        <w:pStyle w:val="style0"/>
        <w:spacing w:after="240"/>
        <w:rPr/>
      </w:pPr>
      <w:r>
        <w:t xml:space="preserve">JB </w:t>
      </w:r>
      <w:r>
        <w:t>Ecotex</w:t>
      </w:r>
      <w:r>
        <w:t xml:space="preserve"> (2025). </w:t>
      </w:r>
      <w:r>
        <w:rPr>
          <w:i/>
          <w:iCs/>
        </w:rPr>
        <w:t>India’s 2025 Plastic Packaging Recycling Rules for Manufacturers</w:t>
      </w:r>
      <w:r>
        <w:t xml:space="preserve">. [online] Jbecotex.com. Available at: </w:t>
      </w:r>
      <w:r>
        <w:rPr/>
        <w:fldChar w:fldCharType="begin"/>
      </w:r>
      <w:r>
        <w:instrText xml:space="preserve"> HYPERLINK "https://jbecotex.com/plastic-packaging-recycling-what-you-need-to-know" </w:instrText>
      </w:r>
      <w:r>
        <w:rPr/>
        <w:fldChar w:fldCharType="separate"/>
      </w:r>
      <w:r>
        <w:rPr>
          <w:u w:val="single"/>
        </w:rPr>
        <w:t>https://jbecotex.com/plastic-packaging-recycling-what-you-need-to-know</w:t>
      </w:r>
      <w:r>
        <w:rPr/>
        <w:fldChar w:fldCharType="end"/>
      </w:r>
      <w:r>
        <w:t xml:space="preserve"> </w:t>
      </w:r>
    </w:p>
    <w:p w14:paraId="7F00C6CA">
      <w:pPr>
        <w:pStyle w:val="style0"/>
        <w:spacing w:after="240"/>
        <w:rPr/>
      </w:pPr>
      <w:r>
        <w:t xml:space="preserve">Kagaba, A.G. (2025). Rethinking Education: The Role of Critical Thinking in Schools. </w:t>
      </w:r>
      <w:r>
        <w:rPr>
          <w:i/>
          <w:iCs/>
        </w:rPr>
        <w:t>ResearchGate</w:t>
      </w:r>
      <w:r>
        <w:t xml:space="preserve">, [online] 6(1), pp.112–120. </w:t>
      </w:r>
      <w:r>
        <w:t>doi:</w:t>
      </w:r>
      <w:r>
        <w:rPr/>
        <w:fldChar w:fldCharType="begin"/>
      </w:r>
      <w:r>
        <w:instrText xml:space="preserve"> HYPERLINK "https://doi.org/10.59298/NIJCIAM/2025/6.1.112120" </w:instrText>
      </w:r>
      <w:r>
        <w:rPr/>
        <w:fldChar w:fldCharType="separate"/>
      </w:r>
      <w:r>
        <w:rPr>
          <w:u w:val="single"/>
        </w:rPr>
        <w:t>https</w:t>
      </w:r>
      <w:r>
        <w:rPr>
          <w:u w:val="single"/>
        </w:rPr>
        <w:t>://doi.org/10.59298/NIJCIAM/2025/6.1.112120</w:t>
      </w:r>
      <w:r>
        <w:rPr/>
        <w:fldChar w:fldCharType="end"/>
      </w:r>
      <w:r>
        <w:t xml:space="preserve">. </w:t>
      </w:r>
    </w:p>
    <w:p w14:paraId="5BD73AB4">
      <w:pPr>
        <w:pStyle w:val="style0"/>
        <w:spacing w:after="240"/>
        <w:rPr/>
      </w:pPr>
      <w:r>
        <w:t xml:space="preserve">Kayode Omotosho (2026). </w:t>
      </w:r>
      <w:r>
        <w:rPr>
          <w:i/>
          <w:iCs/>
        </w:rPr>
        <w:t>Yum! Brands (</w:t>
      </w:r>
      <w:r>
        <w:rPr>
          <w:i/>
          <w:iCs/>
        </w:rPr>
        <w:t>NYSE:YUM</w:t>
      </w:r>
      <w:r>
        <w:rPr>
          <w:i/>
          <w:iCs/>
        </w:rPr>
        <w:t>) Exceeds Q4 CY2025 Expectations</w:t>
      </w:r>
      <w:r>
        <w:t xml:space="preserve">. [online] </w:t>
      </w:r>
      <w:r>
        <w:t>StockStory</w:t>
      </w:r>
      <w:r>
        <w:t xml:space="preserve">. Available at: </w:t>
      </w:r>
      <w:r>
        <w:rPr/>
        <w:fldChar w:fldCharType="begin"/>
      </w:r>
      <w:r>
        <w:instrText xml:space="preserve"> HYPERLINK "https://stockstory.org/us/stocks/nyse/yum/news/earnings/yum-brands-nyseyum-exceeds-q4-cy2025-expectations" </w:instrText>
      </w:r>
      <w:r>
        <w:rPr/>
        <w:fldChar w:fldCharType="separate"/>
      </w:r>
      <w:r>
        <w:rPr>
          <w:u w:val="single"/>
        </w:rPr>
        <w:t>https://stockstory.org/us/stocks/nyse/yum/news/earnings/yum-brands-nyseyum-exceeds-q4-cy2025-expectations</w:t>
      </w:r>
      <w:r>
        <w:rPr/>
        <w:fldChar w:fldCharType="end"/>
      </w:r>
      <w:r>
        <w:t xml:space="preserve"> </w:t>
      </w:r>
    </w:p>
    <w:p w14:paraId="6AF3E707">
      <w:pPr>
        <w:pStyle w:val="style0"/>
        <w:spacing w:after="240"/>
        <w:rPr/>
      </w:pPr>
      <w:r>
        <w:t xml:space="preserve">Kirtika Suneja (2025). </w:t>
      </w:r>
      <w:r>
        <w:rPr>
          <w:i/>
          <w:iCs/>
        </w:rPr>
        <w:t xml:space="preserve">85.5% Indian </w:t>
      </w:r>
      <w:r>
        <w:rPr>
          <w:i/>
          <w:iCs/>
        </w:rPr>
        <w:t>households</w:t>
      </w:r>
      <w:r>
        <w:rPr>
          <w:i/>
          <w:iCs/>
        </w:rPr>
        <w:t xml:space="preserve"> </w:t>
      </w:r>
      <w:r>
        <w:rPr>
          <w:i/>
          <w:iCs/>
        </w:rPr>
        <w:t>posses</w:t>
      </w:r>
      <w:r>
        <w:rPr>
          <w:i/>
          <w:iCs/>
        </w:rPr>
        <w:t xml:space="preserve"> at least one smartphone, 99.5% youth use UPI: </w:t>
      </w:r>
      <w:r>
        <w:rPr>
          <w:i/>
          <w:iCs/>
        </w:rPr>
        <w:t>MoSPI</w:t>
      </w:r>
      <w:r>
        <w:rPr>
          <w:i/>
          <w:iCs/>
        </w:rPr>
        <w:t xml:space="preserve"> survey</w:t>
      </w:r>
      <w:r>
        <w:t xml:space="preserve">. [online] The Economic Times. Available at: </w:t>
      </w:r>
      <w:r>
        <w:rPr/>
        <w:fldChar w:fldCharType="begin"/>
      </w:r>
      <w:r>
        <w:instrText xml:space="preserve"> HYPERLINK "https://economictimes.indiatimes.com/news/economy/indicators/85-5-indian-households-posses-at-least-one-smartphone-99-5-youth-use-upi-mospi-survey/articleshow/121495764.cms?from=mdr" </w:instrText>
      </w:r>
      <w:r>
        <w:rPr/>
        <w:fldChar w:fldCharType="separate"/>
      </w:r>
      <w:r>
        <w:rPr>
          <w:u w:val="single"/>
        </w:rPr>
        <w:t>https://economictimes.indiatimes.com/news/economy/indicators/85-5-indian-households-posses-at-least-one-smartphone-99-5-youth-use-upi-mospi-survey/articleshow/121495764.cms?from=mdr</w:t>
      </w:r>
      <w:r>
        <w:rPr/>
        <w:fldChar w:fldCharType="end"/>
      </w:r>
      <w:r>
        <w:t xml:space="preserve">. </w:t>
      </w:r>
    </w:p>
    <w:p w14:paraId="29F2D701">
      <w:pPr>
        <w:pStyle w:val="style0"/>
        <w:spacing w:after="240"/>
        <w:rPr/>
      </w:pPr>
      <w:r>
        <w:t xml:space="preserve">Kumar, S., Sureka, R., Lim, W.M., Kumar Mangla, S. and Goyal, N. (2021). What do we know about business strategy and environmental research? Insights from Business Strategy and the Environment. </w:t>
      </w:r>
      <w:r>
        <w:rPr>
          <w:i/>
          <w:iCs/>
        </w:rPr>
        <w:t>Business Strategy and the Environment</w:t>
      </w:r>
      <w:r>
        <w:t xml:space="preserve">, [online] 30(8), pp.3454–3469. </w:t>
      </w:r>
      <w:r>
        <w:t>doi:</w:t>
      </w:r>
      <w:r>
        <w:rPr/>
        <w:fldChar w:fldCharType="begin"/>
      </w:r>
      <w:r>
        <w:instrText xml:space="preserve"> HYPERLINK "https://doi.org/10.1002/bse.2813" </w:instrText>
      </w:r>
      <w:r>
        <w:rPr/>
        <w:fldChar w:fldCharType="separate"/>
      </w:r>
      <w:r>
        <w:rPr>
          <w:u w:val="single"/>
        </w:rPr>
        <w:t>https</w:t>
      </w:r>
      <w:r>
        <w:rPr>
          <w:u w:val="single"/>
        </w:rPr>
        <w:t>://doi.org/10.1002/bse.2813</w:t>
      </w:r>
      <w:r>
        <w:rPr/>
        <w:fldChar w:fldCharType="end"/>
      </w:r>
      <w:r>
        <w:t xml:space="preserve">. </w:t>
      </w:r>
    </w:p>
    <w:p w14:paraId="642F04B9">
      <w:pPr>
        <w:pStyle w:val="style0"/>
        <w:spacing w:after="240"/>
        <w:rPr/>
      </w:pPr>
      <w:r>
        <w:t xml:space="preserve">Lucas, A. (2025). </w:t>
      </w:r>
      <w:r>
        <w:rPr>
          <w:i/>
          <w:iCs/>
        </w:rPr>
        <w:t>Yum Brands revenue misses as Pizza Hut’s same-store sales fall 2%</w:t>
      </w:r>
      <w:r>
        <w:t xml:space="preserve">. [online] CNBC. Available at: </w:t>
      </w:r>
      <w:r>
        <w:rPr/>
        <w:fldChar w:fldCharType="begin"/>
      </w:r>
      <w:r>
        <w:instrText xml:space="preserve"> HYPERLINK "https://www.cnbc.com/2025/04/30/yum-brands-yum-q1-2025-earnings.html" </w:instrText>
      </w:r>
      <w:r>
        <w:rPr/>
        <w:fldChar w:fldCharType="separate"/>
      </w:r>
      <w:r>
        <w:rPr>
          <w:u w:val="single"/>
        </w:rPr>
        <w:t>https://www.cnbc.com/2025/04/30/yum-brands-yum-q1-2025-earnings.html</w:t>
      </w:r>
      <w:r>
        <w:rPr/>
        <w:fldChar w:fldCharType="end"/>
      </w:r>
      <w:r>
        <w:t xml:space="preserve">. </w:t>
      </w:r>
    </w:p>
    <w:p w14:paraId="7AD5125B">
      <w:pPr>
        <w:pStyle w:val="style0"/>
        <w:spacing w:after="240"/>
        <w:rPr/>
      </w:pPr>
      <w:r>
        <w:t xml:space="preserve">Manhas, P.S., Sharma, P. and Quintela, J.A. (2024). Product Innovation and Customer Experience: Catalysts for Enhancing Satisfaction in Quick Service Restaurants. </w:t>
      </w:r>
      <w:r>
        <w:rPr>
          <w:i/>
          <w:iCs/>
        </w:rPr>
        <w:t>Tourism and Hospitality</w:t>
      </w:r>
      <w:r>
        <w:t xml:space="preserve">, [online] 5(3), pp.559–576. </w:t>
      </w:r>
      <w:r>
        <w:t>doi:</w:t>
      </w:r>
      <w:r>
        <w:rPr/>
        <w:fldChar w:fldCharType="begin"/>
      </w:r>
      <w:r>
        <w:instrText xml:space="preserve"> HYPERLINK "https://doi.org/10.3390/tourhosp5030034" </w:instrText>
      </w:r>
      <w:r>
        <w:rPr/>
        <w:fldChar w:fldCharType="separate"/>
      </w:r>
      <w:r>
        <w:rPr>
          <w:u w:val="single"/>
        </w:rPr>
        <w:t>https</w:t>
      </w:r>
      <w:r>
        <w:rPr>
          <w:u w:val="single"/>
        </w:rPr>
        <w:t>://doi.org/10.3390/tourhosp5030034</w:t>
      </w:r>
      <w:r>
        <w:rPr/>
        <w:fldChar w:fldCharType="end"/>
      </w:r>
      <w:r>
        <w:t xml:space="preserve">. </w:t>
      </w:r>
    </w:p>
    <w:p w14:paraId="5B2E3580">
      <w:pPr>
        <w:pStyle w:val="style0"/>
        <w:spacing w:after="240"/>
        <w:rPr/>
      </w:pPr>
      <w:r>
        <w:t xml:space="preserve">McCabe, A. (2024). </w:t>
      </w:r>
      <w:r>
        <w:rPr>
          <w:i/>
          <w:iCs/>
        </w:rPr>
        <w:t>The 7Ps of The Marketing Mix: Streamline your Strategy</w:t>
      </w:r>
      <w:r>
        <w:t xml:space="preserve">. [online] Hurree. Available at: </w:t>
      </w:r>
      <w:r>
        <w:rPr/>
        <w:fldChar w:fldCharType="begin"/>
      </w:r>
      <w:r>
        <w:instrText xml:space="preserve"> HYPERLINK "https://blog.hurree.co/marketing-mix-7ps" </w:instrText>
      </w:r>
      <w:r>
        <w:rPr/>
        <w:fldChar w:fldCharType="separate"/>
      </w:r>
      <w:r>
        <w:rPr>
          <w:u w:val="single"/>
        </w:rPr>
        <w:t>https://blog.hurree.co/marketing-mix-7ps</w:t>
      </w:r>
      <w:r>
        <w:rPr/>
        <w:fldChar w:fldCharType="end"/>
      </w:r>
      <w:r>
        <w:t xml:space="preserve">. </w:t>
      </w:r>
    </w:p>
    <w:p w14:paraId="16C766DD">
      <w:pPr>
        <w:pStyle w:val="style0"/>
        <w:spacing w:after="240"/>
        <w:rPr/>
      </w:pPr>
      <w:r>
        <w:t xml:space="preserve">Misra, S. (2026). Yum Brands’ India franchisee posts narrower loss on KFC sales upswing. </w:t>
      </w:r>
      <w:r>
        <w:rPr>
          <w:i/>
          <w:iCs/>
        </w:rPr>
        <w:t>Reuters</w:t>
      </w:r>
      <w:r>
        <w:t xml:space="preserve">. [online] 15 May. Available at: </w:t>
      </w:r>
      <w:r>
        <w:rPr/>
        <w:fldChar w:fldCharType="begin"/>
      </w:r>
      <w:r>
        <w:instrText xml:space="preserve"> HYPERLINK "https://www.reuters.com/world/india/kfc-pizza-hut-india-operator-devyani-intls-q4-loss-narrows-same-store-sales-2026-05-15/" </w:instrText>
      </w:r>
      <w:r>
        <w:rPr/>
        <w:fldChar w:fldCharType="separate"/>
      </w:r>
      <w:r>
        <w:rPr>
          <w:u w:val="single"/>
        </w:rPr>
        <w:t>https://www.reuters.com/world/india/kfc-pizza-hut-india-operator-devyani-intls-q4-loss-narrows-same-store-sales-2026-05-15/</w:t>
      </w:r>
      <w:r>
        <w:rPr/>
        <w:fldChar w:fldCharType="end"/>
      </w:r>
      <w:r>
        <w:t xml:space="preserve">. </w:t>
      </w:r>
    </w:p>
    <w:p w14:paraId="7AC1ED52">
      <w:pPr>
        <w:pStyle w:val="style0"/>
        <w:spacing w:after="240"/>
        <w:rPr/>
      </w:pPr>
      <w:r>
        <w:t xml:space="preserve">Patil, S. (2026). </w:t>
      </w:r>
      <w:r>
        <w:rPr>
          <w:i/>
          <w:iCs/>
        </w:rPr>
        <w:t xml:space="preserve">Day 51/100| Decoding QSR </w:t>
      </w:r>
      <w:r>
        <w:rPr>
          <w:i/>
          <w:iCs/>
        </w:rPr>
        <w:t xml:space="preserve">Sector </w:t>
      </w:r>
      <w:r>
        <w:t>.</w:t>
      </w:r>
      <w:r>
        <w:t xml:space="preserve"> [online] Available at: </w:t>
      </w:r>
      <w:r>
        <w:rPr/>
        <w:fldChar w:fldCharType="begin"/>
      </w:r>
      <w:r>
        <w:instrText xml:space="preserve"> HYPERLINK "https://www.linkedin.com/posts/sameer-patil-80019b31a_qsr-devyaniinternational-fastfood-share-7364340334387990528-JKMS/" </w:instrText>
      </w:r>
      <w:r>
        <w:rPr/>
        <w:fldChar w:fldCharType="separate"/>
      </w:r>
      <w:r>
        <w:rPr>
          <w:u w:val="single"/>
        </w:rPr>
        <w:t>https://www.linkedin.com/posts/sameer-patil-80019b31a_qsr-devyaniinternational-fastfood-share-7364340334387990528-JKMS/</w:t>
      </w:r>
      <w:r>
        <w:rPr/>
        <w:fldChar w:fldCharType="end"/>
      </w:r>
      <w:r>
        <w:t xml:space="preserve">. </w:t>
      </w:r>
    </w:p>
    <w:p w14:paraId="7CBA561A">
      <w:pPr>
        <w:pStyle w:val="style0"/>
        <w:spacing w:after="240"/>
        <w:rPr/>
      </w:pPr>
      <w:r>
        <w:t xml:space="preserve">Pereira, L., Pinto, M., Costa, R.L. da, Dias, Á. and Gonçalves, R. (2021). The New SWOT for a Sustainable World. </w:t>
      </w:r>
      <w:r>
        <w:rPr>
          <w:i/>
          <w:iCs/>
        </w:rPr>
        <w:t>Journal of Open Innovation: Technology, Market, and Complexity</w:t>
      </w:r>
      <w:r>
        <w:t>, 7(1), p.18.</w:t>
      </w:r>
    </w:p>
    <w:p w14:paraId="13861244">
      <w:pPr>
        <w:pStyle w:val="style0"/>
        <w:spacing w:after="240"/>
        <w:rPr/>
      </w:pPr>
      <w:r>
        <w:t xml:space="preserve">Pib.gov.in. (2025). </w:t>
      </w:r>
      <w:r>
        <w:rPr>
          <w:i/>
          <w:iCs/>
        </w:rPr>
        <w:t>QUARTERLY ESTIMATES OF GROSS DOMESTIC PRODUCT FOR THE SECOND QUARTER (JULY-SEPTEMBER) OF 2025-26</w:t>
      </w:r>
      <w:r>
        <w:t xml:space="preserve">. [online] Available at: </w:t>
      </w:r>
      <w:r>
        <w:rPr/>
        <w:fldChar w:fldCharType="begin"/>
      </w:r>
      <w:r>
        <w:instrText xml:space="preserve"> HYPERLINK "https://www.pib.gov.in/PressReleasePage.aspx?PRID=2195851%C2%AE=48&amp;lang=2" </w:instrText>
      </w:r>
      <w:r>
        <w:rPr/>
        <w:fldChar w:fldCharType="separate"/>
      </w:r>
      <w:r>
        <w:rPr>
          <w:u w:val="single"/>
        </w:rPr>
        <w:t>https://www.pib.gov.in/PressReleasePage.aspx?PRID=2195851®=48&amp;lang=2</w:t>
      </w:r>
      <w:r>
        <w:rPr/>
        <w:fldChar w:fldCharType="end"/>
      </w:r>
      <w:r>
        <w:t xml:space="preserve"> </w:t>
      </w:r>
    </w:p>
    <w:p w14:paraId="1977870F">
      <w:pPr>
        <w:pStyle w:val="style0"/>
        <w:spacing w:after="240"/>
        <w:rPr/>
      </w:pPr>
      <w:r>
        <w:t xml:space="preserve">Pizza Hut (2026a). </w:t>
      </w:r>
      <w:r>
        <w:rPr>
          <w:i/>
          <w:iCs/>
        </w:rPr>
        <w:t>PIZZA HUT ANNOUNCES THE SUMMER OF HUT ORIGINALS - A NEW PLATFORM CELEBRATING THE ICONIC FOOD, EXPERIENCES AND FANS THAT MADE THE BRAND</w:t>
      </w:r>
      <w:r>
        <w:t xml:space="preserve">. [online] Prnewswire.com. Available at: </w:t>
      </w:r>
      <w:r>
        <w:rPr/>
        <w:fldChar w:fldCharType="begin"/>
      </w:r>
      <w:r>
        <w:instrText xml:space="preserve"> HYPERLINK "https://www.prnewswire.com/news-releases/pizza-hut-announces-the-summer-of-hut-originals--a-new-platform-celebrating-the-iconic-food-experiences-and-fans-that-made-the-brand-302794448.html" </w:instrText>
      </w:r>
      <w:r>
        <w:rPr/>
        <w:fldChar w:fldCharType="separate"/>
      </w:r>
      <w:r>
        <w:rPr>
          <w:u w:val="single"/>
        </w:rPr>
        <w:t>https://www.prnewswire.com/news-releases/pizza-hut-announces-the-summer-of-hut-originals--a-new-platform-celebrating-the-iconic-food-experiences-and-fans-that-made-the-brand-302794448.html</w:t>
      </w:r>
      <w:r>
        <w:rPr/>
        <w:fldChar w:fldCharType="end"/>
      </w:r>
      <w:r>
        <w:t xml:space="preserve"> </w:t>
      </w:r>
    </w:p>
    <w:p w14:paraId="19850173">
      <w:pPr>
        <w:pStyle w:val="style0"/>
        <w:spacing w:after="240"/>
        <w:rPr/>
      </w:pPr>
      <w:r>
        <w:t xml:space="preserve">Pizza Hut (2026b). </w:t>
      </w:r>
      <w:r>
        <w:rPr>
          <w:i/>
          <w:iCs/>
        </w:rPr>
        <w:t>PIZZA HUT DEBUTS NEW CRISPY PARM PAN PIZZA AND TURNS CRUST LEAVERS INTO CRUST LOVERS</w:t>
      </w:r>
      <w:r>
        <w:t xml:space="preserve">. [online] Prnewswire.com. Available at: </w:t>
      </w:r>
      <w:r>
        <w:rPr/>
        <w:fldChar w:fldCharType="begin"/>
      </w:r>
      <w:r>
        <w:instrText xml:space="preserve"> HYPERLINK "https://www.prnewswire.com/news-releases/pizza-hut-debuts-new-crispy-parm-pan-pizza-and-turns-crust-leavers-into-crust-lovers-302782391.html" </w:instrText>
      </w:r>
      <w:r>
        <w:rPr/>
        <w:fldChar w:fldCharType="separate"/>
      </w:r>
      <w:r>
        <w:rPr>
          <w:u w:val="single"/>
        </w:rPr>
        <w:t>https://www.prnewswire.com/news-releases/pizza-hut-debuts-new-crispy-parm-pan-pizza-and-turns-crust-leavers-into-crust-lovers-302782391.html</w:t>
      </w:r>
      <w:r>
        <w:rPr/>
        <w:fldChar w:fldCharType="end"/>
      </w:r>
      <w:r>
        <w:t xml:space="preserve"> </w:t>
      </w:r>
    </w:p>
    <w:p w14:paraId="1E9558B2">
      <w:pPr>
        <w:pStyle w:val="style0"/>
        <w:spacing w:after="240"/>
        <w:rPr/>
      </w:pPr>
      <w:r>
        <w:t xml:space="preserve">Restaurant India. (2025). </w:t>
      </w:r>
      <w:r>
        <w:rPr>
          <w:i/>
          <w:iCs/>
        </w:rPr>
        <w:t>Pizza Hut announces new brand standards for ingredients</w:t>
      </w:r>
      <w:r>
        <w:t xml:space="preserve">. [online] Available at: </w:t>
      </w:r>
      <w:r>
        <w:rPr/>
        <w:fldChar w:fldCharType="begin"/>
      </w:r>
      <w:r>
        <w:instrText xml:space="preserve"> HYPERLINK "https://www.restaurantindia.in/news/pizza-hut-announces-new-brand-standards-for-ingredients.n9161" </w:instrText>
      </w:r>
      <w:r>
        <w:rPr/>
        <w:fldChar w:fldCharType="separate"/>
      </w:r>
      <w:r>
        <w:rPr>
          <w:u w:val="single"/>
        </w:rPr>
        <w:t>https://www.restaurantindia.in/news/pizza-hut-announces-new-brand-standards-for-ingredients.n9161</w:t>
      </w:r>
      <w:r>
        <w:rPr/>
        <w:fldChar w:fldCharType="end"/>
      </w:r>
      <w:r>
        <w:t xml:space="preserve">. </w:t>
      </w:r>
    </w:p>
    <w:p w14:paraId="627855D1">
      <w:pPr>
        <w:pStyle w:val="style0"/>
        <w:spacing w:after="240"/>
        <w:rPr/>
      </w:pPr>
      <w:r>
        <w:t xml:space="preserve">Salve, P. (2026). </w:t>
      </w:r>
      <w:r>
        <w:rPr>
          <w:i/>
          <w:iCs/>
        </w:rPr>
        <w:t>Shares of KFC and Pizza Hut Indian operator Devyani jump on merger with rival franchisee Sapphire</w:t>
      </w:r>
      <w:r>
        <w:t xml:space="preserve">. [online] CNBC. Available at: </w:t>
      </w:r>
      <w:r>
        <w:rPr/>
        <w:fldChar w:fldCharType="begin"/>
      </w:r>
      <w:r>
        <w:instrText xml:space="preserve"> HYPERLINK "https://www.cnbc.com/2026/01/02/devyani-sapphire-merger-yum-brands-india-kfc-pizza-hut-taco-bell-dominos.html" </w:instrText>
      </w:r>
      <w:r>
        <w:rPr/>
        <w:fldChar w:fldCharType="separate"/>
      </w:r>
      <w:r>
        <w:rPr>
          <w:u w:val="single"/>
        </w:rPr>
        <w:t>https://www.cnbc.com/2026/01/02/devyani-sapphire-merger-yum-brands-india-kfc-pizza-hut-taco-bell-dominos.html</w:t>
      </w:r>
      <w:r>
        <w:rPr/>
        <w:fldChar w:fldCharType="end"/>
      </w:r>
      <w:r>
        <w:t xml:space="preserve">. </w:t>
      </w:r>
    </w:p>
    <w:p w14:paraId="3D8112C2">
      <w:pPr>
        <w:pStyle w:val="style0"/>
        <w:spacing w:after="240"/>
        <w:rPr/>
      </w:pPr>
      <w:r>
        <w:t xml:space="preserve">Sarda, S. (2026). </w:t>
      </w:r>
      <w:r>
        <w:rPr>
          <w:i/>
          <w:iCs/>
        </w:rPr>
        <w:t>Pizza Hut: From $600 loan to 20,000 stores and the new $2.7 billion twist for the global empire</w:t>
      </w:r>
      <w:r>
        <w:t xml:space="preserve">. [online] The Economic Times. Available at: </w:t>
      </w:r>
      <w:r>
        <w:rPr/>
        <w:fldChar w:fldCharType="begin"/>
      </w:r>
      <w:r>
        <w:instrText xml:space="preserve"> HYPERLINK "https://economictimes.indiatimes.com/news/international/business/pizza-hut-from-600-loan-to-20000-stores-and-the-new-2-7-billion-twist-for-the-global-empire/articleshow/131789210.cms?from=mdr" </w:instrText>
      </w:r>
      <w:r>
        <w:rPr/>
        <w:fldChar w:fldCharType="separate"/>
      </w:r>
      <w:r>
        <w:rPr>
          <w:u w:val="single"/>
        </w:rPr>
        <w:t>https://economictimes.indiatimes.com/news/international/business/pizza-hut-from-600-loan-to-20000-stores-and-the-new-2-7-billion-twist-for-the-global-empire/articleshow/131789210.cms?from=mdr</w:t>
      </w:r>
      <w:r>
        <w:rPr/>
        <w:fldChar w:fldCharType="end"/>
      </w:r>
      <w:r>
        <w:t xml:space="preserve"> </w:t>
      </w:r>
    </w:p>
    <w:p w14:paraId="1BB98288">
      <w:pPr>
        <w:pStyle w:val="style0"/>
        <w:spacing w:after="240"/>
        <w:rPr/>
      </w:pPr>
      <w:r>
        <w:t xml:space="preserve">Sharma, I., </w:t>
      </w:r>
      <w:r>
        <w:t>Marwale</w:t>
      </w:r>
      <w:r>
        <w:t xml:space="preserve">, A.V., Sidana, R. and Gupta, I.D. (2024). Lifestyle modification for mental health and well-being. </w:t>
      </w:r>
      <w:r>
        <w:rPr>
          <w:i/>
          <w:iCs/>
        </w:rPr>
        <w:t>Indian Journal of Psychiatry</w:t>
      </w:r>
      <w:r>
        <w:t>, [online] 66(3), p.219. doi:</w:t>
      </w:r>
      <w:r>
        <w:rPr/>
        <w:fldChar w:fldCharType="begin"/>
      </w:r>
      <w:r>
        <w:instrText xml:space="preserve"> HYPERLINK "https://doi.org/10.4103/indianjpsychiatry.indianjpsychiatry_39_24" </w:instrText>
      </w:r>
      <w:r>
        <w:rPr/>
        <w:fldChar w:fldCharType="separate"/>
      </w:r>
      <w:r>
        <w:rPr>
          <w:u w:val="single"/>
        </w:rPr>
        <w:t>https://doi.org/10.4103/indianjpsychiatry.indianjpsychiatry_39_24</w:t>
      </w:r>
      <w:r>
        <w:rPr/>
        <w:fldChar w:fldCharType="end"/>
      </w:r>
      <w:r>
        <w:t xml:space="preserve">. </w:t>
      </w:r>
    </w:p>
    <w:p w14:paraId="36D15E05">
      <w:pPr>
        <w:pStyle w:val="style0"/>
        <w:spacing w:after="240"/>
        <w:rPr/>
      </w:pPr>
      <w:r>
        <w:t>SmartGST</w:t>
      </w:r>
      <w:r>
        <w:t xml:space="preserve"> (2026). </w:t>
      </w:r>
      <w:r>
        <w:rPr>
          <w:i/>
          <w:iCs/>
        </w:rPr>
        <w:t>GST 2.0 New Rate Structure 2025-26: Everything Your Business Needs to Know (Complete Guide)</w:t>
      </w:r>
      <w:r>
        <w:t xml:space="preserve">. [online] Smartgst.in. Available at: </w:t>
      </w:r>
      <w:r>
        <w:rPr/>
        <w:fldChar w:fldCharType="begin"/>
      </w:r>
      <w:r>
        <w:instrText xml:space="preserve"> HYPERLINK "https://smartgst.in/blog/gst-2-0-new-rate-structure-2025-26" </w:instrText>
      </w:r>
      <w:r>
        <w:rPr/>
        <w:fldChar w:fldCharType="separate"/>
      </w:r>
      <w:r>
        <w:rPr>
          <w:u w:val="single"/>
        </w:rPr>
        <w:t>https://smartgst.in/blog/gst-2-0-new-rate-structure-2025-26</w:t>
      </w:r>
      <w:r>
        <w:rPr/>
        <w:fldChar w:fldCharType="end"/>
      </w:r>
      <w:r>
        <w:t xml:space="preserve"> </w:t>
      </w:r>
    </w:p>
    <w:p w14:paraId="1910ABA7">
      <w:pPr>
        <w:pStyle w:val="style0"/>
        <w:spacing w:after="240"/>
        <w:rPr/>
      </w:pPr>
      <w:r>
        <w:t xml:space="preserve">Thakkar, M. (2026). </w:t>
      </w:r>
      <w:r>
        <w:rPr>
          <w:i/>
          <w:iCs/>
        </w:rPr>
        <w:t xml:space="preserve">Pizza Hut’s new $5 Crafted </w:t>
      </w:r>
      <w:r>
        <w:rPr>
          <w:i/>
          <w:iCs/>
        </w:rPr>
        <w:t>Flatzz</w:t>
      </w:r>
      <w:r>
        <w:t xml:space="preserve">. [online] Indiatimes.com. Available at: </w:t>
      </w:r>
      <w:r>
        <w:rPr/>
        <w:fldChar w:fldCharType="begin"/>
      </w:r>
      <w:r>
        <w:instrText xml:space="preserve"> HYPERLINK "https://economictimes.indiatimes.com/news/international/us/pizza-huts-new-5-crafted-flatzz-limited-edition-global-flavor-adventure/articleshow/123442879.cms?from=mdr" </w:instrText>
      </w:r>
      <w:r>
        <w:rPr/>
        <w:fldChar w:fldCharType="separate"/>
      </w:r>
      <w:r>
        <w:rPr>
          <w:u w:val="single"/>
        </w:rPr>
        <w:t>https://economictimes.indiatimes.com/news/international/us/pizza-huts-new-5-crafted-flatzz-limited-edition-global-flavor-adventure/articleshow/123442879.cms?from=mdr</w:t>
      </w:r>
      <w:r>
        <w:rPr/>
        <w:fldChar w:fldCharType="end"/>
      </w:r>
      <w:r>
        <w:t xml:space="preserve"> </w:t>
      </w:r>
    </w:p>
    <w:p w14:paraId="2F95E43C">
      <w:pPr>
        <w:pStyle w:val="style0"/>
        <w:spacing w:after="240"/>
        <w:rPr/>
      </w:pPr>
      <w:r>
        <w:t xml:space="preserve">Thakur, A. (2025). </w:t>
      </w:r>
      <w:r>
        <w:rPr>
          <w:i/>
          <w:iCs/>
        </w:rPr>
        <w:t>RURAL MARKETING</w:t>
      </w:r>
      <w:r>
        <w:t xml:space="preserve">. [online] Available at: </w:t>
      </w:r>
      <w:r>
        <w:rPr/>
        <w:fldChar w:fldCharType="begin"/>
      </w:r>
      <w:r>
        <w:instrText xml:space="preserve"> HYPERLINK "https://ebooks.lpude.in/management/mba/term_4/DMGT509_RURAL_MARKETING.pdf" </w:instrText>
      </w:r>
      <w:r>
        <w:rPr/>
        <w:fldChar w:fldCharType="separate"/>
      </w:r>
      <w:r>
        <w:rPr>
          <w:u w:val="single"/>
        </w:rPr>
        <w:t>https://ebooks.lpude.in/management/mba/term_4/DMGT509_RURAL_MARKETING.pdf</w:t>
      </w:r>
      <w:r>
        <w:rPr/>
        <w:fldChar w:fldCharType="end"/>
      </w:r>
      <w:r>
        <w:t xml:space="preserve">. </w:t>
      </w:r>
    </w:p>
    <w:p w14:paraId="24619EFA">
      <w:pPr>
        <w:pStyle w:val="style0"/>
        <w:spacing w:after="240"/>
        <w:rPr/>
      </w:pPr>
      <w:r>
        <w:t>Thetsane</w:t>
      </w:r>
      <w:r>
        <w:t xml:space="preserve">, R.M., Meyer, D. and </w:t>
      </w:r>
      <w:r>
        <w:t>Chambwe</w:t>
      </w:r>
      <w:r>
        <w:t xml:space="preserve">, M. (2024). An application of Hofstede’s cultural dimensions and golden circle in entrepreneurship education. </w:t>
      </w:r>
      <w:r>
        <w:rPr>
          <w:i/>
          <w:iCs/>
        </w:rPr>
        <w:t>The Southern African Journal of Entrepreneurship and Small Business Management</w:t>
      </w:r>
      <w:r>
        <w:t xml:space="preserve">, 16(1). </w:t>
      </w:r>
      <w:r>
        <w:t>doi:</w:t>
      </w:r>
      <w:r>
        <w:rPr/>
        <w:fldChar w:fldCharType="begin"/>
      </w:r>
      <w:r>
        <w:instrText xml:space="preserve"> HYPERLINK "https://doi.org/10.4102/sajesbm.v16i1.934" </w:instrText>
      </w:r>
      <w:r>
        <w:rPr/>
        <w:fldChar w:fldCharType="separate"/>
      </w:r>
      <w:r>
        <w:rPr>
          <w:u w:val="single"/>
        </w:rPr>
        <w:t>https</w:t>
      </w:r>
      <w:r>
        <w:rPr>
          <w:u w:val="single"/>
        </w:rPr>
        <w:t>://doi.org/10.4102/sajesbm.v16i1.934</w:t>
      </w:r>
      <w:r>
        <w:rPr/>
        <w:fldChar w:fldCharType="end"/>
      </w:r>
      <w:r>
        <w:t xml:space="preserve">. </w:t>
      </w:r>
    </w:p>
    <w:p w14:paraId="501C93BE">
      <w:pPr>
        <w:pStyle w:val="style0"/>
        <w:spacing w:after="240"/>
        <w:rPr/>
      </w:pPr>
      <w:r>
        <w:t xml:space="preserve">Velasquez, F. (2026). Pizza Hut to be sold by Yum! Brands for $2.7bn. [online] 16 Jun. Available at: </w:t>
      </w:r>
      <w:r>
        <w:rPr/>
        <w:fldChar w:fldCharType="begin"/>
      </w:r>
      <w:r>
        <w:instrText xml:space="preserve"> HYPERLINK "https://www.bbc.com/news/articles/c75yd6dy2vlo" </w:instrText>
      </w:r>
      <w:r>
        <w:rPr/>
        <w:fldChar w:fldCharType="separate"/>
      </w:r>
      <w:r>
        <w:rPr>
          <w:u w:val="single"/>
        </w:rPr>
        <w:t>https://www.bbc.com/news/articles/c75yd6dy2vlo</w:t>
      </w:r>
      <w:r>
        <w:rPr/>
        <w:fldChar w:fldCharType="end"/>
      </w:r>
      <w:r>
        <w:t xml:space="preserve">. </w:t>
      </w:r>
    </w:p>
    <w:p w14:paraId="735CBF54">
      <w:pPr>
        <w:pStyle w:val="style0"/>
        <w:spacing w:after="240"/>
        <w:rPr/>
      </w:pPr>
      <w:r>
        <w:t xml:space="preserve">Wojciehowski, C. (2026). </w:t>
      </w:r>
      <w:r>
        <w:rPr>
          <w:i/>
          <w:iCs/>
        </w:rPr>
        <w:t>Global Foodservice News — July 1, 2026 - American Recruiters</w:t>
      </w:r>
      <w:r>
        <w:t xml:space="preserve">. [online] American Recruiters. Available at: </w:t>
      </w:r>
      <w:r>
        <w:rPr/>
        <w:fldChar w:fldCharType="begin"/>
      </w:r>
      <w:r>
        <w:instrText xml:space="preserve"> HYPERLINK "https://americanrecruiters.com/blog/global-foodservice-news-july-1-2026/" </w:instrText>
      </w:r>
      <w:r>
        <w:rPr/>
        <w:fldChar w:fldCharType="separate"/>
      </w:r>
      <w:r>
        <w:rPr>
          <w:u w:val="single"/>
        </w:rPr>
        <w:t>https://americanrecruiters.com/blog/global-foodservice-news-july-1-2026/</w:t>
      </w:r>
      <w:r>
        <w:rPr/>
        <w:fldChar w:fldCharType="end"/>
      </w:r>
      <w:r>
        <w:t xml:space="preserve"> </w:t>
      </w:r>
    </w:p>
    <w:p w14:paraId="4824FB84">
      <w:pPr>
        <w:pStyle w:val="style0"/>
        <w:spacing w:after="240"/>
        <w:rPr/>
      </w:pPr>
      <w:r>
        <w:t xml:space="preserve">World Bank (2025). </w:t>
      </w:r>
      <w:r>
        <w:rPr>
          <w:i/>
          <w:iCs/>
        </w:rPr>
        <w:t>India | World Bank Group</w:t>
      </w:r>
      <w:r>
        <w:t xml:space="preserve">. [online] Worldbank.org. Available at: </w:t>
      </w:r>
      <w:r>
        <w:rPr/>
        <w:fldChar w:fldCharType="begin"/>
      </w:r>
      <w:r>
        <w:instrText xml:space="preserve"> HYPERLINK "https://www.worldbank.org/ext/en/country/india" </w:instrText>
      </w:r>
      <w:r>
        <w:rPr/>
        <w:fldChar w:fldCharType="separate"/>
      </w:r>
      <w:r>
        <w:rPr>
          <w:u w:val="single"/>
        </w:rPr>
        <w:t>https://www.worldbank.org/ext/en/country/india</w:t>
      </w:r>
      <w:r>
        <w:rPr/>
        <w:fldChar w:fldCharType="end"/>
      </w:r>
      <w:r>
        <w:t xml:space="preserve">. </w:t>
      </w:r>
    </w:p>
    <w:p w14:paraId="4DD1D67C">
      <w:pPr>
        <w:pStyle w:val="style0"/>
        <w:spacing w:after="240"/>
        <w:rPr/>
      </w:pPr>
      <w:r>
        <w:t xml:space="preserve">Wu, Y. and Tham, J. (2023). The Impact of Environmental </w:t>
      </w:r>
      <w:r>
        <w:t>regulation</w:t>
      </w:r>
      <w:r>
        <w:t xml:space="preserve">, Environment, Social and Government Performance, and Technological Innovation on Enterprise Resilience under a Green Recovery. </w:t>
      </w:r>
      <w:r>
        <w:rPr>
          <w:i/>
          <w:iCs/>
        </w:rPr>
        <w:t>Heliyon</w:t>
      </w:r>
      <w:r>
        <w:t xml:space="preserve">, 9(10), </w:t>
      </w:r>
      <w:r>
        <w:t>pp.e</w:t>
      </w:r>
      <w:r>
        <w:t xml:space="preserve">20278–e20278. </w:t>
      </w:r>
      <w:r>
        <w:t>doi:</w:t>
      </w:r>
      <w:r>
        <w:rPr/>
        <w:fldChar w:fldCharType="begin"/>
      </w:r>
      <w:r>
        <w:instrText xml:space="preserve"> HYPERLINK "https://doi.org/10.1016/j.heliyon.2023.e20278" </w:instrText>
      </w:r>
      <w:r>
        <w:rPr/>
        <w:fldChar w:fldCharType="separate"/>
      </w:r>
      <w:r>
        <w:rPr>
          <w:u w:val="single"/>
        </w:rPr>
        <w:t>https</w:t>
      </w:r>
      <w:r>
        <w:rPr>
          <w:u w:val="single"/>
        </w:rPr>
        <w:t>://doi.org/10.1016/j.heliyon.2023.e20278</w:t>
      </w:r>
      <w:r>
        <w:rPr/>
        <w:fldChar w:fldCharType="end"/>
      </w:r>
      <w:r>
        <w:t xml:space="preserve">. </w:t>
      </w:r>
    </w:p>
    <w:p w14:paraId="061E4398">
      <w:pPr>
        <w:pStyle w:val="style0"/>
        <w:spacing w:after="240"/>
        <w:rPr/>
      </w:pPr>
      <w:r>
        <w:t xml:space="preserve">Yum.com. (2025). </w:t>
      </w:r>
      <w:r>
        <w:rPr>
          <w:i/>
          <w:iCs/>
        </w:rPr>
        <w:t xml:space="preserve">INTRODUCING BYTE BY </w:t>
      </w:r>
      <w:r>
        <w:rPr>
          <w:i/>
          <w:iCs/>
        </w:rPr>
        <w:t>YUM!</w:t>
      </w:r>
      <w:r>
        <w:rPr>
          <w:i/>
          <w:iCs/>
          <w:vertAlign w:val="superscript"/>
        </w:rPr>
        <w:t>TM</w:t>
      </w:r>
      <w:r>
        <w:rPr>
          <w:i/>
          <w:iCs/>
        </w:rPr>
        <w:t>, AN AI-DRIVEN RESTAURANT TECHNOLOGY PLATFORM POWERING CUSTOMER AND TEAM MEMBER EXPERIENCES WORLDWIDE</w:t>
      </w:r>
      <w:r>
        <w:t xml:space="preserve">. [online] Available at: </w:t>
      </w:r>
      <w:r>
        <w:rPr/>
        <w:fldChar w:fldCharType="begin"/>
      </w:r>
      <w:r>
        <w:instrText xml:space="preserve"> HYPERLINK "https://www.yum.com/wps/portal/yumbrands/Yumbrands/news/press-releases/introducing+byte+by+yum+an+ai+driven+restaurant+technology+platform+powering+customer+and+team+member+experiences+worldwide" </w:instrText>
      </w:r>
      <w:r>
        <w:rPr/>
        <w:fldChar w:fldCharType="separate"/>
      </w:r>
      <w:r>
        <w:rPr>
          <w:u w:val="single"/>
        </w:rPr>
        <w:t>https://www.yum.com/wps/portal/yumbrands/Yumbrands/news/press-</w:t>
      </w:r>
      <w:r>
        <w:rPr>
          <w:u w:val="single"/>
        </w:rPr>
        <w:t>releases/introducing+byte+by+yum+an+ai+driven+restaurant+technology+platform+powering+customer+and+team+member+experiences+worldwide</w:t>
      </w:r>
      <w:r>
        <w:rPr/>
        <w:fldChar w:fldCharType="end"/>
      </w:r>
      <w:r>
        <w:t xml:space="preserve">. </w:t>
      </w:r>
    </w:p>
    <w:p w14:paraId="5213CAF3">
      <w:pPr>
        <w:pStyle w:val="style0"/>
        <w:rPr/>
      </w:pPr>
    </w:p>
    <w:sectPr>
      <w:footerReference w:type="default" r:id="rId15"/>
      <w:headerReference w:type="first" r:id="rId16"/>
      <w:pgSz w:w="12240" w:h="15840" w:orient="portrait"/>
      <w:pgMar w:top="1440" w:right="1440" w:bottom="1440" w:left="1440" w:header="720" w:footer="720" w:gutter="0"/>
      <w:pgBorders w:zOrder="front" w:display="allPage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E0002EFF" w:usb1="C000785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Calibri">
    <w:altName w:val="Calibri"/>
    <w:panose1 w:val="020f0502020002030204"/>
    <w:charset w:val="00"/>
    <w:family w:val="swiss"/>
    <w:pitch w:val="variable"/>
    <w:sig w:usb0="E4002EFF" w:usb1="C200247B" w:usb2="00000009" w:usb3="00000000" w:csb0="000001FF" w:csb1="00000000"/>
  </w:font>
  <w:font w:name="Shruti">
    <w:altName w:val="Shruti"/>
    <w:panose1 w:val="02000500000000000000"/>
    <w:charset w:val="00"/>
    <w:family w:val="swiss"/>
    <w:pitch w:val="variable"/>
    <w:sig w:usb0="00040003" w:usb1="00000000" w:usb2="00000000" w:usb3="00000000" w:csb0="00000001" w:csb1="00000000"/>
  </w:font>
  <w:font w:name="Cambria">
    <w:altName w:val="Cambria"/>
    <w:panose1 w:val="02040503050004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277CDCF2">
    <w:pPr>
      <w:pStyle w:val="style0"/>
      <w:jc w:val="right"/>
      <w:rPr/>
    </w:pPr>
    <w:r>
      <w:rPr/>
      <w:fldChar w:fldCharType="begin"/>
    </w:r>
    <w:r>
      <w:instrText>PAGE</w:instrText>
    </w:r>
    <w:r>
      <w:rPr/>
      <w:fldChar w:fldCharType="separate"/>
    </w:r>
    <w:r>
      <w:rPr>
        <w:noProof/>
      </w:rPr>
      <w:t>2</w:t>
    </w:r>
    <w:r>
      <w:rPr/>
      <w:fldChar w:fldCharType="end"/>
    </w:r>
  </w:p>
</w:ftr>
</file>

<file path=word/header2.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16CA450F">
    <w:pPr>
      <w:pStyle w:val="style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50"/>
  <w:embedTrueTypeFonts/>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Times New Roman" w:eastAsia="Times New Roman" w:hAnsi="Times New Roman"/>
        <w:sz w:val="24"/>
        <w:szCs w:val="24"/>
        <w:lang w:bidi="ar-SA" w:eastAsia="en-IN"/>
      </w:rPr>
    </w:rPrDefault>
    <w:pPrDefault>
      <w:pPr>
        <w:spacing w:after="200" w:lineRule="auto" w:line="360"/>
        <w:jc w:val="both"/>
      </w:pPr>
    </w:pPrDefault>
  </w:docDefaults>
  <w:style w:type="paragraph" w:default="1" w:styleId="style0">
    <w:name w:val="Normal"/>
    <w:next w:val="style0"/>
    <w:qFormat/>
    <w:pPr/>
  </w:style>
  <w:style w:type="paragraph" w:styleId="style1">
    <w:name w:val="heading 1"/>
    <w:basedOn w:val="style0"/>
    <w:next w:val="style0"/>
    <w:qFormat/>
    <w:uiPriority w:val="9"/>
    <w:pPr>
      <w:keepNext/>
      <w:keepLines/>
      <w:outlineLvl w:val="0"/>
    </w:pPr>
    <w:rPr>
      <w:b/>
      <w:bCs/>
      <w:sz w:val="28"/>
      <w:szCs w:val="28"/>
    </w:rPr>
  </w:style>
  <w:style w:type="paragraph" w:styleId="style2">
    <w:name w:val="heading 2"/>
    <w:basedOn w:val="style0"/>
    <w:next w:val="style0"/>
    <w:qFormat/>
    <w:uiPriority w:val="9"/>
    <w:pPr>
      <w:keepNext/>
      <w:keepLines/>
      <w:outlineLvl w:val="1"/>
    </w:pPr>
    <w:rPr>
      <w:b/>
      <w:bCs/>
    </w:rPr>
  </w:style>
  <w:style w:type="paragraph" w:styleId="style3">
    <w:name w:val="heading 3"/>
    <w:basedOn w:val="style0"/>
    <w:next w:val="style0"/>
    <w:qFormat/>
    <w:uiPriority w:val="9"/>
    <w:pPr>
      <w:keepNext/>
      <w:keepLines/>
      <w:outlineLvl w:val="2"/>
    </w:pPr>
    <w:rPr>
      <w:b/>
      <w:bCs/>
      <w:i/>
      <w:iCs/>
    </w:rPr>
  </w:style>
  <w:style w:type="paragraph" w:styleId="style4">
    <w:name w:val="heading 4"/>
    <w:basedOn w:val="style0"/>
    <w:next w:val="style0"/>
    <w:qFormat/>
    <w:uiPriority w:val="9"/>
    <w:pPr>
      <w:keepNext/>
      <w:keepLines/>
      <w:spacing w:before="280" w:after="80"/>
      <w:outlineLvl w:val="3"/>
    </w:pPr>
    <w:rPr>
      <w:color w:val="666666"/>
    </w:rPr>
  </w:style>
  <w:style w:type="paragraph" w:styleId="style5">
    <w:name w:val="heading 5"/>
    <w:basedOn w:val="style0"/>
    <w:next w:val="style0"/>
    <w:qFormat/>
    <w:uiPriority w:val="9"/>
    <w:pPr>
      <w:keepNext/>
      <w:keepLines/>
      <w:spacing w:before="240" w:after="80"/>
      <w:outlineLvl w:val="4"/>
    </w:pPr>
    <w:rPr>
      <w:color w:val="666666"/>
      <w:sz w:val="22"/>
      <w:szCs w:val="22"/>
    </w:rPr>
  </w:style>
  <w:style w:type="paragraph" w:styleId="style6">
    <w:name w:val="heading 6"/>
    <w:basedOn w:val="style0"/>
    <w:next w:val="style0"/>
    <w:qFormat/>
    <w:uiPriority w:val="9"/>
    <w:pPr>
      <w:keepNext/>
      <w:keepLines/>
      <w:spacing w:before="240" w:after="80"/>
      <w:outlineLvl w:val="5"/>
    </w:pPr>
    <w:rPr>
      <w:i/>
      <w:iCs/>
      <w:color w:val="666666"/>
      <w:sz w:val="22"/>
      <w:szCs w:val="22"/>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table" w:customStyle="1" w:styleId="style4097">
    <w:name w:val="TableNormal"/>
    <w:next w:val="style4097"/>
    <w:pPr/>
    <w:rPr/>
    <w:tblPr>
      <w:tblCellMar>
        <w:top w:w="100" w:type="dxa"/>
        <w:left w:w="100" w:type="dxa"/>
        <w:bottom w:w="100" w:type="dxa"/>
        <w:right w:w="100" w:type="dxa"/>
      </w:tblCellMar>
    </w:tblPr>
    <w:tcPr>
      <w:tcBorders/>
    </w:tcPr>
  </w:style>
  <w:style w:type="paragraph" w:styleId="style62">
    <w:name w:val="Title"/>
    <w:basedOn w:val="style0"/>
    <w:next w:val="style0"/>
    <w:qFormat/>
    <w:uiPriority w:val="10"/>
    <w:pPr>
      <w:keepNext/>
      <w:keepLines/>
      <w:spacing w:after="60"/>
    </w:pPr>
    <w:rPr>
      <w:sz w:val="52"/>
      <w:szCs w:val="52"/>
    </w:rPr>
  </w:style>
  <w:style w:type="paragraph" w:styleId="style74">
    <w:name w:val="Subtitle"/>
    <w:basedOn w:val="style0"/>
    <w:next w:val="style0"/>
    <w:qFormat/>
    <w:uiPriority w:val="11"/>
    <w:pPr>
      <w:keepNext/>
      <w:keepLines/>
      <w:spacing w:after="320"/>
    </w:pPr>
    <w:rPr>
      <w:rFonts w:ascii="Arial" w:cs="Arial" w:eastAsia="Arial" w:hAnsi="Arial"/>
      <w:color w:val="666666"/>
      <w:sz w:val="30"/>
      <w:szCs w:val="30"/>
    </w:rPr>
  </w:style>
  <w:style w:type="paragraph" w:styleId="style266">
    <w:name w:val="TOC Heading"/>
    <w:basedOn w:val="style1"/>
    <w:next w:val="style0"/>
    <w:qFormat/>
    <w:uiPriority w:val="39"/>
    <w:pPr>
      <w:spacing w:before="240" w:after="0" w:lineRule="auto" w:line="259"/>
      <w:jc w:val="left"/>
      <w:outlineLvl w:val="9"/>
    </w:pPr>
    <w:rPr>
      <w:rFonts w:ascii="Calibri" w:cs="Shruti" w:eastAsia="宋体" w:hAnsi="Calibri"/>
      <w:b w:val="false"/>
      <w:bCs w:val="false"/>
      <w:color w:val="365f91"/>
      <w:sz w:val="32"/>
      <w:szCs w:val="32"/>
      <w:lang w:val="en-US" w:eastAsia="en-US"/>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40"/>
    </w:pPr>
    <w:rPr/>
  </w:style>
  <w:style w:type="paragraph" w:styleId="style21">
    <w:name w:val="toc 3"/>
    <w:basedOn w:val="style0"/>
    <w:next w:val="style0"/>
    <w:uiPriority w:val="39"/>
    <w:pPr>
      <w:spacing w:after="100"/>
      <w:ind w:left="480"/>
    </w:pPr>
    <w:rPr/>
  </w:style>
  <w:style w:type="character" w:styleId="style85">
    <w:name w:val="Hyperlink"/>
    <w:basedOn w:val="style65"/>
    <w:next w:val="style85"/>
    <w:uiPriority w:val="99"/>
    <w:rPr>
      <w:color w:val="0000ff"/>
      <w:u w:val="single"/>
    </w:rPr>
  </w:style>
</w:styles>
</file>

<file path=word/_rels/document.xml.rels><?xml version="1.0" encoding="UTF-8"?>
<Relationships xmlns="http://schemas.openxmlformats.org/package/2006/relationships"><Relationship Id="rId20" Type="http://schemas.openxmlformats.org/officeDocument/2006/relationships/theme" Target="theme/theme1.xml"/><Relationship Id="rId11" Type="http://schemas.openxmlformats.org/officeDocument/2006/relationships/image" Target="media/image10.png"/><Relationship Id="rId22" Type="http://schemas.openxmlformats.org/officeDocument/2006/relationships/customXml" Target="../customXml/item2.xml"/><Relationship Id="rId10" Type="http://schemas.openxmlformats.org/officeDocument/2006/relationships/image" Target="media/image9.png"/><Relationship Id="rId21" Type="http://schemas.openxmlformats.org/officeDocument/2006/relationships/customXml" Target="../customXml/item1.xml"/><Relationship Id="rId13" Type="http://schemas.openxmlformats.org/officeDocument/2006/relationships/image" Target="media/image12.png"/><Relationship Id="rId12" Type="http://schemas.openxmlformats.org/officeDocument/2006/relationships/image" Target="media/image11.png"/><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9" Type="http://schemas.openxmlformats.org/officeDocument/2006/relationships/image" Target="media/image8.png"/><Relationship Id="rId15" Type="http://schemas.openxmlformats.org/officeDocument/2006/relationships/footer" Target="footer1.xml"/><Relationship Id="rId14" Type="http://schemas.openxmlformats.org/officeDocument/2006/relationships/image" Target="media/image13.png"/><Relationship Id="rId17" Type="http://schemas.openxmlformats.org/officeDocument/2006/relationships/styles" Target="styles.xml"/><Relationship Id="rId16" Type="http://schemas.openxmlformats.org/officeDocument/2006/relationships/header" Target="header2.xml"/><Relationship Id="rId5" Type="http://schemas.openxmlformats.org/officeDocument/2006/relationships/image" Target="media/image4.png"/><Relationship Id="rId19" Type="http://schemas.openxmlformats.org/officeDocument/2006/relationships/settings" Target="settings.xml"/><Relationship Id="rId6" Type="http://schemas.openxmlformats.org/officeDocument/2006/relationships/image" Target="media/image5.png"/><Relationship Id="rId18" Type="http://schemas.openxmlformats.org/officeDocument/2006/relationships/fontTable" Target="fontTable.xml"/><Relationship Id="rId7" Type="http://schemas.openxmlformats.org/officeDocument/2006/relationships/image" Target="media/image6.png"/><Relationship Id="rId8"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_rels/item2.xml.rels><?xml version="1.0" encoding="UTF-8"?>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qJDLCQxZbBy9VmhLX2Y6+ARQnoQ==">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</go:docsCustomData>
</go:gDocsCustomXmlDataStorage>
</file>

<file path=customXml/itemProps1.xml><?xml version="1.0" encoding="utf-8"?>
<ds:datastoreItem xmlns:ds="http://schemas.openxmlformats.org/officeDocument/2006/customXml" ds:itemID="{7FB8082E-4848-40F9-9233-D04245154381}">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Words>6540</Words>
  <Pages>38</Pages>
  <Characters>41735</Characters>
  <Application>WPS Office</Application>
  <DocSecurity>0</DocSecurity>
  <Paragraphs>333</Paragraphs>
  <ScaleCrop>false</ScaleCrop>
  <LinksUpToDate>false</LinksUpToDate>
  <CharactersWithSpaces>48068</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2026-07-11T14:15:00Z</dcterms:created>
  <dc:creator>WPS Office</dc:creator>
  <lastModifiedBy>RMX3945</lastModifiedBy>
  <dcterms:modified xsi:type="dcterms:W3CDTF">2026-08-08T14:22:18Z</dcterms:modified>
  <revision>12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fe24ce65b6b74d26997f71a202c9be5e_23</vt:lpwstr>
  </property>
</Properties>
</file>