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EC16BB" w14:textId="77777777" w:rsidR="00947945" w:rsidRDefault="00947945">
      <w:pPr>
        <w:spacing w:after="80" w:line="360" w:lineRule="auto"/>
        <w:jc w:val="center"/>
        <w:rPr>
          <w:rFonts w:ascii="Arial" w:eastAsia="Arial" w:hAnsi="Arial" w:cs="Arial"/>
          <w:b/>
          <w:bCs/>
          <w:sz w:val="22"/>
          <w:szCs w:val="22"/>
        </w:rPr>
      </w:pPr>
    </w:p>
    <w:p w14:paraId="2FD7D454" w14:textId="77777777" w:rsidR="00947945" w:rsidRDefault="00947945">
      <w:pPr>
        <w:spacing w:after="80" w:line="360" w:lineRule="auto"/>
        <w:jc w:val="center"/>
        <w:rPr>
          <w:rFonts w:ascii="Arial" w:eastAsia="Arial" w:hAnsi="Arial" w:cs="Arial"/>
          <w:b/>
          <w:bCs/>
          <w:sz w:val="22"/>
          <w:szCs w:val="22"/>
        </w:rPr>
      </w:pPr>
    </w:p>
    <w:p w14:paraId="4DC39ACD" w14:textId="77777777" w:rsidR="00947945" w:rsidRDefault="00947945">
      <w:pPr>
        <w:spacing w:after="80" w:line="360" w:lineRule="auto"/>
        <w:jc w:val="center"/>
        <w:rPr>
          <w:rFonts w:ascii="Arial" w:eastAsia="Arial" w:hAnsi="Arial" w:cs="Arial"/>
          <w:b/>
          <w:bCs/>
          <w:sz w:val="22"/>
          <w:szCs w:val="22"/>
        </w:rPr>
      </w:pPr>
    </w:p>
    <w:p w14:paraId="4D2F9622" w14:textId="77777777" w:rsidR="00947945" w:rsidRDefault="00947945">
      <w:pPr>
        <w:spacing w:after="80" w:line="360" w:lineRule="auto"/>
        <w:jc w:val="center"/>
        <w:rPr>
          <w:rFonts w:ascii="Arial" w:eastAsia="Arial" w:hAnsi="Arial" w:cs="Arial"/>
          <w:b/>
          <w:bCs/>
          <w:sz w:val="22"/>
          <w:szCs w:val="22"/>
        </w:rPr>
      </w:pPr>
    </w:p>
    <w:p w14:paraId="413552BF" w14:textId="77777777" w:rsidR="00947945" w:rsidRDefault="00947945">
      <w:pPr>
        <w:spacing w:after="80" w:line="360" w:lineRule="auto"/>
        <w:jc w:val="center"/>
        <w:rPr>
          <w:rFonts w:ascii="Arial" w:eastAsia="Arial" w:hAnsi="Arial" w:cs="Arial"/>
          <w:b/>
          <w:bCs/>
          <w:sz w:val="22"/>
          <w:szCs w:val="22"/>
        </w:rPr>
      </w:pPr>
    </w:p>
    <w:p w14:paraId="1851501C" w14:textId="359F7416" w:rsidR="00947945" w:rsidRDefault="00947945">
      <w:pPr>
        <w:spacing w:after="80" w:line="360" w:lineRule="auto"/>
        <w:jc w:val="center"/>
        <w:rPr>
          <w:rFonts w:ascii="Arial" w:eastAsia="Arial" w:hAnsi="Arial" w:cs="Arial"/>
          <w:b/>
          <w:bCs/>
          <w:sz w:val="22"/>
          <w:szCs w:val="22"/>
        </w:rPr>
      </w:pPr>
      <w:r>
        <w:rPr>
          <w:rFonts w:ascii="Arial" w:eastAsia="Arial" w:hAnsi="Arial" w:cs="Arial"/>
          <w:b/>
          <w:bCs/>
          <w:sz w:val="22"/>
          <w:szCs w:val="22"/>
        </w:rPr>
        <w:t xml:space="preserve">Principles of Health and Social Care Practice </w:t>
      </w:r>
    </w:p>
    <w:p w14:paraId="3CDCD9EB" w14:textId="0A7B7B69" w:rsidR="00947945" w:rsidRDefault="00947945">
      <w:pPr>
        <w:spacing w:after="80" w:line="360" w:lineRule="auto"/>
        <w:jc w:val="center"/>
        <w:rPr>
          <w:rFonts w:ascii="Arial" w:eastAsia="Arial" w:hAnsi="Arial" w:cs="Arial"/>
          <w:b/>
          <w:bCs/>
          <w:sz w:val="22"/>
          <w:szCs w:val="22"/>
        </w:rPr>
      </w:pPr>
      <w:r>
        <w:rPr>
          <w:rFonts w:ascii="Arial" w:eastAsia="Arial" w:hAnsi="Arial" w:cs="Arial"/>
          <w:b/>
          <w:bCs/>
          <w:sz w:val="22"/>
          <w:szCs w:val="22"/>
        </w:rPr>
        <w:t xml:space="preserve">Emeline Tatiana </w:t>
      </w:r>
      <w:proofErr w:type="spellStart"/>
      <w:r>
        <w:rPr>
          <w:rFonts w:ascii="Arial" w:eastAsia="Arial" w:hAnsi="Arial" w:cs="Arial"/>
          <w:b/>
          <w:bCs/>
          <w:sz w:val="22"/>
          <w:szCs w:val="22"/>
        </w:rPr>
        <w:t>Loemba</w:t>
      </w:r>
      <w:proofErr w:type="spellEnd"/>
      <w:r>
        <w:rPr>
          <w:rFonts w:ascii="Arial" w:eastAsia="Arial" w:hAnsi="Arial" w:cs="Arial"/>
          <w:b/>
          <w:bCs/>
          <w:sz w:val="22"/>
          <w:szCs w:val="22"/>
        </w:rPr>
        <w:t xml:space="preserve"> </w:t>
      </w:r>
      <w:proofErr w:type="spellStart"/>
      <w:r>
        <w:rPr>
          <w:rFonts w:ascii="Arial" w:eastAsia="Arial" w:hAnsi="Arial" w:cs="Arial"/>
          <w:b/>
          <w:bCs/>
          <w:sz w:val="22"/>
          <w:szCs w:val="22"/>
        </w:rPr>
        <w:t>Yagazou</w:t>
      </w:r>
      <w:proofErr w:type="spellEnd"/>
    </w:p>
    <w:p w14:paraId="56764E47" w14:textId="3168BFDF" w:rsidR="00947945" w:rsidRDefault="00947945">
      <w:pPr>
        <w:spacing w:after="80" w:line="360" w:lineRule="auto"/>
        <w:jc w:val="center"/>
        <w:rPr>
          <w:rFonts w:ascii="Arial" w:eastAsia="Arial" w:hAnsi="Arial" w:cs="Arial"/>
          <w:b/>
          <w:bCs/>
          <w:sz w:val="22"/>
          <w:szCs w:val="22"/>
        </w:rPr>
      </w:pPr>
      <w:r>
        <w:rPr>
          <w:rFonts w:ascii="Arial" w:eastAsia="Arial" w:hAnsi="Arial" w:cs="Arial"/>
          <w:b/>
          <w:bCs/>
          <w:sz w:val="22"/>
          <w:szCs w:val="22"/>
        </w:rPr>
        <w:t>Student number: 2416832</w:t>
      </w:r>
    </w:p>
    <w:p w14:paraId="5ECBE849" w14:textId="3811115B" w:rsidR="00947945" w:rsidRDefault="00947945">
      <w:pPr>
        <w:spacing w:after="80" w:line="360" w:lineRule="auto"/>
        <w:jc w:val="center"/>
        <w:rPr>
          <w:rFonts w:ascii="Arial" w:eastAsia="Arial" w:hAnsi="Arial" w:cs="Arial"/>
          <w:b/>
          <w:bCs/>
          <w:sz w:val="22"/>
          <w:szCs w:val="22"/>
        </w:rPr>
      </w:pPr>
      <w:r>
        <w:rPr>
          <w:rFonts w:ascii="Arial" w:eastAsia="Arial" w:hAnsi="Arial" w:cs="Arial"/>
          <w:b/>
          <w:bCs/>
          <w:sz w:val="22"/>
          <w:szCs w:val="22"/>
        </w:rPr>
        <w:t>Lecture: Lou Wells</w:t>
      </w:r>
    </w:p>
    <w:p w14:paraId="39936849" w14:textId="77777777" w:rsidR="00947945" w:rsidRDefault="00947945" w:rsidP="00947945">
      <w:pPr>
        <w:spacing w:after="80" w:line="360" w:lineRule="auto"/>
        <w:rPr>
          <w:rFonts w:ascii="Arial" w:eastAsia="Arial" w:hAnsi="Arial" w:cs="Arial"/>
          <w:b/>
          <w:bCs/>
          <w:sz w:val="22"/>
          <w:szCs w:val="22"/>
        </w:rPr>
      </w:pPr>
    </w:p>
    <w:p w14:paraId="24DDF791" w14:textId="77777777" w:rsidR="00947945" w:rsidRDefault="00947945" w:rsidP="00947945">
      <w:pPr>
        <w:spacing w:after="80" w:line="360" w:lineRule="auto"/>
        <w:rPr>
          <w:rFonts w:ascii="Arial" w:eastAsia="Arial" w:hAnsi="Arial" w:cs="Arial"/>
          <w:b/>
          <w:bCs/>
          <w:sz w:val="22"/>
          <w:szCs w:val="22"/>
        </w:rPr>
      </w:pPr>
    </w:p>
    <w:p w14:paraId="17B62DD6" w14:textId="77777777" w:rsidR="00947945" w:rsidRDefault="00947945">
      <w:pPr>
        <w:spacing w:after="80" w:line="360" w:lineRule="auto"/>
        <w:jc w:val="center"/>
        <w:rPr>
          <w:rFonts w:ascii="Arial" w:eastAsia="Arial" w:hAnsi="Arial" w:cs="Arial"/>
          <w:b/>
          <w:bCs/>
          <w:sz w:val="22"/>
          <w:szCs w:val="22"/>
        </w:rPr>
      </w:pPr>
    </w:p>
    <w:p w14:paraId="3580D7AD" w14:textId="77777777" w:rsidR="00947945" w:rsidRDefault="00947945">
      <w:pPr>
        <w:spacing w:after="80" w:line="360" w:lineRule="auto"/>
        <w:jc w:val="center"/>
        <w:rPr>
          <w:rFonts w:ascii="Arial" w:eastAsia="Arial" w:hAnsi="Arial" w:cs="Arial"/>
          <w:b/>
          <w:bCs/>
          <w:sz w:val="22"/>
          <w:szCs w:val="22"/>
        </w:rPr>
      </w:pPr>
    </w:p>
    <w:p w14:paraId="44C9BFFF" w14:textId="77777777" w:rsidR="00947945" w:rsidRDefault="00947945">
      <w:pPr>
        <w:spacing w:after="80" w:line="360" w:lineRule="auto"/>
        <w:jc w:val="center"/>
        <w:rPr>
          <w:rFonts w:ascii="Arial" w:eastAsia="Arial" w:hAnsi="Arial" w:cs="Arial"/>
          <w:b/>
          <w:bCs/>
          <w:sz w:val="22"/>
          <w:szCs w:val="22"/>
        </w:rPr>
      </w:pPr>
    </w:p>
    <w:p w14:paraId="05988AF4" w14:textId="77777777" w:rsidR="00947945" w:rsidRDefault="00947945">
      <w:pPr>
        <w:spacing w:after="80" w:line="360" w:lineRule="auto"/>
        <w:jc w:val="center"/>
        <w:rPr>
          <w:rFonts w:ascii="Arial" w:eastAsia="Arial" w:hAnsi="Arial" w:cs="Arial"/>
          <w:b/>
          <w:bCs/>
          <w:sz w:val="22"/>
          <w:szCs w:val="22"/>
        </w:rPr>
      </w:pPr>
    </w:p>
    <w:p w14:paraId="4633AD5F" w14:textId="77777777" w:rsidR="00947945" w:rsidRDefault="00947945">
      <w:pPr>
        <w:spacing w:after="80" w:line="360" w:lineRule="auto"/>
        <w:jc w:val="center"/>
        <w:rPr>
          <w:rFonts w:ascii="Arial" w:eastAsia="Arial" w:hAnsi="Arial" w:cs="Arial"/>
          <w:b/>
          <w:bCs/>
          <w:sz w:val="22"/>
          <w:szCs w:val="22"/>
        </w:rPr>
      </w:pPr>
    </w:p>
    <w:p w14:paraId="4FC95527" w14:textId="77777777" w:rsidR="00947945" w:rsidRDefault="00947945">
      <w:pPr>
        <w:spacing w:after="80" w:line="360" w:lineRule="auto"/>
        <w:jc w:val="center"/>
        <w:rPr>
          <w:rFonts w:ascii="Arial" w:eastAsia="Arial" w:hAnsi="Arial" w:cs="Arial"/>
          <w:b/>
          <w:bCs/>
          <w:sz w:val="22"/>
          <w:szCs w:val="22"/>
        </w:rPr>
      </w:pPr>
    </w:p>
    <w:p w14:paraId="2588A8F9" w14:textId="35B452A9" w:rsidR="00E66DAA" w:rsidRDefault="00947945" w:rsidP="00947945">
      <w:pPr>
        <w:spacing w:after="80" w:line="360" w:lineRule="auto"/>
        <w:rPr>
          <w:rFonts w:ascii="Arial" w:eastAsia="Arial" w:hAnsi="Arial" w:cs="Arial"/>
          <w:sz w:val="22"/>
          <w:szCs w:val="22"/>
        </w:rPr>
      </w:pPr>
      <w:r>
        <w:rPr>
          <w:rFonts w:ascii="Arial" w:eastAsia="Arial" w:hAnsi="Arial" w:cs="Arial"/>
          <w:b/>
          <w:bCs/>
          <w:sz w:val="22"/>
          <w:szCs w:val="22"/>
        </w:rPr>
        <w:t xml:space="preserve">          </w:t>
      </w:r>
      <w:r w:rsidR="00850855">
        <w:rPr>
          <w:rFonts w:ascii="Arial" w:eastAsia="Arial" w:hAnsi="Arial" w:cs="Arial"/>
          <w:b/>
          <w:bCs/>
          <w:sz w:val="22"/>
          <w:szCs w:val="22"/>
        </w:rPr>
        <w:t>The Social Model of Disability and Person-Centred Care in Adult Social Care</w:t>
      </w:r>
    </w:p>
    <w:p w14:paraId="06C725C9" w14:textId="77777777" w:rsidR="00E66DAA" w:rsidRDefault="00850855">
      <w:pPr>
        <w:spacing w:after="300" w:line="360" w:lineRule="auto"/>
        <w:jc w:val="both"/>
        <w:rPr>
          <w:rFonts w:ascii="Arial" w:eastAsia="Arial" w:hAnsi="Arial" w:cs="Arial"/>
          <w:b/>
          <w:bCs/>
          <w:sz w:val="22"/>
          <w:szCs w:val="22"/>
        </w:rPr>
      </w:pPr>
      <w:r>
        <w:br w:type="page"/>
      </w:r>
    </w:p>
    <w:p w14:paraId="210154E1" w14:textId="77777777" w:rsidR="00E66DAA" w:rsidRDefault="00850855">
      <w:pPr>
        <w:spacing w:after="300" w:line="360" w:lineRule="auto"/>
        <w:jc w:val="center"/>
        <w:rPr>
          <w:rFonts w:ascii="Arial" w:eastAsia="Arial" w:hAnsi="Arial" w:cs="Arial"/>
          <w:b/>
          <w:bCs/>
          <w:sz w:val="22"/>
          <w:szCs w:val="22"/>
        </w:rPr>
      </w:pPr>
      <w:r>
        <w:rPr>
          <w:rFonts w:ascii="Arial" w:eastAsia="Arial" w:hAnsi="Arial" w:cs="Arial"/>
          <w:b/>
          <w:bCs/>
          <w:sz w:val="22"/>
          <w:szCs w:val="22"/>
        </w:rPr>
        <w:t>Table of Contents</w:t>
      </w:r>
    </w:p>
    <w:sdt>
      <w:sdtPr>
        <w:id w:val="1948742705"/>
        <w:docPartObj>
          <w:docPartGallery w:val="Table of Contents"/>
          <w:docPartUnique/>
        </w:docPartObj>
      </w:sdtPr>
      <w:sdtEndPr/>
      <w:sdtContent>
        <w:p w14:paraId="4B2212CE" w14:textId="77777777" w:rsidR="00E66DAA" w:rsidRDefault="00850855">
          <w:pPr>
            <w:widowControl w:val="0"/>
            <w:tabs>
              <w:tab w:val="right" w:pos="12000"/>
            </w:tabs>
            <w:spacing w:before="60"/>
            <w:rPr>
              <w:b/>
              <w:bCs/>
              <w:color w:val="000000"/>
            </w:rPr>
          </w:pPr>
          <w:r>
            <w:fldChar w:fldCharType="begin"/>
          </w:r>
          <w:r>
            <w:instrText xml:space="preserve"> TOC \h \u \z \t "Heading 1,1,Heading 2,2,Heading 3,3,Heading 4,4,Heading 5,5,Heading 6,6,"</w:instrText>
          </w:r>
          <w:r>
            <w:fldChar w:fldCharType="separate"/>
          </w:r>
          <w:hyperlink>
            <w:r>
              <w:rPr>
                <w:rFonts w:ascii="Arial" w:eastAsia="Arial" w:hAnsi="Arial" w:cs="Arial"/>
                <w:b/>
                <w:bCs/>
                <w:color w:val="000000"/>
                <w:sz w:val="22"/>
                <w:szCs w:val="22"/>
              </w:rPr>
              <w:t>1. Introduction</w:t>
            </w:r>
            <w:r>
              <w:rPr>
                <w:rFonts w:ascii="Arial" w:eastAsia="Arial" w:hAnsi="Arial" w:cs="Arial"/>
                <w:b/>
                <w:bCs/>
                <w:color w:val="000000"/>
                <w:sz w:val="22"/>
                <w:szCs w:val="22"/>
              </w:rPr>
              <w:tab/>
              <w:t>3</w:t>
            </w:r>
          </w:hyperlink>
        </w:p>
        <w:p w14:paraId="75384538" w14:textId="77777777" w:rsidR="00E66DAA" w:rsidRDefault="00850855">
          <w:pPr>
            <w:widowControl w:val="0"/>
            <w:tabs>
              <w:tab w:val="right" w:pos="12000"/>
            </w:tabs>
            <w:spacing w:before="60"/>
            <w:rPr>
              <w:b/>
              <w:bCs/>
              <w:color w:val="000000"/>
            </w:rPr>
          </w:pPr>
          <w:hyperlink>
            <w:r>
              <w:rPr>
                <w:rFonts w:ascii="Arial" w:eastAsia="Arial" w:hAnsi="Arial" w:cs="Arial"/>
                <w:b/>
                <w:bCs/>
                <w:color w:val="000000"/>
                <w:sz w:val="22"/>
                <w:szCs w:val="22"/>
              </w:rPr>
              <w:t>2. Emergence and Development of the Social Model of Disability</w:t>
            </w:r>
            <w:r>
              <w:rPr>
                <w:rFonts w:ascii="Arial" w:eastAsia="Arial" w:hAnsi="Arial" w:cs="Arial"/>
                <w:b/>
                <w:bCs/>
                <w:color w:val="000000"/>
                <w:sz w:val="22"/>
                <w:szCs w:val="22"/>
              </w:rPr>
              <w:tab/>
              <w:t>3</w:t>
            </w:r>
          </w:hyperlink>
        </w:p>
        <w:p w14:paraId="0AC47420" w14:textId="77777777" w:rsidR="00E66DAA" w:rsidRDefault="00850855">
          <w:pPr>
            <w:widowControl w:val="0"/>
            <w:tabs>
              <w:tab w:val="right" w:pos="12000"/>
            </w:tabs>
            <w:spacing w:before="60"/>
            <w:rPr>
              <w:b/>
              <w:bCs/>
              <w:color w:val="000000"/>
            </w:rPr>
          </w:pPr>
          <w:hyperlink>
            <w:r>
              <w:rPr>
                <w:rFonts w:ascii="Arial" w:eastAsia="Arial" w:hAnsi="Arial" w:cs="Arial"/>
                <w:b/>
                <w:bCs/>
                <w:color w:val="000000"/>
                <w:sz w:val="22"/>
                <w:szCs w:val="22"/>
              </w:rPr>
              <w:t>3. Critiques of the Model: A Critical Synthesis</w:t>
            </w:r>
            <w:r>
              <w:rPr>
                <w:rFonts w:ascii="Arial" w:eastAsia="Arial" w:hAnsi="Arial" w:cs="Arial"/>
                <w:b/>
                <w:bCs/>
                <w:color w:val="000000"/>
                <w:sz w:val="22"/>
                <w:szCs w:val="22"/>
              </w:rPr>
              <w:tab/>
              <w:t>4</w:t>
            </w:r>
          </w:hyperlink>
        </w:p>
        <w:p w14:paraId="2DA7AFFD" w14:textId="77777777" w:rsidR="00E66DAA" w:rsidRDefault="00850855">
          <w:pPr>
            <w:widowControl w:val="0"/>
            <w:tabs>
              <w:tab w:val="right" w:pos="12000"/>
            </w:tabs>
            <w:spacing w:before="60"/>
            <w:rPr>
              <w:b/>
              <w:bCs/>
              <w:color w:val="000000"/>
            </w:rPr>
          </w:pPr>
          <w:hyperlink>
            <w:r>
              <w:rPr>
                <w:rFonts w:ascii="Arial" w:eastAsia="Arial" w:hAnsi="Arial" w:cs="Arial"/>
                <w:b/>
                <w:bCs/>
                <w:color w:val="000000"/>
                <w:sz w:val="22"/>
                <w:szCs w:val="22"/>
              </w:rPr>
              <w:t>4. Application to Health and Social Care Policy and Practice</w:t>
            </w:r>
            <w:r>
              <w:rPr>
                <w:rFonts w:ascii="Arial" w:eastAsia="Arial" w:hAnsi="Arial" w:cs="Arial"/>
                <w:b/>
                <w:bCs/>
                <w:color w:val="000000"/>
                <w:sz w:val="22"/>
                <w:szCs w:val="22"/>
              </w:rPr>
              <w:tab/>
              <w:t>5</w:t>
            </w:r>
          </w:hyperlink>
        </w:p>
        <w:p w14:paraId="151757E0" w14:textId="77777777" w:rsidR="00E66DAA" w:rsidRDefault="00850855">
          <w:pPr>
            <w:widowControl w:val="0"/>
            <w:tabs>
              <w:tab w:val="right" w:pos="12000"/>
            </w:tabs>
            <w:spacing w:before="60"/>
            <w:rPr>
              <w:b/>
              <w:bCs/>
              <w:color w:val="000000"/>
            </w:rPr>
          </w:pPr>
          <w:hyperlink>
            <w:r>
              <w:rPr>
                <w:rFonts w:ascii="Arial" w:eastAsia="Arial" w:hAnsi="Arial" w:cs="Arial"/>
                <w:b/>
                <w:bCs/>
                <w:color w:val="000000"/>
                <w:sz w:val="22"/>
                <w:szCs w:val="22"/>
              </w:rPr>
              <w:t>5. Applying the Social Model in Adult Social Care Services for Disabled Adults in the Community</w:t>
            </w:r>
            <w:r>
              <w:rPr>
                <w:rFonts w:ascii="Arial" w:eastAsia="Arial" w:hAnsi="Arial" w:cs="Arial"/>
                <w:b/>
                <w:bCs/>
                <w:color w:val="000000"/>
                <w:sz w:val="22"/>
                <w:szCs w:val="22"/>
              </w:rPr>
              <w:tab/>
              <w:t>5</w:t>
            </w:r>
          </w:hyperlink>
        </w:p>
        <w:p w14:paraId="3B92F37C" w14:textId="77777777" w:rsidR="00E66DAA" w:rsidRDefault="00850855">
          <w:pPr>
            <w:widowControl w:val="0"/>
            <w:tabs>
              <w:tab w:val="right" w:pos="12000"/>
            </w:tabs>
            <w:spacing w:before="60"/>
            <w:rPr>
              <w:b/>
              <w:bCs/>
              <w:color w:val="000000"/>
            </w:rPr>
          </w:pPr>
          <w:hyperlink>
            <w:r>
              <w:rPr>
                <w:rFonts w:ascii="Arial" w:eastAsia="Arial" w:hAnsi="Arial" w:cs="Arial"/>
                <w:b/>
                <w:bCs/>
                <w:color w:val="000000"/>
                <w:sz w:val="22"/>
                <w:szCs w:val="22"/>
              </w:rPr>
              <w:t>6. Benefits and Limitations in Adult Social Care Practice</w:t>
            </w:r>
            <w:r>
              <w:rPr>
                <w:rFonts w:ascii="Arial" w:eastAsia="Arial" w:hAnsi="Arial" w:cs="Arial"/>
                <w:b/>
                <w:bCs/>
                <w:color w:val="000000"/>
                <w:sz w:val="22"/>
                <w:szCs w:val="22"/>
              </w:rPr>
              <w:tab/>
              <w:t>6</w:t>
            </w:r>
          </w:hyperlink>
        </w:p>
        <w:p w14:paraId="0F939DFD" w14:textId="77777777" w:rsidR="00E66DAA" w:rsidRDefault="00850855">
          <w:pPr>
            <w:widowControl w:val="0"/>
            <w:tabs>
              <w:tab w:val="right" w:pos="12000"/>
            </w:tabs>
            <w:spacing w:before="60"/>
            <w:rPr>
              <w:b/>
              <w:bCs/>
              <w:color w:val="000000"/>
            </w:rPr>
          </w:pPr>
          <w:hyperlink>
            <w:r>
              <w:rPr>
                <w:rFonts w:ascii="Arial" w:eastAsia="Arial" w:hAnsi="Arial" w:cs="Arial"/>
                <w:b/>
                <w:bCs/>
                <w:color w:val="000000"/>
                <w:sz w:val="22"/>
                <w:szCs w:val="22"/>
              </w:rPr>
              <w:t>7. Recommendations for Health and Social Care Policy and Practice</w:t>
            </w:r>
            <w:r>
              <w:rPr>
                <w:rFonts w:ascii="Arial" w:eastAsia="Arial" w:hAnsi="Arial" w:cs="Arial"/>
                <w:b/>
                <w:bCs/>
                <w:color w:val="000000"/>
                <w:sz w:val="22"/>
                <w:szCs w:val="22"/>
              </w:rPr>
              <w:tab/>
              <w:t>7</w:t>
            </w:r>
          </w:hyperlink>
        </w:p>
        <w:p w14:paraId="2D20A065" w14:textId="77777777" w:rsidR="00E66DAA" w:rsidRDefault="00850855">
          <w:pPr>
            <w:widowControl w:val="0"/>
            <w:tabs>
              <w:tab w:val="right" w:pos="12000"/>
            </w:tabs>
            <w:spacing w:before="60"/>
            <w:rPr>
              <w:b/>
              <w:bCs/>
              <w:color w:val="000000"/>
            </w:rPr>
          </w:pPr>
          <w:hyperlink>
            <w:r>
              <w:rPr>
                <w:rFonts w:ascii="Arial" w:eastAsia="Arial" w:hAnsi="Arial" w:cs="Arial"/>
                <w:b/>
                <w:bCs/>
                <w:color w:val="000000"/>
                <w:sz w:val="22"/>
                <w:szCs w:val="22"/>
              </w:rPr>
              <w:t>8. Conclusion</w:t>
            </w:r>
            <w:r>
              <w:rPr>
                <w:rFonts w:ascii="Arial" w:eastAsia="Arial" w:hAnsi="Arial" w:cs="Arial"/>
                <w:b/>
                <w:bCs/>
                <w:color w:val="000000"/>
                <w:sz w:val="22"/>
                <w:szCs w:val="22"/>
              </w:rPr>
              <w:tab/>
              <w:t>9</w:t>
            </w:r>
          </w:hyperlink>
        </w:p>
        <w:p w14:paraId="57B5FFFB" w14:textId="77777777" w:rsidR="00E66DAA" w:rsidRDefault="00850855">
          <w:pPr>
            <w:widowControl w:val="0"/>
            <w:tabs>
              <w:tab w:val="right" w:pos="12000"/>
            </w:tabs>
            <w:spacing w:before="60"/>
            <w:rPr>
              <w:b/>
              <w:bCs/>
              <w:color w:val="000000"/>
            </w:rPr>
          </w:pPr>
          <w:hyperlink>
            <w:r>
              <w:rPr>
                <w:rFonts w:ascii="Arial" w:eastAsia="Arial" w:hAnsi="Arial" w:cs="Arial"/>
                <w:b/>
                <w:bCs/>
                <w:color w:val="000000"/>
                <w:sz w:val="22"/>
                <w:szCs w:val="22"/>
              </w:rPr>
              <w:t>References</w:t>
            </w:r>
            <w:r>
              <w:rPr>
                <w:rFonts w:ascii="Arial" w:eastAsia="Arial" w:hAnsi="Arial" w:cs="Arial"/>
                <w:b/>
                <w:bCs/>
                <w:color w:val="000000"/>
                <w:sz w:val="22"/>
                <w:szCs w:val="22"/>
              </w:rPr>
              <w:tab/>
              <w:t>10</w:t>
            </w:r>
          </w:hyperlink>
          <w:r>
            <w:fldChar w:fldCharType="end"/>
          </w:r>
        </w:p>
      </w:sdtContent>
    </w:sdt>
    <w:p w14:paraId="7C2A3059" w14:textId="77777777" w:rsidR="00E66DAA" w:rsidRDefault="00E66DAA">
      <w:pPr>
        <w:spacing w:after="300" w:line="360" w:lineRule="auto"/>
        <w:jc w:val="both"/>
        <w:rPr>
          <w:rFonts w:ascii="Arial" w:eastAsia="Arial" w:hAnsi="Arial" w:cs="Arial"/>
          <w:b/>
          <w:bCs/>
          <w:sz w:val="22"/>
          <w:szCs w:val="22"/>
        </w:rPr>
      </w:pPr>
    </w:p>
    <w:p w14:paraId="798DC34F" w14:textId="77777777" w:rsidR="00E66DAA" w:rsidRDefault="00850855">
      <w:pPr>
        <w:pStyle w:val="Heading2"/>
        <w:spacing w:before="320" w:after="160" w:line="360" w:lineRule="auto"/>
        <w:jc w:val="both"/>
        <w:rPr>
          <w:rFonts w:ascii="Arial" w:eastAsia="Arial" w:hAnsi="Arial" w:cs="Arial"/>
          <w:b/>
          <w:bCs/>
          <w:color w:val="000000"/>
          <w:sz w:val="22"/>
          <w:szCs w:val="22"/>
        </w:rPr>
      </w:pPr>
      <w:r>
        <w:br w:type="page"/>
      </w:r>
    </w:p>
    <w:p w14:paraId="4E8AAD00" w14:textId="77777777" w:rsidR="00E66DAA" w:rsidRDefault="00850855">
      <w:pPr>
        <w:pStyle w:val="Heading2"/>
        <w:spacing w:before="320" w:after="160" w:line="360" w:lineRule="auto"/>
        <w:jc w:val="both"/>
        <w:rPr>
          <w:rFonts w:ascii="Arial" w:eastAsia="Arial" w:hAnsi="Arial" w:cs="Arial"/>
          <w:color w:val="000000"/>
          <w:sz w:val="22"/>
          <w:szCs w:val="22"/>
        </w:rPr>
      </w:pPr>
      <w:r>
        <w:rPr>
          <w:rFonts w:ascii="Arial" w:eastAsia="Arial" w:hAnsi="Arial" w:cs="Arial"/>
          <w:b/>
          <w:bCs/>
          <w:color w:val="000000"/>
          <w:sz w:val="22"/>
          <w:szCs w:val="22"/>
        </w:rPr>
        <w:t>1. Introduction</w:t>
      </w:r>
    </w:p>
    <w:p w14:paraId="391BCA38" w14:textId="77777777" w:rsidR="00E66DAA" w:rsidRDefault="00850855">
      <w:pPr>
        <w:spacing w:after="200" w:line="360" w:lineRule="auto"/>
        <w:jc w:val="both"/>
        <w:rPr>
          <w:rFonts w:ascii="Arial" w:eastAsia="Arial" w:hAnsi="Arial" w:cs="Arial"/>
          <w:sz w:val="22"/>
          <w:szCs w:val="22"/>
        </w:rPr>
      </w:pPr>
      <w:r>
        <w:rPr>
          <w:rFonts w:ascii="Arial" w:eastAsia="Arial" w:hAnsi="Arial" w:cs="Arial"/>
          <w:sz w:val="22"/>
          <w:szCs w:val="22"/>
        </w:rPr>
        <w:t>One of the fundamental values of health and social care today is that it is person-centred, which means that it is about the needs, preferences and rights of the individual rather than their condition. One of the fundamental principles of this is the Social Model of Disability, which states that disability is primarily caused by social, environmental and attitudinal factors, rather than by disability itself. This essay will look at the history and evolution of the Social Model of Disability, how it has shap</w:t>
      </w:r>
      <w:r>
        <w:rPr>
          <w:rFonts w:ascii="Arial" w:eastAsia="Arial" w:hAnsi="Arial" w:cs="Arial"/>
          <w:sz w:val="22"/>
          <w:szCs w:val="22"/>
        </w:rPr>
        <w:t xml:space="preserve">ed health and social care policy and how it is used in adult community social care. It critically appraises the strengths and weaknesses of the model, provides recommendations for policy and practice and then reflects on the importance of the model in supporting inclusive, person-centred care. </w:t>
      </w:r>
    </w:p>
    <w:p w14:paraId="7A298B6D" w14:textId="77777777" w:rsidR="00E66DAA" w:rsidRDefault="00850855">
      <w:pPr>
        <w:pStyle w:val="Heading2"/>
        <w:spacing w:before="320" w:after="160" w:line="360" w:lineRule="auto"/>
        <w:jc w:val="both"/>
        <w:rPr>
          <w:rFonts w:ascii="Arial" w:eastAsia="Arial" w:hAnsi="Arial" w:cs="Arial"/>
          <w:color w:val="000000"/>
          <w:sz w:val="22"/>
          <w:szCs w:val="22"/>
        </w:rPr>
      </w:pPr>
      <w:r>
        <w:rPr>
          <w:rFonts w:ascii="Arial" w:eastAsia="Arial" w:hAnsi="Arial" w:cs="Arial"/>
          <w:b/>
          <w:bCs/>
          <w:color w:val="000000"/>
          <w:sz w:val="22"/>
          <w:szCs w:val="22"/>
        </w:rPr>
        <w:t>2. Emergence and Development of the Social Model of Disability</w:t>
      </w:r>
    </w:p>
    <w:p w14:paraId="26D6C092" w14:textId="77777777" w:rsidR="00E66DAA" w:rsidRDefault="00850855">
      <w:pPr>
        <w:spacing w:after="200" w:line="360" w:lineRule="auto"/>
        <w:jc w:val="both"/>
        <w:rPr>
          <w:rFonts w:ascii="Arial" w:eastAsia="Arial" w:hAnsi="Arial" w:cs="Arial"/>
          <w:sz w:val="22"/>
          <w:szCs w:val="22"/>
        </w:rPr>
      </w:pPr>
      <w:r>
        <w:rPr>
          <w:rFonts w:ascii="Arial" w:eastAsia="Arial" w:hAnsi="Arial" w:cs="Arial"/>
          <w:sz w:val="22"/>
          <w:szCs w:val="22"/>
        </w:rPr>
        <w:t xml:space="preserve">Disability was long interpreted in the medical model, which saw the disability as a problem in the person </w:t>
      </w:r>
      <w:proofErr w:type="gramStart"/>
      <w:r>
        <w:rPr>
          <w:rFonts w:ascii="Arial" w:eastAsia="Arial" w:hAnsi="Arial" w:cs="Arial"/>
          <w:sz w:val="22"/>
          <w:szCs w:val="22"/>
        </w:rPr>
        <w:t>as a result of</w:t>
      </w:r>
      <w:proofErr w:type="gramEnd"/>
      <w:r>
        <w:rPr>
          <w:rFonts w:ascii="Arial" w:eastAsia="Arial" w:hAnsi="Arial" w:cs="Arial"/>
          <w:sz w:val="22"/>
          <w:szCs w:val="22"/>
        </w:rPr>
        <w:t xml:space="preserve"> illness, injury or impairment, and the solution as treatment or cure. The Union of the Physically Impaired Against Segregation, on the other hand, contended that disability is a product of society, which imposes physical, social and attitudinal barriers (UPIAS, 1976). Oliver (2012) built on this, and differentiated between impairment (the physical, sensory or mental difference of an individual) and disability (the barriers set up by society). This view was used to encourage the independent li</w:t>
      </w:r>
      <w:r>
        <w:rPr>
          <w:rFonts w:ascii="Arial" w:eastAsia="Arial" w:hAnsi="Arial" w:cs="Arial"/>
          <w:sz w:val="22"/>
          <w:szCs w:val="22"/>
        </w:rPr>
        <w:t xml:space="preserve">ving movement and to encourage disabled people to have choice and autonomy. Thomas (1999) later suggested a social-relational model, which acknowledged impairment and social barriers, as well as the human rights model which focused on equality, dignity and legal rights (Lawson and Beckett, 2021). </w:t>
      </w:r>
    </w:p>
    <w:p w14:paraId="17A67124" w14:textId="77777777" w:rsidR="00E66DAA" w:rsidRDefault="00850855">
      <w:pPr>
        <w:spacing w:before="200" w:after="80" w:line="360" w:lineRule="auto"/>
        <w:jc w:val="center"/>
        <w:rPr>
          <w:rFonts w:ascii="Arial" w:eastAsia="Arial" w:hAnsi="Arial" w:cs="Arial"/>
          <w:sz w:val="22"/>
          <w:szCs w:val="22"/>
        </w:rPr>
      </w:pPr>
      <w:r>
        <w:rPr>
          <w:rFonts w:ascii="Arial" w:eastAsia="Arial" w:hAnsi="Arial" w:cs="Arial"/>
          <w:b/>
          <w:bCs/>
          <w:i/>
          <w:iCs/>
          <w:sz w:val="22"/>
          <w:szCs w:val="22"/>
        </w:rPr>
        <w:t>Figure 1: How the Medical Model and the Social Model explain disability differently, and where each one looks for the solution.</w:t>
      </w:r>
    </w:p>
    <w:p w14:paraId="674F2C38" w14:textId="77777777" w:rsidR="00E66DAA" w:rsidRDefault="00850855">
      <w:pPr>
        <w:spacing w:after="240" w:line="360" w:lineRule="auto"/>
        <w:jc w:val="center"/>
        <w:rPr>
          <w:rFonts w:ascii="Arial" w:eastAsia="Arial" w:hAnsi="Arial" w:cs="Arial"/>
          <w:sz w:val="22"/>
          <w:szCs w:val="22"/>
        </w:rPr>
      </w:pPr>
      <w:r>
        <w:rPr>
          <w:rFonts w:ascii="Arial" w:eastAsia="Arial" w:hAnsi="Arial" w:cs="Arial"/>
          <w:b/>
          <w:bCs/>
          <w:noProof/>
          <w:sz w:val="22"/>
          <w:szCs w:val="22"/>
        </w:rPr>
        <w:drawing>
          <wp:inline distT="114300" distB="114300" distL="114300" distR="114300" wp14:anchorId="306C12D0" wp14:editId="3D1A7E05">
            <wp:extent cx="6119820" cy="4495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6119820" cy="4495800"/>
                    </a:xfrm>
                    <a:prstGeom prst="rect">
                      <a:avLst/>
                    </a:prstGeom>
                    <a:ln/>
                  </pic:spPr>
                </pic:pic>
              </a:graphicData>
            </a:graphic>
          </wp:inline>
        </w:drawing>
      </w:r>
    </w:p>
    <w:p w14:paraId="63605EBF" w14:textId="77777777" w:rsidR="00E66DAA" w:rsidRDefault="00850855">
      <w:pPr>
        <w:spacing w:after="200" w:line="360" w:lineRule="auto"/>
        <w:jc w:val="both"/>
        <w:rPr>
          <w:rFonts w:ascii="Arial" w:eastAsia="Arial" w:hAnsi="Arial" w:cs="Arial"/>
          <w:sz w:val="22"/>
          <w:szCs w:val="22"/>
        </w:rPr>
      </w:pPr>
      <w:r>
        <w:rPr>
          <w:rFonts w:ascii="Arial" w:eastAsia="Arial" w:hAnsi="Arial" w:cs="Arial"/>
          <w:sz w:val="22"/>
          <w:szCs w:val="22"/>
        </w:rPr>
        <w:t xml:space="preserve">The medical model and the Social Model locate the cause of disability – and hence the solution – in quite different places, as Figure 1 illustrates. This is the point from which all that follows in this essay begins. </w:t>
      </w:r>
    </w:p>
    <w:p w14:paraId="031FAFA4" w14:textId="77777777" w:rsidR="00E66DAA" w:rsidRDefault="00850855">
      <w:pPr>
        <w:pStyle w:val="Heading2"/>
        <w:spacing w:before="320" w:after="160" w:line="360" w:lineRule="auto"/>
        <w:jc w:val="both"/>
        <w:rPr>
          <w:rFonts w:ascii="Arial" w:eastAsia="Arial" w:hAnsi="Arial" w:cs="Arial"/>
          <w:color w:val="000000"/>
          <w:sz w:val="22"/>
          <w:szCs w:val="22"/>
        </w:rPr>
      </w:pPr>
      <w:r>
        <w:rPr>
          <w:rFonts w:ascii="Arial" w:eastAsia="Arial" w:hAnsi="Arial" w:cs="Arial"/>
          <w:b/>
          <w:bCs/>
          <w:color w:val="000000"/>
          <w:sz w:val="22"/>
          <w:szCs w:val="22"/>
        </w:rPr>
        <w:t>3. Critiques of the Model: A Critical Synthesis</w:t>
      </w:r>
    </w:p>
    <w:p w14:paraId="71A1C96B" w14:textId="77777777" w:rsidR="00E66DAA" w:rsidRDefault="00850855">
      <w:pPr>
        <w:spacing w:after="200" w:line="360" w:lineRule="auto"/>
        <w:jc w:val="both"/>
        <w:rPr>
          <w:rFonts w:ascii="Arial" w:eastAsia="Arial" w:hAnsi="Arial" w:cs="Arial"/>
          <w:sz w:val="22"/>
          <w:szCs w:val="22"/>
        </w:rPr>
      </w:pPr>
      <w:proofErr w:type="gramStart"/>
      <w:r>
        <w:rPr>
          <w:rFonts w:ascii="Arial" w:eastAsia="Arial" w:hAnsi="Arial" w:cs="Arial"/>
          <w:sz w:val="22"/>
          <w:szCs w:val="22"/>
        </w:rPr>
        <w:t>In spite of</w:t>
      </w:r>
      <w:proofErr w:type="gramEnd"/>
      <w:r>
        <w:rPr>
          <w:rFonts w:ascii="Arial" w:eastAsia="Arial" w:hAnsi="Arial" w:cs="Arial"/>
          <w:sz w:val="22"/>
          <w:szCs w:val="22"/>
        </w:rPr>
        <w:t xml:space="preserve"> its influence, the Social Model of Disability has been subjected to important criticisms. Thorneycroft (2024) suggested that social barriers can't be the only barriers because the lived experience of pain, fatigue and illness is not addressed. Thorneycroft (2024) also challenged the separation of the concepts of impairment and disability, arguing that social attitudes also influence impairment. Criticisms of the model include that it primarily captures the experiences of </w:t>
      </w:r>
      <w:proofErr w:type="gramStart"/>
      <w:r>
        <w:rPr>
          <w:rFonts w:ascii="Arial" w:eastAsia="Arial" w:hAnsi="Arial" w:cs="Arial"/>
          <w:sz w:val="22"/>
          <w:szCs w:val="22"/>
        </w:rPr>
        <w:t>physically-abled</w:t>
      </w:r>
      <w:proofErr w:type="gramEnd"/>
      <w:r>
        <w:rPr>
          <w:rFonts w:ascii="Arial" w:eastAsia="Arial" w:hAnsi="Arial" w:cs="Arial"/>
          <w:sz w:val="22"/>
          <w:szCs w:val="22"/>
        </w:rPr>
        <w:t xml:space="preserve"> activists and does</w:t>
      </w:r>
      <w:r>
        <w:rPr>
          <w:rFonts w:ascii="Arial" w:eastAsia="Arial" w:hAnsi="Arial" w:cs="Arial"/>
          <w:sz w:val="22"/>
          <w:szCs w:val="22"/>
        </w:rPr>
        <w:t xml:space="preserve"> not consider the intersectionality of disability and race, gender, poverty and migration status (</w:t>
      </w:r>
      <w:proofErr w:type="spellStart"/>
      <w:r>
        <w:rPr>
          <w:rFonts w:ascii="Arial" w:eastAsia="Arial" w:hAnsi="Arial" w:cs="Arial"/>
          <w:sz w:val="22"/>
          <w:szCs w:val="22"/>
        </w:rPr>
        <w:t>Slayter</w:t>
      </w:r>
      <w:proofErr w:type="spellEnd"/>
      <w:r>
        <w:rPr>
          <w:rFonts w:ascii="Arial" w:eastAsia="Arial" w:hAnsi="Arial" w:cs="Arial"/>
          <w:sz w:val="22"/>
          <w:szCs w:val="22"/>
        </w:rPr>
        <w:t xml:space="preserve"> and Johnson, 2024; </w:t>
      </w:r>
      <w:proofErr w:type="spellStart"/>
      <w:r>
        <w:rPr>
          <w:rFonts w:ascii="Arial" w:eastAsia="Arial" w:hAnsi="Arial" w:cs="Arial"/>
          <w:sz w:val="22"/>
          <w:szCs w:val="22"/>
        </w:rPr>
        <w:t>Havercamp</w:t>
      </w:r>
      <w:proofErr w:type="spellEnd"/>
      <w:r>
        <w:rPr>
          <w:rFonts w:ascii="Arial" w:eastAsia="Arial" w:hAnsi="Arial" w:cs="Arial"/>
          <w:sz w:val="22"/>
          <w:szCs w:val="22"/>
        </w:rPr>
        <w:t xml:space="preserve"> et al., 2025). As noted by Rivas et al. (2025), both critiques are important to consider for everyday assessment and planning for care, but the second is more relevant to policy development and equitable service provision. In response, Adam and </w:t>
      </w:r>
      <w:proofErr w:type="spellStart"/>
      <w:r>
        <w:rPr>
          <w:rFonts w:ascii="Arial" w:eastAsia="Arial" w:hAnsi="Arial" w:cs="Arial"/>
          <w:sz w:val="22"/>
          <w:szCs w:val="22"/>
        </w:rPr>
        <w:t>Koutsoklenis</w:t>
      </w:r>
      <w:proofErr w:type="spellEnd"/>
      <w:r>
        <w:rPr>
          <w:rFonts w:ascii="Arial" w:eastAsia="Arial" w:hAnsi="Arial" w:cs="Arial"/>
          <w:sz w:val="22"/>
          <w:szCs w:val="22"/>
        </w:rPr>
        <w:t xml:space="preserve"> (2023) stated that the Social Model is still very much needed as it offers a collective model for equality and dignity </w:t>
      </w:r>
      <w:r>
        <w:rPr>
          <w:rFonts w:ascii="Arial" w:eastAsia="Arial" w:hAnsi="Arial" w:cs="Arial"/>
          <w:sz w:val="22"/>
          <w:szCs w:val="22"/>
        </w:rPr>
        <w:t xml:space="preserve">(Lawson and Beckett, 2021). The model is not replacing the human rights approach and the social-relational </w:t>
      </w:r>
      <w:proofErr w:type="gramStart"/>
      <w:r>
        <w:rPr>
          <w:rFonts w:ascii="Arial" w:eastAsia="Arial" w:hAnsi="Arial" w:cs="Arial"/>
          <w:sz w:val="22"/>
          <w:szCs w:val="22"/>
        </w:rPr>
        <w:t>perspective</w:t>
      </w:r>
      <w:proofErr w:type="gramEnd"/>
      <w:r>
        <w:rPr>
          <w:rFonts w:ascii="Arial" w:eastAsia="Arial" w:hAnsi="Arial" w:cs="Arial"/>
          <w:sz w:val="22"/>
          <w:szCs w:val="22"/>
        </w:rPr>
        <w:t xml:space="preserve"> but it complements and supports it in strengthening person-centred care, acknowledging social barriers and individual experiences (Thomas, 1999). </w:t>
      </w:r>
    </w:p>
    <w:p w14:paraId="66B8F978" w14:textId="77777777" w:rsidR="00E66DAA" w:rsidRDefault="00850855">
      <w:pPr>
        <w:pStyle w:val="Heading2"/>
        <w:spacing w:before="320" w:after="160" w:line="360" w:lineRule="auto"/>
        <w:jc w:val="both"/>
        <w:rPr>
          <w:rFonts w:ascii="Arial" w:eastAsia="Arial" w:hAnsi="Arial" w:cs="Arial"/>
          <w:color w:val="000000"/>
          <w:sz w:val="22"/>
          <w:szCs w:val="22"/>
        </w:rPr>
      </w:pPr>
      <w:r>
        <w:rPr>
          <w:rFonts w:ascii="Arial" w:eastAsia="Arial" w:hAnsi="Arial" w:cs="Arial"/>
          <w:b/>
          <w:bCs/>
          <w:color w:val="000000"/>
          <w:sz w:val="22"/>
          <w:szCs w:val="22"/>
        </w:rPr>
        <w:t>4. Application to Health and Social Care Policy and Practice</w:t>
      </w:r>
    </w:p>
    <w:p w14:paraId="61475B11" w14:textId="77777777" w:rsidR="00E66DAA" w:rsidRDefault="00850855">
      <w:pPr>
        <w:spacing w:after="200" w:line="360" w:lineRule="auto"/>
        <w:jc w:val="both"/>
        <w:rPr>
          <w:rFonts w:ascii="Arial" w:eastAsia="Arial" w:hAnsi="Arial" w:cs="Arial"/>
          <w:sz w:val="22"/>
          <w:szCs w:val="22"/>
        </w:rPr>
      </w:pPr>
      <w:r>
        <w:rPr>
          <w:rFonts w:ascii="Arial" w:eastAsia="Arial" w:hAnsi="Arial" w:cs="Arial"/>
          <w:sz w:val="22"/>
          <w:szCs w:val="22"/>
        </w:rPr>
        <w:t xml:space="preserve">Much of the policy in the UK for health and social care is based on the Social Model of Disability. Under the Equality Act 2010, the duty to make reasonable adjustments falls on the services, and this means that the service must take steps to remove the barriers instead of expecting the individual to change (Great Britain, 2010). Likewise, the Care Act 2014 encourages personalisation </w:t>
      </w:r>
      <w:proofErr w:type="gramStart"/>
      <w:r>
        <w:rPr>
          <w:rFonts w:ascii="Arial" w:eastAsia="Arial" w:hAnsi="Arial" w:cs="Arial"/>
          <w:sz w:val="22"/>
          <w:szCs w:val="22"/>
        </w:rPr>
        <w:t>through the use of</w:t>
      </w:r>
      <w:proofErr w:type="gramEnd"/>
      <w:r>
        <w:rPr>
          <w:rFonts w:ascii="Arial" w:eastAsia="Arial" w:hAnsi="Arial" w:cs="Arial"/>
          <w:sz w:val="22"/>
          <w:szCs w:val="22"/>
        </w:rPr>
        <w:t xml:space="preserve"> personal budgets and increased choice (Great Britain, 2014). NICE (2018) advises that support plans prioritise what is important to the person. Policy and practice have also increasingly focused on co-production, such as the Welsh Disability Rights Taskforce, and evidence indicates that co-production has benefits for person-centred outcomes (Nordin et al., 2023). But there are still many difficulties to be overcome in putting these ideas into action (Foster, 2024). </w:t>
      </w:r>
    </w:p>
    <w:p w14:paraId="097D794A" w14:textId="77777777" w:rsidR="00E66DAA" w:rsidRDefault="00850855">
      <w:pPr>
        <w:pStyle w:val="Heading2"/>
        <w:spacing w:before="320" w:after="160" w:line="360" w:lineRule="auto"/>
        <w:jc w:val="both"/>
        <w:rPr>
          <w:rFonts w:ascii="Arial" w:eastAsia="Arial" w:hAnsi="Arial" w:cs="Arial"/>
          <w:color w:val="000000"/>
          <w:sz w:val="22"/>
          <w:szCs w:val="22"/>
        </w:rPr>
      </w:pPr>
      <w:r>
        <w:rPr>
          <w:rFonts w:ascii="Arial" w:eastAsia="Arial" w:hAnsi="Arial" w:cs="Arial"/>
          <w:b/>
          <w:bCs/>
          <w:color w:val="000000"/>
          <w:sz w:val="22"/>
          <w:szCs w:val="22"/>
        </w:rPr>
        <w:t>5. Applying the Social Model in Adult Social Care Services for Disabled Adults in the Community</w:t>
      </w:r>
    </w:p>
    <w:p w14:paraId="2DA2C4C1" w14:textId="77777777" w:rsidR="00E66DAA" w:rsidRDefault="00850855">
      <w:pPr>
        <w:spacing w:after="200" w:line="360" w:lineRule="auto"/>
        <w:jc w:val="both"/>
        <w:rPr>
          <w:rFonts w:ascii="Arial" w:eastAsia="Arial" w:hAnsi="Arial" w:cs="Arial"/>
          <w:sz w:val="22"/>
          <w:szCs w:val="22"/>
        </w:rPr>
      </w:pPr>
      <w:r>
        <w:rPr>
          <w:rFonts w:ascii="Arial" w:eastAsia="Arial" w:hAnsi="Arial" w:cs="Arial"/>
          <w:sz w:val="22"/>
          <w:szCs w:val="22"/>
        </w:rPr>
        <w:t xml:space="preserve">Adult social care services for disabled adults in their communities are a good example of the application of the Social Model of Disability. The Care Act 2014 states that assessments and care planning should start with the person's goals and desired outcomes, not their diagnosis, and NICE (2018) recommends that support planning should focus on what is important to the person. Eligibility criteria and risk management, however, bring the focus back to impairments and not eradicate social barriers, as pointed </w:t>
      </w:r>
      <w:r>
        <w:rPr>
          <w:rFonts w:ascii="Arial" w:eastAsia="Arial" w:hAnsi="Arial" w:cs="Arial"/>
          <w:sz w:val="22"/>
          <w:szCs w:val="22"/>
        </w:rPr>
        <w:t>out by SCIE (2023). Personal Budgets are an important Social Model concept whereby disabled people have more choice and control. The evidence found by Robinson et al. (2022) indicates that overall, personal budget users tend to be more satisfied and have higher wellbeing, but that gains are not consistent, with those who have better support networks and higher health literacy benefiting more from the personal budget system. Reasonable adjustments are also at the heart, but Moloney et al. (2025) noted that t</w:t>
      </w:r>
      <w:r>
        <w:rPr>
          <w:rFonts w:ascii="Arial" w:eastAsia="Arial" w:hAnsi="Arial" w:cs="Arial"/>
          <w:sz w:val="22"/>
          <w:szCs w:val="22"/>
        </w:rPr>
        <w:t xml:space="preserve">hey are often made on a case-by-case basis, not as part of services. Although NICE (2018) advises accessible information and adequate consultation time, this is not always the case. Co-production also embodies Social Model values as disabled people are equal partners in the planning of support. In a systematic review, Nordin et al. (2023) identified that co-produced services are more reflective of people's lives and enhance trust. However, SCIE (2023) found that </w:t>
      </w:r>
      <w:proofErr w:type="gramStart"/>
      <w:r>
        <w:rPr>
          <w:rFonts w:ascii="Arial" w:eastAsia="Arial" w:hAnsi="Arial" w:cs="Arial"/>
          <w:sz w:val="22"/>
          <w:szCs w:val="22"/>
        </w:rPr>
        <w:t>a number of</w:t>
      </w:r>
      <w:proofErr w:type="gramEnd"/>
      <w:r>
        <w:rPr>
          <w:rFonts w:ascii="Arial" w:eastAsia="Arial" w:hAnsi="Arial" w:cs="Arial"/>
          <w:sz w:val="22"/>
          <w:szCs w:val="22"/>
        </w:rPr>
        <w:t xml:space="preserve"> factors were significant obstacle</w:t>
      </w:r>
      <w:r>
        <w:rPr>
          <w:rFonts w:ascii="Arial" w:eastAsia="Arial" w:hAnsi="Arial" w:cs="Arial"/>
          <w:sz w:val="22"/>
          <w:szCs w:val="22"/>
        </w:rPr>
        <w:t xml:space="preserve">s to meaningful co-production, including limited staff time, organisational culture and financial pressures. This means that professionals may continue to have decision-making authority as they are still responsible for protecting budgets and risk management. A lack of staff and funding further limits the provision of relationship-based, person-centred practice, and there is a disconnect between the principles of the Social Model and the practice of community adult social care. </w:t>
      </w:r>
    </w:p>
    <w:p w14:paraId="5862F4C8" w14:textId="77777777" w:rsidR="00E66DAA" w:rsidRDefault="00850855">
      <w:pPr>
        <w:spacing w:before="200" w:after="80" w:line="360" w:lineRule="auto"/>
        <w:jc w:val="both"/>
        <w:rPr>
          <w:rFonts w:ascii="Arial" w:eastAsia="Arial" w:hAnsi="Arial" w:cs="Arial"/>
          <w:sz w:val="22"/>
          <w:szCs w:val="22"/>
        </w:rPr>
      </w:pPr>
      <w:r>
        <w:rPr>
          <w:rFonts w:ascii="Arial" w:eastAsia="Arial" w:hAnsi="Arial" w:cs="Arial"/>
          <w:b/>
          <w:bCs/>
          <w:i/>
          <w:iCs/>
          <w:sz w:val="22"/>
          <w:szCs w:val="22"/>
        </w:rPr>
        <w:t>Table 1: How the Social Model of Disability is applied in adult social care services for disabled adults living in the community, and the evidence for benefits and limitations in each area.</w:t>
      </w:r>
    </w:p>
    <w:tbl>
      <w:tblPr>
        <w:tblStyle w:val="a"/>
        <w:tblW w:w="98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900"/>
        <w:gridCol w:w="2650"/>
        <w:gridCol w:w="2650"/>
        <w:gridCol w:w="2600"/>
      </w:tblGrid>
      <w:tr w:rsidR="00E66DAA" w14:paraId="34D4835A" w14:textId="77777777">
        <w:trPr>
          <w:cantSplit/>
          <w:tblHeader/>
        </w:trPr>
        <w:tc>
          <w:tcPr>
            <w:tcW w:w="1900" w:type="dxa"/>
            <w:shd w:val="clear" w:color="auto" w:fill="1F4E78"/>
            <w:tcMar>
              <w:top w:w="100" w:type="dxa"/>
              <w:left w:w="110" w:type="dxa"/>
              <w:bottom w:w="100" w:type="dxa"/>
              <w:right w:w="110" w:type="dxa"/>
            </w:tcMar>
          </w:tcPr>
          <w:p w14:paraId="6755803C" w14:textId="77777777" w:rsidR="00E66DAA" w:rsidRDefault="00850855">
            <w:pPr>
              <w:spacing w:line="360" w:lineRule="auto"/>
              <w:jc w:val="both"/>
              <w:rPr>
                <w:rFonts w:ascii="Arial" w:eastAsia="Arial" w:hAnsi="Arial" w:cs="Arial"/>
                <w:color w:val="FFFFFF"/>
                <w:sz w:val="22"/>
                <w:szCs w:val="22"/>
              </w:rPr>
            </w:pPr>
            <w:r>
              <w:rPr>
                <w:rFonts w:ascii="Arial" w:eastAsia="Arial" w:hAnsi="Arial" w:cs="Arial"/>
                <w:b/>
                <w:bCs/>
                <w:color w:val="FFFFFF"/>
                <w:sz w:val="22"/>
                <w:szCs w:val="22"/>
              </w:rPr>
              <w:t>Practice area</w:t>
            </w:r>
          </w:p>
        </w:tc>
        <w:tc>
          <w:tcPr>
            <w:tcW w:w="2650" w:type="dxa"/>
            <w:shd w:val="clear" w:color="auto" w:fill="1F4E78"/>
            <w:tcMar>
              <w:top w:w="100" w:type="dxa"/>
              <w:left w:w="110" w:type="dxa"/>
              <w:bottom w:w="100" w:type="dxa"/>
              <w:right w:w="110" w:type="dxa"/>
            </w:tcMar>
          </w:tcPr>
          <w:p w14:paraId="562566FF" w14:textId="77777777" w:rsidR="00E66DAA" w:rsidRDefault="00850855">
            <w:pPr>
              <w:spacing w:line="360" w:lineRule="auto"/>
              <w:jc w:val="both"/>
              <w:rPr>
                <w:rFonts w:ascii="Arial" w:eastAsia="Arial" w:hAnsi="Arial" w:cs="Arial"/>
                <w:color w:val="FFFFFF"/>
                <w:sz w:val="22"/>
                <w:szCs w:val="22"/>
              </w:rPr>
            </w:pPr>
            <w:r>
              <w:rPr>
                <w:rFonts w:ascii="Arial" w:eastAsia="Arial" w:hAnsi="Arial" w:cs="Arial"/>
                <w:b/>
                <w:bCs/>
                <w:color w:val="FFFFFF"/>
                <w:sz w:val="22"/>
                <w:szCs w:val="22"/>
              </w:rPr>
              <w:t>How the Social Model shapes it</w:t>
            </w:r>
          </w:p>
        </w:tc>
        <w:tc>
          <w:tcPr>
            <w:tcW w:w="2650" w:type="dxa"/>
            <w:shd w:val="clear" w:color="auto" w:fill="1F4E78"/>
            <w:tcMar>
              <w:top w:w="100" w:type="dxa"/>
              <w:left w:w="110" w:type="dxa"/>
              <w:bottom w:w="100" w:type="dxa"/>
              <w:right w:w="110" w:type="dxa"/>
            </w:tcMar>
          </w:tcPr>
          <w:p w14:paraId="73ED1F5F" w14:textId="77777777" w:rsidR="00E66DAA" w:rsidRDefault="00850855">
            <w:pPr>
              <w:spacing w:line="360" w:lineRule="auto"/>
              <w:jc w:val="both"/>
              <w:rPr>
                <w:rFonts w:ascii="Arial" w:eastAsia="Arial" w:hAnsi="Arial" w:cs="Arial"/>
                <w:color w:val="FFFFFF"/>
                <w:sz w:val="22"/>
                <w:szCs w:val="22"/>
              </w:rPr>
            </w:pPr>
            <w:r>
              <w:rPr>
                <w:rFonts w:ascii="Arial" w:eastAsia="Arial" w:hAnsi="Arial" w:cs="Arial"/>
                <w:b/>
                <w:bCs/>
                <w:color w:val="FFFFFF"/>
                <w:sz w:val="22"/>
                <w:szCs w:val="22"/>
              </w:rPr>
              <w:t>Evidence of benefit</w:t>
            </w:r>
          </w:p>
        </w:tc>
        <w:tc>
          <w:tcPr>
            <w:tcW w:w="2600" w:type="dxa"/>
            <w:shd w:val="clear" w:color="auto" w:fill="1F4E78"/>
            <w:tcMar>
              <w:top w:w="100" w:type="dxa"/>
              <w:left w:w="110" w:type="dxa"/>
              <w:bottom w:w="100" w:type="dxa"/>
              <w:right w:w="110" w:type="dxa"/>
            </w:tcMar>
          </w:tcPr>
          <w:p w14:paraId="6AD97E70" w14:textId="77777777" w:rsidR="00E66DAA" w:rsidRDefault="00850855">
            <w:pPr>
              <w:spacing w:line="360" w:lineRule="auto"/>
              <w:jc w:val="both"/>
              <w:rPr>
                <w:rFonts w:ascii="Arial" w:eastAsia="Arial" w:hAnsi="Arial" w:cs="Arial"/>
                <w:color w:val="FFFFFF"/>
                <w:sz w:val="22"/>
                <w:szCs w:val="22"/>
              </w:rPr>
            </w:pPr>
            <w:r>
              <w:rPr>
                <w:rFonts w:ascii="Arial" w:eastAsia="Arial" w:hAnsi="Arial" w:cs="Arial"/>
                <w:b/>
                <w:bCs/>
                <w:color w:val="FFFFFF"/>
                <w:sz w:val="22"/>
                <w:szCs w:val="22"/>
              </w:rPr>
              <w:t>Evidence of limitation</w:t>
            </w:r>
          </w:p>
        </w:tc>
      </w:tr>
      <w:tr w:rsidR="00E66DAA" w14:paraId="5B2B25BB" w14:textId="77777777">
        <w:trPr>
          <w:cantSplit/>
        </w:trPr>
        <w:tc>
          <w:tcPr>
            <w:tcW w:w="1900" w:type="dxa"/>
            <w:tcMar>
              <w:top w:w="100" w:type="dxa"/>
              <w:left w:w="110" w:type="dxa"/>
              <w:bottom w:w="100" w:type="dxa"/>
              <w:right w:w="110" w:type="dxa"/>
            </w:tcMar>
          </w:tcPr>
          <w:p w14:paraId="57BFE67D" w14:textId="77777777" w:rsidR="00E66DAA" w:rsidRDefault="00850855">
            <w:pPr>
              <w:spacing w:line="360" w:lineRule="auto"/>
              <w:jc w:val="both"/>
              <w:rPr>
                <w:rFonts w:ascii="Arial" w:eastAsia="Arial" w:hAnsi="Arial" w:cs="Arial"/>
                <w:sz w:val="22"/>
                <w:szCs w:val="22"/>
              </w:rPr>
            </w:pPr>
            <w:r>
              <w:rPr>
                <w:rFonts w:ascii="Arial" w:eastAsia="Arial" w:hAnsi="Arial" w:cs="Arial"/>
                <w:sz w:val="22"/>
                <w:szCs w:val="22"/>
              </w:rPr>
              <w:t>Assessment and care planning</w:t>
            </w:r>
          </w:p>
        </w:tc>
        <w:tc>
          <w:tcPr>
            <w:tcW w:w="2650" w:type="dxa"/>
            <w:tcMar>
              <w:top w:w="100" w:type="dxa"/>
              <w:left w:w="110" w:type="dxa"/>
              <w:bottom w:w="100" w:type="dxa"/>
              <w:right w:w="110" w:type="dxa"/>
            </w:tcMar>
          </w:tcPr>
          <w:p w14:paraId="77FA3E98" w14:textId="77777777" w:rsidR="00E66DAA" w:rsidRDefault="00850855">
            <w:pPr>
              <w:spacing w:line="360" w:lineRule="auto"/>
              <w:jc w:val="both"/>
              <w:rPr>
                <w:rFonts w:ascii="Arial" w:eastAsia="Arial" w:hAnsi="Arial" w:cs="Arial"/>
                <w:sz w:val="22"/>
                <w:szCs w:val="22"/>
              </w:rPr>
            </w:pPr>
            <w:r>
              <w:rPr>
                <w:rFonts w:ascii="Arial" w:eastAsia="Arial" w:hAnsi="Arial" w:cs="Arial"/>
                <w:sz w:val="22"/>
                <w:szCs w:val="22"/>
              </w:rPr>
              <w:t>Starts from the person's own goals and outcomes, not only their diagnosis</w:t>
            </w:r>
          </w:p>
        </w:tc>
        <w:tc>
          <w:tcPr>
            <w:tcW w:w="2650" w:type="dxa"/>
            <w:tcMar>
              <w:top w:w="100" w:type="dxa"/>
              <w:left w:w="110" w:type="dxa"/>
              <w:bottom w:w="100" w:type="dxa"/>
              <w:right w:w="110" w:type="dxa"/>
            </w:tcMar>
          </w:tcPr>
          <w:p w14:paraId="564050B8" w14:textId="77777777" w:rsidR="00E66DAA" w:rsidRDefault="00850855">
            <w:pPr>
              <w:spacing w:line="360" w:lineRule="auto"/>
              <w:jc w:val="both"/>
              <w:rPr>
                <w:rFonts w:ascii="Arial" w:eastAsia="Arial" w:hAnsi="Arial" w:cs="Arial"/>
                <w:sz w:val="22"/>
                <w:szCs w:val="22"/>
              </w:rPr>
            </w:pPr>
            <w:r>
              <w:rPr>
                <w:rFonts w:ascii="Arial" w:eastAsia="Arial" w:hAnsi="Arial" w:cs="Arial"/>
                <w:sz w:val="22"/>
                <w:szCs w:val="22"/>
              </w:rPr>
              <w:t>Person-centred planning increases the relevance of support (NICE, 2018).</w:t>
            </w:r>
          </w:p>
        </w:tc>
        <w:tc>
          <w:tcPr>
            <w:tcW w:w="2600" w:type="dxa"/>
            <w:tcMar>
              <w:top w:w="100" w:type="dxa"/>
              <w:left w:w="110" w:type="dxa"/>
              <w:bottom w:w="100" w:type="dxa"/>
              <w:right w:w="110" w:type="dxa"/>
            </w:tcMar>
          </w:tcPr>
          <w:p w14:paraId="7C65744A" w14:textId="77777777" w:rsidR="00E66DAA" w:rsidRDefault="00850855">
            <w:pPr>
              <w:spacing w:line="360" w:lineRule="auto"/>
              <w:jc w:val="both"/>
              <w:rPr>
                <w:rFonts w:ascii="Arial" w:eastAsia="Arial" w:hAnsi="Arial" w:cs="Arial"/>
                <w:sz w:val="22"/>
                <w:szCs w:val="22"/>
              </w:rPr>
            </w:pPr>
            <w:r>
              <w:rPr>
                <w:rFonts w:ascii="Arial" w:eastAsia="Arial" w:hAnsi="Arial" w:cs="Arial"/>
                <w:sz w:val="22"/>
                <w:szCs w:val="22"/>
              </w:rPr>
              <w:t>Still often shaped by eligibility thresholds and risk management (SCIE, 2023).</w:t>
            </w:r>
          </w:p>
        </w:tc>
      </w:tr>
      <w:tr w:rsidR="00E66DAA" w14:paraId="28E1540A" w14:textId="77777777">
        <w:trPr>
          <w:cantSplit/>
        </w:trPr>
        <w:tc>
          <w:tcPr>
            <w:tcW w:w="1900" w:type="dxa"/>
            <w:tcMar>
              <w:top w:w="100" w:type="dxa"/>
              <w:left w:w="110" w:type="dxa"/>
              <w:bottom w:w="100" w:type="dxa"/>
              <w:right w:w="110" w:type="dxa"/>
            </w:tcMar>
          </w:tcPr>
          <w:p w14:paraId="21535186" w14:textId="77777777" w:rsidR="00E66DAA" w:rsidRDefault="00850855">
            <w:pPr>
              <w:spacing w:line="360" w:lineRule="auto"/>
              <w:jc w:val="both"/>
              <w:rPr>
                <w:rFonts w:ascii="Arial" w:eastAsia="Arial" w:hAnsi="Arial" w:cs="Arial"/>
                <w:sz w:val="22"/>
                <w:szCs w:val="22"/>
              </w:rPr>
            </w:pPr>
            <w:r>
              <w:rPr>
                <w:rFonts w:ascii="Arial" w:eastAsia="Arial" w:hAnsi="Arial" w:cs="Arial"/>
                <w:sz w:val="22"/>
                <w:szCs w:val="22"/>
              </w:rPr>
              <w:t>Personal budgets</w:t>
            </w:r>
          </w:p>
        </w:tc>
        <w:tc>
          <w:tcPr>
            <w:tcW w:w="2650" w:type="dxa"/>
            <w:tcMar>
              <w:top w:w="100" w:type="dxa"/>
              <w:left w:w="110" w:type="dxa"/>
              <w:bottom w:w="100" w:type="dxa"/>
              <w:right w:w="110" w:type="dxa"/>
            </w:tcMar>
          </w:tcPr>
          <w:p w14:paraId="146B4C50" w14:textId="77777777" w:rsidR="00E66DAA" w:rsidRDefault="00850855">
            <w:pPr>
              <w:spacing w:line="360" w:lineRule="auto"/>
              <w:jc w:val="both"/>
              <w:rPr>
                <w:rFonts w:ascii="Arial" w:eastAsia="Arial" w:hAnsi="Arial" w:cs="Arial"/>
                <w:sz w:val="22"/>
                <w:szCs w:val="22"/>
              </w:rPr>
            </w:pPr>
            <w:r>
              <w:rPr>
                <w:rFonts w:ascii="Arial" w:eastAsia="Arial" w:hAnsi="Arial" w:cs="Arial"/>
                <w:sz w:val="22"/>
                <w:szCs w:val="22"/>
              </w:rPr>
              <w:t>Places purchasing power and choice directly with the disabled person</w:t>
            </w:r>
          </w:p>
        </w:tc>
        <w:tc>
          <w:tcPr>
            <w:tcW w:w="2650" w:type="dxa"/>
            <w:tcMar>
              <w:top w:w="100" w:type="dxa"/>
              <w:left w:w="110" w:type="dxa"/>
              <w:bottom w:w="100" w:type="dxa"/>
              <w:right w:w="110" w:type="dxa"/>
            </w:tcMar>
          </w:tcPr>
          <w:p w14:paraId="735B493D" w14:textId="77777777" w:rsidR="00E66DAA" w:rsidRDefault="00850855">
            <w:pPr>
              <w:spacing w:line="360" w:lineRule="auto"/>
              <w:jc w:val="both"/>
              <w:rPr>
                <w:rFonts w:ascii="Arial" w:eastAsia="Arial" w:hAnsi="Arial" w:cs="Arial"/>
                <w:sz w:val="22"/>
                <w:szCs w:val="22"/>
              </w:rPr>
            </w:pPr>
            <w:r>
              <w:rPr>
                <w:rFonts w:ascii="Arial" w:eastAsia="Arial" w:hAnsi="Arial" w:cs="Arial"/>
                <w:sz w:val="22"/>
                <w:szCs w:val="22"/>
              </w:rPr>
              <w:t>Linked to better wellbeing and service satisfaction (Robinson et al., 2022).</w:t>
            </w:r>
          </w:p>
        </w:tc>
        <w:tc>
          <w:tcPr>
            <w:tcW w:w="2600" w:type="dxa"/>
            <w:tcMar>
              <w:top w:w="100" w:type="dxa"/>
              <w:left w:w="110" w:type="dxa"/>
              <w:bottom w:w="100" w:type="dxa"/>
              <w:right w:w="110" w:type="dxa"/>
            </w:tcMar>
          </w:tcPr>
          <w:p w14:paraId="1015A180" w14:textId="77777777" w:rsidR="00E66DAA" w:rsidRDefault="00850855">
            <w:pPr>
              <w:spacing w:line="360" w:lineRule="auto"/>
              <w:jc w:val="both"/>
              <w:rPr>
                <w:rFonts w:ascii="Arial" w:eastAsia="Arial" w:hAnsi="Arial" w:cs="Arial"/>
                <w:sz w:val="22"/>
                <w:szCs w:val="22"/>
              </w:rPr>
            </w:pPr>
            <w:r>
              <w:rPr>
                <w:rFonts w:ascii="Arial" w:eastAsia="Arial" w:hAnsi="Arial" w:cs="Arial"/>
                <w:sz w:val="22"/>
                <w:szCs w:val="22"/>
              </w:rPr>
              <w:t>Benefits unevenly spread; better-networked people gain more (Robinson et al., 2022).</w:t>
            </w:r>
          </w:p>
        </w:tc>
      </w:tr>
      <w:tr w:rsidR="00E66DAA" w14:paraId="755A521B" w14:textId="77777777">
        <w:trPr>
          <w:cantSplit/>
        </w:trPr>
        <w:tc>
          <w:tcPr>
            <w:tcW w:w="1900" w:type="dxa"/>
            <w:tcMar>
              <w:top w:w="100" w:type="dxa"/>
              <w:left w:w="110" w:type="dxa"/>
              <w:bottom w:w="100" w:type="dxa"/>
              <w:right w:w="110" w:type="dxa"/>
            </w:tcMar>
          </w:tcPr>
          <w:p w14:paraId="6761C15F" w14:textId="77777777" w:rsidR="00E66DAA" w:rsidRDefault="00850855">
            <w:pPr>
              <w:spacing w:line="360" w:lineRule="auto"/>
              <w:jc w:val="both"/>
              <w:rPr>
                <w:rFonts w:ascii="Arial" w:eastAsia="Arial" w:hAnsi="Arial" w:cs="Arial"/>
                <w:sz w:val="22"/>
                <w:szCs w:val="22"/>
              </w:rPr>
            </w:pPr>
            <w:r>
              <w:rPr>
                <w:rFonts w:ascii="Arial" w:eastAsia="Arial" w:hAnsi="Arial" w:cs="Arial"/>
                <w:sz w:val="22"/>
                <w:szCs w:val="22"/>
              </w:rPr>
              <w:t>Reasonable adjustments</w:t>
            </w:r>
          </w:p>
        </w:tc>
        <w:tc>
          <w:tcPr>
            <w:tcW w:w="2650" w:type="dxa"/>
            <w:tcMar>
              <w:top w:w="100" w:type="dxa"/>
              <w:left w:w="110" w:type="dxa"/>
              <w:bottom w:w="100" w:type="dxa"/>
              <w:right w:w="110" w:type="dxa"/>
            </w:tcMar>
          </w:tcPr>
          <w:p w14:paraId="2C444D21" w14:textId="77777777" w:rsidR="00E66DAA" w:rsidRDefault="00850855">
            <w:pPr>
              <w:spacing w:line="360" w:lineRule="auto"/>
              <w:jc w:val="both"/>
              <w:rPr>
                <w:rFonts w:ascii="Arial" w:eastAsia="Arial" w:hAnsi="Arial" w:cs="Arial"/>
                <w:sz w:val="22"/>
                <w:szCs w:val="22"/>
              </w:rPr>
            </w:pPr>
            <w:r>
              <w:rPr>
                <w:rFonts w:ascii="Arial" w:eastAsia="Arial" w:hAnsi="Arial" w:cs="Arial"/>
                <w:sz w:val="22"/>
                <w:szCs w:val="22"/>
              </w:rPr>
              <w:t>Places responsibility on services to adapt, not on the person to cope</w:t>
            </w:r>
          </w:p>
        </w:tc>
        <w:tc>
          <w:tcPr>
            <w:tcW w:w="2650" w:type="dxa"/>
            <w:tcMar>
              <w:top w:w="100" w:type="dxa"/>
              <w:left w:w="110" w:type="dxa"/>
              <w:bottom w:w="100" w:type="dxa"/>
              <w:right w:w="110" w:type="dxa"/>
            </w:tcMar>
          </w:tcPr>
          <w:p w14:paraId="534FA8E1" w14:textId="77777777" w:rsidR="00E66DAA" w:rsidRDefault="00850855">
            <w:pPr>
              <w:spacing w:line="360" w:lineRule="auto"/>
              <w:jc w:val="both"/>
              <w:rPr>
                <w:rFonts w:ascii="Arial" w:eastAsia="Arial" w:hAnsi="Arial" w:cs="Arial"/>
                <w:sz w:val="22"/>
                <w:szCs w:val="22"/>
              </w:rPr>
            </w:pPr>
            <w:r>
              <w:rPr>
                <w:rFonts w:ascii="Arial" w:eastAsia="Arial" w:hAnsi="Arial" w:cs="Arial"/>
                <w:sz w:val="22"/>
                <w:szCs w:val="22"/>
              </w:rPr>
              <w:t>Supports dignity and access for people with intellectual disability (Moloney et al., 2025).</w:t>
            </w:r>
          </w:p>
        </w:tc>
        <w:tc>
          <w:tcPr>
            <w:tcW w:w="2600" w:type="dxa"/>
            <w:tcMar>
              <w:top w:w="100" w:type="dxa"/>
              <w:left w:w="110" w:type="dxa"/>
              <w:bottom w:w="100" w:type="dxa"/>
              <w:right w:w="110" w:type="dxa"/>
            </w:tcMar>
          </w:tcPr>
          <w:p w14:paraId="320E9AED" w14:textId="77777777" w:rsidR="00E66DAA" w:rsidRDefault="00850855">
            <w:pPr>
              <w:spacing w:line="360" w:lineRule="auto"/>
              <w:jc w:val="both"/>
              <w:rPr>
                <w:rFonts w:ascii="Arial" w:eastAsia="Arial" w:hAnsi="Arial" w:cs="Arial"/>
                <w:sz w:val="22"/>
                <w:szCs w:val="22"/>
              </w:rPr>
            </w:pPr>
            <w:r>
              <w:rPr>
                <w:rFonts w:ascii="Arial" w:eastAsia="Arial" w:hAnsi="Arial" w:cs="Arial"/>
                <w:sz w:val="22"/>
                <w:szCs w:val="22"/>
              </w:rPr>
              <w:t>Mostly individual, ad hoc fixes rather than system-level standards (Moloney et al., 2025).</w:t>
            </w:r>
          </w:p>
        </w:tc>
      </w:tr>
      <w:tr w:rsidR="00E66DAA" w14:paraId="50AE1AAE" w14:textId="77777777">
        <w:trPr>
          <w:cantSplit/>
        </w:trPr>
        <w:tc>
          <w:tcPr>
            <w:tcW w:w="1900" w:type="dxa"/>
            <w:tcMar>
              <w:top w:w="100" w:type="dxa"/>
              <w:left w:w="110" w:type="dxa"/>
              <w:bottom w:w="100" w:type="dxa"/>
              <w:right w:w="110" w:type="dxa"/>
            </w:tcMar>
          </w:tcPr>
          <w:p w14:paraId="250CD81C" w14:textId="77777777" w:rsidR="00E66DAA" w:rsidRDefault="00850855">
            <w:pPr>
              <w:spacing w:line="360" w:lineRule="auto"/>
              <w:jc w:val="both"/>
              <w:rPr>
                <w:rFonts w:ascii="Arial" w:eastAsia="Arial" w:hAnsi="Arial" w:cs="Arial"/>
                <w:sz w:val="22"/>
                <w:szCs w:val="22"/>
              </w:rPr>
            </w:pPr>
            <w:r>
              <w:rPr>
                <w:rFonts w:ascii="Arial" w:eastAsia="Arial" w:hAnsi="Arial" w:cs="Arial"/>
                <w:sz w:val="22"/>
                <w:szCs w:val="22"/>
              </w:rPr>
              <w:t>Communication accessibility</w:t>
            </w:r>
          </w:p>
        </w:tc>
        <w:tc>
          <w:tcPr>
            <w:tcW w:w="2650" w:type="dxa"/>
            <w:tcMar>
              <w:top w:w="100" w:type="dxa"/>
              <w:left w:w="110" w:type="dxa"/>
              <w:bottom w:w="100" w:type="dxa"/>
              <w:right w:w="110" w:type="dxa"/>
            </w:tcMar>
          </w:tcPr>
          <w:p w14:paraId="78CB7F36" w14:textId="77777777" w:rsidR="00E66DAA" w:rsidRDefault="00850855">
            <w:pPr>
              <w:spacing w:line="360" w:lineRule="auto"/>
              <w:jc w:val="both"/>
              <w:rPr>
                <w:rFonts w:ascii="Arial" w:eastAsia="Arial" w:hAnsi="Arial" w:cs="Arial"/>
                <w:sz w:val="22"/>
                <w:szCs w:val="22"/>
              </w:rPr>
            </w:pPr>
            <w:r>
              <w:rPr>
                <w:rFonts w:ascii="Arial" w:eastAsia="Arial" w:hAnsi="Arial" w:cs="Arial"/>
                <w:sz w:val="22"/>
                <w:szCs w:val="22"/>
              </w:rPr>
              <w:t>Requires information to be given in a format the person can use</w:t>
            </w:r>
          </w:p>
        </w:tc>
        <w:tc>
          <w:tcPr>
            <w:tcW w:w="2650" w:type="dxa"/>
            <w:tcMar>
              <w:top w:w="100" w:type="dxa"/>
              <w:left w:w="110" w:type="dxa"/>
              <w:bottom w:w="100" w:type="dxa"/>
              <w:right w:w="110" w:type="dxa"/>
            </w:tcMar>
          </w:tcPr>
          <w:p w14:paraId="31DC410A" w14:textId="77777777" w:rsidR="00E66DAA" w:rsidRDefault="00850855">
            <w:pPr>
              <w:spacing w:line="360" w:lineRule="auto"/>
              <w:jc w:val="both"/>
              <w:rPr>
                <w:rFonts w:ascii="Arial" w:eastAsia="Arial" w:hAnsi="Arial" w:cs="Arial"/>
                <w:sz w:val="22"/>
                <w:szCs w:val="22"/>
              </w:rPr>
            </w:pPr>
            <w:r>
              <w:rPr>
                <w:rFonts w:ascii="Arial" w:eastAsia="Arial" w:hAnsi="Arial" w:cs="Arial"/>
                <w:sz w:val="22"/>
                <w:szCs w:val="22"/>
              </w:rPr>
              <w:t>Improves understanding and confidence in decisions (NICE, 2018).</w:t>
            </w:r>
          </w:p>
        </w:tc>
        <w:tc>
          <w:tcPr>
            <w:tcW w:w="2600" w:type="dxa"/>
            <w:tcMar>
              <w:top w:w="100" w:type="dxa"/>
              <w:left w:w="110" w:type="dxa"/>
              <w:bottom w:w="100" w:type="dxa"/>
              <w:right w:w="110" w:type="dxa"/>
            </w:tcMar>
          </w:tcPr>
          <w:p w14:paraId="69B7F13A" w14:textId="77777777" w:rsidR="00E66DAA" w:rsidRDefault="00850855">
            <w:pPr>
              <w:spacing w:line="360" w:lineRule="auto"/>
              <w:jc w:val="both"/>
              <w:rPr>
                <w:rFonts w:ascii="Arial" w:eastAsia="Arial" w:hAnsi="Arial" w:cs="Arial"/>
                <w:sz w:val="22"/>
                <w:szCs w:val="22"/>
              </w:rPr>
            </w:pPr>
            <w:r>
              <w:rPr>
                <w:rFonts w:ascii="Arial" w:eastAsia="Arial" w:hAnsi="Arial" w:cs="Arial"/>
                <w:sz w:val="22"/>
                <w:szCs w:val="22"/>
              </w:rPr>
              <w:t>Inconsistent; often depends on individual staff effort rather than systems</w:t>
            </w:r>
          </w:p>
        </w:tc>
      </w:tr>
      <w:tr w:rsidR="00E66DAA" w14:paraId="483CDF40" w14:textId="77777777">
        <w:trPr>
          <w:cantSplit/>
        </w:trPr>
        <w:tc>
          <w:tcPr>
            <w:tcW w:w="1900" w:type="dxa"/>
            <w:tcMar>
              <w:top w:w="100" w:type="dxa"/>
              <w:left w:w="110" w:type="dxa"/>
              <w:bottom w:w="100" w:type="dxa"/>
              <w:right w:w="110" w:type="dxa"/>
            </w:tcMar>
          </w:tcPr>
          <w:p w14:paraId="42427288" w14:textId="77777777" w:rsidR="00E66DAA" w:rsidRDefault="00850855">
            <w:pPr>
              <w:spacing w:line="360" w:lineRule="auto"/>
              <w:jc w:val="both"/>
              <w:rPr>
                <w:rFonts w:ascii="Arial" w:eastAsia="Arial" w:hAnsi="Arial" w:cs="Arial"/>
                <w:sz w:val="22"/>
                <w:szCs w:val="22"/>
              </w:rPr>
            </w:pPr>
            <w:r>
              <w:rPr>
                <w:rFonts w:ascii="Arial" w:eastAsia="Arial" w:hAnsi="Arial" w:cs="Arial"/>
                <w:sz w:val="22"/>
                <w:szCs w:val="22"/>
              </w:rPr>
              <w:t>Co-produced support plans</w:t>
            </w:r>
          </w:p>
        </w:tc>
        <w:tc>
          <w:tcPr>
            <w:tcW w:w="2650" w:type="dxa"/>
            <w:tcMar>
              <w:top w:w="100" w:type="dxa"/>
              <w:left w:w="110" w:type="dxa"/>
              <w:bottom w:w="100" w:type="dxa"/>
              <w:right w:w="110" w:type="dxa"/>
            </w:tcMar>
          </w:tcPr>
          <w:p w14:paraId="0A30A5C6" w14:textId="77777777" w:rsidR="00E66DAA" w:rsidRDefault="00850855">
            <w:pPr>
              <w:spacing w:line="360" w:lineRule="auto"/>
              <w:jc w:val="both"/>
              <w:rPr>
                <w:rFonts w:ascii="Arial" w:eastAsia="Arial" w:hAnsi="Arial" w:cs="Arial"/>
                <w:sz w:val="22"/>
                <w:szCs w:val="22"/>
              </w:rPr>
            </w:pPr>
            <w:r>
              <w:rPr>
                <w:rFonts w:ascii="Arial" w:eastAsia="Arial" w:hAnsi="Arial" w:cs="Arial"/>
                <w:sz w:val="22"/>
                <w:szCs w:val="22"/>
              </w:rPr>
              <w:t>Involves the person as an active partner in designing their own support</w:t>
            </w:r>
          </w:p>
        </w:tc>
        <w:tc>
          <w:tcPr>
            <w:tcW w:w="2650" w:type="dxa"/>
            <w:tcMar>
              <w:top w:w="100" w:type="dxa"/>
              <w:left w:w="110" w:type="dxa"/>
              <w:bottom w:w="100" w:type="dxa"/>
              <w:right w:w="110" w:type="dxa"/>
            </w:tcMar>
          </w:tcPr>
          <w:p w14:paraId="075452A8" w14:textId="77777777" w:rsidR="00E66DAA" w:rsidRDefault="00850855">
            <w:pPr>
              <w:spacing w:line="360" w:lineRule="auto"/>
              <w:jc w:val="both"/>
              <w:rPr>
                <w:rFonts w:ascii="Arial" w:eastAsia="Arial" w:hAnsi="Arial" w:cs="Arial"/>
                <w:sz w:val="22"/>
                <w:szCs w:val="22"/>
              </w:rPr>
            </w:pPr>
            <w:r>
              <w:rPr>
                <w:rFonts w:ascii="Arial" w:eastAsia="Arial" w:hAnsi="Arial" w:cs="Arial"/>
                <w:sz w:val="22"/>
                <w:szCs w:val="22"/>
              </w:rPr>
              <w:t>Linked to services that fit better and are more trusted (Nordin et al., 2023).</w:t>
            </w:r>
          </w:p>
        </w:tc>
        <w:tc>
          <w:tcPr>
            <w:tcW w:w="2600" w:type="dxa"/>
            <w:tcMar>
              <w:top w:w="100" w:type="dxa"/>
              <w:left w:w="110" w:type="dxa"/>
              <w:bottom w:w="100" w:type="dxa"/>
              <w:right w:w="110" w:type="dxa"/>
            </w:tcMar>
          </w:tcPr>
          <w:p w14:paraId="48F3B393" w14:textId="77777777" w:rsidR="00E66DAA" w:rsidRDefault="00850855">
            <w:pPr>
              <w:spacing w:line="360" w:lineRule="auto"/>
              <w:jc w:val="both"/>
              <w:rPr>
                <w:rFonts w:ascii="Arial" w:eastAsia="Arial" w:hAnsi="Arial" w:cs="Arial"/>
                <w:sz w:val="22"/>
                <w:szCs w:val="22"/>
              </w:rPr>
            </w:pPr>
            <w:r>
              <w:rPr>
                <w:rFonts w:ascii="Arial" w:eastAsia="Arial" w:hAnsi="Arial" w:cs="Arial"/>
                <w:sz w:val="22"/>
                <w:szCs w:val="22"/>
              </w:rPr>
              <w:t>Time, cost, and culture remain the main barriers (SCIE, 2023).</w:t>
            </w:r>
          </w:p>
        </w:tc>
      </w:tr>
    </w:tbl>
    <w:p w14:paraId="624D73B6" w14:textId="77777777" w:rsidR="00E66DAA" w:rsidRDefault="00850855">
      <w:pPr>
        <w:spacing w:after="200" w:line="360" w:lineRule="auto"/>
        <w:jc w:val="both"/>
        <w:rPr>
          <w:rFonts w:ascii="Arial" w:eastAsia="Arial" w:hAnsi="Arial" w:cs="Arial"/>
          <w:sz w:val="22"/>
          <w:szCs w:val="22"/>
        </w:rPr>
      </w:pPr>
      <w:r>
        <w:rPr>
          <w:rFonts w:ascii="Arial" w:eastAsia="Arial" w:hAnsi="Arial" w:cs="Arial"/>
          <w:sz w:val="22"/>
          <w:szCs w:val="22"/>
        </w:rPr>
        <w:t xml:space="preserve">Table 1 brings these five areas of adult social care practice together and reveals a consistent pattern – the Social Model determines the purpose of services, and the resourcing and organisational habits determine what </w:t>
      </w:r>
      <w:proofErr w:type="gramStart"/>
      <w:r>
        <w:rPr>
          <w:rFonts w:ascii="Arial" w:eastAsia="Arial" w:hAnsi="Arial" w:cs="Arial"/>
          <w:sz w:val="22"/>
          <w:szCs w:val="22"/>
        </w:rPr>
        <w:t>actually occurs</w:t>
      </w:r>
      <w:proofErr w:type="gramEnd"/>
      <w:r>
        <w:rPr>
          <w:rFonts w:ascii="Arial" w:eastAsia="Arial" w:hAnsi="Arial" w:cs="Arial"/>
          <w:sz w:val="22"/>
          <w:szCs w:val="22"/>
        </w:rPr>
        <w:t xml:space="preserve">. </w:t>
      </w:r>
    </w:p>
    <w:p w14:paraId="505D08AC" w14:textId="77777777" w:rsidR="00E66DAA" w:rsidRDefault="00850855">
      <w:pPr>
        <w:pStyle w:val="Heading2"/>
        <w:spacing w:before="320" w:after="160" w:line="360" w:lineRule="auto"/>
        <w:jc w:val="both"/>
        <w:rPr>
          <w:rFonts w:ascii="Arial" w:eastAsia="Arial" w:hAnsi="Arial" w:cs="Arial"/>
          <w:color w:val="000000"/>
          <w:sz w:val="22"/>
          <w:szCs w:val="22"/>
        </w:rPr>
      </w:pPr>
      <w:r>
        <w:rPr>
          <w:rFonts w:ascii="Arial" w:eastAsia="Arial" w:hAnsi="Arial" w:cs="Arial"/>
          <w:b/>
          <w:bCs/>
          <w:color w:val="000000"/>
          <w:sz w:val="22"/>
          <w:szCs w:val="22"/>
        </w:rPr>
        <w:t>6. Benefits and Limitations in Adult Social Care Practice</w:t>
      </w:r>
    </w:p>
    <w:p w14:paraId="1C229C7B" w14:textId="77777777" w:rsidR="00E66DAA" w:rsidRDefault="00850855">
      <w:pPr>
        <w:spacing w:after="200" w:line="360" w:lineRule="auto"/>
        <w:jc w:val="both"/>
        <w:rPr>
          <w:rFonts w:ascii="Arial" w:eastAsia="Arial" w:hAnsi="Arial" w:cs="Arial"/>
          <w:sz w:val="22"/>
          <w:szCs w:val="22"/>
        </w:rPr>
      </w:pPr>
      <w:r>
        <w:rPr>
          <w:rFonts w:ascii="Arial" w:eastAsia="Arial" w:hAnsi="Arial" w:cs="Arial"/>
          <w:sz w:val="22"/>
          <w:szCs w:val="22"/>
        </w:rPr>
        <w:t>Bringing this evidence together, using the Social Model to guide adult social care in the community has clear benefits. It promotes the disabled person's autonomy and dignity; the focus is on the disabled person, not their diagnosis, in assessment and planning (Nordin et al., 2023). It enables people to participate and choose, for example, by using personal budgets and co-produced support plans, and where communication is made accessible, it develops trust between the person and the service (Robinson et al.</w:t>
      </w:r>
      <w:r>
        <w:rPr>
          <w:rFonts w:ascii="Arial" w:eastAsia="Arial" w:hAnsi="Arial" w:cs="Arial"/>
          <w:sz w:val="22"/>
          <w:szCs w:val="22"/>
        </w:rPr>
        <w:t xml:space="preserve">, 2022). </w:t>
      </w:r>
    </w:p>
    <w:p w14:paraId="76D9E708" w14:textId="77777777" w:rsidR="00E66DAA" w:rsidRDefault="00850855">
      <w:pPr>
        <w:spacing w:after="200" w:line="360" w:lineRule="auto"/>
        <w:jc w:val="both"/>
        <w:rPr>
          <w:rFonts w:ascii="Arial" w:eastAsia="Arial" w:hAnsi="Arial" w:cs="Arial"/>
          <w:sz w:val="22"/>
          <w:szCs w:val="22"/>
        </w:rPr>
      </w:pPr>
      <w:r>
        <w:rPr>
          <w:rFonts w:ascii="Arial" w:eastAsia="Arial" w:hAnsi="Arial" w:cs="Arial"/>
          <w:sz w:val="22"/>
          <w:szCs w:val="22"/>
        </w:rPr>
        <w:t xml:space="preserve">Meanwhile, real restrictions become apparent when the model is brought to the practice. Choice and control </w:t>
      </w:r>
      <w:proofErr w:type="gramStart"/>
      <w:r>
        <w:rPr>
          <w:rFonts w:ascii="Arial" w:eastAsia="Arial" w:hAnsi="Arial" w:cs="Arial"/>
          <w:sz w:val="22"/>
          <w:szCs w:val="22"/>
        </w:rPr>
        <w:t>is</w:t>
      </w:r>
      <w:proofErr w:type="gramEnd"/>
      <w:r>
        <w:rPr>
          <w:rFonts w:ascii="Arial" w:eastAsia="Arial" w:hAnsi="Arial" w:cs="Arial"/>
          <w:sz w:val="22"/>
          <w:szCs w:val="22"/>
        </w:rPr>
        <w:t xml:space="preserve"> not the same for all, and providers with more resources are better able to put in place co-production and reasonable adjustments than under-resourced providers (SCIE, 2023). Consultation can be tokenistic if it is not adequately resourced and/or timed. Risk and accountability for safeguarding create a situation where professionals can be left to manage risk, rather than share power, despite policy seeking partnership. Communication barriers remain when accessible formats are reliant on individual staff a</w:t>
      </w:r>
      <w:r>
        <w:rPr>
          <w:rFonts w:ascii="Arial" w:eastAsia="Arial" w:hAnsi="Arial" w:cs="Arial"/>
          <w:sz w:val="22"/>
          <w:szCs w:val="22"/>
        </w:rPr>
        <w:t xml:space="preserve">nd not organisational systems (NICE, 2018). Last, Morris and Thorneycroft (2024) pointed out in their earlier critique that a model based on the elimination of external barriers does not necessarily </w:t>
      </w:r>
      <w:proofErr w:type="gramStart"/>
      <w:r>
        <w:rPr>
          <w:rFonts w:ascii="Arial" w:eastAsia="Arial" w:hAnsi="Arial" w:cs="Arial"/>
          <w:sz w:val="22"/>
          <w:szCs w:val="22"/>
        </w:rPr>
        <w:t>tell</w:t>
      </w:r>
      <w:proofErr w:type="gramEnd"/>
      <w:r>
        <w:rPr>
          <w:rFonts w:ascii="Arial" w:eastAsia="Arial" w:hAnsi="Arial" w:cs="Arial"/>
          <w:sz w:val="22"/>
          <w:szCs w:val="22"/>
        </w:rPr>
        <w:t xml:space="preserve"> much about the effects of pain, fatigue, or impairment that cannot be completely eliminated by reasonable adjustment. </w:t>
      </w:r>
    </w:p>
    <w:p w14:paraId="208121A2" w14:textId="77777777" w:rsidR="00E66DAA" w:rsidRDefault="00850855">
      <w:pPr>
        <w:pStyle w:val="Heading2"/>
        <w:spacing w:before="320" w:after="160" w:line="360" w:lineRule="auto"/>
        <w:jc w:val="both"/>
        <w:rPr>
          <w:rFonts w:ascii="Arial" w:eastAsia="Arial" w:hAnsi="Arial" w:cs="Arial"/>
          <w:color w:val="000000"/>
          <w:sz w:val="22"/>
          <w:szCs w:val="22"/>
        </w:rPr>
      </w:pPr>
      <w:r>
        <w:rPr>
          <w:rFonts w:ascii="Arial" w:eastAsia="Arial" w:hAnsi="Arial" w:cs="Arial"/>
          <w:b/>
          <w:bCs/>
          <w:color w:val="000000"/>
          <w:sz w:val="22"/>
          <w:szCs w:val="22"/>
        </w:rPr>
        <w:t>7. Recommendations for Health and Social Care Policy and Practice</w:t>
      </w:r>
    </w:p>
    <w:p w14:paraId="14F403C5" w14:textId="77777777" w:rsidR="00E66DAA" w:rsidRDefault="00850855">
      <w:pPr>
        <w:spacing w:after="200" w:line="360" w:lineRule="auto"/>
        <w:jc w:val="both"/>
        <w:rPr>
          <w:rFonts w:ascii="Arial" w:eastAsia="Arial" w:hAnsi="Arial" w:cs="Arial"/>
          <w:sz w:val="22"/>
          <w:szCs w:val="22"/>
        </w:rPr>
      </w:pPr>
      <w:r>
        <w:rPr>
          <w:rFonts w:ascii="Arial" w:eastAsia="Arial" w:hAnsi="Arial" w:cs="Arial"/>
          <w:sz w:val="22"/>
          <w:szCs w:val="22"/>
        </w:rPr>
        <w:t xml:space="preserve">Based on this evidence, this essay offers three recommendations, each of which is sufficiently detailed to demonstrate how it could be put into practice. </w:t>
      </w:r>
    </w:p>
    <w:p w14:paraId="70414DB7" w14:textId="77777777" w:rsidR="00E66DAA" w:rsidRDefault="00850855">
      <w:pPr>
        <w:spacing w:before="240" w:after="120" w:line="360" w:lineRule="auto"/>
        <w:jc w:val="both"/>
        <w:rPr>
          <w:rFonts w:ascii="Arial" w:eastAsia="Arial" w:hAnsi="Arial" w:cs="Arial"/>
          <w:b/>
          <w:bCs/>
          <w:sz w:val="22"/>
          <w:szCs w:val="22"/>
        </w:rPr>
      </w:pPr>
      <w:r>
        <w:rPr>
          <w:rFonts w:ascii="Arial" w:eastAsia="Arial" w:hAnsi="Arial" w:cs="Arial"/>
          <w:b/>
          <w:bCs/>
          <w:sz w:val="22"/>
          <w:szCs w:val="22"/>
        </w:rPr>
        <w:t>Fund and protect time for co-production</w:t>
      </w:r>
    </w:p>
    <w:p w14:paraId="144F6BAE" w14:textId="77777777" w:rsidR="00E66DAA" w:rsidRDefault="00850855">
      <w:pPr>
        <w:spacing w:after="200" w:line="360" w:lineRule="auto"/>
        <w:jc w:val="both"/>
        <w:rPr>
          <w:rFonts w:ascii="Arial" w:eastAsia="Arial" w:hAnsi="Arial" w:cs="Arial"/>
          <w:sz w:val="22"/>
          <w:szCs w:val="22"/>
        </w:rPr>
      </w:pPr>
      <w:r>
        <w:rPr>
          <w:rFonts w:ascii="Arial" w:eastAsia="Arial" w:hAnsi="Arial" w:cs="Arial"/>
          <w:sz w:val="22"/>
          <w:szCs w:val="22"/>
        </w:rPr>
        <w:t xml:space="preserve">Local authorities and social care providers should provide time and payment for service-user input, not as an unfunded addition, if this is to be done in a way that is co-produced. This would be achieved through the creation of paid participation and protected staff hours within commissioning contracts based on the barriers identified by SCIE (2023). If done well, this would enhance the adaptability of support plans to people's lived experiences and boost trust in support services (Nordin et al., 2023). It </w:t>
      </w:r>
      <w:r>
        <w:rPr>
          <w:rFonts w:ascii="Arial" w:eastAsia="Arial" w:hAnsi="Arial" w:cs="Arial"/>
          <w:sz w:val="22"/>
          <w:szCs w:val="22"/>
        </w:rPr>
        <w:t>would need continued funding for participation payments, staff time and accessible materials, many of which are under-resourced, and these providers may not be able to implement it as well as others, which could lead to better-resourced organisations doing more than others. Evaluation of success might be measured using repeat surveys of staff and service users in a similar fashion to the current SCIE survey and the reduction in the numbers of staff and service users who report that time, cost and culture ar</w:t>
      </w:r>
      <w:r>
        <w:rPr>
          <w:rFonts w:ascii="Arial" w:eastAsia="Arial" w:hAnsi="Arial" w:cs="Arial"/>
          <w:sz w:val="22"/>
          <w:szCs w:val="22"/>
        </w:rPr>
        <w:t xml:space="preserve">e barriers over time. </w:t>
      </w:r>
    </w:p>
    <w:p w14:paraId="45E2B1FA" w14:textId="77777777" w:rsidR="00E66DAA" w:rsidRDefault="00850855">
      <w:pPr>
        <w:spacing w:before="240" w:after="120" w:line="360" w:lineRule="auto"/>
        <w:jc w:val="both"/>
        <w:rPr>
          <w:rFonts w:ascii="Arial" w:eastAsia="Arial" w:hAnsi="Arial" w:cs="Arial"/>
          <w:b/>
          <w:bCs/>
          <w:sz w:val="22"/>
          <w:szCs w:val="22"/>
        </w:rPr>
      </w:pPr>
      <w:r>
        <w:rPr>
          <w:rFonts w:ascii="Arial" w:eastAsia="Arial" w:hAnsi="Arial" w:cs="Arial"/>
          <w:b/>
          <w:bCs/>
          <w:sz w:val="22"/>
          <w:szCs w:val="22"/>
        </w:rPr>
        <w:t>Move reasonable adjustments from individual fixes to system-level standards</w:t>
      </w:r>
    </w:p>
    <w:p w14:paraId="24D28D67" w14:textId="77777777" w:rsidR="00E66DAA" w:rsidRDefault="00850855">
      <w:pPr>
        <w:spacing w:after="200" w:line="360" w:lineRule="auto"/>
        <w:jc w:val="both"/>
        <w:rPr>
          <w:rFonts w:ascii="Arial" w:eastAsia="Arial" w:hAnsi="Arial" w:cs="Arial"/>
          <w:sz w:val="22"/>
          <w:szCs w:val="22"/>
        </w:rPr>
      </w:pPr>
      <w:r>
        <w:rPr>
          <w:rFonts w:ascii="Arial" w:eastAsia="Arial" w:hAnsi="Arial" w:cs="Arial"/>
          <w:sz w:val="22"/>
          <w:szCs w:val="22"/>
        </w:rPr>
        <w:t>Social care commissioners should consider adopting reasonable adjustments that are system-wide rather than individual cases, as suggested by Moloney et al. (2025). The responsibility would be with provider organisations and local authority commissioners, who would establish minimum accessibility and communication standards that would automatically apply unless requested. This would be beneficial to service users as they would not have to request the same adjustment again and again and would ensure consisten</w:t>
      </w:r>
      <w:r>
        <w:rPr>
          <w:rFonts w:ascii="Arial" w:eastAsia="Arial" w:hAnsi="Arial" w:cs="Arial"/>
          <w:sz w:val="22"/>
          <w:szCs w:val="22"/>
        </w:rPr>
        <w:t xml:space="preserve">cy of support for users when staff changes occur. It would take investment in staff training and accessible information systems. One potential downside is that it could become ‘tick the box' mentality and prevent staff from responding to the individual's needs, not just compliance, so it is important to assess success with direct feedback from disabled service users. </w:t>
      </w:r>
    </w:p>
    <w:p w14:paraId="3C876A21" w14:textId="77777777" w:rsidR="00E66DAA" w:rsidRDefault="00850855">
      <w:pPr>
        <w:spacing w:before="240" w:after="120" w:line="360" w:lineRule="auto"/>
        <w:jc w:val="both"/>
        <w:rPr>
          <w:rFonts w:ascii="Arial" w:eastAsia="Arial" w:hAnsi="Arial" w:cs="Arial"/>
          <w:b/>
          <w:bCs/>
          <w:sz w:val="22"/>
          <w:szCs w:val="22"/>
        </w:rPr>
      </w:pPr>
      <w:r>
        <w:rPr>
          <w:rFonts w:ascii="Arial" w:eastAsia="Arial" w:hAnsi="Arial" w:cs="Arial"/>
          <w:b/>
          <w:bCs/>
          <w:sz w:val="22"/>
          <w:szCs w:val="22"/>
        </w:rPr>
        <w:t>Pair the Social Model with the human rights model in funding decisions</w:t>
      </w:r>
    </w:p>
    <w:p w14:paraId="31FF594B" w14:textId="77777777" w:rsidR="00E66DAA" w:rsidRDefault="00850855">
      <w:pPr>
        <w:spacing w:after="200" w:line="360" w:lineRule="auto"/>
        <w:jc w:val="both"/>
        <w:rPr>
          <w:rFonts w:ascii="Arial" w:eastAsia="Arial" w:hAnsi="Arial" w:cs="Arial"/>
          <w:sz w:val="22"/>
          <w:szCs w:val="22"/>
        </w:rPr>
      </w:pPr>
      <w:r>
        <w:rPr>
          <w:rFonts w:ascii="Arial" w:eastAsia="Arial" w:hAnsi="Arial" w:cs="Arial"/>
          <w:sz w:val="22"/>
          <w:szCs w:val="22"/>
        </w:rPr>
        <w:t xml:space="preserve">Policy should be developed in line with the Social Model of Disability and the human rights model as suggested by Lawson and Beckett (2021), which is a complementary approach. If this is incorporated into statutory guidance, this would help ensure that decisions about personal budgets and eligibility are made as a question of rights, not just resources. This is a duty for both central and local </w:t>
      </w:r>
      <w:proofErr w:type="gramStart"/>
      <w:r>
        <w:rPr>
          <w:rFonts w:ascii="Arial" w:eastAsia="Arial" w:hAnsi="Arial" w:cs="Arial"/>
          <w:sz w:val="22"/>
          <w:szCs w:val="22"/>
        </w:rPr>
        <w:t>government, and</w:t>
      </w:r>
      <w:proofErr w:type="gramEnd"/>
      <w:r>
        <w:rPr>
          <w:rFonts w:ascii="Arial" w:eastAsia="Arial" w:hAnsi="Arial" w:cs="Arial"/>
          <w:sz w:val="22"/>
          <w:szCs w:val="22"/>
        </w:rPr>
        <w:t xml:space="preserve"> should increase consistency in adult social care. This would give disabled people a stronger legal basis to challenge funding decisions which are unfair and would increase accountability. Its effectiveness does, however, require proper local advocacy and legal assistance, which is not always available. The potential also exists for escalating confrontational conflicts and postponing decisions. Assessment should be based on trends in personal budget appeals, review outcomes and service user s</w:t>
      </w:r>
      <w:r>
        <w:rPr>
          <w:rFonts w:ascii="Arial" w:eastAsia="Arial" w:hAnsi="Arial" w:cs="Arial"/>
          <w:sz w:val="22"/>
          <w:szCs w:val="22"/>
        </w:rPr>
        <w:t xml:space="preserve">atisfaction (Lawson and Beckett, 2021). </w:t>
      </w:r>
    </w:p>
    <w:p w14:paraId="2C115BE7" w14:textId="77777777" w:rsidR="00E66DAA" w:rsidRDefault="00850855">
      <w:pPr>
        <w:pStyle w:val="Heading2"/>
        <w:spacing w:before="320" w:after="160" w:line="360" w:lineRule="auto"/>
        <w:jc w:val="both"/>
        <w:rPr>
          <w:rFonts w:ascii="Arial" w:eastAsia="Arial" w:hAnsi="Arial" w:cs="Arial"/>
          <w:b/>
          <w:bCs/>
          <w:color w:val="000000"/>
          <w:sz w:val="22"/>
          <w:szCs w:val="22"/>
        </w:rPr>
      </w:pPr>
      <w:r>
        <w:br w:type="page"/>
      </w:r>
    </w:p>
    <w:p w14:paraId="30FF759A" w14:textId="77777777" w:rsidR="00E66DAA" w:rsidRDefault="00850855">
      <w:pPr>
        <w:pStyle w:val="Heading2"/>
        <w:spacing w:before="320" w:after="160" w:line="360" w:lineRule="auto"/>
        <w:jc w:val="both"/>
        <w:rPr>
          <w:rFonts w:ascii="Arial" w:eastAsia="Arial" w:hAnsi="Arial" w:cs="Arial"/>
          <w:color w:val="000000"/>
          <w:sz w:val="22"/>
          <w:szCs w:val="22"/>
        </w:rPr>
      </w:pPr>
      <w:r>
        <w:rPr>
          <w:rFonts w:ascii="Arial" w:eastAsia="Arial" w:hAnsi="Arial" w:cs="Arial"/>
          <w:b/>
          <w:bCs/>
          <w:color w:val="000000"/>
          <w:sz w:val="22"/>
          <w:szCs w:val="22"/>
        </w:rPr>
        <w:t>8. Conclusion</w:t>
      </w:r>
    </w:p>
    <w:p w14:paraId="534F4FC3" w14:textId="77777777" w:rsidR="00E66DAA" w:rsidRDefault="00850855">
      <w:pPr>
        <w:spacing w:after="200" w:line="360" w:lineRule="auto"/>
        <w:jc w:val="both"/>
        <w:rPr>
          <w:rFonts w:ascii="Arial" w:eastAsia="Arial" w:hAnsi="Arial" w:cs="Arial"/>
          <w:sz w:val="22"/>
          <w:szCs w:val="22"/>
        </w:rPr>
      </w:pPr>
      <w:r>
        <w:rPr>
          <w:rFonts w:ascii="Arial" w:eastAsia="Arial" w:hAnsi="Arial" w:cs="Arial"/>
          <w:sz w:val="22"/>
          <w:szCs w:val="22"/>
        </w:rPr>
        <w:t>The principles of person-centred care are based on concepts that focus on the person rather than on the illness. The Social Model of Disability has done just that for nearly half a century, focusing on the barriers that exist in society, rather than the body of the person. This essay has demonstrated the positive impact of this work when applied to adult social care for disabled adults in the community, while also revealing some important constraints, such as in terms of the resources available, consistency</w:t>
      </w:r>
      <w:r>
        <w:rPr>
          <w:rFonts w:ascii="Arial" w:eastAsia="Arial" w:hAnsi="Arial" w:cs="Arial"/>
          <w:sz w:val="22"/>
          <w:szCs w:val="22"/>
        </w:rPr>
        <w:t xml:space="preserve">, and the model's limited attention to the impact of impairment. There is no need to replace the Social Model. It requires funding, system-level standards and a closer connection to legal rights, so that the partnership that is promised in writing is what disabled people experience when they access adult social care in their own homes and communities. </w:t>
      </w:r>
    </w:p>
    <w:p w14:paraId="24B3DC3C" w14:textId="77777777" w:rsidR="00E66DAA" w:rsidRDefault="00850855">
      <w:pPr>
        <w:spacing w:line="360" w:lineRule="auto"/>
        <w:jc w:val="both"/>
        <w:rPr>
          <w:rFonts w:ascii="Arial" w:eastAsia="Arial" w:hAnsi="Arial" w:cs="Arial"/>
          <w:sz w:val="22"/>
          <w:szCs w:val="22"/>
        </w:rPr>
      </w:pPr>
      <w:r>
        <w:br w:type="page"/>
      </w:r>
    </w:p>
    <w:p w14:paraId="2314AEF5" w14:textId="77777777" w:rsidR="00E66DAA" w:rsidRDefault="00850855">
      <w:pPr>
        <w:pStyle w:val="Heading2"/>
        <w:spacing w:before="320" w:after="160" w:line="360" w:lineRule="auto"/>
        <w:jc w:val="both"/>
        <w:rPr>
          <w:rFonts w:ascii="Arial" w:eastAsia="Arial" w:hAnsi="Arial" w:cs="Arial"/>
          <w:color w:val="000000"/>
          <w:sz w:val="22"/>
          <w:szCs w:val="22"/>
        </w:rPr>
      </w:pPr>
      <w:r>
        <w:rPr>
          <w:rFonts w:ascii="Arial" w:eastAsia="Arial" w:hAnsi="Arial" w:cs="Arial"/>
          <w:b/>
          <w:bCs/>
          <w:color w:val="000000"/>
          <w:sz w:val="22"/>
          <w:szCs w:val="22"/>
        </w:rPr>
        <w:t>References</w:t>
      </w:r>
    </w:p>
    <w:p w14:paraId="6B88B994" w14:textId="77777777" w:rsidR="00E66DAA" w:rsidRDefault="00850855">
      <w:pPr>
        <w:numPr>
          <w:ilvl w:val="0"/>
          <w:numId w:val="1"/>
        </w:numPr>
        <w:spacing w:line="360" w:lineRule="auto"/>
        <w:jc w:val="both"/>
        <w:rPr>
          <w:rFonts w:ascii="Arial" w:eastAsia="Arial" w:hAnsi="Arial" w:cs="Arial"/>
          <w:sz w:val="22"/>
          <w:szCs w:val="22"/>
        </w:rPr>
      </w:pPr>
      <w:r>
        <w:rPr>
          <w:rFonts w:ascii="Arial" w:eastAsia="Arial" w:hAnsi="Arial" w:cs="Arial"/>
          <w:sz w:val="22"/>
          <w:szCs w:val="22"/>
        </w:rPr>
        <w:t xml:space="preserve">Adam, S. and </w:t>
      </w:r>
      <w:proofErr w:type="spellStart"/>
      <w:r>
        <w:rPr>
          <w:rFonts w:ascii="Arial" w:eastAsia="Arial" w:hAnsi="Arial" w:cs="Arial"/>
          <w:sz w:val="22"/>
          <w:szCs w:val="22"/>
        </w:rPr>
        <w:t>Koutsoklenis</w:t>
      </w:r>
      <w:proofErr w:type="spellEnd"/>
      <w:r>
        <w:rPr>
          <w:rFonts w:ascii="Arial" w:eastAsia="Arial" w:hAnsi="Arial" w:cs="Arial"/>
          <w:sz w:val="22"/>
          <w:szCs w:val="22"/>
        </w:rPr>
        <w:t xml:space="preserve">, A., 2023. Who needs the social model of </w:t>
      </w:r>
      <w:proofErr w:type="gramStart"/>
      <w:r>
        <w:rPr>
          <w:rFonts w:ascii="Arial" w:eastAsia="Arial" w:hAnsi="Arial" w:cs="Arial"/>
          <w:sz w:val="22"/>
          <w:szCs w:val="22"/>
        </w:rPr>
        <w:t>disability?.</w:t>
      </w:r>
      <w:proofErr w:type="gramEnd"/>
      <w:r>
        <w:rPr>
          <w:rFonts w:ascii="Arial" w:eastAsia="Arial" w:hAnsi="Arial" w:cs="Arial"/>
          <w:sz w:val="22"/>
          <w:szCs w:val="22"/>
        </w:rPr>
        <w:t xml:space="preserve"> </w:t>
      </w:r>
      <w:r>
        <w:rPr>
          <w:rFonts w:ascii="Arial" w:eastAsia="Arial" w:hAnsi="Arial" w:cs="Arial"/>
          <w:i/>
          <w:iCs/>
          <w:sz w:val="22"/>
          <w:szCs w:val="22"/>
        </w:rPr>
        <w:t>Frontiers in Sociology</w:t>
      </w:r>
      <w:r>
        <w:rPr>
          <w:rFonts w:ascii="Arial" w:eastAsia="Arial" w:hAnsi="Arial" w:cs="Arial"/>
          <w:sz w:val="22"/>
          <w:szCs w:val="22"/>
        </w:rPr>
        <w:t xml:space="preserve">, </w:t>
      </w:r>
      <w:r>
        <w:rPr>
          <w:rFonts w:ascii="Arial" w:eastAsia="Arial" w:hAnsi="Arial" w:cs="Arial"/>
          <w:i/>
          <w:iCs/>
          <w:sz w:val="22"/>
          <w:szCs w:val="22"/>
        </w:rPr>
        <w:t>8</w:t>
      </w:r>
      <w:r>
        <w:rPr>
          <w:rFonts w:ascii="Arial" w:eastAsia="Arial" w:hAnsi="Arial" w:cs="Arial"/>
          <w:sz w:val="22"/>
          <w:szCs w:val="22"/>
        </w:rPr>
        <w:t xml:space="preserve">, p.1305301. </w:t>
      </w:r>
    </w:p>
    <w:p w14:paraId="77445507" w14:textId="77777777" w:rsidR="00E66DAA" w:rsidRDefault="00850855">
      <w:pPr>
        <w:numPr>
          <w:ilvl w:val="0"/>
          <w:numId w:val="1"/>
        </w:numPr>
        <w:spacing w:line="360" w:lineRule="auto"/>
        <w:jc w:val="both"/>
        <w:rPr>
          <w:rFonts w:ascii="Arial" w:eastAsia="Arial" w:hAnsi="Arial" w:cs="Arial"/>
          <w:sz w:val="22"/>
          <w:szCs w:val="22"/>
        </w:rPr>
      </w:pPr>
      <w:r>
        <w:rPr>
          <w:rFonts w:ascii="Arial" w:eastAsia="Arial" w:hAnsi="Arial" w:cs="Arial"/>
          <w:sz w:val="22"/>
          <w:szCs w:val="22"/>
        </w:rPr>
        <w:t xml:space="preserve">Foster, D., 2024. Co-production with disabled people during the pandemic: the creation of a new political discourse that acknowledges the role of human rights in policymaking in Wales. </w:t>
      </w:r>
      <w:r>
        <w:rPr>
          <w:rFonts w:ascii="Arial" w:eastAsia="Arial" w:hAnsi="Arial" w:cs="Arial"/>
          <w:i/>
          <w:iCs/>
          <w:sz w:val="22"/>
          <w:szCs w:val="22"/>
        </w:rPr>
        <w:t>Scandinavian Journal of Disability Research</w:t>
      </w:r>
      <w:r>
        <w:rPr>
          <w:rFonts w:ascii="Arial" w:eastAsia="Arial" w:hAnsi="Arial" w:cs="Arial"/>
          <w:sz w:val="22"/>
          <w:szCs w:val="22"/>
        </w:rPr>
        <w:t xml:space="preserve">, </w:t>
      </w:r>
      <w:r>
        <w:rPr>
          <w:rFonts w:ascii="Arial" w:eastAsia="Arial" w:hAnsi="Arial" w:cs="Arial"/>
          <w:i/>
          <w:iCs/>
          <w:sz w:val="22"/>
          <w:szCs w:val="22"/>
        </w:rPr>
        <w:t>26</w:t>
      </w:r>
      <w:r>
        <w:rPr>
          <w:rFonts w:ascii="Arial" w:eastAsia="Arial" w:hAnsi="Arial" w:cs="Arial"/>
          <w:sz w:val="22"/>
          <w:szCs w:val="22"/>
        </w:rPr>
        <w:t xml:space="preserve">(1), pp.410-422. </w:t>
      </w:r>
    </w:p>
    <w:p w14:paraId="137EEDE6" w14:textId="77777777" w:rsidR="00E66DAA" w:rsidRDefault="00850855">
      <w:pPr>
        <w:numPr>
          <w:ilvl w:val="0"/>
          <w:numId w:val="1"/>
        </w:numPr>
        <w:spacing w:line="360" w:lineRule="auto"/>
        <w:jc w:val="both"/>
        <w:rPr>
          <w:rFonts w:ascii="Arial" w:eastAsia="Arial" w:hAnsi="Arial" w:cs="Arial"/>
          <w:sz w:val="22"/>
          <w:szCs w:val="22"/>
        </w:rPr>
      </w:pPr>
      <w:r>
        <w:rPr>
          <w:rFonts w:ascii="Arial" w:eastAsia="Arial" w:hAnsi="Arial" w:cs="Arial"/>
          <w:sz w:val="22"/>
          <w:szCs w:val="22"/>
        </w:rPr>
        <w:t xml:space="preserve">Great Britain (2010) </w:t>
      </w:r>
      <w:r>
        <w:rPr>
          <w:rFonts w:ascii="Arial" w:eastAsia="Arial" w:hAnsi="Arial" w:cs="Arial"/>
          <w:i/>
          <w:iCs/>
          <w:sz w:val="22"/>
          <w:szCs w:val="22"/>
        </w:rPr>
        <w:t>Equality act 2010</w:t>
      </w:r>
      <w:r>
        <w:rPr>
          <w:rFonts w:ascii="Arial" w:eastAsia="Arial" w:hAnsi="Arial" w:cs="Arial"/>
          <w:sz w:val="22"/>
          <w:szCs w:val="22"/>
        </w:rPr>
        <w:t xml:space="preserve">, </w:t>
      </w:r>
      <w:r>
        <w:rPr>
          <w:rFonts w:ascii="Arial" w:eastAsia="Arial" w:hAnsi="Arial" w:cs="Arial"/>
          <w:i/>
          <w:iCs/>
          <w:sz w:val="22"/>
          <w:szCs w:val="22"/>
        </w:rPr>
        <w:t>Legislation.uk</w:t>
      </w:r>
      <w:r>
        <w:rPr>
          <w:rFonts w:ascii="Arial" w:eastAsia="Arial" w:hAnsi="Arial" w:cs="Arial"/>
          <w:sz w:val="22"/>
          <w:szCs w:val="22"/>
        </w:rPr>
        <w:t>. Available at: https://legislation.uk/equality-act-2010 (Accessed: 06 August 2026).</w:t>
      </w:r>
    </w:p>
    <w:p w14:paraId="077949E1" w14:textId="77777777" w:rsidR="00E66DAA" w:rsidRDefault="00850855">
      <w:pPr>
        <w:numPr>
          <w:ilvl w:val="0"/>
          <w:numId w:val="1"/>
        </w:numPr>
        <w:spacing w:line="360" w:lineRule="auto"/>
        <w:jc w:val="both"/>
        <w:rPr>
          <w:rFonts w:ascii="Arial" w:eastAsia="Arial" w:hAnsi="Arial" w:cs="Arial"/>
          <w:sz w:val="22"/>
          <w:szCs w:val="22"/>
        </w:rPr>
      </w:pPr>
      <w:r>
        <w:rPr>
          <w:rFonts w:ascii="Arial" w:eastAsia="Arial" w:hAnsi="Arial" w:cs="Arial"/>
          <w:sz w:val="22"/>
          <w:szCs w:val="22"/>
        </w:rPr>
        <w:t xml:space="preserve">Great Britain (2014) </w:t>
      </w:r>
      <w:r>
        <w:rPr>
          <w:rFonts w:ascii="Arial" w:eastAsia="Arial" w:hAnsi="Arial" w:cs="Arial"/>
          <w:i/>
          <w:iCs/>
          <w:sz w:val="22"/>
          <w:szCs w:val="22"/>
        </w:rPr>
        <w:t>Personalisation and social care assessment - the care act 2014</w:t>
      </w:r>
      <w:r>
        <w:rPr>
          <w:rFonts w:ascii="Arial" w:eastAsia="Arial" w:hAnsi="Arial" w:cs="Arial"/>
          <w:sz w:val="22"/>
          <w:szCs w:val="22"/>
        </w:rPr>
        <w:t xml:space="preserve">, </w:t>
      </w:r>
      <w:proofErr w:type="spellStart"/>
      <w:r>
        <w:rPr>
          <w:rFonts w:ascii="Arial" w:eastAsia="Arial" w:hAnsi="Arial" w:cs="Arial"/>
          <w:i/>
          <w:iCs/>
          <w:sz w:val="22"/>
          <w:szCs w:val="22"/>
        </w:rPr>
        <w:t>BJPsych</w:t>
      </w:r>
      <w:proofErr w:type="spellEnd"/>
      <w:r>
        <w:rPr>
          <w:rFonts w:ascii="Arial" w:eastAsia="Arial" w:hAnsi="Arial" w:cs="Arial"/>
          <w:i/>
          <w:iCs/>
          <w:sz w:val="22"/>
          <w:szCs w:val="22"/>
        </w:rPr>
        <w:t xml:space="preserve"> bulletin</w:t>
      </w:r>
      <w:r>
        <w:rPr>
          <w:rFonts w:ascii="Arial" w:eastAsia="Arial" w:hAnsi="Arial" w:cs="Arial"/>
          <w:sz w:val="22"/>
          <w:szCs w:val="22"/>
        </w:rPr>
        <w:t>. Available at: https://pmc.ncbi.nlm.nih.gov/articles/PMC5451654/ (Accessed: 06 August 2026).</w:t>
      </w:r>
    </w:p>
    <w:p w14:paraId="5313EE7D" w14:textId="77777777" w:rsidR="00E66DAA" w:rsidRDefault="00850855">
      <w:pPr>
        <w:numPr>
          <w:ilvl w:val="0"/>
          <w:numId w:val="1"/>
        </w:numPr>
        <w:spacing w:line="360" w:lineRule="auto"/>
        <w:jc w:val="both"/>
        <w:rPr>
          <w:rFonts w:ascii="Arial" w:eastAsia="Arial" w:hAnsi="Arial" w:cs="Arial"/>
          <w:sz w:val="22"/>
          <w:szCs w:val="22"/>
        </w:rPr>
      </w:pPr>
      <w:proofErr w:type="spellStart"/>
      <w:r>
        <w:rPr>
          <w:rFonts w:ascii="Arial" w:eastAsia="Arial" w:hAnsi="Arial" w:cs="Arial"/>
          <w:sz w:val="22"/>
          <w:szCs w:val="22"/>
        </w:rPr>
        <w:t>Havercamp</w:t>
      </w:r>
      <w:proofErr w:type="spellEnd"/>
      <w:r>
        <w:rPr>
          <w:rFonts w:ascii="Arial" w:eastAsia="Arial" w:hAnsi="Arial" w:cs="Arial"/>
          <w:sz w:val="22"/>
          <w:szCs w:val="22"/>
        </w:rPr>
        <w:t xml:space="preserve">, S.M., Krahn, G.L., Murray, A.J., </w:t>
      </w:r>
      <w:proofErr w:type="spellStart"/>
      <w:r>
        <w:rPr>
          <w:rFonts w:ascii="Arial" w:eastAsia="Arial" w:hAnsi="Arial" w:cs="Arial"/>
          <w:sz w:val="22"/>
          <w:szCs w:val="22"/>
        </w:rPr>
        <w:t>Akobirshoev</w:t>
      </w:r>
      <w:proofErr w:type="spellEnd"/>
      <w:r>
        <w:rPr>
          <w:rFonts w:ascii="Arial" w:eastAsia="Arial" w:hAnsi="Arial" w:cs="Arial"/>
          <w:sz w:val="22"/>
          <w:szCs w:val="22"/>
        </w:rPr>
        <w:t xml:space="preserve">, I., Bellamy, C.D., </w:t>
      </w:r>
      <w:proofErr w:type="spellStart"/>
      <w:r>
        <w:rPr>
          <w:rFonts w:ascii="Arial" w:eastAsia="Arial" w:hAnsi="Arial" w:cs="Arial"/>
          <w:sz w:val="22"/>
          <w:szCs w:val="22"/>
        </w:rPr>
        <w:t>Bonardi</w:t>
      </w:r>
      <w:proofErr w:type="spellEnd"/>
      <w:r>
        <w:rPr>
          <w:rFonts w:ascii="Arial" w:eastAsia="Arial" w:hAnsi="Arial" w:cs="Arial"/>
          <w:sz w:val="22"/>
          <w:szCs w:val="22"/>
        </w:rPr>
        <w:t xml:space="preserve">, A., Breslin, M.L., Brown, L.X.Z., Costa, M., Dembo, R.S. and Ellsworth, D., 2025. A call to action to include disability in intersectional health equity research and policy. </w:t>
      </w:r>
      <w:r>
        <w:rPr>
          <w:rFonts w:ascii="Arial" w:eastAsia="Arial" w:hAnsi="Arial" w:cs="Arial"/>
          <w:i/>
          <w:iCs/>
          <w:sz w:val="22"/>
          <w:szCs w:val="22"/>
        </w:rPr>
        <w:t>The Lancet Regional Health–Americas</w:t>
      </w:r>
      <w:r>
        <w:rPr>
          <w:rFonts w:ascii="Arial" w:eastAsia="Arial" w:hAnsi="Arial" w:cs="Arial"/>
          <w:sz w:val="22"/>
          <w:szCs w:val="22"/>
        </w:rPr>
        <w:t xml:space="preserve">, </w:t>
      </w:r>
      <w:r>
        <w:rPr>
          <w:rFonts w:ascii="Arial" w:eastAsia="Arial" w:hAnsi="Arial" w:cs="Arial"/>
          <w:i/>
          <w:iCs/>
          <w:sz w:val="22"/>
          <w:szCs w:val="22"/>
        </w:rPr>
        <w:t>49</w:t>
      </w:r>
      <w:r>
        <w:rPr>
          <w:rFonts w:ascii="Arial" w:eastAsia="Arial" w:hAnsi="Arial" w:cs="Arial"/>
          <w:sz w:val="22"/>
          <w:szCs w:val="22"/>
        </w:rPr>
        <w:t xml:space="preserve">. </w:t>
      </w:r>
    </w:p>
    <w:p w14:paraId="3EB122A1" w14:textId="77777777" w:rsidR="00E66DAA" w:rsidRDefault="00850855">
      <w:pPr>
        <w:numPr>
          <w:ilvl w:val="0"/>
          <w:numId w:val="1"/>
        </w:numPr>
        <w:spacing w:line="360" w:lineRule="auto"/>
        <w:jc w:val="both"/>
        <w:rPr>
          <w:rFonts w:ascii="Arial" w:eastAsia="Arial" w:hAnsi="Arial" w:cs="Arial"/>
          <w:sz w:val="22"/>
          <w:szCs w:val="22"/>
        </w:rPr>
      </w:pPr>
      <w:r>
        <w:rPr>
          <w:rFonts w:ascii="Arial" w:eastAsia="Arial" w:hAnsi="Arial" w:cs="Arial"/>
          <w:sz w:val="22"/>
          <w:szCs w:val="22"/>
        </w:rPr>
        <w:t xml:space="preserve">Lawson, A. and Beckett, A.E., 2021. The social and human rights models of disability: towards a complementarity thesis. </w:t>
      </w:r>
      <w:r>
        <w:rPr>
          <w:rFonts w:ascii="Arial" w:eastAsia="Arial" w:hAnsi="Arial" w:cs="Arial"/>
          <w:i/>
          <w:iCs/>
          <w:sz w:val="22"/>
          <w:szCs w:val="22"/>
        </w:rPr>
        <w:t>The International Journal of Human Rights</w:t>
      </w:r>
      <w:r>
        <w:rPr>
          <w:rFonts w:ascii="Arial" w:eastAsia="Arial" w:hAnsi="Arial" w:cs="Arial"/>
          <w:sz w:val="22"/>
          <w:szCs w:val="22"/>
        </w:rPr>
        <w:t xml:space="preserve">, </w:t>
      </w:r>
      <w:r>
        <w:rPr>
          <w:rFonts w:ascii="Arial" w:eastAsia="Arial" w:hAnsi="Arial" w:cs="Arial"/>
          <w:i/>
          <w:iCs/>
          <w:sz w:val="22"/>
          <w:szCs w:val="22"/>
        </w:rPr>
        <w:t>25</w:t>
      </w:r>
      <w:r>
        <w:rPr>
          <w:rFonts w:ascii="Arial" w:eastAsia="Arial" w:hAnsi="Arial" w:cs="Arial"/>
          <w:sz w:val="22"/>
          <w:szCs w:val="22"/>
        </w:rPr>
        <w:t xml:space="preserve">(2), pp.348-379. </w:t>
      </w:r>
    </w:p>
    <w:p w14:paraId="2C8A3F93" w14:textId="77777777" w:rsidR="00E66DAA" w:rsidRDefault="00850855">
      <w:pPr>
        <w:numPr>
          <w:ilvl w:val="0"/>
          <w:numId w:val="1"/>
        </w:numPr>
        <w:spacing w:line="360" w:lineRule="auto"/>
        <w:jc w:val="both"/>
        <w:rPr>
          <w:rFonts w:ascii="Arial" w:eastAsia="Arial" w:hAnsi="Arial" w:cs="Arial"/>
          <w:sz w:val="22"/>
          <w:szCs w:val="22"/>
        </w:rPr>
      </w:pPr>
      <w:r>
        <w:rPr>
          <w:rFonts w:ascii="Arial" w:eastAsia="Arial" w:hAnsi="Arial" w:cs="Arial"/>
          <w:sz w:val="22"/>
          <w:szCs w:val="22"/>
        </w:rPr>
        <w:t xml:space="preserve">Moloney, M., Taggart, L., Hennessy, T. and Doody, O., 2025. Exploring implementation of reasonable adjustments in hospitals for people with intellectual disability: Using a realist lens. </w:t>
      </w:r>
      <w:r>
        <w:rPr>
          <w:rFonts w:ascii="Arial" w:eastAsia="Arial" w:hAnsi="Arial" w:cs="Arial"/>
          <w:i/>
          <w:iCs/>
          <w:sz w:val="22"/>
          <w:szCs w:val="22"/>
        </w:rPr>
        <w:t>Journal of Advanced Nursing</w:t>
      </w:r>
      <w:r>
        <w:rPr>
          <w:rFonts w:ascii="Arial" w:eastAsia="Arial" w:hAnsi="Arial" w:cs="Arial"/>
          <w:sz w:val="22"/>
          <w:szCs w:val="22"/>
        </w:rPr>
        <w:t xml:space="preserve">, </w:t>
      </w:r>
      <w:r>
        <w:rPr>
          <w:rFonts w:ascii="Arial" w:eastAsia="Arial" w:hAnsi="Arial" w:cs="Arial"/>
          <w:i/>
          <w:iCs/>
          <w:sz w:val="22"/>
          <w:szCs w:val="22"/>
        </w:rPr>
        <w:t>81</w:t>
      </w:r>
      <w:r>
        <w:rPr>
          <w:rFonts w:ascii="Arial" w:eastAsia="Arial" w:hAnsi="Arial" w:cs="Arial"/>
          <w:sz w:val="22"/>
          <w:szCs w:val="22"/>
        </w:rPr>
        <w:t xml:space="preserve">(11), pp.7707-7722. </w:t>
      </w:r>
    </w:p>
    <w:p w14:paraId="4EB5B003" w14:textId="77777777" w:rsidR="00E66DAA" w:rsidRDefault="00850855">
      <w:pPr>
        <w:numPr>
          <w:ilvl w:val="0"/>
          <w:numId w:val="1"/>
        </w:numPr>
        <w:spacing w:line="360" w:lineRule="auto"/>
        <w:jc w:val="both"/>
        <w:rPr>
          <w:rFonts w:ascii="Arial" w:eastAsia="Arial" w:hAnsi="Arial" w:cs="Arial"/>
          <w:sz w:val="22"/>
          <w:szCs w:val="22"/>
        </w:rPr>
      </w:pPr>
      <w:r>
        <w:rPr>
          <w:rFonts w:ascii="Arial" w:eastAsia="Arial" w:hAnsi="Arial" w:cs="Arial"/>
          <w:sz w:val="22"/>
          <w:szCs w:val="22"/>
        </w:rPr>
        <w:t xml:space="preserve">NICE (2018) </w:t>
      </w:r>
      <w:r>
        <w:rPr>
          <w:rFonts w:ascii="Arial" w:eastAsia="Arial" w:hAnsi="Arial" w:cs="Arial"/>
          <w:i/>
          <w:iCs/>
          <w:sz w:val="22"/>
          <w:szCs w:val="22"/>
        </w:rPr>
        <w:t>Home</w:t>
      </w:r>
      <w:r>
        <w:rPr>
          <w:rFonts w:ascii="Arial" w:eastAsia="Arial" w:hAnsi="Arial" w:cs="Arial"/>
          <w:sz w:val="22"/>
          <w:szCs w:val="22"/>
        </w:rPr>
        <w:t xml:space="preserve">, </w:t>
      </w:r>
      <w:r>
        <w:rPr>
          <w:rFonts w:ascii="Arial" w:eastAsia="Arial" w:hAnsi="Arial" w:cs="Arial"/>
          <w:i/>
          <w:iCs/>
          <w:sz w:val="22"/>
          <w:szCs w:val="22"/>
        </w:rPr>
        <w:t>NICE</w:t>
      </w:r>
      <w:r>
        <w:rPr>
          <w:rFonts w:ascii="Arial" w:eastAsia="Arial" w:hAnsi="Arial" w:cs="Arial"/>
          <w:sz w:val="22"/>
          <w:szCs w:val="22"/>
        </w:rPr>
        <w:t>. Available at: https://www.nice.org.uk/guidance/ng86 (Accessed: 06 August 2026).</w:t>
      </w:r>
    </w:p>
    <w:p w14:paraId="2B2E331D" w14:textId="77777777" w:rsidR="00E66DAA" w:rsidRDefault="00850855">
      <w:pPr>
        <w:numPr>
          <w:ilvl w:val="0"/>
          <w:numId w:val="1"/>
        </w:numPr>
        <w:spacing w:line="360" w:lineRule="auto"/>
        <w:jc w:val="both"/>
        <w:rPr>
          <w:rFonts w:ascii="Arial" w:eastAsia="Arial" w:hAnsi="Arial" w:cs="Arial"/>
          <w:sz w:val="22"/>
          <w:szCs w:val="22"/>
        </w:rPr>
      </w:pPr>
      <w:r>
        <w:rPr>
          <w:rFonts w:ascii="Arial" w:eastAsia="Arial" w:hAnsi="Arial" w:cs="Arial"/>
          <w:sz w:val="22"/>
          <w:szCs w:val="22"/>
        </w:rPr>
        <w:t xml:space="preserve">Nordin, A., </w:t>
      </w:r>
      <w:proofErr w:type="spellStart"/>
      <w:r>
        <w:rPr>
          <w:rFonts w:ascii="Arial" w:eastAsia="Arial" w:hAnsi="Arial" w:cs="Arial"/>
          <w:sz w:val="22"/>
          <w:szCs w:val="22"/>
        </w:rPr>
        <w:t>Kjellstrom</w:t>
      </w:r>
      <w:proofErr w:type="spellEnd"/>
      <w:r>
        <w:rPr>
          <w:rFonts w:ascii="Arial" w:eastAsia="Arial" w:hAnsi="Arial" w:cs="Arial"/>
          <w:sz w:val="22"/>
          <w:szCs w:val="22"/>
        </w:rPr>
        <w:t xml:space="preserve">, S., Robert, G., Masterson, D. and </w:t>
      </w:r>
      <w:proofErr w:type="spellStart"/>
      <w:r>
        <w:rPr>
          <w:rFonts w:ascii="Arial" w:eastAsia="Arial" w:hAnsi="Arial" w:cs="Arial"/>
          <w:sz w:val="22"/>
          <w:szCs w:val="22"/>
        </w:rPr>
        <w:t>Areskoug</w:t>
      </w:r>
      <w:proofErr w:type="spellEnd"/>
      <w:r>
        <w:rPr>
          <w:rFonts w:ascii="Arial" w:eastAsia="Arial" w:hAnsi="Arial" w:cs="Arial"/>
          <w:sz w:val="22"/>
          <w:szCs w:val="22"/>
        </w:rPr>
        <w:t xml:space="preserve"> </w:t>
      </w:r>
      <w:proofErr w:type="spellStart"/>
      <w:r>
        <w:rPr>
          <w:rFonts w:ascii="Arial" w:eastAsia="Arial" w:hAnsi="Arial" w:cs="Arial"/>
          <w:sz w:val="22"/>
          <w:szCs w:val="22"/>
        </w:rPr>
        <w:t>Josefsson</w:t>
      </w:r>
      <w:proofErr w:type="spellEnd"/>
      <w:r>
        <w:rPr>
          <w:rFonts w:ascii="Arial" w:eastAsia="Arial" w:hAnsi="Arial" w:cs="Arial"/>
          <w:sz w:val="22"/>
          <w:szCs w:val="22"/>
        </w:rPr>
        <w:t xml:space="preserve">, K., 2023. Measurement and outcomes of co-production in health and social care: a systematic review of empirical studies. </w:t>
      </w:r>
      <w:r>
        <w:rPr>
          <w:rFonts w:ascii="Arial" w:eastAsia="Arial" w:hAnsi="Arial" w:cs="Arial"/>
          <w:i/>
          <w:iCs/>
          <w:sz w:val="22"/>
          <w:szCs w:val="22"/>
        </w:rPr>
        <w:t>BMJ open</w:t>
      </w:r>
      <w:r>
        <w:rPr>
          <w:rFonts w:ascii="Arial" w:eastAsia="Arial" w:hAnsi="Arial" w:cs="Arial"/>
          <w:sz w:val="22"/>
          <w:szCs w:val="22"/>
        </w:rPr>
        <w:t xml:space="preserve">, </w:t>
      </w:r>
      <w:r>
        <w:rPr>
          <w:rFonts w:ascii="Arial" w:eastAsia="Arial" w:hAnsi="Arial" w:cs="Arial"/>
          <w:i/>
          <w:iCs/>
          <w:sz w:val="22"/>
          <w:szCs w:val="22"/>
        </w:rPr>
        <w:t>13</w:t>
      </w:r>
      <w:r>
        <w:rPr>
          <w:rFonts w:ascii="Arial" w:eastAsia="Arial" w:hAnsi="Arial" w:cs="Arial"/>
          <w:sz w:val="22"/>
          <w:szCs w:val="22"/>
        </w:rPr>
        <w:t xml:space="preserve">(9), p.e073808. </w:t>
      </w:r>
    </w:p>
    <w:p w14:paraId="266BB914" w14:textId="77777777" w:rsidR="00E66DAA" w:rsidRDefault="00850855">
      <w:pPr>
        <w:numPr>
          <w:ilvl w:val="0"/>
          <w:numId w:val="1"/>
        </w:numPr>
        <w:spacing w:line="360" w:lineRule="auto"/>
        <w:jc w:val="both"/>
        <w:rPr>
          <w:rFonts w:ascii="Arial" w:eastAsia="Arial" w:hAnsi="Arial" w:cs="Arial"/>
          <w:sz w:val="22"/>
          <w:szCs w:val="22"/>
        </w:rPr>
      </w:pPr>
      <w:r>
        <w:rPr>
          <w:rFonts w:ascii="Arial" w:eastAsia="Arial" w:hAnsi="Arial" w:cs="Arial"/>
          <w:sz w:val="22"/>
          <w:szCs w:val="22"/>
        </w:rPr>
        <w:t xml:space="preserve">Oliver, M. and Barnes, C., 2012. </w:t>
      </w:r>
      <w:r>
        <w:rPr>
          <w:rFonts w:ascii="Arial" w:eastAsia="Arial" w:hAnsi="Arial" w:cs="Arial"/>
          <w:i/>
          <w:iCs/>
          <w:sz w:val="22"/>
          <w:szCs w:val="22"/>
        </w:rPr>
        <w:t>The new politics of disablement</w:t>
      </w:r>
      <w:r>
        <w:rPr>
          <w:rFonts w:ascii="Arial" w:eastAsia="Arial" w:hAnsi="Arial" w:cs="Arial"/>
          <w:sz w:val="22"/>
          <w:szCs w:val="22"/>
        </w:rPr>
        <w:t xml:space="preserve">. Bloomsbury Publishing. </w:t>
      </w:r>
    </w:p>
    <w:p w14:paraId="0DA7EA11" w14:textId="77777777" w:rsidR="00E66DAA" w:rsidRDefault="00850855">
      <w:pPr>
        <w:numPr>
          <w:ilvl w:val="0"/>
          <w:numId w:val="1"/>
        </w:numPr>
        <w:spacing w:line="360" w:lineRule="auto"/>
        <w:jc w:val="both"/>
        <w:rPr>
          <w:rFonts w:ascii="Arial" w:eastAsia="Arial" w:hAnsi="Arial" w:cs="Arial"/>
          <w:sz w:val="22"/>
          <w:szCs w:val="22"/>
        </w:rPr>
      </w:pPr>
      <w:r>
        <w:rPr>
          <w:rFonts w:ascii="Arial" w:eastAsia="Arial" w:hAnsi="Arial" w:cs="Arial"/>
          <w:sz w:val="22"/>
          <w:szCs w:val="22"/>
        </w:rPr>
        <w:t xml:space="preserve">Rivas, C., Moore, A.P., Anand, K., Awan, F., Begum, S., Heera, N., Kumar, S., Shah, S., Shahid, Y. and Thomson, A., 2025. Working in partnership with people from under-represented groups to develop person-centred social and health care practices: methodological insights from the CICADA study. </w:t>
      </w:r>
      <w:r>
        <w:rPr>
          <w:rFonts w:ascii="Arial" w:eastAsia="Arial" w:hAnsi="Arial" w:cs="Arial"/>
          <w:i/>
          <w:iCs/>
          <w:sz w:val="22"/>
          <w:szCs w:val="22"/>
        </w:rPr>
        <w:t>Frontiers in Health Services</w:t>
      </w:r>
      <w:r>
        <w:rPr>
          <w:rFonts w:ascii="Arial" w:eastAsia="Arial" w:hAnsi="Arial" w:cs="Arial"/>
          <w:sz w:val="22"/>
          <w:szCs w:val="22"/>
        </w:rPr>
        <w:t xml:space="preserve">, </w:t>
      </w:r>
      <w:r>
        <w:rPr>
          <w:rFonts w:ascii="Arial" w:eastAsia="Arial" w:hAnsi="Arial" w:cs="Arial"/>
          <w:i/>
          <w:iCs/>
          <w:sz w:val="22"/>
          <w:szCs w:val="22"/>
        </w:rPr>
        <w:t>5</w:t>
      </w:r>
      <w:r>
        <w:rPr>
          <w:rFonts w:ascii="Arial" w:eastAsia="Arial" w:hAnsi="Arial" w:cs="Arial"/>
          <w:sz w:val="22"/>
          <w:szCs w:val="22"/>
        </w:rPr>
        <w:t xml:space="preserve">, p.1563354. </w:t>
      </w:r>
    </w:p>
    <w:p w14:paraId="7DCB51AF" w14:textId="77777777" w:rsidR="00E66DAA" w:rsidRDefault="00850855">
      <w:pPr>
        <w:numPr>
          <w:ilvl w:val="0"/>
          <w:numId w:val="1"/>
        </w:numPr>
        <w:spacing w:line="360" w:lineRule="auto"/>
        <w:jc w:val="both"/>
        <w:rPr>
          <w:rFonts w:ascii="Arial" w:eastAsia="Arial" w:hAnsi="Arial" w:cs="Arial"/>
          <w:sz w:val="22"/>
          <w:szCs w:val="22"/>
        </w:rPr>
      </w:pPr>
      <w:r>
        <w:rPr>
          <w:rFonts w:ascii="Arial" w:eastAsia="Arial" w:hAnsi="Arial" w:cs="Arial"/>
          <w:sz w:val="22"/>
          <w:szCs w:val="22"/>
        </w:rPr>
        <w:t xml:space="preserve">Robinson, M., Blaise, M., Weber, G. and </w:t>
      </w:r>
      <w:proofErr w:type="spellStart"/>
      <w:r>
        <w:rPr>
          <w:rFonts w:ascii="Arial" w:eastAsia="Arial" w:hAnsi="Arial" w:cs="Arial"/>
          <w:sz w:val="22"/>
          <w:szCs w:val="22"/>
        </w:rPr>
        <w:t>Suhrcke</w:t>
      </w:r>
      <w:proofErr w:type="spellEnd"/>
      <w:r>
        <w:rPr>
          <w:rFonts w:ascii="Arial" w:eastAsia="Arial" w:hAnsi="Arial" w:cs="Arial"/>
          <w:sz w:val="22"/>
          <w:szCs w:val="22"/>
        </w:rPr>
        <w:t xml:space="preserve">, M., 2022. The effects and costs of personalized budgets for people with disabilities: a systematic review. </w:t>
      </w:r>
      <w:r>
        <w:rPr>
          <w:rFonts w:ascii="Arial" w:eastAsia="Arial" w:hAnsi="Arial" w:cs="Arial"/>
          <w:i/>
          <w:iCs/>
          <w:sz w:val="22"/>
          <w:szCs w:val="22"/>
        </w:rPr>
        <w:t>International Journal of Environmental Research and Public Health</w:t>
      </w:r>
      <w:r>
        <w:rPr>
          <w:rFonts w:ascii="Arial" w:eastAsia="Arial" w:hAnsi="Arial" w:cs="Arial"/>
          <w:sz w:val="22"/>
          <w:szCs w:val="22"/>
        </w:rPr>
        <w:t xml:space="preserve">, </w:t>
      </w:r>
      <w:r>
        <w:rPr>
          <w:rFonts w:ascii="Arial" w:eastAsia="Arial" w:hAnsi="Arial" w:cs="Arial"/>
          <w:i/>
          <w:iCs/>
          <w:sz w:val="22"/>
          <w:szCs w:val="22"/>
        </w:rPr>
        <w:t>19</w:t>
      </w:r>
      <w:r>
        <w:rPr>
          <w:rFonts w:ascii="Arial" w:eastAsia="Arial" w:hAnsi="Arial" w:cs="Arial"/>
          <w:sz w:val="22"/>
          <w:szCs w:val="22"/>
        </w:rPr>
        <w:t xml:space="preserve">(23), p.16225. </w:t>
      </w:r>
    </w:p>
    <w:p w14:paraId="7C0999A9" w14:textId="77777777" w:rsidR="00E66DAA" w:rsidRDefault="00850855">
      <w:pPr>
        <w:numPr>
          <w:ilvl w:val="0"/>
          <w:numId w:val="1"/>
        </w:numPr>
        <w:spacing w:line="360" w:lineRule="auto"/>
        <w:jc w:val="both"/>
        <w:rPr>
          <w:rFonts w:ascii="Arial" w:eastAsia="Arial" w:hAnsi="Arial" w:cs="Arial"/>
          <w:sz w:val="22"/>
          <w:szCs w:val="22"/>
        </w:rPr>
      </w:pPr>
      <w:r>
        <w:rPr>
          <w:rFonts w:ascii="Arial" w:eastAsia="Arial" w:hAnsi="Arial" w:cs="Arial"/>
          <w:sz w:val="22"/>
          <w:szCs w:val="22"/>
        </w:rPr>
        <w:t xml:space="preserve">SCIE (2023) </w:t>
      </w:r>
      <w:r>
        <w:rPr>
          <w:rFonts w:ascii="Arial" w:eastAsia="Arial" w:hAnsi="Arial" w:cs="Arial"/>
          <w:i/>
          <w:iCs/>
          <w:sz w:val="22"/>
          <w:szCs w:val="22"/>
        </w:rPr>
        <w:t>Experiences and understandings of co-production in Adult Social Care</w:t>
      </w:r>
      <w:r>
        <w:rPr>
          <w:rFonts w:ascii="Arial" w:eastAsia="Arial" w:hAnsi="Arial" w:cs="Arial"/>
          <w:sz w:val="22"/>
          <w:szCs w:val="22"/>
        </w:rPr>
        <w:t xml:space="preserve">, </w:t>
      </w:r>
      <w:r>
        <w:rPr>
          <w:rFonts w:ascii="Arial" w:eastAsia="Arial" w:hAnsi="Arial" w:cs="Arial"/>
          <w:i/>
          <w:iCs/>
          <w:sz w:val="22"/>
          <w:szCs w:val="22"/>
        </w:rPr>
        <w:t>SCIE</w:t>
      </w:r>
      <w:r>
        <w:rPr>
          <w:rFonts w:ascii="Arial" w:eastAsia="Arial" w:hAnsi="Arial" w:cs="Arial"/>
          <w:sz w:val="22"/>
          <w:szCs w:val="22"/>
        </w:rPr>
        <w:t>. Available at: https://www.scie.org.uk/co-production/supporting/breaking-down-barriers/ (Accessed: 06 August 2026).</w:t>
      </w:r>
    </w:p>
    <w:p w14:paraId="1758E89A" w14:textId="77777777" w:rsidR="00E66DAA" w:rsidRDefault="00850855">
      <w:pPr>
        <w:numPr>
          <w:ilvl w:val="0"/>
          <w:numId w:val="1"/>
        </w:numPr>
        <w:spacing w:line="360" w:lineRule="auto"/>
        <w:jc w:val="both"/>
        <w:rPr>
          <w:rFonts w:ascii="Arial" w:eastAsia="Arial" w:hAnsi="Arial" w:cs="Arial"/>
          <w:sz w:val="22"/>
          <w:szCs w:val="22"/>
        </w:rPr>
      </w:pPr>
      <w:proofErr w:type="spellStart"/>
      <w:r>
        <w:rPr>
          <w:rFonts w:ascii="Arial" w:eastAsia="Arial" w:hAnsi="Arial" w:cs="Arial"/>
          <w:sz w:val="22"/>
          <w:szCs w:val="22"/>
        </w:rPr>
        <w:t>Slayter</w:t>
      </w:r>
      <w:proofErr w:type="spellEnd"/>
      <w:r>
        <w:rPr>
          <w:rFonts w:ascii="Arial" w:eastAsia="Arial" w:hAnsi="Arial" w:cs="Arial"/>
          <w:sz w:val="22"/>
          <w:szCs w:val="22"/>
        </w:rPr>
        <w:t xml:space="preserve">, E. and Johnson, L., 2024. </w:t>
      </w:r>
      <w:r>
        <w:rPr>
          <w:rFonts w:ascii="Arial" w:eastAsia="Arial" w:hAnsi="Arial" w:cs="Arial"/>
          <w:i/>
          <w:iCs/>
          <w:sz w:val="22"/>
          <w:szCs w:val="22"/>
        </w:rPr>
        <w:t>Social work practice and disability communities: An intersectional anti-oppressive approach</w:t>
      </w:r>
      <w:r>
        <w:rPr>
          <w:rFonts w:ascii="Arial" w:eastAsia="Arial" w:hAnsi="Arial" w:cs="Arial"/>
          <w:sz w:val="22"/>
          <w:szCs w:val="22"/>
        </w:rPr>
        <w:t xml:space="preserve">. ROTEL. </w:t>
      </w:r>
    </w:p>
    <w:p w14:paraId="48E00754" w14:textId="77777777" w:rsidR="00E66DAA" w:rsidRDefault="00850855">
      <w:pPr>
        <w:numPr>
          <w:ilvl w:val="0"/>
          <w:numId w:val="1"/>
        </w:numPr>
        <w:spacing w:line="360" w:lineRule="auto"/>
        <w:jc w:val="both"/>
        <w:rPr>
          <w:rFonts w:ascii="Arial" w:eastAsia="Arial" w:hAnsi="Arial" w:cs="Arial"/>
          <w:sz w:val="22"/>
          <w:szCs w:val="22"/>
        </w:rPr>
      </w:pPr>
      <w:r>
        <w:rPr>
          <w:rFonts w:ascii="Arial" w:eastAsia="Arial" w:hAnsi="Arial" w:cs="Arial"/>
          <w:sz w:val="22"/>
          <w:szCs w:val="22"/>
        </w:rPr>
        <w:t xml:space="preserve">Thomas, C., 1999. </w:t>
      </w:r>
      <w:r>
        <w:rPr>
          <w:rFonts w:ascii="Arial" w:eastAsia="Arial" w:hAnsi="Arial" w:cs="Arial"/>
          <w:i/>
          <w:iCs/>
          <w:sz w:val="22"/>
          <w:szCs w:val="22"/>
        </w:rPr>
        <w:t>Female forms: Experiencing and understanding disability</w:t>
      </w:r>
      <w:r>
        <w:rPr>
          <w:rFonts w:ascii="Arial" w:eastAsia="Arial" w:hAnsi="Arial" w:cs="Arial"/>
          <w:sz w:val="22"/>
          <w:szCs w:val="22"/>
        </w:rPr>
        <w:t xml:space="preserve">. McGraw-Hill Education (UK). </w:t>
      </w:r>
    </w:p>
    <w:p w14:paraId="558601DF" w14:textId="77777777" w:rsidR="00E66DAA" w:rsidRDefault="00850855">
      <w:pPr>
        <w:numPr>
          <w:ilvl w:val="0"/>
          <w:numId w:val="1"/>
        </w:numPr>
        <w:spacing w:line="360" w:lineRule="auto"/>
        <w:jc w:val="both"/>
        <w:rPr>
          <w:rFonts w:ascii="Arial" w:eastAsia="Arial" w:hAnsi="Arial" w:cs="Arial"/>
          <w:sz w:val="22"/>
          <w:szCs w:val="22"/>
        </w:rPr>
      </w:pPr>
      <w:r>
        <w:rPr>
          <w:rFonts w:ascii="Arial" w:eastAsia="Arial" w:hAnsi="Arial" w:cs="Arial"/>
          <w:sz w:val="22"/>
          <w:szCs w:val="22"/>
        </w:rPr>
        <w:t xml:space="preserve">Thorneycroft, R., 2024. Screwing the social model of disability. </w:t>
      </w:r>
      <w:r>
        <w:rPr>
          <w:rFonts w:ascii="Arial" w:eastAsia="Arial" w:hAnsi="Arial" w:cs="Arial"/>
          <w:i/>
          <w:iCs/>
          <w:sz w:val="22"/>
          <w:szCs w:val="22"/>
        </w:rPr>
        <w:t>Scandinavian Journal of Disability Research</w:t>
      </w:r>
      <w:r>
        <w:rPr>
          <w:rFonts w:ascii="Arial" w:eastAsia="Arial" w:hAnsi="Arial" w:cs="Arial"/>
          <w:sz w:val="22"/>
          <w:szCs w:val="22"/>
        </w:rPr>
        <w:t xml:space="preserve">, </w:t>
      </w:r>
      <w:r>
        <w:rPr>
          <w:rFonts w:ascii="Arial" w:eastAsia="Arial" w:hAnsi="Arial" w:cs="Arial"/>
          <w:i/>
          <w:iCs/>
          <w:sz w:val="22"/>
          <w:szCs w:val="22"/>
        </w:rPr>
        <w:t>26</w:t>
      </w:r>
      <w:r>
        <w:rPr>
          <w:rFonts w:ascii="Arial" w:eastAsia="Arial" w:hAnsi="Arial" w:cs="Arial"/>
          <w:sz w:val="22"/>
          <w:szCs w:val="22"/>
        </w:rPr>
        <w:t xml:space="preserve">(1). </w:t>
      </w:r>
    </w:p>
    <w:p w14:paraId="1102B87B" w14:textId="77777777" w:rsidR="00E66DAA" w:rsidRDefault="00850855">
      <w:pPr>
        <w:numPr>
          <w:ilvl w:val="0"/>
          <w:numId w:val="1"/>
        </w:numPr>
        <w:spacing w:after="240" w:line="360" w:lineRule="auto"/>
        <w:jc w:val="both"/>
        <w:rPr>
          <w:rFonts w:ascii="Arial" w:eastAsia="Arial" w:hAnsi="Arial" w:cs="Arial"/>
          <w:sz w:val="22"/>
          <w:szCs w:val="22"/>
        </w:rPr>
      </w:pPr>
      <w:r>
        <w:rPr>
          <w:rFonts w:ascii="Arial" w:eastAsia="Arial" w:hAnsi="Arial" w:cs="Arial"/>
          <w:sz w:val="22"/>
          <w:szCs w:val="22"/>
        </w:rPr>
        <w:t xml:space="preserve">UPIAS (1976) </w:t>
      </w:r>
      <w:r>
        <w:rPr>
          <w:rFonts w:ascii="Arial" w:eastAsia="Arial" w:hAnsi="Arial" w:cs="Arial"/>
          <w:i/>
          <w:iCs/>
          <w:sz w:val="22"/>
          <w:szCs w:val="22"/>
        </w:rPr>
        <w:t>Fundamental principles of disability</w:t>
      </w:r>
      <w:r>
        <w:rPr>
          <w:rFonts w:ascii="Arial" w:eastAsia="Arial" w:hAnsi="Arial" w:cs="Arial"/>
          <w:sz w:val="22"/>
          <w:szCs w:val="22"/>
        </w:rPr>
        <w:t>. Available at: https://disability-studies.leeds.ac.uk/wp-content/uploads/sites/40/library/UPIAS-fundamental-principles.pdf (Accessed: 06 August 2026).</w:t>
      </w:r>
    </w:p>
    <w:sectPr w:rsidR="00E66DAA">
      <w:headerReference w:type="default" r:id="rId8"/>
      <w:pgSz w:w="11906" w:h="16838"/>
      <w:pgMar w:top="1134" w:right="1134" w:bottom="1134" w:left="1134"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8AA092" w14:textId="77777777" w:rsidR="00850855" w:rsidRDefault="00850855">
      <w:r>
        <w:separator/>
      </w:r>
    </w:p>
  </w:endnote>
  <w:endnote w:type="continuationSeparator" w:id="0">
    <w:p w14:paraId="61909936" w14:textId="77777777" w:rsidR="00850855" w:rsidRDefault="008508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embedRegular r:id="rId1" w:fontKey="{0DD8A73B-6056-B349-951A-197060089CBD}"/>
    <w:embedBold r:id="rId2" w:fontKey="{85071800-F3AA-1C4D-BFD9-F14E612120D7}"/>
    <w:embedItalic r:id="rId3" w:fontKey="{ABA42B43-18B3-EC46-B90C-2D9A1B516676}"/>
  </w:font>
  <w:font w:name="Georgia">
    <w:panose1 w:val="02040502050405020303"/>
    <w:charset w:val="00"/>
    <w:family w:val="roman"/>
    <w:pitch w:val="variable"/>
    <w:sig w:usb0="00000287" w:usb1="00000000" w:usb2="00000000" w:usb3="00000000" w:csb0="0000009F" w:csb1="00000000"/>
    <w:embedItalic r:id="rId4" w:fontKey="{8C63480A-E009-5A4C-9577-1C4BC3CBD4C2}"/>
  </w:font>
  <w:font w:name="Arial">
    <w:panose1 w:val="020B0604020202020204"/>
    <w:charset w:val="00"/>
    <w:family w:val="swiss"/>
    <w:pitch w:val="variable"/>
    <w:sig w:usb0="E0002EFF" w:usb1="C000785B" w:usb2="00000009" w:usb3="00000000" w:csb0="000001FF" w:csb1="00000000"/>
    <w:embedRegular r:id="rId5" w:fontKey="{E290EE32-6CA8-D74C-9B63-B9E6B1877057}"/>
    <w:embedBold r:id="rId6" w:fontKey="{D6597CFB-A57E-1242-9F71-EFC054F81A78}"/>
    <w:embedItalic r:id="rId7" w:fontKey="{2FCB01D6-BFDF-BF49-B1B5-EF15B0C38DF9}"/>
    <w:embedBoldItalic r:id="rId8" w:fontKey="{437DCE5B-472D-5846-977B-45FB9726A800}"/>
  </w:font>
  <w:font w:name="Calibri">
    <w:panose1 w:val="020F0502020204030204"/>
    <w:charset w:val="00"/>
    <w:family w:val="swiss"/>
    <w:pitch w:val="variable"/>
    <w:sig w:usb0="E4002EFF" w:usb1="C200247B" w:usb2="00000009" w:usb3="00000000" w:csb0="000001FF" w:csb1="00000000"/>
    <w:embedRegular r:id="rId9" w:fontKey="{6EA60599-01EC-6A4D-AD4D-154E35071366}"/>
  </w:font>
  <w:font w:name="Cambria">
    <w:panose1 w:val="02040503050406030204"/>
    <w:charset w:val="00"/>
    <w:family w:val="roman"/>
    <w:pitch w:val="variable"/>
    <w:sig w:usb0="E00002FF" w:usb1="400004FF" w:usb2="00000000" w:usb3="00000000" w:csb0="0000019F" w:csb1="00000000"/>
    <w:embedRegular r:id="rId10" w:fontKey="{2CCF3EC2-FF3E-8B44-B3D4-2828F1A1F896}"/>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5089B7" w14:textId="77777777" w:rsidR="00850855" w:rsidRDefault="00850855">
      <w:r>
        <w:separator/>
      </w:r>
    </w:p>
  </w:footnote>
  <w:footnote w:type="continuationSeparator" w:id="0">
    <w:p w14:paraId="092E7293" w14:textId="77777777" w:rsidR="00850855" w:rsidRDefault="008508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9287DC" w14:textId="77777777" w:rsidR="00E66DAA" w:rsidRDefault="00850855">
    <w:pPr>
      <w:jc w:val="right"/>
    </w:pPr>
    <w:r>
      <w:fldChar w:fldCharType="begin"/>
    </w:r>
    <w:r>
      <w:instrText>PAGE</w:instrText>
    </w:r>
    <w:r>
      <w:fldChar w:fldCharType="separate"/>
    </w:r>
    <w:r w:rsidR="00C02C77">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6E27E2"/>
    <w:multiLevelType w:val="multilevel"/>
    <w:tmpl w:val="94C6F77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5861176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1"/>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6DAA"/>
    <w:rsid w:val="00850855"/>
    <w:rsid w:val="00947945"/>
    <w:rsid w:val="00B844BF"/>
    <w:rsid w:val="00C02C77"/>
    <w:rsid w:val="00E66D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53E1E6"/>
  <w15:docId w15:val="{625E50CF-3155-F742-955D-F83E96B7C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outlineLvl w:val="0"/>
    </w:pPr>
    <w:rPr>
      <w:color w:val="2E74B5"/>
      <w:sz w:val="32"/>
      <w:szCs w:val="32"/>
    </w:rPr>
  </w:style>
  <w:style w:type="paragraph" w:styleId="Heading2">
    <w:name w:val="heading 2"/>
    <w:basedOn w:val="Normal"/>
    <w:next w:val="Normal"/>
    <w:uiPriority w:val="9"/>
    <w:unhideWhenUsed/>
    <w:qFormat/>
    <w:pPr>
      <w:pBdr>
        <w:top w:val="nil"/>
        <w:left w:val="nil"/>
        <w:bottom w:val="nil"/>
        <w:right w:val="nil"/>
        <w:between w:val="nil"/>
      </w:pBdr>
      <w:outlineLvl w:val="1"/>
    </w:pPr>
    <w:rPr>
      <w:color w:val="2E74B5"/>
      <w:sz w:val="26"/>
      <w:szCs w:val="26"/>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1</Pages>
  <Words>2710</Words>
  <Characters>15449</Characters>
  <Application>Microsoft Office Word</Application>
  <DocSecurity>0</DocSecurity>
  <Lines>128</Lines>
  <Paragraphs>36</Paragraphs>
  <ScaleCrop>false</ScaleCrop>
  <Company/>
  <LinksUpToDate>false</LinksUpToDate>
  <CharactersWithSpaces>18123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Emeline Tatiana Loemba Yagazou (2416832)</cp:lastModifiedBy>
  <cp:revision>4</cp:revision>
  <dcterms:created xsi:type="dcterms:W3CDTF">2026-08-07T12:31:00Z</dcterms:created>
  <dcterms:modified xsi:type="dcterms:W3CDTF">2026-08-07T12:39:00Z</dcterms:modified>
</cp:coreProperties>
</file>