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7AEB70" w14:textId="77777777" w:rsidR="00D6537B" w:rsidRPr="00D6537B" w:rsidRDefault="00D6537B" w:rsidP="00D6537B">
      <w:pPr>
        <w:spacing w:line="360" w:lineRule="auto"/>
        <w:jc w:val="both"/>
        <w:rPr>
          <w:rFonts w:ascii="Arial" w:hAnsi="Arial" w:cs="Arial"/>
          <w:b/>
          <w:bCs/>
          <w:sz w:val="24"/>
          <w:szCs w:val="24"/>
        </w:rPr>
      </w:pPr>
    </w:p>
    <w:p w14:paraId="1F9E33FE" w14:textId="77777777" w:rsidR="00D6537B" w:rsidRPr="00D6537B" w:rsidRDefault="00D6537B" w:rsidP="00D6537B">
      <w:pPr>
        <w:spacing w:line="360" w:lineRule="auto"/>
        <w:jc w:val="both"/>
        <w:rPr>
          <w:rFonts w:ascii="Arial" w:hAnsi="Arial" w:cs="Arial"/>
          <w:b/>
          <w:bCs/>
          <w:sz w:val="24"/>
          <w:szCs w:val="24"/>
        </w:rPr>
      </w:pPr>
    </w:p>
    <w:p w14:paraId="342F797B" w14:textId="77777777" w:rsidR="00D6537B" w:rsidRPr="00D6537B" w:rsidRDefault="00D6537B" w:rsidP="00D6537B">
      <w:pPr>
        <w:spacing w:line="360" w:lineRule="auto"/>
        <w:jc w:val="both"/>
        <w:rPr>
          <w:rFonts w:ascii="Arial" w:hAnsi="Arial" w:cs="Arial"/>
          <w:b/>
          <w:bCs/>
          <w:sz w:val="24"/>
          <w:szCs w:val="24"/>
        </w:rPr>
      </w:pPr>
    </w:p>
    <w:p w14:paraId="63A7136E" w14:textId="77777777" w:rsidR="00D6537B" w:rsidRPr="00D6537B" w:rsidRDefault="00D6537B" w:rsidP="00D6537B">
      <w:pPr>
        <w:spacing w:line="360" w:lineRule="auto"/>
        <w:jc w:val="both"/>
        <w:rPr>
          <w:rFonts w:ascii="Arial" w:hAnsi="Arial" w:cs="Arial"/>
          <w:b/>
          <w:bCs/>
          <w:sz w:val="24"/>
          <w:szCs w:val="24"/>
        </w:rPr>
      </w:pPr>
    </w:p>
    <w:p w14:paraId="1929B6A6" w14:textId="77777777" w:rsidR="00D6537B" w:rsidRPr="00D6537B" w:rsidRDefault="00D6537B" w:rsidP="00D6537B">
      <w:pPr>
        <w:spacing w:line="360" w:lineRule="auto"/>
        <w:jc w:val="both"/>
        <w:rPr>
          <w:rFonts w:ascii="Arial" w:hAnsi="Arial" w:cs="Arial"/>
          <w:b/>
          <w:bCs/>
          <w:sz w:val="24"/>
          <w:szCs w:val="24"/>
        </w:rPr>
      </w:pPr>
    </w:p>
    <w:p w14:paraId="64286729" w14:textId="77777777" w:rsidR="00D6537B" w:rsidRPr="00D6537B" w:rsidRDefault="00D6537B" w:rsidP="00D6537B">
      <w:pPr>
        <w:spacing w:line="360" w:lineRule="auto"/>
        <w:jc w:val="both"/>
        <w:rPr>
          <w:rFonts w:ascii="Arial" w:hAnsi="Arial" w:cs="Arial"/>
          <w:b/>
          <w:bCs/>
          <w:sz w:val="24"/>
          <w:szCs w:val="24"/>
        </w:rPr>
      </w:pPr>
    </w:p>
    <w:p w14:paraId="16C2FDBA" w14:textId="77777777" w:rsidR="00D6537B" w:rsidRPr="00D6537B" w:rsidRDefault="00D6537B" w:rsidP="00D6537B">
      <w:pPr>
        <w:spacing w:line="360" w:lineRule="auto"/>
        <w:jc w:val="both"/>
        <w:rPr>
          <w:rFonts w:ascii="Arial" w:hAnsi="Arial" w:cs="Arial"/>
          <w:b/>
          <w:bCs/>
          <w:sz w:val="24"/>
          <w:szCs w:val="24"/>
        </w:rPr>
      </w:pPr>
    </w:p>
    <w:p w14:paraId="15D0266A" w14:textId="77777777" w:rsidR="00D6537B" w:rsidRPr="00D6537B" w:rsidRDefault="00D6537B" w:rsidP="00D6537B">
      <w:pPr>
        <w:spacing w:line="360" w:lineRule="auto"/>
        <w:jc w:val="both"/>
        <w:rPr>
          <w:rFonts w:ascii="Arial" w:hAnsi="Arial" w:cs="Arial"/>
          <w:b/>
          <w:bCs/>
          <w:sz w:val="24"/>
          <w:szCs w:val="24"/>
        </w:rPr>
      </w:pPr>
    </w:p>
    <w:p w14:paraId="5911CD83" w14:textId="77777777" w:rsidR="00D6537B" w:rsidRPr="00D6537B" w:rsidRDefault="00D6537B" w:rsidP="00D6537B">
      <w:pPr>
        <w:spacing w:line="360" w:lineRule="auto"/>
        <w:jc w:val="both"/>
        <w:rPr>
          <w:rFonts w:ascii="Arial" w:hAnsi="Arial" w:cs="Arial"/>
          <w:b/>
          <w:bCs/>
          <w:sz w:val="24"/>
          <w:szCs w:val="24"/>
        </w:rPr>
      </w:pPr>
    </w:p>
    <w:p w14:paraId="730A3D4B" w14:textId="5BF1D4F4" w:rsidR="00EE02A7" w:rsidRPr="00D6537B" w:rsidRDefault="002F7E34" w:rsidP="00D6537B">
      <w:pPr>
        <w:spacing w:line="360" w:lineRule="auto"/>
        <w:jc w:val="both"/>
        <w:rPr>
          <w:rFonts w:ascii="Arial" w:hAnsi="Arial" w:cs="Arial"/>
          <w:b/>
          <w:bCs/>
          <w:sz w:val="36"/>
          <w:szCs w:val="36"/>
        </w:rPr>
      </w:pPr>
      <w:r w:rsidRPr="00D6537B">
        <w:rPr>
          <w:rFonts w:ascii="Arial" w:hAnsi="Arial" w:cs="Arial"/>
          <w:b/>
          <w:bCs/>
          <w:sz w:val="36"/>
          <w:szCs w:val="36"/>
        </w:rPr>
        <w:t>Tata Steel: From Environmental Pressure to Competitive Advantage through Technological Innovation and Lower</w:t>
      </w:r>
      <w:r w:rsidR="00617560">
        <w:rPr>
          <w:rFonts w:ascii="Arial" w:hAnsi="Arial" w:cs="Arial"/>
          <w:b/>
          <w:bCs/>
          <w:sz w:val="36"/>
          <w:szCs w:val="36"/>
        </w:rPr>
        <w:t>-</w:t>
      </w:r>
      <w:r w:rsidRPr="00D6537B">
        <w:rPr>
          <w:rFonts w:ascii="Arial" w:hAnsi="Arial" w:cs="Arial"/>
          <w:b/>
          <w:bCs/>
          <w:sz w:val="36"/>
          <w:szCs w:val="36"/>
        </w:rPr>
        <w:t>Carbon Product Development</w:t>
      </w:r>
    </w:p>
    <w:p w14:paraId="67064E91" w14:textId="08373A2E" w:rsidR="00617560" w:rsidRDefault="002F1C21" w:rsidP="002F1C21">
      <w:pPr>
        <w:jc w:val="center"/>
        <w:rPr>
          <w:rFonts w:ascii="Arial" w:hAnsi="Arial" w:cs="Arial"/>
          <w:b/>
          <w:bCs/>
          <w:sz w:val="24"/>
          <w:szCs w:val="24"/>
        </w:rPr>
      </w:pPr>
      <w:r>
        <w:rPr>
          <w:rFonts w:ascii="Arial" w:hAnsi="Arial" w:cs="Arial"/>
          <w:b/>
          <w:bCs/>
          <w:sz w:val="24"/>
          <w:szCs w:val="24"/>
        </w:rPr>
        <w:t>Word count: 2,678 words</w:t>
      </w:r>
      <w:r w:rsidR="00617560">
        <w:rPr>
          <w:rFonts w:ascii="Arial" w:hAnsi="Arial" w:cs="Arial"/>
          <w:b/>
          <w:bCs/>
          <w:sz w:val="24"/>
          <w:szCs w:val="24"/>
        </w:rPr>
        <w:br w:type="page"/>
      </w:r>
    </w:p>
    <w:sdt>
      <w:sdtPr>
        <w:id w:val="987834382"/>
        <w:docPartObj>
          <w:docPartGallery w:val="Table of Contents"/>
          <w:docPartUnique/>
        </w:docPartObj>
      </w:sdtPr>
      <w:sdtEndPr>
        <w:rPr>
          <w:rFonts w:asciiTheme="minorHAnsi" w:eastAsiaTheme="minorHAnsi" w:hAnsiTheme="minorHAnsi" w:cstheme="minorBidi"/>
          <w:b/>
          <w:bCs/>
          <w:noProof/>
          <w:color w:val="auto"/>
          <w:sz w:val="22"/>
          <w:szCs w:val="22"/>
          <w:lang w:val="en-IN"/>
        </w:rPr>
      </w:sdtEndPr>
      <w:sdtContent>
        <w:p w14:paraId="6A263198" w14:textId="094CD78D" w:rsidR="00617560" w:rsidRPr="00617560" w:rsidRDefault="00617560" w:rsidP="00617560">
          <w:pPr>
            <w:pStyle w:val="TOCHeading"/>
            <w:jc w:val="center"/>
            <w:rPr>
              <w:rFonts w:ascii="Arial" w:eastAsia="Times New Roman" w:hAnsi="Arial" w:cs="Arial"/>
              <w:b/>
              <w:bCs/>
              <w:color w:val="auto"/>
              <w:kern w:val="36"/>
              <w:sz w:val="34"/>
              <w:szCs w:val="34"/>
              <w:lang w:val="en-IN" w:eastAsia="en-IN"/>
            </w:rPr>
          </w:pPr>
          <w:r w:rsidRPr="00617560">
            <w:rPr>
              <w:rFonts w:ascii="Arial" w:eastAsia="Times New Roman" w:hAnsi="Arial" w:cs="Arial"/>
              <w:b/>
              <w:bCs/>
              <w:color w:val="auto"/>
              <w:kern w:val="36"/>
              <w:sz w:val="34"/>
              <w:szCs w:val="34"/>
              <w:lang w:val="en-IN" w:eastAsia="en-IN"/>
            </w:rPr>
            <w:t>Table of Contents</w:t>
          </w:r>
        </w:p>
        <w:p w14:paraId="63F5E9C7" w14:textId="77777777" w:rsidR="00617560" w:rsidRPr="00617560" w:rsidRDefault="00617560" w:rsidP="00617560">
          <w:pPr>
            <w:rPr>
              <w:lang w:val="en-US"/>
            </w:rPr>
          </w:pPr>
        </w:p>
        <w:p w14:paraId="4ED0BC9D" w14:textId="4493FEA1" w:rsidR="00617560" w:rsidRPr="00617560" w:rsidRDefault="00617560">
          <w:pPr>
            <w:pStyle w:val="TOC1"/>
            <w:tabs>
              <w:tab w:val="right" w:leader="dot" w:pos="9016"/>
            </w:tabs>
            <w:rPr>
              <w:rFonts w:eastAsiaTheme="minorEastAsia"/>
              <w:noProof/>
              <w:lang w:eastAsia="en-IN"/>
            </w:rPr>
          </w:pPr>
          <w:r w:rsidRPr="00617560">
            <w:fldChar w:fldCharType="begin"/>
          </w:r>
          <w:r w:rsidRPr="00617560">
            <w:instrText xml:space="preserve"> TOC \o "1-3" \h \z \u </w:instrText>
          </w:r>
          <w:r w:rsidRPr="00617560">
            <w:fldChar w:fldCharType="separate"/>
          </w:r>
          <w:hyperlink w:anchor="_Toc235475836" w:history="1">
            <w:r w:rsidRPr="00617560">
              <w:rPr>
                <w:rStyle w:val="Hyperlink"/>
                <w:rFonts w:ascii="Arial" w:hAnsi="Arial" w:cs="Arial"/>
                <w:noProof/>
              </w:rPr>
              <w:t>Marketing Environment Analysis: Tata Steel's Transition Towards Lower-Carbon Steel</w:t>
            </w:r>
            <w:r w:rsidRPr="00617560">
              <w:rPr>
                <w:noProof/>
                <w:webHidden/>
              </w:rPr>
              <w:tab/>
            </w:r>
            <w:r w:rsidRPr="00617560">
              <w:rPr>
                <w:noProof/>
                <w:webHidden/>
              </w:rPr>
              <w:fldChar w:fldCharType="begin"/>
            </w:r>
            <w:r w:rsidRPr="00617560">
              <w:rPr>
                <w:noProof/>
                <w:webHidden/>
              </w:rPr>
              <w:instrText xml:space="preserve"> PAGEREF _Toc235475836 \h </w:instrText>
            </w:r>
            <w:r w:rsidRPr="00617560">
              <w:rPr>
                <w:noProof/>
                <w:webHidden/>
              </w:rPr>
            </w:r>
            <w:r w:rsidRPr="00617560">
              <w:rPr>
                <w:noProof/>
                <w:webHidden/>
              </w:rPr>
              <w:fldChar w:fldCharType="separate"/>
            </w:r>
            <w:r w:rsidRPr="00617560">
              <w:rPr>
                <w:noProof/>
                <w:webHidden/>
              </w:rPr>
              <w:t>3</w:t>
            </w:r>
            <w:r w:rsidRPr="00617560">
              <w:rPr>
                <w:noProof/>
                <w:webHidden/>
              </w:rPr>
              <w:fldChar w:fldCharType="end"/>
            </w:r>
          </w:hyperlink>
        </w:p>
        <w:p w14:paraId="38E0C467" w14:textId="6BD4838D" w:rsidR="00617560" w:rsidRPr="00617560" w:rsidRDefault="00617560">
          <w:pPr>
            <w:pStyle w:val="TOC2"/>
            <w:tabs>
              <w:tab w:val="right" w:leader="dot" w:pos="9016"/>
            </w:tabs>
            <w:rPr>
              <w:rFonts w:eastAsiaTheme="minorEastAsia"/>
              <w:noProof/>
              <w:lang w:eastAsia="en-IN"/>
            </w:rPr>
          </w:pPr>
          <w:hyperlink w:anchor="_Toc235475837" w:history="1">
            <w:r w:rsidRPr="00617560">
              <w:rPr>
                <w:rStyle w:val="Hyperlink"/>
                <w:rFonts w:ascii="Arial" w:eastAsia="Times New Roman" w:hAnsi="Arial" w:cs="Arial"/>
                <w:noProof/>
                <w:lang w:eastAsia="en-IN"/>
              </w:rPr>
              <w:t>1.1 Company Context and Environmental Transition</w:t>
            </w:r>
            <w:r w:rsidRPr="00617560">
              <w:rPr>
                <w:noProof/>
                <w:webHidden/>
              </w:rPr>
              <w:tab/>
            </w:r>
            <w:r w:rsidRPr="00617560">
              <w:rPr>
                <w:noProof/>
                <w:webHidden/>
              </w:rPr>
              <w:fldChar w:fldCharType="begin"/>
            </w:r>
            <w:r w:rsidRPr="00617560">
              <w:rPr>
                <w:noProof/>
                <w:webHidden/>
              </w:rPr>
              <w:instrText xml:space="preserve"> PAGEREF _Toc235475837 \h </w:instrText>
            </w:r>
            <w:r w:rsidRPr="00617560">
              <w:rPr>
                <w:noProof/>
                <w:webHidden/>
              </w:rPr>
            </w:r>
            <w:r w:rsidRPr="00617560">
              <w:rPr>
                <w:noProof/>
                <w:webHidden/>
              </w:rPr>
              <w:fldChar w:fldCharType="separate"/>
            </w:r>
            <w:r w:rsidRPr="00617560">
              <w:rPr>
                <w:noProof/>
                <w:webHidden/>
              </w:rPr>
              <w:t>3</w:t>
            </w:r>
            <w:r w:rsidRPr="00617560">
              <w:rPr>
                <w:noProof/>
                <w:webHidden/>
              </w:rPr>
              <w:fldChar w:fldCharType="end"/>
            </w:r>
          </w:hyperlink>
        </w:p>
        <w:p w14:paraId="21DB7671" w14:textId="0F7B2980" w:rsidR="00617560" w:rsidRPr="00617560" w:rsidRDefault="00617560">
          <w:pPr>
            <w:pStyle w:val="TOC2"/>
            <w:tabs>
              <w:tab w:val="right" w:leader="dot" w:pos="9016"/>
            </w:tabs>
            <w:rPr>
              <w:rFonts w:eastAsiaTheme="minorEastAsia"/>
              <w:noProof/>
              <w:lang w:eastAsia="en-IN"/>
            </w:rPr>
          </w:pPr>
          <w:hyperlink w:anchor="_Toc235475838" w:history="1">
            <w:r w:rsidRPr="00617560">
              <w:rPr>
                <w:rStyle w:val="Hyperlink"/>
                <w:rFonts w:ascii="Arial" w:eastAsia="Times New Roman" w:hAnsi="Arial" w:cs="Arial"/>
                <w:noProof/>
                <w:lang w:eastAsia="en-IN"/>
              </w:rPr>
              <w:t>1.2 Natural Environment: Climate Change and Decarbonisation Pressure</w:t>
            </w:r>
            <w:r w:rsidRPr="00617560">
              <w:rPr>
                <w:noProof/>
                <w:webHidden/>
              </w:rPr>
              <w:tab/>
            </w:r>
            <w:r w:rsidRPr="00617560">
              <w:rPr>
                <w:noProof/>
                <w:webHidden/>
              </w:rPr>
              <w:fldChar w:fldCharType="begin"/>
            </w:r>
            <w:r w:rsidRPr="00617560">
              <w:rPr>
                <w:noProof/>
                <w:webHidden/>
              </w:rPr>
              <w:instrText xml:space="preserve"> PAGEREF _Toc235475838 \h </w:instrText>
            </w:r>
            <w:r w:rsidRPr="00617560">
              <w:rPr>
                <w:noProof/>
                <w:webHidden/>
              </w:rPr>
            </w:r>
            <w:r w:rsidRPr="00617560">
              <w:rPr>
                <w:noProof/>
                <w:webHidden/>
              </w:rPr>
              <w:fldChar w:fldCharType="separate"/>
            </w:r>
            <w:r w:rsidRPr="00617560">
              <w:rPr>
                <w:noProof/>
                <w:webHidden/>
              </w:rPr>
              <w:t>3</w:t>
            </w:r>
            <w:r w:rsidRPr="00617560">
              <w:rPr>
                <w:noProof/>
                <w:webHidden/>
              </w:rPr>
              <w:fldChar w:fldCharType="end"/>
            </w:r>
          </w:hyperlink>
        </w:p>
        <w:p w14:paraId="7B5B8A6A" w14:textId="10DE3C9B" w:rsidR="00617560" w:rsidRPr="00617560" w:rsidRDefault="00617560">
          <w:pPr>
            <w:pStyle w:val="TOC2"/>
            <w:tabs>
              <w:tab w:val="right" w:leader="dot" w:pos="9016"/>
            </w:tabs>
            <w:rPr>
              <w:rFonts w:eastAsiaTheme="minorEastAsia"/>
              <w:noProof/>
              <w:lang w:eastAsia="en-IN"/>
            </w:rPr>
          </w:pPr>
          <w:hyperlink w:anchor="_Toc235475839" w:history="1">
            <w:r w:rsidRPr="00617560">
              <w:rPr>
                <w:rStyle w:val="Hyperlink"/>
                <w:rFonts w:ascii="Arial" w:eastAsia="Times New Roman" w:hAnsi="Arial" w:cs="Arial"/>
                <w:noProof/>
                <w:lang w:eastAsia="en-IN"/>
              </w:rPr>
              <w:t>1.3 Natural Environment: Threats to Tata Steel</w:t>
            </w:r>
            <w:r w:rsidRPr="00617560">
              <w:rPr>
                <w:noProof/>
                <w:webHidden/>
              </w:rPr>
              <w:tab/>
            </w:r>
            <w:r w:rsidRPr="00617560">
              <w:rPr>
                <w:noProof/>
                <w:webHidden/>
              </w:rPr>
              <w:fldChar w:fldCharType="begin"/>
            </w:r>
            <w:r w:rsidRPr="00617560">
              <w:rPr>
                <w:noProof/>
                <w:webHidden/>
              </w:rPr>
              <w:instrText xml:space="preserve"> PAGEREF _Toc235475839 \h </w:instrText>
            </w:r>
            <w:r w:rsidRPr="00617560">
              <w:rPr>
                <w:noProof/>
                <w:webHidden/>
              </w:rPr>
            </w:r>
            <w:r w:rsidRPr="00617560">
              <w:rPr>
                <w:noProof/>
                <w:webHidden/>
              </w:rPr>
              <w:fldChar w:fldCharType="separate"/>
            </w:r>
            <w:r w:rsidRPr="00617560">
              <w:rPr>
                <w:noProof/>
                <w:webHidden/>
              </w:rPr>
              <w:t>3</w:t>
            </w:r>
            <w:r w:rsidRPr="00617560">
              <w:rPr>
                <w:noProof/>
                <w:webHidden/>
              </w:rPr>
              <w:fldChar w:fldCharType="end"/>
            </w:r>
          </w:hyperlink>
        </w:p>
        <w:p w14:paraId="01D9FBA6" w14:textId="1C001CD8" w:rsidR="00617560" w:rsidRPr="00617560" w:rsidRDefault="00617560">
          <w:pPr>
            <w:pStyle w:val="TOC2"/>
            <w:tabs>
              <w:tab w:val="right" w:leader="dot" w:pos="9016"/>
            </w:tabs>
            <w:rPr>
              <w:rFonts w:eastAsiaTheme="minorEastAsia"/>
              <w:noProof/>
              <w:lang w:eastAsia="en-IN"/>
            </w:rPr>
          </w:pPr>
          <w:hyperlink w:anchor="_Toc235475840" w:history="1">
            <w:r w:rsidRPr="00617560">
              <w:rPr>
                <w:rStyle w:val="Hyperlink"/>
                <w:rFonts w:ascii="Arial" w:eastAsia="Times New Roman" w:hAnsi="Arial" w:cs="Arial"/>
                <w:noProof/>
                <w:lang w:eastAsia="en-IN"/>
              </w:rPr>
              <w:t>1.4 Natural Environment: Opportunities for Lower-Carbon Product Development</w:t>
            </w:r>
            <w:r w:rsidRPr="00617560">
              <w:rPr>
                <w:noProof/>
                <w:webHidden/>
              </w:rPr>
              <w:tab/>
            </w:r>
            <w:r w:rsidRPr="00617560">
              <w:rPr>
                <w:noProof/>
                <w:webHidden/>
              </w:rPr>
              <w:fldChar w:fldCharType="begin"/>
            </w:r>
            <w:r w:rsidRPr="00617560">
              <w:rPr>
                <w:noProof/>
                <w:webHidden/>
              </w:rPr>
              <w:instrText xml:space="preserve"> PAGEREF _Toc235475840 \h </w:instrText>
            </w:r>
            <w:r w:rsidRPr="00617560">
              <w:rPr>
                <w:noProof/>
                <w:webHidden/>
              </w:rPr>
            </w:r>
            <w:r w:rsidRPr="00617560">
              <w:rPr>
                <w:noProof/>
                <w:webHidden/>
              </w:rPr>
              <w:fldChar w:fldCharType="separate"/>
            </w:r>
            <w:r w:rsidRPr="00617560">
              <w:rPr>
                <w:noProof/>
                <w:webHidden/>
              </w:rPr>
              <w:t>4</w:t>
            </w:r>
            <w:r w:rsidRPr="00617560">
              <w:rPr>
                <w:noProof/>
                <w:webHidden/>
              </w:rPr>
              <w:fldChar w:fldCharType="end"/>
            </w:r>
          </w:hyperlink>
        </w:p>
        <w:p w14:paraId="2297BB97" w14:textId="75672397" w:rsidR="00617560" w:rsidRPr="00617560" w:rsidRDefault="00617560">
          <w:pPr>
            <w:pStyle w:val="TOC2"/>
            <w:tabs>
              <w:tab w:val="right" w:leader="dot" w:pos="9016"/>
            </w:tabs>
            <w:rPr>
              <w:rFonts w:eastAsiaTheme="minorEastAsia"/>
              <w:noProof/>
              <w:lang w:eastAsia="en-IN"/>
            </w:rPr>
          </w:pPr>
          <w:hyperlink w:anchor="_Toc235475841" w:history="1">
            <w:r w:rsidRPr="00617560">
              <w:rPr>
                <w:rStyle w:val="Hyperlink"/>
                <w:rFonts w:ascii="Arial" w:eastAsia="Times New Roman" w:hAnsi="Arial" w:cs="Arial"/>
                <w:noProof/>
                <w:lang w:eastAsia="en-IN"/>
              </w:rPr>
              <w:t>1.5 Technological Environment: Technology as an Enabler of Decarbonisation</w:t>
            </w:r>
            <w:r w:rsidRPr="00617560">
              <w:rPr>
                <w:noProof/>
                <w:webHidden/>
              </w:rPr>
              <w:tab/>
            </w:r>
            <w:r w:rsidRPr="00617560">
              <w:rPr>
                <w:noProof/>
                <w:webHidden/>
              </w:rPr>
              <w:fldChar w:fldCharType="begin"/>
            </w:r>
            <w:r w:rsidRPr="00617560">
              <w:rPr>
                <w:noProof/>
                <w:webHidden/>
              </w:rPr>
              <w:instrText xml:space="preserve"> PAGEREF _Toc235475841 \h </w:instrText>
            </w:r>
            <w:r w:rsidRPr="00617560">
              <w:rPr>
                <w:noProof/>
                <w:webHidden/>
              </w:rPr>
            </w:r>
            <w:r w:rsidRPr="00617560">
              <w:rPr>
                <w:noProof/>
                <w:webHidden/>
              </w:rPr>
              <w:fldChar w:fldCharType="separate"/>
            </w:r>
            <w:r w:rsidRPr="00617560">
              <w:rPr>
                <w:noProof/>
                <w:webHidden/>
              </w:rPr>
              <w:t>4</w:t>
            </w:r>
            <w:r w:rsidRPr="00617560">
              <w:rPr>
                <w:noProof/>
                <w:webHidden/>
              </w:rPr>
              <w:fldChar w:fldCharType="end"/>
            </w:r>
          </w:hyperlink>
        </w:p>
        <w:p w14:paraId="320450BF" w14:textId="042E716E" w:rsidR="00617560" w:rsidRPr="00617560" w:rsidRDefault="00617560">
          <w:pPr>
            <w:pStyle w:val="TOC2"/>
            <w:tabs>
              <w:tab w:val="right" w:leader="dot" w:pos="9016"/>
            </w:tabs>
            <w:rPr>
              <w:rFonts w:eastAsiaTheme="minorEastAsia"/>
              <w:noProof/>
              <w:lang w:eastAsia="en-IN"/>
            </w:rPr>
          </w:pPr>
          <w:hyperlink w:anchor="_Toc235475842" w:history="1">
            <w:r w:rsidRPr="00617560">
              <w:rPr>
                <w:rStyle w:val="Hyperlink"/>
                <w:rFonts w:ascii="Arial" w:eastAsia="Times New Roman" w:hAnsi="Arial" w:cs="Arial"/>
                <w:noProof/>
                <w:lang w:eastAsia="en-IN"/>
              </w:rPr>
              <w:t>1.6 Technological Environment: Opportunities and Limitations</w:t>
            </w:r>
            <w:r w:rsidRPr="00617560">
              <w:rPr>
                <w:noProof/>
                <w:webHidden/>
              </w:rPr>
              <w:tab/>
            </w:r>
            <w:r w:rsidRPr="00617560">
              <w:rPr>
                <w:noProof/>
                <w:webHidden/>
              </w:rPr>
              <w:fldChar w:fldCharType="begin"/>
            </w:r>
            <w:r w:rsidRPr="00617560">
              <w:rPr>
                <w:noProof/>
                <w:webHidden/>
              </w:rPr>
              <w:instrText xml:space="preserve"> PAGEREF _Toc235475842 \h </w:instrText>
            </w:r>
            <w:r w:rsidRPr="00617560">
              <w:rPr>
                <w:noProof/>
                <w:webHidden/>
              </w:rPr>
            </w:r>
            <w:r w:rsidRPr="00617560">
              <w:rPr>
                <w:noProof/>
                <w:webHidden/>
              </w:rPr>
              <w:fldChar w:fldCharType="separate"/>
            </w:r>
            <w:r w:rsidRPr="00617560">
              <w:rPr>
                <w:noProof/>
                <w:webHidden/>
              </w:rPr>
              <w:t>5</w:t>
            </w:r>
            <w:r w:rsidRPr="00617560">
              <w:rPr>
                <w:noProof/>
                <w:webHidden/>
              </w:rPr>
              <w:fldChar w:fldCharType="end"/>
            </w:r>
          </w:hyperlink>
        </w:p>
        <w:p w14:paraId="6A9A8567" w14:textId="243F7117" w:rsidR="00617560" w:rsidRPr="00617560" w:rsidRDefault="00617560">
          <w:pPr>
            <w:pStyle w:val="TOC2"/>
            <w:tabs>
              <w:tab w:val="right" w:leader="dot" w:pos="9016"/>
            </w:tabs>
            <w:rPr>
              <w:rFonts w:eastAsiaTheme="minorEastAsia"/>
              <w:noProof/>
              <w:lang w:eastAsia="en-IN"/>
            </w:rPr>
          </w:pPr>
          <w:hyperlink w:anchor="_Toc235475843" w:history="1">
            <w:r w:rsidRPr="00617560">
              <w:rPr>
                <w:rStyle w:val="Hyperlink"/>
                <w:rFonts w:ascii="Arial" w:eastAsia="Times New Roman" w:hAnsi="Arial" w:cs="Arial"/>
                <w:noProof/>
                <w:lang w:eastAsia="en-IN"/>
              </w:rPr>
              <w:t>1.7 Critical Synthesis</w:t>
            </w:r>
            <w:r w:rsidRPr="00617560">
              <w:rPr>
                <w:noProof/>
                <w:webHidden/>
              </w:rPr>
              <w:tab/>
            </w:r>
            <w:r w:rsidRPr="00617560">
              <w:rPr>
                <w:noProof/>
                <w:webHidden/>
              </w:rPr>
              <w:fldChar w:fldCharType="begin"/>
            </w:r>
            <w:r w:rsidRPr="00617560">
              <w:rPr>
                <w:noProof/>
                <w:webHidden/>
              </w:rPr>
              <w:instrText xml:space="preserve"> PAGEREF _Toc235475843 \h </w:instrText>
            </w:r>
            <w:r w:rsidRPr="00617560">
              <w:rPr>
                <w:noProof/>
                <w:webHidden/>
              </w:rPr>
            </w:r>
            <w:r w:rsidRPr="00617560">
              <w:rPr>
                <w:noProof/>
                <w:webHidden/>
              </w:rPr>
              <w:fldChar w:fldCharType="separate"/>
            </w:r>
            <w:r w:rsidRPr="00617560">
              <w:rPr>
                <w:noProof/>
                <w:webHidden/>
              </w:rPr>
              <w:t>5</w:t>
            </w:r>
            <w:r w:rsidRPr="00617560">
              <w:rPr>
                <w:noProof/>
                <w:webHidden/>
              </w:rPr>
              <w:fldChar w:fldCharType="end"/>
            </w:r>
          </w:hyperlink>
        </w:p>
        <w:p w14:paraId="44FCAE56" w14:textId="5086BB2A" w:rsidR="00617560" w:rsidRPr="00617560" w:rsidRDefault="00617560">
          <w:pPr>
            <w:pStyle w:val="TOC1"/>
            <w:tabs>
              <w:tab w:val="right" w:leader="dot" w:pos="9016"/>
            </w:tabs>
            <w:rPr>
              <w:rFonts w:eastAsiaTheme="minorEastAsia"/>
              <w:noProof/>
              <w:lang w:eastAsia="en-IN"/>
            </w:rPr>
          </w:pPr>
          <w:hyperlink w:anchor="_Toc235475844" w:history="1">
            <w:r w:rsidRPr="00617560">
              <w:rPr>
                <w:rStyle w:val="Hyperlink"/>
                <w:rFonts w:ascii="Arial" w:hAnsi="Arial" w:cs="Arial"/>
                <w:noProof/>
              </w:rPr>
              <w:t>Strategic Growth and Competitive Positioning</w:t>
            </w:r>
            <w:r w:rsidRPr="00617560">
              <w:rPr>
                <w:noProof/>
                <w:webHidden/>
              </w:rPr>
              <w:tab/>
            </w:r>
            <w:r w:rsidRPr="00617560">
              <w:rPr>
                <w:noProof/>
                <w:webHidden/>
              </w:rPr>
              <w:fldChar w:fldCharType="begin"/>
            </w:r>
            <w:r w:rsidRPr="00617560">
              <w:rPr>
                <w:noProof/>
                <w:webHidden/>
              </w:rPr>
              <w:instrText xml:space="preserve"> PAGEREF _Toc235475844 \h </w:instrText>
            </w:r>
            <w:r w:rsidRPr="00617560">
              <w:rPr>
                <w:noProof/>
                <w:webHidden/>
              </w:rPr>
            </w:r>
            <w:r w:rsidRPr="00617560">
              <w:rPr>
                <w:noProof/>
                <w:webHidden/>
              </w:rPr>
              <w:fldChar w:fldCharType="separate"/>
            </w:r>
            <w:r w:rsidRPr="00617560">
              <w:rPr>
                <w:noProof/>
                <w:webHidden/>
              </w:rPr>
              <w:t>7</w:t>
            </w:r>
            <w:r w:rsidRPr="00617560">
              <w:rPr>
                <w:noProof/>
                <w:webHidden/>
              </w:rPr>
              <w:fldChar w:fldCharType="end"/>
            </w:r>
          </w:hyperlink>
        </w:p>
        <w:p w14:paraId="2CB904FE" w14:textId="19E77CE0" w:rsidR="00617560" w:rsidRPr="00617560" w:rsidRDefault="00617560">
          <w:pPr>
            <w:pStyle w:val="TOC2"/>
            <w:tabs>
              <w:tab w:val="right" w:leader="dot" w:pos="9016"/>
            </w:tabs>
            <w:rPr>
              <w:rFonts w:eastAsiaTheme="minorEastAsia"/>
              <w:noProof/>
              <w:lang w:eastAsia="en-IN"/>
            </w:rPr>
          </w:pPr>
          <w:hyperlink w:anchor="_Toc235475845" w:history="1">
            <w:r w:rsidRPr="00617560">
              <w:rPr>
                <w:rStyle w:val="Hyperlink"/>
                <w:rFonts w:ascii="Arial" w:hAnsi="Arial" w:cs="Arial"/>
                <w:noProof/>
              </w:rPr>
              <w:t>2.1 Ansoff Matrix and Strategic Growth Options</w:t>
            </w:r>
            <w:r w:rsidRPr="00617560">
              <w:rPr>
                <w:noProof/>
                <w:webHidden/>
              </w:rPr>
              <w:tab/>
            </w:r>
            <w:r w:rsidRPr="00617560">
              <w:rPr>
                <w:noProof/>
                <w:webHidden/>
              </w:rPr>
              <w:fldChar w:fldCharType="begin"/>
            </w:r>
            <w:r w:rsidRPr="00617560">
              <w:rPr>
                <w:noProof/>
                <w:webHidden/>
              </w:rPr>
              <w:instrText xml:space="preserve"> PAGEREF _Toc235475845 \h </w:instrText>
            </w:r>
            <w:r w:rsidRPr="00617560">
              <w:rPr>
                <w:noProof/>
                <w:webHidden/>
              </w:rPr>
            </w:r>
            <w:r w:rsidRPr="00617560">
              <w:rPr>
                <w:noProof/>
                <w:webHidden/>
              </w:rPr>
              <w:fldChar w:fldCharType="separate"/>
            </w:r>
            <w:r w:rsidRPr="00617560">
              <w:rPr>
                <w:noProof/>
                <w:webHidden/>
              </w:rPr>
              <w:t>7</w:t>
            </w:r>
            <w:r w:rsidRPr="00617560">
              <w:rPr>
                <w:noProof/>
                <w:webHidden/>
              </w:rPr>
              <w:fldChar w:fldCharType="end"/>
            </w:r>
          </w:hyperlink>
        </w:p>
        <w:p w14:paraId="51013F64" w14:textId="16FA535D" w:rsidR="00617560" w:rsidRPr="00617560" w:rsidRDefault="00617560">
          <w:pPr>
            <w:pStyle w:val="TOC2"/>
            <w:tabs>
              <w:tab w:val="right" w:leader="dot" w:pos="9016"/>
            </w:tabs>
            <w:rPr>
              <w:rFonts w:eastAsiaTheme="minorEastAsia"/>
              <w:noProof/>
              <w:lang w:eastAsia="en-IN"/>
            </w:rPr>
          </w:pPr>
          <w:hyperlink w:anchor="_Toc235475846" w:history="1">
            <w:r w:rsidRPr="00617560">
              <w:rPr>
                <w:rStyle w:val="Hyperlink"/>
                <w:rFonts w:ascii="Arial" w:hAnsi="Arial" w:cs="Arial"/>
                <w:noProof/>
              </w:rPr>
              <w:t>2.2 Evaluation of the Four Ansoff Growth Strategies</w:t>
            </w:r>
            <w:r w:rsidRPr="00617560">
              <w:rPr>
                <w:noProof/>
                <w:webHidden/>
              </w:rPr>
              <w:tab/>
            </w:r>
            <w:r w:rsidRPr="00617560">
              <w:rPr>
                <w:noProof/>
                <w:webHidden/>
              </w:rPr>
              <w:fldChar w:fldCharType="begin"/>
            </w:r>
            <w:r w:rsidRPr="00617560">
              <w:rPr>
                <w:noProof/>
                <w:webHidden/>
              </w:rPr>
              <w:instrText xml:space="preserve"> PAGEREF _Toc235475846 \h </w:instrText>
            </w:r>
            <w:r w:rsidRPr="00617560">
              <w:rPr>
                <w:noProof/>
                <w:webHidden/>
              </w:rPr>
            </w:r>
            <w:r w:rsidRPr="00617560">
              <w:rPr>
                <w:noProof/>
                <w:webHidden/>
              </w:rPr>
              <w:fldChar w:fldCharType="separate"/>
            </w:r>
            <w:r w:rsidRPr="00617560">
              <w:rPr>
                <w:noProof/>
                <w:webHidden/>
              </w:rPr>
              <w:t>8</w:t>
            </w:r>
            <w:r w:rsidRPr="00617560">
              <w:rPr>
                <w:noProof/>
                <w:webHidden/>
              </w:rPr>
              <w:fldChar w:fldCharType="end"/>
            </w:r>
          </w:hyperlink>
        </w:p>
        <w:p w14:paraId="37E9C53B" w14:textId="1A739E8B" w:rsidR="00617560" w:rsidRPr="00617560" w:rsidRDefault="00617560">
          <w:pPr>
            <w:pStyle w:val="TOC2"/>
            <w:tabs>
              <w:tab w:val="right" w:leader="dot" w:pos="9016"/>
            </w:tabs>
            <w:rPr>
              <w:rFonts w:eastAsiaTheme="minorEastAsia"/>
              <w:noProof/>
              <w:lang w:eastAsia="en-IN"/>
            </w:rPr>
          </w:pPr>
          <w:hyperlink w:anchor="_Toc235475847" w:history="1">
            <w:r w:rsidRPr="00617560">
              <w:rPr>
                <w:rStyle w:val="Hyperlink"/>
                <w:rFonts w:ascii="Arial" w:hAnsi="Arial" w:cs="Arial"/>
                <w:noProof/>
              </w:rPr>
              <w:t>2.3 Recommended Strategy: Product Development</w:t>
            </w:r>
            <w:r w:rsidRPr="00617560">
              <w:rPr>
                <w:noProof/>
                <w:webHidden/>
              </w:rPr>
              <w:tab/>
            </w:r>
            <w:r w:rsidRPr="00617560">
              <w:rPr>
                <w:noProof/>
                <w:webHidden/>
              </w:rPr>
              <w:fldChar w:fldCharType="begin"/>
            </w:r>
            <w:r w:rsidRPr="00617560">
              <w:rPr>
                <w:noProof/>
                <w:webHidden/>
              </w:rPr>
              <w:instrText xml:space="preserve"> PAGEREF _Toc235475847 \h </w:instrText>
            </w:r>
            <w:r w:rsidRPr="00617560">
              <w:rPr>
                <w:noProof/>
                <w:webHidden/>
              </w:rPr>
            </w:r>
            <w:r w:rsidRPr="00617560">
              <w:rPr>
                <w:noProof/>
                <w:webHidden/>
              </w:rPr>
              <w:fldChar w:fldCharType="separate"/>
            </w:r>
            <w:r w:rsidRPr="00617560">
              <w:rPr>
                <w:noProof/>
                <w:webHidden/>
              </w:rPr>
              <w:t>9</w:t>
            </w:r>
            <w:r w:rsidRPr="00617560">
              <w:rPr>
                <w:noProof/>
                <w:webHidden/>
              </w:rPr>
              <w:fldChar w:fldCharType="end"/>
            </w:r>
          </w:hyperlink>
        </w:p>
        <w:p w14:paraId="1E404379" w14:textId="5F814D36" w:rsidR="00617560" w:rsidRPr="00617560" w:rsidRDefault="00617560">
          <w:pPr>
            <w:pStyle w:val="TOC2"/>
            <w:tabs>
              <w:tab w:val="right" w:leader="dot" w:pos="9016"/>
            </w:tabs>
            <w:rPr>
              <w:rFonts w:eastAsiaTheme="minorEastAsia"/>
              <w:noProof/>
              <w:lang w:eastAsia="en-IN"/>
            </w:rPr>
          </w:pPr>
          <w:hyperlink w:anchor="_Toc235475848" w:history="1">
            <w:r w:rsidRPr="00617560">
              <w:rPr>
                <w:rStyle w:val="Hyperlink"/>
                <w:rFonts w:ascii="Arial" w:hAnsi="Arial" w:cs="Arial"/>
                <w:noProof/>
              </w:rPr>
              <w:t>2.4 Competitive Advantage through Differentiation</w:t>
            </w:r>
            <w:r w:rsidRPr="00617560">
              <w:rPr>
                <w:noProof/>
                <w:webHidden/>
              </w:rPr>
              <w:tab/>
            </w:r>
            <w:r w:rsidRPr="00617560">
              <w:rPr>
                <w:noProof/>
                <w:webHidden/>
              </w:rPr>
              <w:fldChar w:fldCharType="begin"/>
            </w:r>
            <w:r w:rsidRPr="00617560">
              <w:rPr>
                <w:noProof/>
                <w:webHidden/>
              </w:rPr>
              <w:instrText xml:space="preserve"> PAGEREF _Toc235475848 \h </w:instrText>
            </w:r>
            <w:r w:rsidRPr="00617560">
              <w:rPr>
                <w:noProof/>
                <w:webHidden/>
              </w:rPr>
            </w:r>
            <w:r w:rsidRPr="00617560">
              <w:rPr>
                <w:noProof/>
                <w:webHidden/>
              </w:rPr>
              <w:fldChar w:fldCharType="separate"/>
            </w:r>
            <w:r w:rsidRPr="00617560">
              <w:rPr>
                <w:noProof/>
                <w:webHidden/>
              </w:rPr>
              <w:t>10</w:t>
            </w:r>
            <w:r w:rsidRPr="00617560">
              <w:rPr>
                <w:noProof/>
                <w:webHidden/>
              </w:rPr>
              <w:fldChar w:fldCharType="end"/>
            </w:r>
          </w:hyperlink>
        </w:p>
        <w:p w14:paraId="22694709" w14:textId="7807ECD7" w:rsidR="00617560" w:rsidRPr="00617560" w:rsidRDefault="00617560">
          <w:pPr>
            <w:pStyle w:val="TOC2"/>
            <w:tabs>
              <w:tab w:val="right" w:leader="dot" w:pos="9016"/>
            </w:tabs>
            <w:rPr>
              <w:rFonts w:eastAsiaTheme="minorEastAsia"/>
              <w:noProof/>
              <w:lang w:eastAsia="en-IN"/>
            </w:rPr>
          </w:pPr>
          <w:hyperlink w:anchor="_Toc235475849" w:history="1">
            <w:r w:rsidRPr="00617560">
              <w:rPr>
                <w:rStyle w:val="Hyperlink"/>
                <w:rFonts w:ascii="Arial" w:hAnsi="Arial" w:cs="Arial"/>
                <w:noProof/>
              </w:rPr>
              <w:t>2.5 Strategic Conclusion</w:t>
            </w:r>
            <w:r w:rsidRPr="00617560">
              <w:rPr>
                <w:noProof/>
                <w:webHidden/>
              </w:rPr>
              <w:tab/>
            </w:r>
            <w:r w:rsidRPr="00617560">
              <w:rPr>
                <w:noProof/>
                <w:webHidden/>
              </w:rPr>
              <w:fldChar w:fldCharType="begin"/>
            </w:r>
            <w:r w:rsidRPr="00617560">
              <w:rPr>
                <w:noProof/>
                <w:webHidden/>
              </w:rPr>
              <w:instrText xml:space="preserve"> PAGEREF _Toc235475849 \h </w:instrText>
            </w:r>
            <w:r w:rsidRPr="00617560">
              <w:rPr>
                <w:noProof/>
                <w:webHidden/>
              </w:rPr>
            </w:r>
            <w:r w:rsidRPr="00617560">
              <w:rPr>
                <w:noProof/>
                <w:webHidden/>
              </w:rPr>
              <w:fldChar w:fldCharType="separate"/>
            </w:r>
            <w:r w:rsidRPr="00617560">
              <w:rPr>
                <w:noProof/>
                <w:webHidden/>
              </w:rPr>
              <w:t>11</w:t>
            </w:r>
            <w:r w:rsidRPr="00617560">
              <w:rPr>
                <w:noProof/>
                <w:webHidden/>
              </w:rPr>
              <w:fldChar w:fldCharType="end"/>
            </w:r>
          </w:hyperlink>
        </w:p>
        <w:p w14:paraId="3BD6E216" w14:textId="0F17758A" w:rsidR="00617560" w:rsidRPr="00617560" w:rsidRDefault="00617560">
          <w:pPr>
            <w:pStyle w:val="TOC1"/>
            <w:tabs>
              <w:tab w:val="right" w:leader="dot" w:pos="9016"/>
            </w:tabs>
            <w:rPr>
              <w:rFonts w:eastAsiaTheme="minorEastAsia"/>
              <w:noProof/>
              <w:lang w:eastAsia="en-IN"/>
            </w:rPr>
          </w:pPr>
          <w:hyperlink w:anchor="_Toc235475850" w:history="1">
            <w:r w:rsidRPr="00617560">
              <w:rPr>
                <w:rStyle w:val="Hyperlink"/>
                <w:rFonts w:ascii="Arial" w:hAnsi="Arial" w:cs="Arial"/>
                <w:noProof/>
              </w:rPr>
              <w:t>Critical Reflection on the Use of Generative AI</w:t>
            </w:r>
            <w:r w:rsidRPr="00617560">
              <w:rPr>
                <w:noProof/>
                <w:webHidden/>
              </w:rPr>
              <w:tab/>
            </w:r>
            <w:r w:rsidRPr="00617560">
              <w:rPr>
                <w:noProof/>
                <w:webHidden/>
              </w:rPr>
              <w:fldChar w:fldCharType="begin"/>
            </w:r>
            <w:r w:rsidRPr="00617560">
              <w:rPr>
                <w:noProof/>
                <w:webHidden/>
              </w:rPr>
              <w:instrText xml:space="preserve"> PAGEREF _Toc235475850 \h </w:instrText>
            </w:r>
            <w:r w:rsidRPr="00617560">
              <w:rPr>
                <w:noProof/>
                <w:webHidden/>
              </w:rPr>
            </w:r>
            <w:r w:rsidRPr="00617560">
              <w:rPr>
                <w:noProof/>
                <w:webHidden/>
              </w:rPr>
              <w:fldChar w:fldCharType="separate"/>
            </w:r>
            <w:r w:rsidRPr="00617560">
              <w:rPr>
                <w:noProof/>
                <w:webHidden/>
              </w:rPr>
              <w:t>12</w:t>
            </w:r>
            <w:r w:rsidRPr="00617560">
              <w:rPr>
                <w:noProof/>
                <w:webHidden/>
              </w:rPr>
              <w:fldChar w:fldCharType="end"/>
            </w:r>
          </w:hyperlink>
        </w:p>
        <w:p w14:paraId="3DAC3A36" w14:textId="2293C3C9" w:rsidR="00617560" w:rsidRPr="00617560" w:rsidRDefault="00617560">
          <w:pPr>
            <w:pStyle w:val="TOC2"/>
            <w:tabs>
              <w:tab w:val="right" w:leader="dot" w:pos="9016"/>
            </w:tabs>
            <w:rPr>
              <w:rFonts w:eastAsiaTheme="minorEastAsia"/>
              <w:noProof/>
              <w:lang w:eastAsia="en-IN"/>
            </w:rPr>
          </w:pPr>
          <w:hyperlink w:anchor="_Toc235475851" w:history="1">
            <w:r w:rsidRPr="00617560">
              <w:rPr>
                <w:rStyle w:val="Hyperlink"/>
                <w:rFonts w:ascii="Arial" w:eastAsia="Times New Roman" w:hAnsi="Arial" w:cs="Arial"/>
                <w:noProof/>
                <w:lang w:eastAsia="en-IN"/>
              </w:rPr>
              <w:t>3.1 Tool Disclosure</w:t>
            </w:r>
            <w:r w:rsidRPr="00617560">
              <w:rPr>
                <w:noProof/>
                <w:webHidden/>
              </w:rPr>
              <w:tab/>
            </w:r>
            <w:r w:rsidRPr="00617560">
              <w:rPr>
                <w:noProof/>
                <w:webHidden/>
              </w:rPr>
              <w:fldChar w:fldCharType="begin"/>
            </w:r>
            <w:r w:rsidRPr="00617560">
              <w:rPr>
                <w:noProof/>
                <w:webHidden/>
              </w:rPr>
              <w:instrText xml:space="preserve"> PAGEREF _Toc235475851 \h </w:instrText>
            </w:r>
            <w:r w:rsidRPr="00617560">
              <w:rPr>
                <w:noProof/>
                <w:webHidden/>
              </w:rPr>
            </w:r>
            <w:r w:rsidRPr="00617560">
              <w:rPr>
                <w:noProof/>
                <w:webHidden/>
              </w:rPr>
              <w:fldChar w:fldCharType="separate"/>
            </w:r>
            <w:r w:rsidRPr="00617560">
              <w:rPr>
                <w:noProof/>
                <w:webHidden/>
              </w:rPr>
              <w:t>12</w:t>
            </w:r>
            <w:r w:rsidRPr="00617560">
              <w:rPr>
                <w:noProof/>
                <w:webHidden/>
              </w:rPr>
              <w:fldChar w:fldCharType="end"/>
            </w:r>
          </w:hyperlink>
        </w:p>
        <w:p w14:paraId="134209C1" w14:textId="62D67B9A" w:rsidR="00617560" w:rsidRPr="00617560" w:rsidRDefault="00617560">
          <w:pPr>
            <w:pStyle w:val="TOC2"/>
            <w:tabs>
              <w:tab w:val="right" w:leader="dot" w:pos="9016"/>
            </w:tabs>
            <w:rPr>
              <w:rFonts w:eastAsiaTheme="minorEastAsia"/>
              <w:noProof/>
              <w:lang w:eastAsia="en-IN"/>
            </w:rPr>
          </w:pPr>
          <w:hyperlink w:anchor="_Toc235475852" w:history="1">
            <w:r w:rsidRPr="00617560">
              <w:rPr>
                <w:rStyle w:val="Hyperlink"/>
                <w:rFonts w:ascii="Arial" w:eastAsia="Times New Roman" w:hAnsi="Arial" w:cs="Arial"/>
                <w:noProof/>
                <w:lang w:eastAsia="en-IN"/>
              </w:rPr>
              <w:t>3.2 Critical Evaluation of AI Output</w:t>
            </w:r>
            <w:r w:rsidRPr="00617560">
              <w:rPr>
                <w:noProof/>
                <w:webHidden/>
              </w:rPr>
              <w:tab/>
            </w:r>
            <w:r w:rsidRPr="00617560">
              <w:rPr>
                <w:noProof/>
                <w:webHidden/>
              </w:rPr>
              <w:fldChar w:fldCharType="begin"/>
            </w:r>
            <w:r w:rsidRPr="00617560">
              <w:rPr>
                <w:noProof/>
                <w:webHidden/>
              </w:rPr>
              <w:instrText xml:space="preserve"> PAGEREF _Toc235475852 \h </w:instrText>
            </w:r>
            <w:r w:rsidRPr="00617560">
              <w:rPr>
                <w:noProof/>
                <w:webHidden/>
              </w:rPr>
            </w:r>
            <w:r w:rsidRPr="00617560">
              <w:rPr>
                <w:noProof/>
                <w:webHidden/>
              </w:rPr>
              <w:fldChar w:fldCharType="separate"/>
            </w:r>
            <w:r w:rsidRPr="00617560">
              <w:rPr>
                <w:noProof/>
                <w:webHidden/>
              </w:rPr>
              <w:t>12</w:t>
            </w:r>
            <w:r w:rsidRPr="00617560">
              <w:rPr>
                <w:noProof/>
                <w:webHidden/>
              </w:rPr>
              <w:fldChar w:fldCharType="end"/>
            </w:r>
          </w:hyperlink>
        </w:p>
        <w:p w14:paraId="677CE64F" w14:textId="0E018F83" w:rsidR="00617560" w:rsidRPr="00617560" w:rsidRDefault="00617560">
          <w:pPr>
            <w:pStyle w:val="TOC2"/>
            <w:tabs>
              <w:tab w:val="right" w:leader="dot" w:pos="9016"/>
            </w:tabs>
            <w:rPr>
              <w:rFonts w:eastAsiaTheme="minorEastAsia"/>
              <w:noProof/>
              <w:lang w:eastAsia="en-IN"/>
            </w:rPr>
          </w:pPr>
          <w:hyperlink w:anchor="_Toc235475853" w:history="1">
            <w:r w:rsidRPr="00617560">
              <w:rPr>
                <w:rStyle w:val="Hyperlink"/>
                <w:rFonts w:ascii="Arial" w:eastAsia="Times New Roman" w:hAnsi="Arial" w:cs="Arial"/>
                <w:noProof/>
                <w:lang w:eastAsia="en-IN"/>
              </w:rPr>
              <w:t>3.3 Contribution Analysis</w:t>
            </w:r>
            <w:r w:rsidRPr="00617560">
              <w:rPr>
                <w:noProof/>
                <w:webHidden/>
              </w:rPr>
              <w:tab/>
            </w:r>
            <w:r w:rsidRPr="00617560">
              <w:rPr>
                <w:noProof/>
                <w:webHidden/>
              </w:rPr>
              <w:fldChar w:fldCharType="begin"/>
            </w:r>
            <w:r w:rsidRPr="00617560">
              <w:rPr>
                <w:noProof/>
                <w:webHidden/>
              </w:rPr>
              <w:instrText xml:space="preserve"> PAGEREF _Toc235475853 \h </w:instrText>
            </w:r>
            <w:r w:rsidRPr="00617560">
              <w:rPr>
                <w:noProof/>
                <w:webHidden/>
              </w:rPr>
            </w:r>
            <w:r w:rsidRPr="00617560">
              <w:rPr>
                <w:noProof/>
                <w:webHidden/>
              </w:rPr>
              <w:fldChar w:fldCharType="separate"/>
            </w:r>
            <w:r w:rsidRPr="00617560">
              <w:rPr>
                <w:noProof/>
                <w:webHidden/>
              </w:rPr>
              <w:t>12</w:t>
            </w:r>
            <w:r w:rsidRPr="00617560">
              <w:rPr>
                <w:noProof/>
                <w:webHidden/>
              </w:rPr>
              <w:fldChar w:fldCharType="end"/>
            </w:r>
          </w:hyperlink>
        </w:p>
        <w:p w14:paraId="3D9C638E" w14:textId="6371FB87" w:rsidR="00617560" w:rsidRPr="00617560" w:rsidRDefault="00617560">
          <w:pPr>
            <w:pStyle w:val="TOC2"/>
            <w:tabs>
              <w:tab w:val="right" w:leader="dot" w:pos="9016"/>
            </w:tabs>
            <w:rPr>
              <w:rFonts w:eastAsiaTheme="minorEastAsia"/>
              <w:noProof/>
              <w:lang w:eastAsia="en-IN"/>
            </w:rPr>
          </w:pPr>
          <w:hyperlink w:anchor="_Toc235475854" w:history="1">
            <w:r w:rsidRPr="00617560">
              <w:rPr>
                <w:rStyle w:val="Hyperlink"/>
                <w:rFonts w:ascii="Arial" w:eastAsia="Times New Roman" w:hAnsi="Arial" w:cs="Arial"/>
                <w:noProof/>
                <w:lang w:eastAsia="en-IN"/>
              </w:rPr>
              <w:t>3.4 Ethical and Professional Reflection</w:t>
            </w:r>
            <w:r w:rsidRPr="00617560">
              <w:rPr>
                <w:noProof/>
                <w:webHidden/>
              </w:rPr>
              <w:tab/>
            </w:r>
            <w:r w:rsidRPr="00617560">
              <w:rPr>
                <w:noProof/>
                <w:webHidden/>
              </w:rPr>
              <w:fldChar w:fldCharType="begin"/>
            </w:r>
            <w:r w:rsidRPr="00617560">
              <w:rPr>
                <w:noProof/>
                <w:webHidden/>
              </w:rPr>
              <w:instrText xml:space="preserve"> PAGEREF _Toc235475854 \h </w:instrText>
            </w:r>
            <w:r w:rsidRPr="00617560">
              <w:rPr>
                <w:noProof/>
                <w:webHidden/>
              </w:rPr>
            </w:r>
            <w:r w:rsidRPr="00617560">
              <w:rPr>
                <w:noProof/>
                <w:webHidden/>
              </w:rPr>
              <w:fldChar w:fldCharType="separate"/>
            </w:r>
            <w:r w:rsidRPr="00617560">
              <w:rPr>
                <w:noProof/>
                <w:webHidden/>
              </w:rPr>
              <w:t>13</w:t>
            </w:r>
            <w:r w:rsidRPr="00617560">
              <w:rPr>
                <w:noProof/>
                <w:webHidden/>
              </w:rPr>
              <w:fldChar w:fldCharType="end"/>
            </w:r>
          </w:hyperlink>
        </w:p>
        <w:p w14:paraId="33A405EB" w14:textId="0FA7FB33" w:rsidR="00617560" w:rsidRPr="00617560" w:rsidRDefault="00617560">
          <w:pPr>
            <w:pStyle w:val="TOC1"/>
            <w:tabs>
              <w:tab w:val="right" w:leader="dot" w:pos="9016"/>
            </w:tabs>
            <w:rPr>
              <w:rFonts w:eastAsiaTheme="minorEastAsia"/>
              <w:noProof/>
              <w:lang w:eastAsia="en-IN"/>
            </w:rPr>
          </w:pPr>
          <w:hyperlink w:anchor="_Toc235475855" w:history="1">
            <w:r w:rsidRPr="00617560">
              <w:rPr>
                <w:rStyle w:val="Hyperlink"/>
                <w:rFonts w:ascii="Arial" w:hAnsi="Arial" w:cs="Arial"/>
                <w:noProof/>
              </w:rPr>
              <w:t>References</w:t>
            </w:r>
            <w:r w:rsidRPr="00617560">
              <w:rPr>
                <w:noProof/>
                <w:webHidden/>
              </w:rPr>
              <w:tab/>
            </w:r>
            <w:r w:rsidRPr="00617560">
              <w:rPr>
                <w:noProof/>
                <w:webHidden/>
              </w:rPr>
              <w:fldChar w:fldCharType="begin"/>
            </w:r>
            <w:r w:rsidRPr="00617560">
              <w:rPr>
                <w:noProof/>
                <w:webHidden/>
              </w:rPr>
              <w:instrText xml:space="preserve"> PAGEREF _Toc235475855 \h </w:instrText>
            </w:r>
            <w:r w:rsidRPr="00617560">
              <w:rPr>
                <w:noProof/>
                <w:webHidden/>
              </w:rPr>
            </w:r>
            <w:r w:rsidRPr="00617560">
              <w:rPr>
                <w:noProof/>
                <w:webHidden/>
              </w:rPr>
              <w:fldChar w:fldCharType="separate"/>
            </w:r>
            <w:r w:rsidRPr="00617560">
              <w:rPr>
                <w:noProof/>
                <w:webHidden/>
              </w:rPr>
              <w:t>14</w:t>
            </w:r>
            <w:r w:rsidRPr="00617560">
              <w:rPr>
                <w:noProof/>
                <w:webHidden/>
              </w:rPr>
              <w:fldChar w:fldCharType="end"/>
            </w:r>
          </w:hyperlink>
        </w:p>
        <w:p w14:paraId="564980DD" w14:textId="3A5C8129" w:rsidR="00617560" w:rsidRDefault="00617560">
          <w:r w:rsidRPr="00617560">
            <w:rPr>
              <w:noProof/>
            </w:rPr>
            <w:fldChar w:fldCharType="end"/>
          </w:r>
        </w:p>
      </w:sdtContent>
    </w:sdt>
    <w:p w14:paraId="2F938259" w14:textId="28693440" w:rsidR="00EE02A7" w:rsidRPr="00D6537B" w:rsidRDefault="00EE02A7" w:rsidP="00D6537B">
      <w:pPr>
        <w:spacing w:line="360" w:lineRule="auto"/>
        <w:jc w:val="both"/>
        <w:rPr>
          <w:rFonts w:ascii="Arial" w:hAnsi="Arial" w:cs="Arial"/>
          <w:b/>
          <w:bCs/>
          <w:sz w:val="24"/>
          <w:szCs w:val="24"/>
        </w:rPr>
      </w:pPr>
      <w:r w:rsidRPr="00D6537B">
        <w:rPr>
          <w:rFonts w:ascii="Arial" w:hAnsi="Arial" w:cs="Arial"/>
          <w:b/>
          <w:bCs/>
          <w:sz w:val="24"/>
          <w:szCs w:val="24"/>
        </w:rPr>
        <w:br w:type="page"/>
      </w:r>
    </w:p>
    <w:p w14:paraId="5C49A83B" w14:textId="0968DE21" w:rsidR="002F7E34" w:rsidRPr="00D6537B" w:rsidRDefault="002F7E34" w:rsidP="00D6537B">
      <w:pPr>
        <w:pStyle w:val="Heading1"/>
        <w:spacing w:line="360" w:lineRule="auto"/>
        <w:jc w:val="center"/>
        <w:rPr>
          <w:rFonts w:ascii="Arial" w:hAnsi="Arial" w:cs="Arial"/>
          <w:sz w:val="34"/>
          <w:szCs w:val="34"/>
        </w:rPr>
      </w:pPr>
      <w:bookmarkStart w:id="0" w:name="_Toc235475836"/>
      <w:r w:rsidRPr="00D6537B">
        <w:rPr>
          <w:rFonts w:ascii="Arial" w:hAnsi="Arial" w:cs="Arial"/>
          <w:sz w:val="34"/>
          <w:szCs w:val="34"/>
        </w:rPr>
        <w:lastRenderedPageBreak/>
        <w:t>Marketing Environment Analysis: Tata Steel's Transition Towards Lower-Carbon Steel</w:t>
      </w:r>
      <w:bookmarkEnd w:id="0"/>
    </w:p>
    <w:p w14:paraId="10C7B860" w14:textId="3FD82FDA" w:rsidR="002F7E34" w:rsidRPr="00D6537B" w:rsidRDefault="004E21CA" w:rsidP="00D6537B">
      <w:pPr>
        <w:spacing w:before="100" w:beforeAutospacing="1" w:after="100" w:afterAutospacing="1" w:line="360" w:lineRule="auto"/>
        <w:jc w:val="both"/>
        <w:outlineLvl w:val="1"/>
        <w:rPr>
          <w:rFonts w:ascii="Arial" w:eastAsia="Times New Roman" w:hAnsi="Arial" w:cs="Arial"/>
          <w:b/>
          <w:bCs/>
          <w:sz w:val="24"/>
          <w:szCs w:val="24"/>
          <w:lang w:eastAsia="en-IN"/>
        </w:rPr>
      </w:pPr>
      <w:bookmarkStart w:id="1" w:name="_Toc235475837"/>
      <w:r>
        <w:rPr>
          <w:rFonts w:ascii="Arial" w:eastAsia="Times New Roman" w:hAnsi="Arial" w:cs="Arial"/>
          <w:b/>
          <w:bCs/>
          <w:sz w:val="24"/>
          <w:szCs w:val="24"/>
          <w:lang w:eastAsia="en-IN"/>
        </w:rPr>
        <w:t>1</w:t>
      </w:r>
      <w:r w:rsidR="002F7E34" w:rsidRPr="00D6537B">
        <w:rPr>
          <w:rFonts w:ascii="Arial" w:eastAsia="Times New Roman" w:hAnsi="Arial" w:cs="Arial"/>
          <w:b/>
          <w:bCs/>
          <w:sz w:val="24"/>
          <w:szCs w:val="24"/>
          <w:lang w:eastAsia="en-IN"/>
        </w:rPr>
        <w:t>.1 Company Context and Environmental Transition</w:t>
      </w:r>
      <w:bookmarkEnd w:id="1"/>
    </w:p>
    <w:p w14:paraId="58F905A7" w14:textId="4E22AB85" w:rsidR="002F7E34" w:rsidRPr="00D6537B" w:rsidRDefault="00EE02A7" w:rsidP="00D6537B">
      <w:pPr>
        <w:spacing w:before="100" w:beforeAutospacing="1" w:after="100" w:afterAutospacing="1" w:line="360" w:lineRule="auto"/>
        <w:jc w:val="both"/>
        <w:rPr>
          <w:rFonts w:ascii="Arial" w:eastAsia="Times New Roman" w:hAnsi="Arial" w:cs="Arial"/>
          <w:sz w:val="24"/>
          <w:szCs w:val="24"/>
          <w:lang w:eastAsia="en-IN"/>
        </w:rPr>
      </w:pPr>
      <w:r w:rsidRPr="00D6537B">
        <w:rPr>
          <w:rFonts w:ascii="Arial" w:eastAsia="Times New Roman" w:hAnsi="Arial" w:cs="Arial"/>
          <w:sz w:val="24"/>
          <w:szCs w:val="24"/>
          <w:lang w:eastAsia="en-IN"/>
        </w:rPr>
        <w:t xml:space="preserve">Tata Steel illustrates how external environmental pressures are driving the transition to lower-carbon steel. As a major supplier to the construction, automotive, and engineering industries, the company faces increasing pressure to reduce carbon emissions associated with conventional steelmaking. The </w:t>
      </w:r>
      <w:r w:rsidRPr="00D6537B">
        <w:rPr>
          <w:rFonts w:ascii="Arial" w:eastAsia="Times New Roman" w:hAnsi="Arial" w:cs="Arial"/>
          <w:b/>
          <w:bCs/>
          <w:sz w:val="24"/>
          <w:szCs w:val="24"/>
          <w:lang w:eastAsia="en-IN"/>
        </w:rPr>
        <w:t>Natural Environment</w:t>
      </w:r>
      <w:r w:rsidRPr="00D6537B">
        <w:rPr>
          <w:rFonts w:ascii="Arial" w:eastAsia="Times New Roman" w:hAnsi="Arial" w:cs="Arial"/>
          <w:sz w:val="24"/>
          <w:szCs w:val="24"/>
          <w:lang w:eastAsia="en-IN"/>
        </w:rPr>
        <w:t xml:space="preserve"> has made decarbonisation a strategic priority, while the </w:t>
      </w:r>
      <w:r w:rsidRPr="00D6537B">
        <w:rPr>
          <w:rFonts w:ascii="Arial" w:eastAsia="Times New Roman" w:hAnsi="Arial" w:cs="Arial"/>
          <w:b/>
          <w:bCs/>
          <w:sz w:val="24"/>
          <w:szCs w:val="24"/>
          <w:lang w:eastAsia="en-IN"/>
        </w:rPr>
        <w:t>Technological Environment</w:t>
      </w:r>
      <w:r w:rsidRPr="00D6537B">
        <w:rPr>
          <w:rFonts w:ascii="Arial" w:eastAsia="Times New Roman" w:hAnsi="Arial" w:cs="Arial"/>
          <w:sz w:val="24"/>
          <w:szCs w:val="24"/>
          <w:lang w:eastAsia="en-IN"/>
        </w:rPr>
        <w:t xml:space="preserve"> enables this transition through cleaner production methods. Tata Steel's £1.25 billion investment in an electric arc furnace (EAF) at Port Talbot is expected to reduce site carbon emissions by around 90% (Tata Steel, 2025). This investment supports sustainability while creating opportunities for product differentiation and long-term competitiveness</w:t>
      </w:r>
      <w:r w:rsidR="002F7E34" w:rsidRPr="00D6537B">
        <w:rPr>
          <w:rFonts w:ascii="Arial" w:eastAsia="Times New Roman" w:hAnsi="Arial" w:cs="Arial"/>
          <w:sz w:val="24"/>
          <w:szCs w:val="24"/>
          <w:lang w:eastAsia="en-IN"/>
        </w:rPr>
        <w:t>.</w:t>
      </w:r>
    </w:p>
    <w:p w14:paraId="645ABC25" w14:textId="0A99EDDD" w:rsidR="002F7E34" w:rsidRPr="00D6537B" w:rsidRDefault="004E21CA" w:rsidP="00D6537B">
      <w:pPr>
        <w:spacing w:before="100" w:beforeAutospacing="1" w:after="100" w:afterAutospacing="1" w:line="360" w:lineRule="auto"/>
        <w:jc w:val="both"/>
        <w:outlineLvl w:val="1"/>
        <w:rPr>
          <w:rFonts w:ascii="Arial" w:eastAsia="Times New Roman" w:hAnsi="Arial" w:cs="Arial"/>
          <w:b/>
          <w:bCs/>
          <w:sz w:val="24"/>
          <w:szCs w:val="24"/>
          <w:lang w:eastAsia="en-IN"/>
        </w:rPr>
      </w:pPr>
      <w:bookmarkStart w:id="2" w:name="_Toc235475838"/>
      <w:r>
        <w:rPr>
          <w:rFonts w:ascii="Arial" w:eastAsia="Times New Roman" w:hAnsi="Arial" w:cs="Arial"/>
          <w:b/>
          <w:bCs/>
          <w:sz w:val="24"/>
          <w:szCs w:val="24"/>
          <w:lang w:eastAsia="en-IN"/>
        </w:rPr>
        <w:t>1</w:t>
      </w:r>
      <w:r w:rsidR="002F7E34" w:rsidRPr="00D6537B">
        <w:rPr>
          <w:rFonts w:ascii="Arial" w:eastAsia="Times New Roman" w:hAnsi="Arial" w:cs="Arial"/>
          <w:b/>
          <w:bCs/>
          <w:sz w:val="24"/>
          <w:szCs w:val="24"/>
          <w:lang w:eastAsia="en-IN"/>
        </w:rPr>
        <w:t>.2 Natural Environment: Climate Change and Decarbonisation Pressure</w:t>
      </w:r>
      <w:bookmarkEnd w:id="2"/>
    </w:p>
    <w:p w14:paraId="07F0C78A" w14:textId="33EA004E" w:rsidR="002F7E34" w:rsidRPr="00D6537B" w:rsidRDefault="00EE02A7" w:rsidP="00D6537B">
      <w:pPr>
        <w:spacing w:before="100" w:beforeAutospacing="1" w:after="100" w:afterAutospacing="1" w:line="360" w:lineRule="auto"/>
        <w:jc w:val="both"/>
        <w:rPr>
          <w:rFonts w:ascii="Arial" w:eastAsia="Times New Roman" w:hAnsi="Arial" w:cs="Arial"/>
          <w:sz w:val="24"/>
          <w:szCs w:val="24"/>
          <w:lang w:eastAsia="en-IN"/>
        </w:rPr>
      </w:pPr>
      <w:r w:rsidRPr="00D6537B">
        <w:rPr>
          <w:rFonts w:ascii="Arial" w:eastAsia="Times New Roman" w:hAnsi="Arial" w:cs="Arial"/>
          <w:sz w:val="24"/>
          <w:szCs w:val="24"/>
          <w:lang w:eastAsia="en-IN"/>
        </w:rPr>
        <w:t xml:space="preserve">The </w:t>
      </w:r>
      <w:r w:rsidRPr="00D6537B">
        <w:rPr>
          <w:rFonts w:ascii="Arial" w:eastAsia="Times New Roman" w:hAnsi="Arial" w:cs="Arial"/>
          <w:b/>
          <w:bCs/>
          <w:sz w:val="24"/>
          <w:szCs w:val="24"/>
          <w:lang w:eastAsia="en-IN"/>
        </w:rPr>
        <w:t>Natural Environment</w:t>
      </w:r>
      <w:r w:rsidRPr="00D6537B">
        <w:rPr>
          <w:rFonts w:ascii="Arial" w:eastAsia="Times New Roman" w:hAnsi="Arial" w:cs="Arial"/>
          <w:sz w:val="24"/>
          <w:szCs w:val="24"/>
          <w:lang w:eastAsia="en-IN"/>
        </w:rPr>
        <w:t xml:space="preserve"> is the most significant external pressure on Tata Steel because climate change has increased scrutiny of carbon-intensive steel production. Decarbonisation requires major technological and financial investment rather than minor operational improvements. This pressure also affects marketing, as industrial customers increasingly consider the carbon intensity of materials when making purchasing decisions and pursuing sustainability goals. As a result, Tata Steel's environmental performance influences both its reputation and product competitiveness within low-carbon supply chains. Investing in lower-carbon steel enables the company to reduce environmental risks while creating products that support customers' decarbonisation objectives. Consequently, sustainability has evolved from a compliance requirement into a source of customer value and competitive advantage for Tata Steel</w:t>
      </w:r>
      <w:r w:rsidR="002F7E34" w:rsidRPr="00D6537B">
        <w:rPr>
          <w:rFonts w:ascii="Arial" w:eastAsia="Times New Roman" w:hAnsi="Arial" w:cs="Arial"/>
          <w:sz w:val="24"/>
          <w:szCs w:val="24"/>
          <w:lang w:eastAsia="en-IN"/>
        </w:rPr>
        <w:t>.</w:t>
      </w:r>
    </w:p>
    <w:p w14:paraId="648EABAE" w14:textId="14694CD4" w:rsidR="00D6537B" w:rsidRDefault="004E21CA" w:rsidP="00D6537B">
      <w:pPr>
        <w:spacing w:before="100" w:beforeAutospacing="1" w:after="100" w:afterAutospacing="1" w:line="360" w:lineRule="auto"/>
        <w:jc w:val="both"/>
        <w:outlineLvl w:val="1"/>
        <w:rPr>
          <w:rFonts w:ascii="Arial" w:eastAsia="Times New Roman" w:hAnsi="Arial" w:cs="Arial"/>
          <w:b/>
          <w:bCs/>
          <w:sz w:val="24"/>
          <w:szCs w:val="24"/>
          <w:lang w:eastAsia="en-IN"/>
        </w:rPr>
      </w:pPr>
      <w:bookmarkStart w:id="3" w:name="_Toc235475839"/>
      <w:r>
        <w:rPr>
          <w:rFonts w:ascii="Arial" w:eastAsia="Times New Roman" w:hAnsi="Arial" w:cs="Arial"/>
          <w:b/>
          <w:bCs/>
          <w:sz w:val="24"/>
          <w:szCs w:val="24"/>
          <w:lang w:eastAsia="en-IN"/>
        </w:rPr>
        <w:t>1</w:t>
      </w:r>
      <w:r w:rsidR="002F7E34" w:rsidRPr="00D6537B">
        <w:rPr>
          <w:rFonts w:ascii="Arial" w:eastAsia="Times New Roman" w:hAnsi="Arial" w:cs="Arial"/>
          <w:b/>
          <w:bCs/>
          <w:sz w:val="24"/>
          <w:szCs w:val="24"/>
          <w:lang w:eastAsia="en-IN"/>
        </w:rPr>
        <w:t>.3 Natural Environment: Threats to Tata Steel</w:t>
      </w:r>
      <w:bookmarkEnd w:id="3"/>
    </w:p>
    <w:p w14:paraId="611ABFEE" w14:textId="43530FB7" w:rsidR="002F7E34" w:rsidRPr="004E21CA" w:rsidRDefault="002F7E34" w:rsidP="004E21CA">
      <w:pPr>
        <w:spacing w:before="100" w:beforeAutospacing="1" w:after="100" w:afterAutospacing="1" w:line="360" w:lineRule="auto"/>
        <w:jc w:val="both"/>
        <w:rPr>
          <w:rFonts w:ascii="Arial" w:eastAsia="Times New Roman" w:hAnsi="Arial" w:cs="Arial"/>
          <w:sz w:val="24"/>
          <w:szCs w:val="24"/>
          <w:lang w:eastAsia="en-IN"/>
        </w:rPr>
      </w:pPr>
      <w:r w:rsidRPr="004E21CA">
        <w:rPr>
          <w:rFonts w:ascii="Arial" w:eastAsia="Times New Roman" w:hAnsi="Arial" w:cs="Arial"/>
          <w:sz w:val="24"/>
          <w:szCs w:val="24"/>
          <w:lang w:eastAsia="en-IN"/>
        </w:rPr>
        <w:t xml:space="preserve">The Natural Environment also creates substantial threats for Tata Steel. The transition away from carbon-intensive steelmaking requires significant investment, while failure </w:t>
      </w:r>
      <w:r w:rsidRPr="004E21CA">
        <w:rPr>
          <w:rFonts w:ascii="Arial" w:eastAsia="Times New Roman" w:hAnsi="Arial" w:cs="Arial"/>
          <w:sz w:val="24"/>
          <w:szCs w:val="24"/>
          <w:lang w:eastAsia="en-IN"/>
        </w:rPr>
        <w:lastRenderedPageBreak/>
        <w:t>to reduce emissions may expose the company to increasing stakeholder scrutiny and the risk of losing competitiveness as customers seek lower-carbon materials. The challenge is particularly significant because decarbonisation can increase short-term costs before the commercial benefits of lower-carbon production are fully realised. Tata Steel's Port Talbot transformation illustrates the scale of this challenge, involving a £1.25 billion investment in EAF steelmaking, supported by £500 million in UK Government funding (Tata Steel, 2024). Although this investment may reduce long-term environmental exposure, it also demonstrates that the transition requires considerable financial resources and organisational change. Therefore, climate change represents a strategic threat not simply because Tata Steel must reduce emissions, but because the cost, speed and credibility of its transition may influence its future competitive position.</w:t>
      </w:r>
    </w:p>
    <w:p w14:paraId="5A41FE3A" w14:textId="46D2879C" w:rsidR="002F7E34" w:rsidRPr="00D6537B" w:rsidRDefault="004E21CA" w:rsidP="00D6537B">
      <w:pPr>
        <w:spacing w:before="100" w:beforeAutospacing="1" w:after="100" w:afterAutospacing="1" w:line="360" w:lineRule="auto"/>
        <w:jc w:val="both"/>
        <w:outlineLvl w:val="1"/>
        <w:rPr>
          <w:rFonts w:ascii="Arial" w:eastAsia="Times New Roman" w:hAnsi="Arial" w:cs="Arial"/>
          <w:b/>
          <w:bCs/>
          <w:sz w:val="24"/>
          <w:szCs w:val="24"/>
          <w:lang w:eastAsia="en-IN"/>
        </w:rPr>
      </w:pPr>
      <w:bookmarkStart w:id="4" w:name="_Toc235475840"/>
      <w:r>
        <w:rPr>
          <w:rFonts w:ascii="Arial" w:eastAsia="Times New Roman" w:hAnsi="Arial" w:cs="Arial"/>
          <w:b/>
          <w:bCs/>
          <w:sz w:val="24"/>
          <w:szCs w:val="24"/>
          <w:lang w:eastAsia="en-IN"/>
        </w:rPr>
        <w:t>1</w:t>
      </w:r>
      <w:r w:rsidR="002F7E34" w:rsidRPr="00D6537B">
        <w:rPr>
          <w:rFonts w:ascii="Arial" w:eastAsia="Times New Roman" w:hAnsi="Arial" w:cs="Arial"/>
          <w:b/>
          <w:bCs/>
          <w:sz w:val="24"/>
          <w:szCs w:val="24"/>
          <w:lang w:eastAsia="en-IN"/>
        </w:rPr>
        <w:t>.4 Natural Environment: Opportunities for Lower-Carbon Product Development</w:t>
      </w:r>
      <w:bookmarkEnd w:id="4"/>
    </w:p>
    <w:p w14:paraId="30C2DF12" w14:textId="0848321E" w:rsidR="002F7E34" w:rsidRPr="00D6537B" w:rsidRDefault="00EE02A7" w:rsidP="00D6537B">
      <w:pPr>
        <w:spacing w:before="100" w:beforeAutospacing="1" w:after="100" w:afterAutospacing="1" w:line="360" w:lineRule="auto"/>
        <w:jc w:val="both"/>
        <w:rPr>
          <w:rFonts w:ascii="Arial" w:eastAsia="Times New Roman" w:hAnsi="Arial" w:cs="Arial"/>
          <w:sz w:val="24"/>
          <w:szCs w:val="24"/>
          <w:lang w:eastAsia="en-IN"/>
        </w:rPr>
      </w:pPr>
      <w:r w:rsidRPr="00D6537B">
        <w:rPr>
          <w:rFonts w:ascii="Arial" w:eastAsia="Times New Roman" w:hAnsi="Arial" w:cs="Arial"/>
          <w:sz w:val="24"/>
          <w:szCs w:val="24"/>
          <w:lang w:eastAsia="en-IN"/>
        </w:rPr>
        <w:t xml:space="preserve">However, environmental pressure also creates opportunities for Tata Steel. Growing demand for lower-carbon materials enables the company to differentiate its products as industrial customers seek to reduce emissions across their supply chains. This allows Tata Steel to compete not only on price, quality, and production capacity but also on verified environmental performance. Products such as </w:t>
      </w:r>
      <w:proofErr w:type="spellStart"/>
      <w:r w:rsidRPr="00D6537B">
        <w:rPr>
          <w:rFonts w:ascii="Arial" w:eastAsia="Times New Roman" w:hAnsi="Arial" w:cs="Arial"/>
          <w:b/>
          <w:bCs/>
          <w:sz w:val="24"/>
          <w:szCs w:val="24"/>
          <w:lang w:eastAsia="en-IN"/>
        </w:rPr>
        <w:t>Zeremis</w:t>
      </w:r>
      <w:proofErr w:type="spellEnd"/>
      <w:r w:rsidRPr="00D6537B">
        <w:rPr>
          <w:rFonts w:ascii="Arial" w:eastAsia="Times New Roman" w:hAnsi="Arial" w:cs="Arial"/>
          <w:b/>
          <w:bCs/>
          <w:sz w:val="24"/>
          <w:szCs w:val="24"/>
          <w:lang w:eastAsia="en-IN"/>
        </w:rPr>
        <w:t xml:space="preserve"> Carbon Lite</w:t>
      </w:r>
      <w:r w:rsidRPr="00D6537B">
        <w:rPr>
          <w:rFonts w:ascii="Arial" w:eastAsia="Times New Roman" w:hAnsi="Arial" w:cs="Arial"/>
          <w:sz w:val="24"/>
          <w:szCs w:val="24"/>
          <w:lang w:eastAsia="en-IN"/>
        </w:rPr>
        <w:t xml:space="preserve"> demonstrate this strategy by offering lower-carbon steel supported by independent validation and carbon-saving claims. From a marketing perspective, sustainability becomes part of the product's value proposition when environmental benefits are credible and transparent. However, customers may not always be willing to pay a premium for lower-carbon steel, particularly during economic uncertainty. Therefore, Tata Steel's success depends on converting environmental improvements into clear, customer-recognised value and competitive advantage</w:t>
      </w:r>
      <w:r w:rsidR="002F7E34" w:rsidRPr="00D6537B">
        <w:rPr>
          <w:rFonts w:ascii="Arial" w:eastAsia="Times New Roman" w:hAnsi="Arial" w:cs="Arial"/>
          <w:sz w:val="24"/>
          <w:szCs w:val="24"/>
          <w:lang w:eastAsia="en-IN"/>
        </w:rPr>
        <w:t>.</w:t>
      </w:r>
    </w:p>
    <w:p w14:paraId="3EF493E0" w14:textId="1AB41A91" w:rsidR="002F7E34" w:rsidRPr="00D6537B" w:rsidRDefault="004E21CA" w:rsidP="00D6537B">
      <w:pPr>
        <w:spacing w:before="100" w:beforeAutospacing="1" w:after="100" w:afterAutospacing="1" w:line="360" w:lineRule="auto"/>
        <w:jc w:val="both"/>
        <w:outlineLvl w:val="1"/>
        <w:rPr>
          <w:rFonts w:ascii="Arial" w:eastAsia="Times New Roman" w:hAnsi="Arial" w:cs="Arial"/>
          <w:b/>
          <w:bCs/>
          <w:sz w:val="24"/>
          <w:szCs w:val="24"/>
          <w:lang w:eastAsia="en-IN"/>
        </w:rPr>
      </w:pPr>
      <w:bookmarkStart w:id="5" w:name="_Toc235475841"/>
      <w:r>
        <w:rPr>
          <w:rFonts w:ascii="Arial" w:eastAsia="Times New Roman" w:hAnsi="Arial" w:cs="Arial"/>
          <w:b/>
          <w:bCs/>
          <w:sz w:val="24"/>
          <w:szCs w:val="24"/>
          <w:lang w:eastAsia="en-IN"/>
        </w:rPr>
        <w:t>1</w:t>
      </w:r>
      <w:r w:rsidR="002F7E34" w:rsidRPr="00D6537B">
        <w:rPr>
          <w:rFonts w:ascii="Arial" w:eastAsia="Times New Roman" w:hAnsi="Arial" w:cs="Arial"/>
          <w:b/>
          <w:bCs/>
          <w:sz w:val="24"/>
          <w:szCs w:val="24"/>
          <w:lang w:eastAsia="en-IN"/>
        </w:rPr>
        <w:t>.5 Technological Environment: Technology as an Enabler of Decarbonisation</w:t>
      </w:r>
      <w:bookmarkEnd w:id="5"/>
    </w:p>
    <w:p w14:paraId="47D9C627" w14:textId="72420B36" w:rsidR="002F7E34" w:rsidRPr="00D6537B" w:rsidRDefault="00EE02A7" w:rsidP="00D6537B">
      <w:pPr>
        <w:spacing w:before="100" w:beforeAutospacing="1" w:after="100" w:afterAutospacing="1" w:line="360" w:lineRule="auto"/>
        <w:jc w:val="both"/>
        <w:rPr>
          <w:rFonts w:ascii="Arial" w:eastAsia="Times New Roman" w:hAnsi="Arial" w:cs="Arial"/>
          <w:sz w:val="24"/>
          <w:szCs w:val="24"/>
          <w:lang w:eastAsia="en-IN"/>
        </w:rPr>
      </w:pPr>
      <w:r w:rsidRPr="00D6537B">
        <w:rPr>
          <w:rFonts w:ascii="Arial" w:eastAsia="Times New Roman" w:hAnsi="Arial" w:cs="Arial"/>
          <w:sz w:val="24"/>
          <w:szCs w:val="24"/>
          <w:lang w:eastAsia="en-IN"/>
        </w:rPr>
        <w:t xml:space="preserve">The </w:t>
      </w:r>
      <w:r w:rsidRPr="00D6537B">
        <w:rPr>
          <w:rFonts w:ascii="Arial" w:eastAsia="Times New Roman" w:hAnsi="Arial" w:cs="Arial"/>
          <w:b/>
          <w:bCs/>
          <w:sz w:val="24"/>
          <w:szCs w:val="24"/>
          <w:lang w:eastAsia="en-IN"/>
        </w:rPr>
        <w:t>Technological Environment</w:t>
      </w:r>
      <w:r w:rsidRPr="00D6537B">
        <w:rPr>
          <w:rFonts w:ascii="Arial" w:eastAsia="Times New Roman" w:hAnsi="Arial" w:cs="Arial"/>
          <w:sz w:val="24"/>
          <w:szCs w:val="24"/>
          <w:lang w:eastAsia="en-IN"/>
        </w:rPr>
        <w:t xml:space="preserve"> is another key influence on Tata Steel's transition to lower-carbon products. Technological innovation is essential because reducing carbon emissions requires changes to production processes rather than marketing alone. Tata Steel's planned electric arc furnace (EAF) at Port Talbot represents a significant shift from traditional blast furnace steelmaking. Using scrap steel as a key </w:t>
      </w:r>
      <w:r w:rsidRPr="00D6537B">
        <w:rPr>
          <w:rFonts w:ascii="Arial" w:eastAsia="Times New Roman" w:hAnsi="Arial" w:cs="Arial"/>
          <w:sz w:val="24"/>
          <w:szCs w:val="24"/>
          <w:lang w:eastAsia="en-IN"/>
        </w:rPr>
        <w:lastRenderedPageBreak/>
        <w:t>input, the EAF is expected to reduce site carbon emissions by around 90% (Tata Steel, 2025). This investment strengthens Tata Steel's ability to offer lower-carbon steel products and improve its competitive position. However, technology alone does not guarantee success; it must be reliable, commercially viable, and supported by credible environmental evidence to deliver meaningful value for customers</w:t>
      </w:r>
      <w:r w:rsidR="002F7E34" w:rsidRPr="00D6537B">
        <w:rPr>
          <w:rFonts w:ascii="Arial" w:eastAsia="Times New Roman" w:hAnsi="Arial" w:cs="Arial"/>
          <w:sz w:val="24"/>
          <w:szCs w:val="24"/>
          <w:lang w:eastAsia="en-IN"/>
        </w:rPr>
        <w:t>.</w:t>
      </w:r>
    </w:p>
    <w:p w14:paraId="08938E7A" w14:textId="671E6E5D" w:rsidR="002F7E34" w:rsidRPr="00D6537B" w:rsidRDefault="004E21CA" w:rsidP="00D6537B">
      <w:pPr>
        <w:spacing w:before="100" w:beforeAutospacing="1" w:after="100" w:afterAutospacing="1" w:line="360" w:lineRule="auto"/>
        <w:jc w:val="both"/>
        <w:outlineLvl w:val="1"/>
        <w:rPr>
          <w:rFonts w:ascii="Arial" w:eastAsia="Times New Roman" w:hAnsi="Arial" w:cs="Arial"/>
          <w:b/>
          <w:bCs/>
          <w:sz w:val="24"/>
          <w:szCs w:val="24"/>
          <w:lang w:eastAsia="en-IN"/>
        </w:rPr>
      </w:pPr>
      <w:bookmarkStart w:id="6" w:name="_Toc235475842"/>
      <w:r>
        <w:rPr>
          <w:rFonts w:ascii="Arial" w:eastAsia="Times New Roman" w:hAnsi="Arial" w:cs="Arial"/>
          <w:b/>
          <w:bCs/>
          <w:sz w:val="24"/>
          <w:szCs w:val="24"/>
          <w:lang w:eastAsia="en-IN"/>
        </w:rPr>
        <w:t>1</w:t>
      </w:r>
      <w:r w:rsidR="002F7E34" w:rsidRPr="00D6537B">
        <w:rPr>
          <w:rFonts w:ascii="Arial" w:eastAsia="Times New Roman" w:hAnsi="Arial" w:cs="Arial"/>
          <w:b/>
          <w:bCs/>
          <w:sz w:val="24"/>
          <w:szCs w:val="24"/>
          <w:lang w:eastAsia="en-IN"/>
        </w:rPr>
        <w:t>.6 Technological Environment: Opportunities and Limitations</w:t>
      </w:r>
      <w:bookmarkEnd w:id="6"/>
    </w:p>
    <w:p w14:paraId="1FCD9CAA" w14:textId="77777777" w:rsidR="002F7E34" w:rsidRPr="00D6537B" w:rsidRDefault="002F7E34" w:rsidP="00D6537B">
      <w:pPr>
        <w:spacing w:before="100" w:beforeAutospacing="1" w:after="100" w:afterAutospacing="1" w:line="360" w:lineRule="auto"/>
        <w:jc w:val="both"/>
        <w:rPr>
          <w:rFonts w:ascii="Arial" w:eastAsia="Times New Roman" w:hAnsi="Arial" w:cs="Arial"/>
          <w:sz w:val="24"/>
          <w:szCs w:val="24"/>
          <w:lang w:eastAsia="en-IN"/>
        </w:rPr>
      </w:pPr>
      <w:r w:rsidRPr="00D6537B">
        <w:rPr>
          <w:rFonts w:ascii="Arial" w:eastAsia="Times New Roman" w:hAnsi="Arial" w:cs="Arial"/>
          <w:sz w:val="24"/>
          <w:szCs w:val="24"/>
          <w:lang w:eastAsia="en-IN"/>
        </w:rPr>
        <w:t>Despite its potential, the Technological Environment also creates significant challenges. EAF-based production requires substantial capital expenditure, access to suitable electricity infrastructure and an adequate supply of scrap steel. Research on the European steel transition suggests that the expansion of EAF capacity could make scrap metal a strategically important resource and require significant restructuring of supply networks (Klimek et al., 2024). Similarly, industrial decarbonisation is closely connected to wider energy-system capacity because increased electrification can raise demand for electricity and low-carbon energy infrastructure (</w:t>
      </w:r>
      <w:proofErr w:type="spellStart"/>
      <w:r w:rsidRPr="00D6537B">
        <w:rPr>
          <w:rFonts w:ascii="Arial" w:eastAsia="Times New Roman" w:hAnsi="Arial" w:cs="Arial"/>
          <w:sz w:val="24"/>
          <w:szCs w:val="24"/>
          <w:lang w:eastAsia="en-IN"/>
        </w:rPr>
        <w:t>Raillard-Cazanove</w:t>
      </w:r>
      <w:proofErr w:type="spellEnd"/>
      <w:r w:rsidRPr="00D6537B">
        <w:rPr>
          <w:rFonts w:ascii="Arial" w:eastAsia="Times New Roman" w:hAnsi="Arial" w:cs="Arial"/>
          <w:sz w:val="24"/>
          <w:szCs w:val="24"/>
          <w:lang w:eastAsia="en-IN"/>
        </w:rPr>
        <w:t xml:space="preserve">, </w:t>
      </w:r>
      <w:proofErr w:type="spellStart"/>
      <w:r w:rsidRPr="00D6537B">
        <w:rPr>
          <w:rFonts w:ascii="Arial" w:eastAsia="Times New Roman" w:hAnsi="Arial" w:cs="Arial"/>
          <w:sz w:val="24"/>
          <w:szCs w:val="24"/>
          <w:lang w:eastAsia="en-IN"/>
        </w:rPr>
        <w:t>Knibiehly</w:t>
      </w:r>
      <w:proofErr w:type="spellEnd"/>
      <w:r w:rsidRPr="00D6537B">
        <w:rPr>
          <w:rFonts w:ascii="Arial" w:eastAsia="Times New Roman" w:hAnsi="Arial" w:cs="Arial"/>
          <w:sz w:val="24"/>
          <w:szCs w:val="24"/>
          <w:lang w:eastAsia="en-IN"/>
        </w:rPr>
        <w:t xml:space="preserve"> and Girard, 2024). This means that Tata Steel's technological transition cannot be assessed solely in terms of the availability of an EAF. Its success also depends on the wider ecosystem of energy supply, infrastructure and raw-material availability. Consequently, technological innovation creates a significant opportunity for lower-carbon product development, but infrastructure dependence and resource constraints may limit the speed and scale at which the opportunity can be commercially realised.</w:t>
      </w:r>
    </w:p>
    <w:p w14:paraId="2DFFDE08" w14:textId="721D1D43" w:rsidR="002F7E34" w:rsidRPr="00D6537B" w:rsidRDefault="004E21CA" w:rsidP="00D6537B">
      <w:pPr>
        <w:spacing w:before="100" w:beforeAutospacing="1" w:after="100" w:afterAutospacing="1" w:line="360" w:lineRule="auto"/>
        <w:jc w:val="both"/>
        <w:outlineLvl w:val="1"/>
        <w:rPr>
          <w:rFonts w:ascii="Arial" w:eastAsia="Times New Roman" w:hAnsi="Arial" w:cs="Arial"/>
          <w:b/>
          <w:bCs/>
          <w:sz w:val="24"/>
          <w:szCs w:val="24"/>
          <w:lang w:eastAsia="en-IN"/>
        </w:rPr>
      </w:pPr>
      <w:bookmarkStart w:id="7" w:name="_Toc235475843"/>
      <w:r>
        <w:rPr>
          <w:rFonts w:ascii="Arial" w:eastAsia="Times New Roman" w:hAnsi="Arial" w:cs="Arial"/>
          <w:b/>
          <w:bCs/>
          <w:sz w:val="24"/>
          <w:szCs w:val="24"/>
          <w:lang w:eastAsia="en-IN"/>
        </w:rPr>
        <w:t>1</w:t>
      </w:r>
      <w:r w:rsidR="002F7E34" w:rsidRPr="00D6537B">
        <w:rPr>
          <w:rFonts w:ascii="Arial" w:eastAsia="Times New Roman" w:hAnsi="Arial" w:cs="Arial"/>
          <w:b/>
          <w:bCs/>
          <w:sz w:val="24"/>
          <w:szCs w:val="24"/>
          <w:lang w:eastAsia="en-IN"/>
        </w:rPr>
        <w:t>.7 Critical Synthesis</w:t>
      </w:r>
      <w:bookmarkEnd w:id="7"/>
    </w:p>
    <w:p w14:paraId="4BF59C31" w14:textId="77777777" w:rsidR="002F7E34" w:rsidRPr="00D6537B" w:rsidRDefault="002F7E34" w:rsidP="00D6537B">
      <w:pPr>
        <w:spacing w:before="100" w:beforeAutospacing="1" w:after="100" w:afterAutospacing="1" w:line="360" w:lineRule="auto"/>
        <w:jc w:val="both"/>
        <w:rPr>
          <w:rFonts w:ascii="Arial" w:eastAsia="Times New Roman" w:hAnsi="Arial" w:cs="Arial"/>
          <w:sz w:val="24"/>
          <w:szCs w:val="24"/>
          <w:lang w:eastAsia="en-IN"/>
        </w:rPr>
      </w:pPr>
      <w:r w:rsidRPr="00D6537B">
        <w:rPr>
          <w:rFonts w:ascii="Arial" w:eastAsia="Times New Roman" w:hAnsi="Arial" w:cs="Arial"/>
          <w:sz w:val="24"/>
          <w:szCs w:val="24"/>
          <w:lang w:eastAsia="en-IN"/>
        </w:rPr>
        <w:t xml:space="preserve">Overall, the Natural and Technological Environments are mutually reinforcing influences on Tata Steel's transition towards lower-carbon products. The Natural Environment creates the fundamental pressure for change by increasing the economic, reputational and strategic consequences of carbon-intensive production. The Technological Environment provides the mechanisms through which Tata Steel can respond, particularly through EAF steelmaking and the development of lower-carbon product offerings. However, the analysis indicates that technology alone will not guarantee competitive success. Tata Steel must convert technological investment into credible environmental performance and customer value while managing the </w:t>
      </w:r>
      <w:r w:rsidRPr="00D6537B">
        <w:rPr>
          <w:rFonts w:ascii="Arial" w:eastAsia="Times New Roman" w:hAnsi="Arial" w:cs="Arial"/>
          <w:sz w:val="24"/>
          <w:szCs w:val="24"/>
          <w:lang w:eastAsia="en-IN"/>
        </w:rPr>
        <w:lastRenderedPageBreak/>
        <w:t>financial and infrastructural challenges of decarbonisation. This creates a clear strategic link to the next stage of the analysis: Tata Steel's ability to develop lower-carbon products suggests that its growth options should be evaluated through the Ansoff Matrix, particularly the potential for Product Development within existing industrial markets.</w:t>
      </w:r>
    </w:p>
    <w:p w14:paraId="2875E1FD" w14:textId="77777777" w:rsidR="002F7E34" w:rsidRPr="00D6537B" w:rsidRDefault="002F7E34" w:rsidP="00D6537B">
      <w:pPr>
        <w:spacing w:line="360" w:lineRule="auto"/>
        <w:jc w:val="both"/>
        <w:rPr>
          <w:rFonts w:ascii="Arial" w:eastAsia="Times New Roman" w:hAnsi="Arial" w:cs="Arial"/>
          <w:sz w:val="24"/>
          <w:szCs w:val="24"/>
          <w:lang w:eastAsia="en-IN"/>
        </w:rPr>
      </w:pPr>
      <w:r w:rsidRPr="00D6537B">
        <w:rPr>
          <w:rFonts w:ascii="Arial" w:eastAsia="Times New Roman" w:hAnsi="Arial" w:cs="Arial"/>
          <w:sz w:val="24"/>
          <w:szCs w:val="24"/>
          <w:lang w:eastAsia="en-IN"/>
        </w:rPr>
        <w:br w:type="page"/>
      </w:r>
    </w:p>
    <w:p w14:paraId="4D6B66C0" w14:textId="1E592C2D" w:rsidR="002F7E34" w:rsidRPr="00D6537B" w:rsidRDefault="002F7E34" w:rsidP="00D6537B">
      <w:pPr>
        <w:pStyle w:val="Heading1"/>
        <w:spacing w:line="360" w:lineRule="auto"/>
        <w:jc w:val="center"/>
        <w:rPr>
          <w:rFonts w:ascii="Arial" w:hAnsi="Arial" w:cs="Arial"/>
          <w:sz w:val="34"/>
          <w:szCs w:val="34"/>
        </w:rPr>
      </w:pPr>
      <w:bookmarkStart w:id="8" w:name="_Toc235475844"/>
      <w:r w:rsidRPr="00D6537B">
        <w:rPr>
          <w:rFonts w:ascii="Arial" w:hAnsi="Arial" w:cs="Arial"/>
          <w:sz w:val="34"/>
          <w:szCs w:val="34"/>
        </w:rPr>
        <w:lastRenderedPageBreak/>
        <w:t>Strategic Growth and Competitive Positioning</w:t>
      </w:r>
      <w:bookmarkEnd w:id="8"/>
    </w:p>
    <w:p w14:paraId="2C51A44D" w14:textId="175DF763" w:rsidR="002F7E34" w:rsidRPr="00D6537B" w:rsidRDefault="004E21CA" w:rsidP="00D6537B">
      <w:pPr>
        <w:pStyle w:val="Heading2"/>
        <w:spacing w:line="360" w:lineRule="auto"/>
        <w:jc w:val="both"/>
        <w:rPr>
          <w:rFonts w:ascii="Arial" w:hAnsi="Arial" w:cs="Arial"/>
          <w:sz w:val="24"/>
          <w:szCs w:val="24"/>
        </w:rPr>
      </w:pPr>
      <w:bookmarkStart w:id="9" w:name="_Toc235475845"/>
      <w:r>
        <w:rPr>
          <w:rFonts w:ascii="Arial" w:hAnsi="Arial" w:cs="Arial"/>
          <w:sz w:val="24"/>
          <w:szCs w:val="24"/>
        </w:rPr>
        <w:t>2</w:t>
      </w:r>
      <w:r w:rsidR="002F7E34" w:rsidRPr="00D6537B">
        <w:rPr>
          <w:rFonts w:ascii="Arial" w:hAnsi="Arial" w:cs="Arial"/>
          <w:sz w:val="24"/>
          <w:szCs w:val="24"/>
        </w:rPr>
        <w:t>.1 Ansoff Matrix and Strategic Growth Options</w:t>
      </w:r>
      <w:bookmarkEnd w:id="9"/>
    </w:p>
    <w:p w14:paraId="7BAC08FD" w14:textId="215C92B1" w:rsidR="002F7E34" w:rsidRPr="00D6537B" w:rsidRDefault="002F7E34" w:rsidP="00D6537B">
      <w:pPr>
        <w:pStyle w:val="NormalWeb"/>
        <w:spacing w:line="360" w:lineRule="auto"/>
        <w:jc w:val="both"/>
        <w:rPr>
          <w:rFonts w:ascii="Arial" w:hAnsi="Arial" w:cs="Arial"/>
        </w:rPr>
      </w:pPr>
      <w:r w:rsidRPr="00D6537B">
        <w:rPr>
          <w:rFonts w:ascii="Arial" w:hAnsi="Arial" w:cs="Arial"/>
        </w:rPr>
        <w:t>The Ansoff Matrix provides a framework for evaluating organisational growth strategies according to the relationship between existing and new products and markets (Ansoff, 1957). The framework identifies four strategic options: Market Penetration, Market Development, Product Development and Diversification. Market Penetration involves increasing sales of existing products within existing markets and generally represents the lowest level of strategic risk because the organisation operates within familiar product-market conditions. Market Development involves taking existing products into new markets, whereas Product Development involves creating new or improved products for existing markets. Diversification involves entering new markets with new products and therefore generally represents the highest level of uncertainty. For Tata Steel, the Ansoff Matrix is particularly relevant because its growth decisions must be evaluated alongside the environmental and technological pressures associated with decarbonisation. The framework therefore provides a structured basis for assessing how Tata Steel can pursue growth while transitioning towards a lower-carbon business model.</w:t>
      </w:r>
    </w:p>
    <w:p w14:paraId="7197CA51" w14:textId="6263D008" w:rsidR="00D6537B" w:rsidRPr="00D6537B" w:rsidRDefault="00D6537B" w:rsidP="00D6537B">
      <w:pPr>
        <w:pStyle w:val="Caption"/>
        <w:keepNext/>
        <w:jc w:val="center"/>
        <w:rPr>
          <w:sz w:val="24"/>
          <w:szCs w:val="24"/>
        </w:rPr>
      </w:pPr>
      <w:r w:rsidRPr="00D6537B">
        <w:rPr>
          <w:sz w:val="24"/>
          <w:szCs w:val="24"/>
        </w:rPr>
        <w:t xml:space="preserve">Table </w:t>
      </w:r>
      <w:r w:rsidRPr="00D6537B">
        <w:rPr>
          <w:sz w:val="24"/>
          <w:szCs w:val="24"/>
        </w:rPr>
        <w:fldChar w:fldCharType="begin"/>
      </w:r>
      <w:r w:rsidRPr="00D6537B">
        <w:rPr>
          <w:sz w:val="24"/>
          <w:szCs w:val="24"/>
        </w:rPr>
        <w:instrText xml:space="preserve"> SEQ Table \* ARABIC </w:instrText>
      </w:r>
      <w:r w:rsidRPr="00D6537B">
        <w:rPr>
          <w:sz w:val="24"/>
          <w:szCs w:val="24"/>
        </w:rPr>
        <w:fldChar w:fldCharType="separate"/>
      </w:r>
      <w:r w:rsidRPr="00D6537B">
        <w:rPr>
          <w:noProof/>
          <w:sz w:val="24"/>
          <w:szCs w:val="24"/>
        </w:rPr>
        <w:t>1</w:t>
      </w:r>
      <w:r w:rsidRPr="00D6537B">
        <w:rPr>
          <w:sz w:val="24"/>
          <w:szCs w:val="24"/>
        </w:rPr>
        <w:fldChar w:fldCharType="end"/>
      </w:r>
      <w:r w:rsidRPr="00D6537B">
        <w:rPr>
          <w:sz w:val="24"/>
          <w:szCs w:val="24"/>
        </w:rPr>
        <w:t>:Ansoff Matrix Applied to Tata Steel (Source: Adapted from Ansoff (1957))</w:t>
      </w:r>
    </w:p>
    <w:tbl>
      <w:tblPr>
        <w:tblW w:w="9022" w:type="dxa"/>
        <w:tblLook w:val="04A0" w:firstRow="1" w:lastRow="0" w:firstColumn="1" w:lastColumn="0" w:noHBand="0" w:noVBand="1"/>
      </w:tblPr>
      <w:tblGrid>
        <w:gridCol w:w="1400"/>
        <w:gridCol w:w="3830"/>
        <w:gridCol w:w="3792"/>
      </w:tblGrid>
      <w:tr w:rsidR="00D6537B" w:rsidRPr="00D6537B" w14:paraId="18C61687" w14:textId="77777777" w:rsidTr="00D6537B">
        <w:trPr>
          <w:trHeight w:val="568"/>
        </w:trPr>
        <w:tc>
          <w:tcPr>
            <w:tcW w:w="1400" w:type="dxa"/>
            <w:tcBorders>
              <w:top w:val="single" w:sz="4" w:space="0" w:color="auto"/>
              <w:left w:val="single" w:sz="4" w:space="0" w:color="auto"/>
              <w:bottom w:val="single" w:sz="4" w:space="0" w:color="auto"/>
              <w:right w:val="single" w:sz="4" w:space="0" w:color="auto"/>
            </w:tcBorders>
            <w:shd w:val="clear" w:color="000000" w:fill="8EA9DB"/>
            <w:vAlign w:val="center"/>
            <w:hideMark/>
          </w:tcPr>
          <w:p w14:paraId="5481D4CD" w14:textId="77777777" w:rsidR="00D6537B" w:rsidRPr="00D6537B" w:rsidRDefault="00D6537B" w:rsidP="00D6537B">
            <w:pPr>
              <w:spacing w:after="0" w:line="240" w:lineRule="auto"/>
              <w:jc w:val="center"/>
              <w:rPr>
                <w:rFonts w:ascii="Arial" w:eastAsia="Times New Roman" w:hAnsi="Arial" w:cs="Arial"/>
                <w:color w:val="000000"/>
                <w:sz w:val="20"/>
                <w:szCs w:val="20"/>
                <w:lang w:eastAsia="en-IN"/>
              </w:rPr>
            </w:pPr>
            <w:r w:rsidRPr="00D6537B">
              <w:rPr>
                <w:rFonts w:ascii="Arial" w:eastAsia="Times New Roman" w:hAnsi="Arial" w:cs="Arial"/>
                <w:color w:val="000000"/>
                <w:sz w:val="20"/>
                <w:szCs w:val="20"/>
                <w:lang w:eastAsia="en-IN"/>
              </w:rPr>
              <w:t> </w:t>
            </w:r>
          </w:p>
        </w:tc>
        <w:tc>
          <w:tcPr>
            <w:tcW w:w="3830" w:type="dxa"/>
            <w:tcBorders>
              <w:top w:val="single" w:sz="4" w:space="0" w:color="auto"/>
              <w:left w:val="nil"/>
              <w:bottom w:val="single" w:sz="4" w:space="0" w:color="auto"/>
              <w:right w:val="single" w:sz="4" w:space="0" w:color="auto"/>
            </w:tcBorders>
            <w:shd w:val="clear" w:color="000000" w:fill="8EA9DB"/>
            <w:vAlign w:val="center"/>
            <w:hideMark/>
          </w:tcPr>
          <w:p w14:paraId="13CD8C5A" w14:textId="77777777" w:rsidR="00D6537B" w:rsidRPr="00D6537B" w:rsidRDefault="00D6537B" w:rsidP="00D6537B">
            <w:pPr>
              <w:spacing w:after="0" w:line="240" w:lineRule="auto"/>
              <w:jc w:val="center"/>
              <w:rPr>
                <w:rFonts w:ascii="Arial" w:eastAsia="Times New Roman" w:hAnsi="Arial" w:cs="Arial"/>
                <w:b/>
                <w:bCs/>
                <w:color w:val="000000"/>
                <w:sz w:val="20"/>
                <w:szCs w:val="20"/>
                <w:lang w:eastAsia="en-IN"/>
              </w:rPr>
            </w:pPr>
            <w:r w:rsidRPr="00D6537B">
              <w:rPr>
                <w:rFonts w:ascii="Arial" w:eastAsia="Times New Roman" w:hAnsi="Arial" w:cs="Arial"/>
                <w:b/>
                <w:bCs/>
                <w:color w:val="000000"/>
                <w:sz w:val="20"/>
                <w:szCs w:val="20"/>
                <w:lang w:eastAsia="en-IN"/>
              </w:rPr>
              <w:t>Existing Markets</w:t>
            </w:r>
          </w:p>
        </w:tc>
        <w:tc>
          <w:tcPr>
            <w:tcW w:w="3792" w:type="dxa"/>
            <w:tcBorders>
              <w:top w:val="single" w:sz="4" w:space="0" w:color="auto"/>
              <w:left w:val="nil"/>
              <w:bottom w:val="single" w:sz="4" w:space="0" w:color="auto"/>
              <w:right w:val="single" w:sz="4" w:space="0" w:color="auto"/>
            </w:tcBorders>
            <w:shd w:val="clear" w:color="000000" w:fill="8EA9DB"/>
            <w:vAlign w:val="center"/>
            <w:hideMark/>
          </w:tcPr>
          <w:p w14:paraId="4F8E14F0" w14:textId="77777777" w:rsidR="00D6537B" w:rsidRPr="00D6537B" w:rsidRDefault="00D6537B" w:rsidP="00D6537B">
            <w:pPr>
              <w:spacing w:after="0" w:line="240" w:lineRule="auto"/>
              <w:jc w:val="center"/>
              <w:rPr>
                <w:rFonts w:ascii="Arial" w:eastAsia="Times New Roman" w:hAnsi="Arial" w:cs="Arial"/>
                <w:b/>
                <w:bCs/>
                <w:color w:val="000000"/>
                <w:sz w:val="20"/>
                <w:szCs w:val="20"/>
                <w:lang w:eastAsia="en-IN"/>
              </w:rPr>
            </w:pPr>
            <w:r w:rsidRPr="00D6537B">
              <w:rPr>
                <w:rFonts w:ascii="Arial" w:eastAsia="Times New Roman" w:hAnsi="Arial" w:cs="Arial"/>
                <w:b/>
                <w:bCs/>
                <w:color w:val="000000"/>
                <w:sz w:val="20"/>
                <w:szCs w:val="20"/>
                <w:lang w:eastAsia="en-IN"/>
              </w:rPr>
              <w:t>New Markets</w:t>
            </w:r>
          </w:p>
        </w:tc>
      </w:tr>
      <w:tr w:rsidR="00D6537B" w:rsidRPr="00D6537B" w14:paraId="5D7234DE" w14:textId="77777777" w:rsidTr="00D6537B">
        <w:trPr>
          <w:trHeight w:val="568"/>
        </w:trPr>
        <w:tc>
          <w:tcPr>
            <w:tcW w:w="1400" w:type="dxa"/>
            <w:vMerge w:val="restart"/>
            <w:tcBorders>
              <w:top w:val="nil"/>
              <w:left w:val="single" w:sz="4" w:space="0" w:color="auto"/>
              <w:bottom w:val="single" w:sz="4" w:space="0" w:color="000000"/>
              <w:right w:val="single" w:sz="4" w:space="0" w:color="auto"/>
            </w:tcBorders>
            <w:shd w:val="clear" w:color="000000" w:fill="8EA9DB"/>
            <w:vAlign w:val="center"/>
            <w:hideMark/>
          </w:tcPr>
          <w:p w14:paraId="025AFCA2" w14:textId="77777777" w:rsidR="00D6537B" w:rsidRPr="00D6537B" w:rsidRDefault="00D6537B" w:rsidP="00D6537B">
            <w:pPr>
              <w:spacing w:after="0" w:line="240" w:lineRule="auto"/>
              <w:jc w:val="center"/>
              <w:rPr>
                <w:rFonts w:ascii="Arial" w:eastAsia="Times New Roman" w:hAnsi="Arial" w:cs="Arial"/>
                <w:b/>
                <w:bCs/>
                <w:color w:val="000000"/>
                <w:sz w:val="20"/>
                <w:szCs w:val="20"/>
                <w:lang w:eastAsia="en-IN"/>
              </w:rPr>
            </w:pPr>
            <w:r w:rsidRPr="00D6537B">
              <w:rPr>
                <w:rFonts w:ascii="Arial" w:eastAsia="Times New Roman" w:hAnsi="Arial" w:cs="Arial"/>
                <w:b/>
                <w:bCs/>
                <w:color w:val="000000"/>
                <w:sz w:val="20"/>
                <w:szCs w:val="20"/>
                <w:lang w:eastAsia="en-IN"/>
              </w:rPr>
              <w:t>Existing Products</w:t>
            </w:r>
          </w:p>
        </w:tc>
        <w:tc>
          <w:tcPr>
            <w:tcW w:w="3830" w:type="dxa"/>
            <w:tcBorders>
              <w:top w:val="nil"/>
              <w:left w:val="nil"/>
              <w:bottom w:val="single" w:sz="4" w:space="0" w:color="auto"/>
              <w:right w:val="single" w:sz="4" w:space="0" w:color="auto"/>
            </w:tcBorders>
            <w:shd w:val="clear" w:color="000000" w:fill="F4B084"/>
            <w:vAlign w:val="center"/>
            <w:hideMark/>
          </w:tcPr>
          <w:p w14:paraId="779A802E" w14:textId="77777777" w:rsidR="00D6537B" w:rsidRPr="00D6537B" w:rsidRDefault="00D6537B" w:rsidP="00D6537B">
            <w:pPr>
              <w:spacing w:after="0" w:line="240" w:lineRule="auto"/>
              <w:jc w:val="center"/>
              <w:rPr>
                <w:rFonts w:ascii="Arial" w:eastAsia="Times New Roman" w:hAnsi="Arial" w:cs="Arial"/>
                <w:b/>
                <w:bCs/>
                <w:color w:val="000000"/>
                <w:sz w:val="20"/>
                <w:szCs w:val="20"/>
                <w:lang w:eastAsia="en-IN"/>
              </w:rPr>
            </w:pPr>
            <w:r w:rsidRPr="00D6537B">
              <w:rPr>
                <w:rFonts w:ascii="Arial" w:eastAsia="Times New Roman" w:hAnsi="Arial" w:cs="Arial"/>
                <w:b/>
                <w:bCs/>
                <w:color w:val="000000"/>
                <w:sz w:val="20"/>
                <w:szCs w:val="20"/>
                <w:lang w:eastAsia="en-IN"/>
              </w:rPr>
              <w:t>Market Penetration</w:t>
            </w:r>
          </w:p>
        </w:tc>
        <w:tc>
          <w:tcPr>
            <w:tcW w:w="3792" w:type="dxa"/>
            <w:tcBorders>
              <w:top w:val="nil"/>
              <w:left w:val="nil"/>
              <w:bottom w:val="single" w:sz="4" w:space="0" w:color="auto"/>
              <w:right w:val="single" w:sz="4" w:space="0" w:color="auto"/>
            </w:tcBorders>
            <w:shd w:val="clear" w:color="000000" w:fill="F4B084"/>
            <w:vAlign w:val="center"/>
            <w:hideMark/>
          </w:tcPr>
          <w:p w14:paraId="7D3460CB" w14:textId="77777777" w:rsidR="00D6537B" w:rsidRPr="00D6537B" w:rsidRDefault="00D6537B" w:rsidP="00D6537B">
            <w:pPr>
              <w:spacing w:after="0" w:line="240" w:lineRule="auto"/>
              <w:jc w:val="center"/>
              <w:rPr>
                <w:rFonts w:ascii="Arial" w:eastAsia="Times New Roman" w:hAnsi="Arial" w:cs="Arial"/>
                <w:b/>
                <w:bCs/>
                <w:color w:val="000000"/>
                <w:sz w:val="20"/>
                <w:szCs w:val="20"/>
                <w:lang w:eastAsia="en-IN"/>
              </w:rPr>
            </w:pPr>
            <w:r w:rsidRPr="00D6537B">
              <w:rPr>
                <w:rFonts w:ascii="Arial" w:eastAsia="Times New Roman" w:hAnsi="Arial" w:cs="Arial"/>
                <w:b/>
                <w:bCs/>
                <w:color w:val="000000"/>
                <w:sz w:val="20"/>
                <w:szCs w:val="20"/>
                <w:lang w:eastAsia="en-IN"/>
              </w:rPr>
              <w:t>Market Development</w:t>
            </w:r>
          </w:p>
        </w:tc>
      </w:tr>
      <w:tr w:rsidR="00D6537B" w:rsidRPr="00D6537B" w14:paraId="30DC531A" w14:textId="77777777" w:rsidTr="00D6537B">
        <w:trPr>
          <w:trHeight w:val="1448"/>
        </w:trPr>
        <w:tc>
          <w:tcPr>
            <w:tcW w:w="1400" w:type="dxa"/>
            <w:vMerge/>
            <w:tcBorders>
              <w:top w:val="nil"/>
              <w:left w:val="single" w:sz="4" w:space="0" w:color="auto"/>
              <w:bottom w:val="single" w:sz="4" w:space="0" w:color="000000"/>
              <w:right w:val="single" w:sz="4" w:space="0" w:color="auto"/>
            </w:tcBorders>
            <w:vAlign w:val="center"/>
            <w:hideMark/>
          </w:tcPr>
          <w:p w14:paraId="016322DC" w14:textId="77777777" w:rsidR="00D6537B" w:rsidRPr="00D6537B" w:rsidRDefault="00D6537B" w:rsidP="00D6537B">
            <w:pPr>
              <w:spacing w:after="0" w:line="240" w:lineRule="auto"/>
              <w:rPr>
                <w:rFonts w:ascii="Arial" w:eastAsia="Times New Roman" w:hAnsi="Arial" w:cs="Arial"/>
                <w:b/>
                <w:bCs/>
                <w:color w:val="000000"/>
                <w:sz w:val="20"/>
                <w:szCs w:val="20"/>
                <w:lang w:eastAsia="en-IN"/>
              </w:rPr>
            </w:pPr>
          </w:p>
        </w:tc>
        <w:tc>
          <w:tcPr>
            <w:tcW w:w="3830" w:type="dxa"/>
            <w:tcBorders>
              <w:top w:val="nil"/>
              <w:left w:val="nil"/>
              <w:bottom w:val="single" w:sz="4" w:space="0" w:color="auto"/>
              <w:right w:val="single" w:sz="4" w:space="0" w:color="auto"/>
            </w:tcBorders>
            <w:shd w:val="clear" w:color="auto" w:fill="auto"/>
            <w:vAlign w:val="center"/>
            <w:hideMark/>
          </w:tcPr>
          <w:p w14:paraId="533D0F36" w14:textId="77777777" w:rsidR="00D6537B" w:rsidRPr="00D6537B" w:rsidRDefault="00D6537B" w:rsidP="00D6537B">
            <w:pPr>
              <w:spacing w:after="0" w:line="240" w:lineRule="auto"/>
              <w:jc w:val="center"/>
              <w:rPr>
                <w:rFonts w:ascii="Arial" w:eastAsia="Times New Roman" w:hAnsi="Arial" w:cs="Arial"/>
                <w:color w:val="000000"/>
                <w:sz w:val="20"/>
                <w:szCs w:val="20"/>
                <w:lang w:eastAsia="en-IN"/>
              </w:rPr>
            </w:pPr>
            <w:r w:rsidRPr="00D6537B">
              <w:rPr>
                <w:rFonts w:ascii="Arial" w:eastAsia="Times New Roman" w:hAnsi="Arial" w:cs="Arial"/>
                <w:color w:val="000000"/>
                <w:sz w:val="20"/>
                <w:szCs w:val="20"/>
                <w:lang w:eastAsia="en-IN"/>
              </w:rPr>
              <w:t>Increase sales of existing steel products to current industrial customers through stronger customer relationships, service quality and market share growth.</w:t>
            </w:r>
          </w:p>
        </w:tc>
        <w:tc>
          <w:tcPr>
            <w:tcW w:w="3792" w:type="dxa"/>
            <w:tcBorders>
              <w:top w:val="nil"/>
              <w:left w:val="nil"/>
              <w:bottom w:val="single" w:sz="4" w:space="0" w:color="auto"/>
              <w:right w:val="single" w:sz="4" w:space="0" w:color="auto"/>
            </w:tcBorders>
            <w:shd w:val="clear" w:color="auto" w:fill="auto"/>
            <w:vAlign w:val="center"/>
            <w:hideMark/>
          </w:tcPr>
          <w:p w14:paraId="687D7AC9" w14:textId="77777777" w:rsidR="00D6537B" w:rsidRPr="00D6537B" w:rsidRDefault="00D6537B" w:rsidP="00D6537B">
            <w:pPr>
              <w:spacing w:after="0" w:line="240" w:lineRule="auto"/>
              <w:jc w:val="center"/>
              <w:rPr>
                <w:rFonts w:ascii="Arial" w:eastAsia="Times New Roman" w:hAnsi="Arial" w:cs="Arial"/>
                <w:color w:val="000000"/>
                <w:sz w:val="20"/>
                <w:szCs w:val="20"/>
                <w:lang w:eastAsia="en-IN"/>
              </w:rPr>
            </w:pPr>
            <w:r w:rsidRPr="00D6537B">
              <w:rPr>
                <w:rFonts w:ascii="Arial" w:eastAsia="Times New Roman" w:hAnsi="Arial" w:cs="Arial"/>
                <w:color w:val="000000"/>
                <w:sz w:val="20"/>
                <w:szCs w:val="20"/>
                <w:lang w:eastAsia="en-IN"/>
              </w:rPr>
              <w:t>Introduce existing steel products to new geographical markets or customer segments, such as emerging infrastructure and industrial markets.</w:t>
            </w:r>
          </w:p>
        </w:tc>
      </w:tr>
      <w:tr w:rsidR="00D6537B" w:rsidRPr="00D6537B" w14:paraId="68E87AE5" w14:textId="77777777" w:rsidTr="00D6537B">
        <w:trPr>
          <w:trHeight w:val="568"/>
        </w:trPr>
        <w:tc>
          <w:tcPr>
            <w:tcW w:w="1400" w:type="dxa"/>
            <w:vMerge w:val="restart"/>
            <w:tcBorders>
              <w:top w:val="nil"/>
              <w:left w:val="single" w:sz="4" w:space="0" w:color="auto"/>
              <w:bottom w:val="single" w:sz="4" w:space="0" w:color="000000"/>
              <w:right w:val="single" w:sz="4" w:space="0" w:color="auto"/>
            </w:tcBorders>
            <w:shd w:val="clear" w:color="000000" w:fill="8EA9DB"/>
            <w:vAlign w:val="center"/>
            <w:hideMark/>
          </w:tcPr>
          <w:p w14:paraId="0F6CDD5F" w14:textId="77777777" w:rsidR="00D6537B" w:rsidRPr="00D6537B" w:rsidRDefault="00D6537B" w:rsidP="00D6537B">
            <w:pPr>
              <w:spacing w:after="0" w:line="240" w:lineRule="auto"/>
              <w:jc w:val="center"/>
              <w:rPr>
                <w:rFonts w:ascii="Arial" w:eastAsia="Times New Roman" w:hAnsi="Arial" w:cs="Arial"/>
                <w:b/>
                <w:bCs/>
                <w:color w:val="000000"/>
                <w:sz w:val="20"/>
                <w:szCs w:val="20"/>
                <w:lang w:eastAsia="en-IN"/>
              </w:rPr>
            </w:pPr>
            <w:r w:rsidRPr="00D6537B">
              <w:rPr>
                <w:rFonts w:ascii="Arial" w:eastAsia="Times New Roman" w:hAnsi="Arial" w:cs="Arial"/>
                <w:b/>
                <w:bCs/>
                <w:color w:val="000000"/>
                <w:sz w:val="20"/>
                <w:szCs w:val="20"/>
                <w:lang w:eastAsia="en-IN"/>
              </w:rPr>
              <w:t>New Products</w:t>
            </w:r>
          </w:p>
        </w:tc>
        <w:tc>
          <w:tcPr>
            <w:tcW w:w="3830" w:type="dxa"/>
            <w:tcBorders>
              <w:top w:val="nil"/>
              <w:left w:val="nil"/>
              <w:bottom w:val="single" w:sz="4" w:space="0" w:color="auto"/>
              <w:right w:val="single" w:sz="4" w:space="0" w:color="auto"/>
            </w:tcBorders>
            <w:shd w:val="clear" w:color="000000" w:fill="F4B084"/>
            <w:vAlign w:val="center"/>
            <w:hideMark/>
          </w:tcPr>
          <w:p w14:paraId="5E753F94" w14:textId="77777777" w:rsidR="00D6537B" w:rsidRPr="00D6537B" w:rsidRDefault="00D6537B" w:rsidP="00D6537B">
            <w:pPr>
              <w:spacing w:after="0" w:line="240" w:lineRule="auto"/>
              <w:jc w:val="center"/>
              <w:rPr>
                <w:rFonts w:ascii="Arial" w:eastAsia="Times New Roman" w:hAnsi="Arial" w:cs="Arial"/>
                <w:b/>
                <w:bCs/>
                <w:color w:val="000000"/>
                <w:sz w:val="20"/>
                <w:szCs w:val="20"/>
                <w:lang w:eastAsia="en-IN"/>
              </w:rPr>
            </w:pPr>
            <w:r w:rsidRPr="00D6537B">
              <w:rPr>
                <w:rFonts w:ascii="Arial" w:eastAsia="Times New Roman" w:hAnsi="Arial" w:cs="Arial"/>
                <w:b/>
                <w:bCs/>
                <w:color w:val="000000"/>
                <w:sz w:val="20"/>
                <w:szCs w:val="20"/>
                <w:lang w:eastAsia="en-IN"/>
              </w:rPr>
              <w:t>Product Development — Recommended</w:t>
            </w:r>
          </w:p>
        </w:tc>
        <w:tc>
          <w:tcPr>
            <w:tcW w:w="3792" w:type="dxa"/>
            <w:tcBorders>
              <w:top w:val="nil"/>
              <w:left w:val="nil"/>
              <w:bottom w:val="single" w:sz="4" w:space="0" w:color="auto"/>
              <w:right w:val="single" w:sz="4" w:space="0" w:color="auto"/>
            </w:tcBorders>
            <w:shd w:val="clear" w:color="000000" w:fill="F4B084"/>
            <w:vAlign w:val="center"/>
            <w:hideMark/>
          </w:tcPr>
          <w:p w14:paraId="53150833" w14:textId="77777777" w:rsidR="00D6537B" w:rsidRPr="00D6537B" w:rsidRDefault="00D6537B" w:rsidP="00D6537B">
            <w:pPr>
              <w:spacing w:after="0" w:line="240" w:lineRule="auto"/>
              <w:jc w:val="center"/>
              <w:rPr>
                <w:rFonts w:ascii="Arial" w:eastAsia="Times New Roman" w:hAnsi="Arial" w:cs="Arial"/>
                <w:b/>
                <w:bCs/>
                <w:color w:val="000000"/>
                <w:sz w:val="20"/>
                <w:szCs w:val="20"/>
                <w:lang w:eastAsia="en-IN"/>
              </w:rPr>
            </w:pPr>
            <w:r w:rsidRPr="00D6537B">
              <w:rPr>
                <w:rFonts w:ascii="Arial" w:eastAsia="Times New Roman" w:hAnsi="Arial" w:cs="Arial"/>
                <w:b/>
                <w:bCs/>
                <w:color w:val="000000"/>
                <w:sz w:val="20"/>
                <w:szCs w:val="20"/>
                <w:lang w:eastAsia="en-IN"/>
              </w:rPr>
              <w:t>Diversification</w:t>
            </w:r>
          </w:p>
        </w:tc>
      </w:tr>
      <w:tr w:rsidR="00D6537B" w:rsidRPr="00D6537B" w14:paraId="2A26368C" w14:textId="77777777" w:rsidTr="00D6537B">
        <w:trPr>
          <w:trHeight w:val="1448"/>
        </w:trPr>
        <w:tc>
          <w:tcPr>
            <w:tcW w:w="1400" w:type="dxa"/>
            <w:vMerge/>
            <w:tcBorders>
              <w:top w:val="nil"/>
              <w:left w:val="single" w:sz="4" w:space="0" w:color="auto"/>
              <w:bottom w:val="single" w:sz="4" w:space="0" w:color="000000"/>
              <w:right w:val="single" w:sz="4" w:space="0" w:color="auto"/>
            </w:tcBorders>
            <w:vAlign w:val="center"/>
            <w:hideMark/>
          </w:tcPr>
          <w:p w14:paraId="39BF9263" w14:textId="77777777" w:rsidR="00D6537B" w:rsidRPr="00D6537B" w:rsidRDefault="00D6537B" w:rsidP="00D6537B">
            <w:pPr>
              <w:spacing w:after="0" w:line="240" w:lineRule="auto"/>
              <w:rPr>
                <w:rFonts w:ascii="Arial" w:eastAsia="Times New Roman" w:hAnsi="Arial" w:cs="Arial"/>
                <w:b/>
                <w:bCs/>
                <w:color w:val="000000"/>
                <w:sz w:val="20"/>
                <w:szCs w:val="20"/>
                <w:lang w:eastAsia="en-IN"/>
              </w:rPr>
            </w:pPr>
          </w:p>
        </w:tc>
        <w:tc>
          <w:tcPr>
            <w:tcW w:w="3830" w:type="dxa"/>
            <w:tcBorders>
              <w:top w:val="nil"/>
              <w:left w:val="nil"/>
              <w:bottom w:val="single" w:sz="4" w:space="0" w:color="auto"/>
              <w:right w:val="single" w:sz="4" w:space="0" w:color="auto"/>
            </w:tcBorders>
            <w:shd w:val="clear" w:color="auto" w:fill="auto"/>
            <w:vAlign w:val="center"/>
            <w:hideMark/>
          </w:tcPr>
          <w:p w14:paraId="055FA8B9" w14:textId="77777777" w:rsidR="00D6537B" w:rsidRPr="00D6537B" w:rsidRDefault="00D6537B" w:rsidP="00D6537B">
            <w:pPr>
              <w:spacing w:after="0" w:line="240" w:lineRule="auto"/>
              <w:jc w:val="center"/>
              <w:rPr>
                <w:rFonts w:ascii="Arial" w:eastAsia="Times New Roman" w:hAnsi="Arial" w:cs="Arial"/>
                <w:color w:val="000000"/>
                <w:sz w:val="20"/>
                <w:szCs w:val="20"/>
                <w:lang w:eastAsia="en-IN"/>
              </w:rPr>
            </w:pPr>
            <w:r w:rsidRPr="00D6537B">
              <w:rPr>
                <w:rFonts w:ascii="Arial" w:eastAsia="Times New Roman" w:hAnsi="Arial" w:cs="Arial"/>
                <w:color w:val="000000"/>
                <w:sz w:val="20"/>
                <w:szCs w:val="20"/>
                <w:lang w:eastAsia="en-IN"/>
              </w:rPr>
              <w:t>Develop lower-carbon, recycled-content and environmentally verified steel products for existing industrial customers.</w:t>
            </w:r>
          </w:p>
        </w:tc>
        <w:tc>
          <w:tcPr>
            <w:tcW w:w="3792" w:type="dxa"/>
            <w:tcBorders>
              <w:top w:val="nil"/>
              <w:left w:val="nil"/>
              <w:bottom w:val="single" w:sz="4" w:space="0" w:color="auto"/>
              <w:right w:val="single" w:sz="4" w:space="0" w:color="auto"/>
            </w:tcBorders>
            <w:shd w:val="clear" w:color="auto" w:fill="auto"/>
            <w:vAlign w:val="center"/>
            <w:hideMark/>
          </w:tcPr>
          <w:p w14:paraId="41D882FF" w14:textId="77777777" w:rsidR="00D6537B" w:rsidRPr="00D6537B" w:rsidRDefault="00D6537B" w:rsidP="00D6537B">
            <w:pPr>
              <w:spacing w:after="0" w:line="240" w:lineRule="auto"/>
              <w:jc w:val="center"/>
              <w:rPr>
                <w:rFonts w:ascii="Arial" w:eastAsia="Times New Roman" w:hAnsi="Arial" w:cs="Arial"/>
                <w:color w:val="000000"/>
                <w:sz w:val="20"/>
                <w:szCs w:val="20"/>
                <w:lang w:eastAsia="en-IN"/>
              </w:rPr>
            </w:pPr>
            <w:r w:rsidRPr="00D6537B">
              <w:rPr>
                <w:rFonts w:ascii="Arial" w:eastAsia="Times New Roman" w:hAnsi="Arial" w:cs="Arial"/>
                <w:color w:val="000000"/>
                <w:sz w:val="20"/>
                <w:szCs w:val="20"/>
                <w:lang w:eastAsia="en-IN"/>
              </w:rPr>
              <w:t>Develop new sustainable products or enter new business areas such as advanced recycling, low-carbon technologies or new materials.</w:t>
            </w:r>
          </w:p>
        </w:tc>
      </w:tr>
    </w:tbl>
    <w:p w14:paraId="197C452C" w14:textId="19234344" w:rsidR="002F7E34" w:rsidRPr="00D6537B" w:rsidRDefault="002F7E34" w:rsidP="00D6537B">
      <w:pPr>
        <w:spacing w:line="360" w:lineRule="auto"/>
        <w:jc w:val="both"/>
        <w:rPr>
          <w:rFonts w:ascii="Arial" w:hAnsi="Arial" w:cs="Arial"/>
          <w:sz w:val="24"/>
          <w:szCs w:val="24"/>
        </w:rPr>
      </w:pPr>
    </w:p>
    <w:p w14:paraId="4F765963" w14:textId="0E50F54D" w:rsidR="002F7E34" w:rsidRPr="00D6537B" w:rsidRDefault="004E21CA" w:rsidP="00D6537B">
      <w:pPr>
        <w:pStyle w:val="Heading2"/>
        <w:spacing w:line="360" w:lineRule="auto"/>
        <w:jc w:val="both"/>
        <w:rPr>
          <w:rFonts w:ascii="Arial" w:hAnsi="Arial" w:cs="Arial"/>
          <w:sz w:val="24"/>
          <w:szCs w:val="24"/>
        </w:rPr>
      </w:pPr>
      <w:bookmarkStart w:id="10" w:name="_Toc235475846"/>
      <w:r>
        <w:rPr>
          <w:rFonts w:ascii="Arial" w:hAnsi="Arial" w:cs="Arial"/>
          <w:sz w:val="24"/>
          <w:szCs w:val="24"/>
        </w:rPr>
        <w:lastRenderedPageBreak/>
        <w:t>2</w:t>
      </w:r>
      <w:r w:rsidR="002F7E34" w:rsidRPr="00D6537B">
        <w:rPr>
          <w:rFonts w:ascii="Arial" w:hAnsi="Arial" w:cs="Arial"/>
          <w:sz w:val="24"/>
          <w:szCs w:val="24"/>
        </w:rPr>
        <w:t>.2 Evaluation of the Four Ansoff Growth Strategies</w:t>
      </w:r>
      <w:bookmarkEnd w:id="10"/>
    </w:p>
    <w:p w14:paraId="21B27B2B" w14:textId="77777777" w:rsidR="00EE02A7" w:rsidRPr="00EE02A7" w:rsidRDefault="00EE02A7" w:rsidP="00D6537B">
      <w:pPr>
        <w:spacing w:before="100" w:beforeAutospacing="1" w:after="100" w:afterAutospacing="1" w:line="360" w:lineRule="auto"/>
        <w:jc w:val="both"/>
        <w:rPr>
          <w:rFonts w:ascii="Arial" w:eastAsia="Times New Roman" w:hAnsi="Arial" w:cs="Arial"/>
          <w:b/>
          <w:bCs/>
          <w:sz w:val="24"/>
          <w:szCs w:val="24"/>
          <w:lang w:eastAsia="en-IN"/>
        </w:rPr>
      </w:pPr>
      <w:r w:rsidRPr="00EE02A7">
        <w:rPr>
          <w:rFonts w:ascii="Arial" w:eastAsia="Times New Roman" w:hAnsi="Arial" w:cs="Arial"/>
          <w:b/>
          <w:bCs/>
          <w:sz w:val="24"/>
          <w:szCs w:val="24"/>
          <w:lang w:eastAsia="en-IN"/>
        </w:rPr>
        <w:t>Market Penetration</w:t>
      </w:r>
    </w:p>
    <w:p w14:paraId="572BD3F2" w14:textId="77777777" w:rsidR="00EE02A7" w:rsidRPr="00EE02A7" w:rsidRDefault="00EE02A7" w:rsidP="00D6537B">
      <w:pPr>
        <w:spacing w:before="100" w:beforeAutospacing="1" w:after="100" w:afterAutospacing="1" w:line="360" w:lineRule="auto"/>
        <w:jc w:val="both"/>
        <w:rPr>
          <w:rFonts w:ascii="Arial" w:eastAsia="Times New Roman" w:hAnsi="Arial" w:cs="Arial"/>
          <w:sz w:val="24"/>
          <w:szCs w:val="24"/>
          <w:lang w:eastAsia="en-IN"/>
        </w:rPr>
      </w:pPr>
      <w:r w:rsidRPr="00EE02A7">
        <w:rPr>
          <w:rFonts w:ascii="Arial" w:eastAsia="Times New Roman" w:hAnsi="Arial" w:cs="Arial"/>
          <w:sz w:val="24"/>
          <w:szCs w:val="24"/>
          <w:lang w:eastAsia="en-IN"/>
        </w:rPr>
        <w:t>Market Penetration involves increasing sales of Tata Steel's existing steel products within its current markets by strengthening relationships with established customers in the construction, automotive, and engineering sectors. This strategy carries relatively low risk because Tata Steel already has established customer relationships, market knowledge, and distribution networks. However, it provides only a limited response to the environmental challenges identified in Task 1. While it may support short-term revenue growth, it does not directly reduce carbon emissions or encourage the development of lower-carbon products. Therefore, Market Penetration is suitable for incremental growth but is insufficient as the primary strategy for Tata Steel's low-carbon transition.</w:t>
      </w:r>
    </w:p>
    <w:p w14:paraId="476ED503" w14:textId="77777777" w:rsidR="00EE02A7" w:rsidRPr="00EE02A7" w:rsidRDefault="00EE02A7" w:rsidP="00D6537B">
      <w:pPr>
        <w:spacing w:before="100" w:beforeAutospacing="1" w:after="100" w:afterAutospacing="1" w:line="360" w:lineRule="auto"/>
        <w:jc w:val="both"/>
        <w:rPr>
          <w:rFonts w:ascii="Arial" w:eastAsia="Times New Roman" w:hAnsi="Arial" w:cs="Arial"/>
          <w:b/>
          <w:bCs/>
          <w:sz w:val="24"/>
          <w:szCs w:val="24"/>
          <w:lang w:eastAsia="en-IN"/>
        </w:rPr>
      </w:pPr>
      <w:r w:rsidRPr="00EE02A7">
        <w:rPr>
          <w:rFonts w:ascii="Arial" w:eastAsia="Times New Roman" w:hAnsi="Arial" w:cs="Arial"/>
          <w:b/>
          <w:bCs/>
          <w:sz w:val="24"/>
          <w:szCs w:val="24"/>
          <w:lang w:eastAsia="en-IN"/>
        </w:rPr>
        <w:t>Market Development</w:t>
      </w:r>
    </w:p>
    <w:p w14:paraId="01EEB5BA" w14:textId="77777777" w:rsidR="00EE02A7" w:rsidRPr="00EE02A7" w:rsidRDefault="00EE02A7" w:rsidP="00D6537B">
      <w:pPr>
        <w:spacing w:before="100" w:beforeAutospacing="1" w:after="100" w:afterAutospacing="1" w:line="360" w:lineRule="auto"/>
        <w:jc w:val="both"/>
        <w:rPr>
          <w:rFonts w:ascii="Arial" w:eastAsia="Times New Roman" w:hAnsi="Arial" w:cs="Arial"/>
          <w:sz w:val="24"/>
          <w:szCs w:val="24"/>
          <w:lang w:eastAsia="en-IN"/>
        </w:rPr>
      </w:pPr>
      <w:r w:rsidRPr="00EE02A7">
        <w:rPr>
          <w:rFonts w:ascii="Arial" w:eastAsia="Times New Roman" w:hAnsi="Arial" w:cs="Arial"/>
          <w:sz w:val="24"/>
          <w:szCs w:val="24"/>
          <w:lang w:eastAsia="en-IN"/>
        </w:rPr>
        <w:t>Market Development focuses on introducing Tata Steel's existing products to new geographical markets or industrial customer segments. This could expand the company's customer base and reduce dependence on existing markets. However, the strategy mainly increases the reach of conventional steel products rather than addressing the growing demand for sustainable materials. In addition, expanding into unfamiliar markets may create challenges relating to competition, customer expectations, regulations, and distribution costs. Although Market Development supports business expansion, it is less effective than Product Development in responding to sustainability-driven market changes.</w:t>
      </w:r>
    </w:p>
    <w:p w14:paraId="3DBE47AF" w14:textId="77777777" w:rsidR="00EE02A7" w:rsidRPr="00EE02A7" w:rsidRDefault="00EE02A7" w:rsidP="00D6537B">
      <w:pPr>
        <w:spacing w:before="100" w:beforeAutospacing="1" w:after="100" w:afterAutospacing="1" w:line="360" w:lineRule="auto"/>
        <w:jc w:val="both"/>
        <w:rPr>
          <w:rFonts w:ascii="Arial" w:eastAsia="Times New Roman" w:hAnsi="Arial" w:cs="Arial"/>
          <w:b/>
          <w:bCs/>
          <w:sz w:val="24"/>
          <w:szCs w:val="24"/>
          <w:lang w:eastAsia="en-IN"/>
        </w:rPr>
      </w:pPr>
      <w:r w:rsidRPr="00EE02A7">
        <w:rPr>
          <w:rFonts w:ascii="Arial" w:eastAsia="Times New Roman" w:hAnsi="Arial" w:cs="Arial"/>
          <w:b/>
          <w:bCs/>
          <w:sz w:val="24"/>
          <w:szCs w:val="24"/>
          <w:lang w:eastAsia="en-IN"/>
        </w:rPr>
        <w:t>Product Development</w:t>
      </w:r>
    </w:p>
    <w:p w14:paraId="47D0D75F" w14:textId="77777777" w:rsidR="00EE02A7" w:rsidRPr="00EE02A7" w:rsidRDefault="00EE02A7" w:rsidP="00D6537B">
      <w:pPr>
        <w:spacing w:before="100" w:beforeAutospacing="1" w:after="100" w:afterAutospacing="1" w:line="360" w:lineRule="auto"/>
        <w:jc w:val="both"/>
        <w:rPr>
          <w:rFonts w:ascii="Arial" w:eastAsia="Times New Roman" w:hAnsi="Arial" w:cs="Arial"/>
          <w:sz w:val="24"/>
          <w:szCs w:val="24"/>
          <w:lang w:eastAsia="en-IN"/>
        </w:rPr>
      </w:pPr>
      <w:r w:rsidRPr="00EE02A7">
        <w:rPr>
          <w:rFonts w:ascii="Arial" w:eastAsia="Times New Roman" w:hAnsi="Arial" w:cs="Arial"/>
          <w:sz w:val="24"/>
          <w:szCs w:val="24"/>
          <w:lang w:eastAsia="en-IN"/>
        </w:rPr>
        <w:t xml:space="preserve">Product Development represents the strongest strategic option for Tata Steel because it involves developing new or improved products for existing customers. By leveraging its steelmaking expertise, customer relationships, and technological capabilities, Tata Steel can expand its portfolio of lower-carbon steel and recycled-content products. Initiatives such as </w:t>
      </w:r>
      <w:proofErr w:type="spellStart"/>
      <w:r w:rsidRPr="00EE02A7">
        <w:rPr>
          <w:rFonts w:ascii="Arial" w:eastAsia="Times New Roman" w:hAnsi="Arial" w:cs="Arial"/>
          <w:sz w:val="24"/>
          <w:szCs w:val="24"/>
          <w:lang w:eastAsia="en-IN"/>
        </w:rPr>
        <w:t>Zeremis</w:t>
      </w:r>
      <w:proofErr w:type="spellEnd"/>
      <w:r w:rsidRPr="00EE02A7">
        <w:rPr>
          <w:rFonts w:ascii="Arial" w:eastAsia="Times New Roman" w:hAnsi="Arial" w:cs="Arial"/>
          <w:sz w:val="24"/>
          <w:szCs w:val="24"/>
          <w:lang w:eastAsia="en-IN"/>
        </w:rPr>
        <w:t xml:space="preserve"> Carbon Lite and </w:t>
      </w:r>
      <w:proofErr w:type="spellStart"/>
      <w:r w:rsidRPr="00EE02A7">
        <w:rPr>
          <w:rFonts w:ascii="Arial" w:eastAsia="Times New Roman" w:hAnsi="Arial" w:cs="Arial"/>
          <w:sz w:val="24"/>
          <w:szCs w:val="24"/>
          <w:lang w:eastAsia="en-IN"/>
        </w:rPr>
        <w:t>Zeremis</w:t>
      </w:r>
      <w:proofErr w:type="spellEnd"/>
      <w:r w:rsidRPr="00EE02A7">
        <w:rPr>
          <w:rFonts w:ascii="Arial" w:eastAsia="Times New Roman" w:hAnsi="Arial" w:cs="Arial"/>
          <w:sz w:val="24"/>
          <w:szCs w:val="24"/>
          <w:lang w:eastAsia="en-IN"/>
        </w:rPr>
        <w:t xml:space="preserve"> Recycled, supported by Environmental Product Declarations, demonstrate this approach by providing </w:t>
      </w:r>
      <w:r w:rsidRPr="00EE02A7">
        <w:rPr>
          <w:rFonts w:ascii="Arial" w:eastAsia="Times New Roman" w:hAnsi="Arial" w:cs="Arial"/>
          <w:sz w:val="24"/>
          <w:szCs w:val="24"/>
          <w:lang w:eastAsia="en-IN"/>
        </w:rPr>
        <w:lastRenderedPageBreak/>
        <w:t>customers with transparent environmental information (Tata Steel, 2025). This strategy directly links environmental pressures with technological innovation and changing customer expectations. However, successful implementation requires significant investment, credible environmental claims, and customers willing to recognise the value of lower-carbon steel. Overall, Product Development offers the best balance between sustainability and commercial growth.</w:t>
      </w:r>
    </w:p>
    <w:p w14:paraId="31E33D57" w14:textId="77777777" w:rsidR="00EE02A7" w:rsidRPr="00EE02A7" w:rsidRDefault="00EE02A7" w:rsidP="00D6537B">
      <w:pPr>
        <w:spacing w:before="100" w:beforeAutospacing="1" w:after="100" w:afterAutospacing="1" w:line="360" w:lineRule="auto"/>
        <w:jc w:val="both"/>
        <w:rPr>
          <w:rFonts w:ascii="Arial" w:eastAsia="Times New Roman" w:hAnsi="Arial" w:cs="Arial"/>
          <w:b/>
          <w:bCs/>
          <w:sz w:val="24"/>
          <w:szCs w:val="24"/>
          <w:lang w:eastAsia="en-IN"/>
        </w:rPr>
      </w:pPr>
      <w:r w:rsidRPr="00EE02A7">
        <w:rPr>
          <w:rFonts w:ascii="Arial" w:eastAsia="Times New Roman" w:hAnsi="Arial" w:cs="Arial"/>
          <w:b/>
          <w:bCs/>
          <w:sz w:val="24"/>
          <w:szCs w:val="24"/>
          <w:lang w:eastAsia="en-IN"/>
        </w:rPr>
        <w:t>Diversification</w:t>
      </w:r>
    </w:p>
    <w:p w14:paraId="0C71ED9E" w14:textId="7F1DFDD7" w:rsidR="00EE02A7" w:rsidRPr="00D6537B" w:rsidRDefault="00EE02A7" w:rsidP="00D6537B">
      <w:pPr>
        <w:spacing w:before="100" w:beforeAutospacing="1" w:after="100" w:afterAutospacing="1" w:line="360" w:lineRule="auto"/>
        <w:jc w:val="both"/>
        <w:rPr>
          <w:rFonts w:ascii="Arial" w:eastAsia="Times New Roman" w:hAnsi="Arial" w:cs="Arial"/>
          <w:sz w:val="24"/>
          <w:szCs w:val="24"/>
          <w:lang w:eastAsia="en-IN"/>
        </w:rPr>
      </w:pPr>
      <w:r w:rsidRPr="00EE02A7">
        <w:rPr>
          <w:rFonts w:ascii="Arial" w:eastAsia="Times New Roman" w:hAnsi="Arial" w:cs="Arial"/>
          <w:sz w:val="24"/>
          <w:szCs w:val="24"/>
          <w:lang w:eastAsia="en-IN"/>
        </w:rPr>
        <w:t>Diversification involves entering new markets with new products, such as advanced recycling technologies, circular economy solutions, or innovative low-carbon materials. Although this strategy could generate long-term growth and reduce dependence on traditional steelmaking, it also carries the highest level of risk because Tata Steel would be competing in unfamiliar markets with new technologies and competitors. Consequently, while Diversification may support future strategic development, it is less suitable than Product Development for addressing Tata Steel's immediate objective of transitioning towards a lower-carbon business model.</w:t>
      </w:r>
    </w:p>
    <w:p w14:paraId="35106D57" w14:textId="58C1FB14" w:rsidR="002F7E34" w:rsidRPr="00D6537B" w:rsidRDefault="004E21CA" w:rsidP="00D6537B">
      <w:pPr>
        <w:pStyle w:val="Heading2"/>
        <w:spacing w:line="360" w:lineRule="auto"/>
        <w:jc w:val="both"/>
        <w:rPr>
          <w:rFonts w:ascii="Arial" w:hAnsi="Arial" w:cs="Arial"/>
          <w:sz w:val="24"/>
          <w:szCs w:val="24"/>
        </w:rPr>
      </w:pPr>
      <w:bookmarkStart w:id="11" w:name="_Toc235475847"/>
      <w:r>
        <w:rPr>
          <w:rFonts w:ascii="Arial" w:hAnsi="Arial" w:cs="Arial"/>
          <w:sz w:val="24"/>
          <w:szCs w:val="24"/>
        </w:rPr>
        <w:t>2</w:t>
      </w:r>
      <w:r w:rsidR="002F7E34" w:rsidRPr="00D6537B">
        <w:rPr>
          <w:rFonts w:ascii="Arial" w:hAnsi="Arial" w:cs="Arial"/>
          <w:sz w:val="24"/>
          <w:szCs w:val="24"/>
        </w:rPr>
        <w:t>.3 Recommended Strategy: Product Development</w:t>
      </w:r>
      <w:bookmarkEnd w:id="11"/>
    </w:p>
    <w:p w14:paraId="3AFEA307" w14:textId="77777777" w:rsidR="00DC5BAA" w:rsidRPr="00DC5BAA" w:rsidRDefault="00DC5BAA" w:rsidP="00D6537B">
      <w:pPr>
        <w:spacing w:before="100" w:beforeAutospacing="1" w:after="100" w:afterAutospacing="1" w:line="360" w:lineRule="auto"/>
        <w:jc w:val="both"/>
        <w:rPr>
          <w:rFonts w:ascii="Arial" w:eastAsia="Times New Roman" w:hAnsi="Arial" w:cs="Arial"/>
          <w:sz w:val="24"/>
          <w:szCs w:val="24"/>
          <w:lang w:eastAsia="en-IN"/>
        </w:rPr>
      </w:pPr>
      <w:r w:rsidRPr="00DC5BAA">
        <w:rPr>
          <w:rFonts w:ascii="Arial" w:eastAsia="Times New Roman" w:hAnsi="Arial" w:cs="Arial"/>
          <w:sz w:val="24"/>
          <w:szCs w:val="24"/>
          <w:lang w:eastAsia="en-IN"/>
        </w:rPr>
        <w:t xml:space="preserve">Among the four Ansoff strategies, </w:t>
      </w:r>
      <w:r w:rsidRPr="00DC5BAA">
        <w:rPr>
          <w:rFonts w:ascii="Arial" w:eastAsia="Times New Roman" w:hAnsi="Arial" w:cs="Arial"/>
          <w:b/>
          <w:bCs/>
          <w:sz w:val="24"/>
          <w:szCs w:val="24"/>
          <w:lang w:eastAsia="en-IN"/>
        </w:rPr>
        <w:t>Product Development</w:t>
      </w:r>
      <w:r w:rsidRPr="00DC5BAA">
        <w:rPr>
          <w:rFonts w:ascii="Arial" w:eastAsia="Times New Roman" w:hAnsi="Arial" w:cs="Arial"/>
          <w:sz w:val="24"/>
          <w:szCs w:val="24"/>
          <w:lang w:eastAsia="en-IN"/>
        </w:rPr>
        <w:t xml:space="preserve"> is the most appropriate growth strategy for Tata Steel's transition to a lower-carbon business model. It involves developing new or improved products for existing markets, enabling the company to meet changing customer needs while leveraging its existing capabilities (Ansoff, 1957). As industrial customers increasingly prioritise carbon performance, lower-carbon steel offers an opportunity to strengthen competitiveness without leaving established markets.</w:t>
      </w:r>
    </w:p>
    <w:p w14:paraId="55C125B3" w14:textId="77777777" w:rsidR="00DC5BAA" w:rsidRPr="00DC5BAA" w:rsidRDefault="00DC5BAA" w:rsidP="00D6537B">
      <w:pPr>
        <w:spacing w:before="100" w:beforeAutospacing="1" w:after="100" w:afterAutospacing="1" w:line="360" w:lineRule="auto"/>
        <w:jc w:val="both"/>
        <w:rPr>
          <w:rFonts w:ascii="Arial" w:eastAsia="Times New Roman" w:hAnsi="Arial" w:cs="Arial"/>
          <w:sz w:val="24"/>
          <w:szCs w:val="24"/>
          <w:lang w:eastAsia="en-IN"/>
        </w:rPr>
      </w:pPr>
      <w:r w:rsidRPr="00DC5BAA">
        <w:rPr>
          <w:rFonts w:ascii="Arial" w:eastAsia="Times New Roman" w:hAnsi="Arial" w:cs="Arial"/>
          <w:sz w:val="24"/>
          <w:szCs w:val="24"/>
          <w:lang w:eastAsia="en-IN"/>
        </w:rPr>
        <w:t xml:space="preserve">Tata Steel's </w:t>
      </w:r>
      <w:proofErr w:type="spellStart"/>
      <w:r w:rsidRPr="00DC5BAA">
        <w:rPr>
          <w:rFonts w:ascii="Arial" w:eastAsia="Times New Roman" w:hAnsi="Arial" w:cs="Arial"/>
          <w:b/>
          <w:bCs/>
          <w:sz w:val="24"/>
          <w:szCs w:val="24"/>
          <w:lang w:eastAsia="en-IN"/>
        </w:rPr>
        <w:t>Zeremis</w:t>
      </w:r>
      <w:proofErr w:type="spellEnd"/>
      <w:r w:rsidRPr="00DC5BAA">
        <w:rPr>
          <w:rFonts w:ascii="Arial" w:eastAsia="Times New Roman" w:hAnsi="Arial" w:cs="Arial"/>
          <w:b/>
          <w:bCs/>
          <w:sz w:val="24"/>
          <w:szCs w:val="24"/>
          <w:lang w:eastAsia="en-IN"/>
        </w:rPr>
        <w:t xml:space="preserve"> Carbon Lite</w:t>
      </w:r>
      <w:r w:rsidRPr="00DC5BAA">
        <w:rPr>
          <w:rFonts w:ascii="Arial" w:eastAsia="Times New Roman" w:hAnsi="Arial" w:cs="Arial"/>
          <w:sz w:val="24"/>
          <w:szCs w:val="24"/>
          <w:lang w:eastAsia="en-IN"/>
        </w:rPr>
        <w:t xml:space="preserve"> and </w:t>
      </w:r>
      <w:proofErr w:type="spellStart"/>
      <w:r w:rsidRPr="00DC5BAA">
        <w:rPr>
          <w:rFonts w:ascii="Arial" w:eastAsia="Times New Roman" w:hAnsi="Arial" w:cs="Arial"/>
          <w:b/>
          <w:bCs/>
          <w:sz w:val="24"/>
          <w:szCs w:val="24"/>
          <w:lang w:eastAsia="en-IN"/>
        </w:rPr>
        <w:t>Zeremis</w:t>
      </w:r>
      <w:proofErr w:type="spellEnd"/>
      <w:r w:rsidRPr="00DC5BAA">
        <w:rPr>
          <w:rFonts w:ascii="Arial" w:eastAsia="Times New Roman" w:hAnsi="Arial" w:cs="Arial"/>
          <w:b/>
          <w:bCs/>
          <w:sz w:val="24"/>
          <w:szCs w:val="24"/>
          <w:lang w:eastAsia="en-IN"/>
        </w:rPr>
        <w:t xml:space="preserve"> Recycled</w:t>
      </w:r>
      <w:r w:rsidRPr="00DC5BAA">
        <w:rPr>
          <w:rFonts w:ascii="Arial" w:eastAsia="Times New Roman" w:hAnsi="Arial" w:cs="Arial"/>
          <w:sz w:val="24"/>
          <w:szCs w:val="24"/>
          <w:lang w:eastAsia="en-IN"/>
        </w:rPr>
        <w:t xml:space="preserve"> demonstrate this approach by integrating sustainability into its product portfolio and providing verified environmental information (Tata Steel, 2025). These innovations align environmental pressures with technological capabilities, supporting commercial growth.</w:t>
      </w:r>
    </w:p>
    <w:p w14:paraId="147FA4B4" w14:textId="7BDBFD09" w:rsidR="002F7E34" w:rsidRPr="00D6537B" w:rsidRDefault="00DC5BAA" w:rsidP="00D6537B">
      <w:pPr>
        <w:spacing w:before="100" w:beforeAutospacing="1" w:after="100" w:afterAutospacing="1" w:line="360" w:lineRule="auto"/>
        <w:jc w:val="both"/>
        <w:rPr>
          <w:rFonts w:ascii="Arial" w:eastAsia="Times New Roman" w:hAnsi="Arial" w:cs="Arial"/>
          <w:sz w:val="24"/>
          <w:szCs w:val="24"/>
          <w:lang w:eastAsia="en-IN"/>
        </w:rPr>
      </w:pPr>
      <w:r w:rsidRPr="00DC5BAA">
        <w:rPr>
          <w:rFonts w:ascii="Arial" w:eastAsia="Times New Roman" w:hAnsi="Arial" w:cs="Arial"/>
          <w:sz w:val="24"/>
          <w:szCs w:val="24"/>
          <w:lang w:eastAsia="en-IN"/>
        </w:rPr>
        <w:t xml:space="preserve">However, Product Development also presents challenges. Lower-carbon production requires significant investment, credible environmental claims, and customer </w:t>
      </w:r>
      <w:r w:rsidRPr="00DC5BAA">
        <w:rPr>
          <w:rFonts w:ascii="Arial" w:eastAsia="Times New Roman" w:hAnsi="Arial" w:cs="Arial"/>
          <w:sz w:val="24"/>
          <w:szCs w:val="24"/>
          <w:lang w:eastAsia="en-IN"/>
        </w:rPr>
        <w:lastRenderedPageBreak/>
        <w:t>acceptance of potential price premiums. Therefore, Tata Steel should focus on delivering lower-carbon steel that combines sustainability with the quality, reliability, and cost competitiveness expected by existing industrial customers</w:t>
      </w:r>
      <w:r w:rsidR="002F7E34" w:rsidRPr="00D6537B">
        <w:rPr>
          <w:rFonts w:ascii="Arial" w:hAnsi="Arial" w:cs="Arial"/>
          <w:sz w:val="24"/>
          <w:szCs w:val="24"/>
        </w:rPr>
        <w:t>.</w:t>
      </w:r>
    </w:p>
    <w:p w14:paraId="7FDE5B3D" w14:textId="7785CFE1" w:rsidR="002F7E34" w:rsidRPr="00D6537B" w:rsidRDefault="004E21CA" w:rsidP="00D6537B">
      <w:pPr>
        <w:pStyle w:val="Heading2"/>
        <w:spacing w:line="360" w:lineRule="auto"/>
        <w:jc w:val="both"/>
        <w:rPr>
          <w:rFonts w:ascii="Arial" w:hAnsi="Arial" w:cs="Arial"/>
          <w:sz w:val="24"/>
          <w:szCs w:val="24"/>
        </w:rPr>
      </w:pPr>
      <w:bookmarkStart w:id="12" w:name="_Toc235475848"/>
      <w:r>
        <w:rPr>
          <w:rFonts w:ascii="Arial" w:hAnsi="Arial" w:cs="Arial"/>
          <w:sz w:val="24"/>
          <w:szCs w:val="24"/>
        </w:rPr>
        <w:t>2</w:t>
      </w:r>
      <w:r w:rsidR="002F7E34" w:rsidRPr="00D6537B">
        <w:rPr>
          <w:rFonts w:ascii="Arial" w:hAnsi="Arial" w:cs="Arial"/>
          <w:sz w:val="24"/>
          <w:szCs w:val="24"/>
        </w:rPr>
        <w:t>.4 Competitive Advantage through Differentiation</w:t>
      </w:r>
      <w:bookmarkEnd w:id="12"/>
    </w:p>
    <w:p w14:paraId="105F28CD" w14:textId="77777777" w:rsidR="002F7E34" w:rsidRPr="00D6537B" w:rsidRDefault="002F7E34" w:rsidP="00D6537B">
      <w:pPr>
        <w:pStyle w:val="NormalWeb"/>
        <w:spacing w:line="360" w:lineRule="auto"/>
        <w:jc w:val="both"/>
        <w:rPr>
          <w:rFonts w:ascii="Arial" w:hAnsi="Arial" w:cs="Arial"/>
        </w:rPr>
      </w:pPr>
      <w:r w:rsidRPr="00D6537B">
        <w:rPr>
          <w:rFonts w:ascii="Arial" w:hAnsi="Arial" w:cs="Arial"/>
        </w:rPr>
        <w:t xml:space="preserve">The Product Development strategy can support competitive advantage through </w:t>
      </w:r>
      <w:r w:rsidRPr="00D6537B">
        <w:rPr>
          <w:rStyle w:val="Strong"/>
          <w:rFonts w:ascii="Arial" w:hAnsi="Arial" w:cs="Arial"/>
        </w:rPr>
        <w:t>differentiation</w:t>
      </w:r>
      <w:r w:rsidRPr="00D6537B">
        <w:rPr>
          <w:rFonts w:ascii="Arial" w:hAnsi="Arial" w:cs="Arial"/>
        </w:rPr>
        <w:t>. Porter (1985) argues that differentiation can create competitive advantage when an organisation provides attributes that customers perceive as valuable and distinct from competing alternatives. For Tata Steel, lower-carbon steel can provide a basis for differentiation if environmental performance is demonstrably superior, independently verified and relevant to customers' own sustainability objectives. Industrial customers increasingly face pressure to reduce emissions throughout their supply chains; consequently, purchasing lower-carbon steel may help them address their own environmental targets. Environmental performance can therefore become part of the product's value proposition rather than remaining solely an internal corporate responsibility activity.</w:t>
      </w:r>
    </w:p>
    <w:p w14:paraId="2DACFAD8" w14:textId="77777777" w:rsidR="002F7E34" w:rsidRPr="00D6537B" w:rsidRDefault="002F7E34" w:rsidP="00D6537B">
      <w:pPr>
        <w:pStyle w:val="NormalWeb"/>
        <w:spacing w:line="360" w:lineRule="auto"/>
        <w:jc w:val="both"/>
        <w:rPr>
          <w:rFonts w:ascii="Arial" w:hAnsi="Arial" w:cs="Arial"/>
        </w:rPr>
      </w:pPr>
      <w:r w:rsidRPr="00D6537B">
        <w:rPr>
          <w:rFonts w:ascii="Arial" w:hAnsi="Arial" w:cs="Arial"/>
        </w:rPr>
        <w:t xml:space="preserve">However, a critical distinction must be made between </w:t>
      </w:r>
      <w:r w:rsidRPr="00D6537B">
        <w:rPr>
          <w:rStyle w:val="Strong"/>
          <w:rFonts w:ascii="Arial" w:hAnsi="Arial" w:cs="Arial"/>
        </w:rPr>
        <w:t>technological capability</w:t>
      </w:r>
      <w:r w:rsidRPr="00D6537B">
        <w:rPr>
          <w:rFonts w:ascii="Arial" w:hAnsi="Arial" w:cs="Arial"/>
        </w:rPr>
        <w:t xml:space="preserve"> and </w:t>
      </w:r>
      <w:r w:rsidRPr="00D6537B">
        <w:rPr>
          <w:rStyle w:val="Strong"/>
          <w:rFonts w:ascii="Arial" w:hAnsi="Arial" w:cs="Arial"/>
        </w:rPr>
        <w:t>sustainable competitive advantage</w:t>
      </w:r>
      <w:r w:rsidRPr="00D6537B">
        <w:rPr>
          <w:rFonts w:ascii="Arial" w:hAnsi="Arial" w:cs="Arial"/>
        </w:rPr>
        <w:t xml:space="preserve">. The development of an electric arc furnace or other decarbonisation technology may eventually be replicated by competitors. Therefore, Tata Steel's long-term competitive advantage is unlikely to depend solely on possessing a particular technology. Instead, differentiation may arise from the combination of technological capability, product quality, credible environmental data, customer relationships and the ability to scale lower-carbon steel commercially. Tata Steel should therefore compete through </w:t>
      </w:r>
      <w:r w:rsidRPr="00D6537B">
        <w:rPr>
          <w:rStyle w:val="Strong"/>
          <w:rFonts w:ascii="Arial" w:hAnsi="Arial" w:cs="Arial"/>
        </w:rPr>
        <w:t>credible sustainability-based differentiation</w:t>
      </w:r>
      <w:r w:rsidRPr="00D6537B">
        <w:rPr>
          <w:rFonts w:ascii="Arial" w:hAnsi="Arial" w:cs="Arial"/>
        </w:rPr>
        <w:t>, supported by measurable emissions reductions and transparent environmental information rather than unsupported environmental claims.</w:t>
      </w:r>
    </w:p>
    <w:p w14:paraId="45558B9C" w14:textId="08EC76BA" w:rsidR="002F7E34" w:rsidRPr="00D6537B" w:rsidRDefault="002F7E34" w:rsidP="00D6537B">
      <w:pPr>
        <w:pStyle w:val="NormalWeb"/>
        <w:spacing w:line="360" w:lineRule="auto"/>
        <w:jc w:val="both"/>
        <w:rPr>
          <w:rFonts w:ascii="Arial" w:hAnsi="Arial" w:cs="Arial"/>
        </w:rPr>
      </w:pPr>
      <w:r w:rsidRPr="00D6537B">
        <w:rPr>
          <w:rFonts w:ascii="Arial" w:hAnsi="Arial" w:cs="Arial"/>
        </w:rPr>
        <w:t xml:space="preserve">The principal strategic risk is that lower-carbon steel may not automatically command a price premium. Tata Steel must therefore ensure that environmental benefits are combined with conventional customer value, including quality, reliability and competitive pricing. If the company can successfully integrate these attributes, Product Development can help Tata Steel move beyond competition based primarily on </w:t>
      </w:r>
      <w:r w:rsidRPr="00D6537B">
        <w:rPr>
          <w:rFonts w:ascii="Arial" w:hAnsi="Arial" w:cs="Arial"/>
        </w:rPr>
        <w:lastRenderedPageBreak/>
        <w:t>traditional steel characteristics and establish a stronger position in emerging lower-carbon value chains.</w:t>
      </w:r>
    </w:p>
    <w:p w14:paraId="7DD9A9FF" w14:textId="7D7DCDFC" w:rsidR="002F7E34" w:rsidRPr="00D6537B" w:rsidRDefault="004E21CA" w:rsidP="00D6537B">
      <w:pPr>
        <w:pStyle w:val="Heading2"/>
        <w:spacing w:line="360" w:lineRule="auto"/>
        <w:jc w:val="both"/>
        <w:rPr>
          <w:rFonts w:ascii="Arial" w:hAnsi="Arial" w:cs="Arial"/>
          <w:sz w:val="24"/>
          <w:szCs w:val="24"/>
        </w:rPr>
      </w:pPr>
      <w:bookmarkStart w:id="13" w:name="_Toc235475849"/>
      <w:r>
        <w:rPr>
          <w:rFonts w:ascii="Arial" w:hAnsi="Arial" w:cs="Arial"/>
          <w:sz w:val="24"/>
          <w:szCs w:val="24"/>
        </w:rPr>
        <w:t>2</w:t>
      </w:r>
      <w:r w:rsidR="002F7E34" w:rsidRPr="00D6537B">
        <w:rPr>
          <w:rFonts w:ascii="Arial" w:hAnsi="Arial" w:cs="Arial"/>
          <w:sz w:val="24"/>
          <w:szCs w:val="24"/>
        </w:rPr>
        <w:t>.5 Strategic Conclusion</w:t>
      </w:r>
      <w:bookmarkEnd w:id="13"/>
    </w:p>
    <w:p w14:paraId="225BA309" w14:textId="77777777" w:rsidR="002F7E34" w:rsidRPr="00D6537B" w:rsidRDefault="002F7E34" w:rsidP="00D6537B">
      <w:pPr>
        <w:pStyle w:val="NormalWeb"/>
        <w:spacing w:line="360" w:lineRule="auto"/>
        <w:jc w:val="both"/>
        <w:rPr>
          <w:rFonts w:ascii="Arial" w:hAnsi="Arial" w:cs="Arial"/>
        </w:rPr>
      </w:pPr>
      <w:r w:rsidRPr="00D6537B">
        <w:rPr>
          <w:rFonts w:ascii="Arial" w:hAnsi="Arial" w:cs="Arial"/>
        </w:rPr>
        <w:t>Overall, Product Development represents the strongest Ansoff strategy for Tata Steel because it directly connects the environmental and technological pressures identified in Task 1 with the development of lower-carbon products for existing industrial markets. Market Penetration and Market Development may provide lower-risk routes to incremental growth, but neither responds as directly to the structural transformation required by decarbonisation. Diversification may provide longer-term opportunities but involves greater uncertainty. Product Development therefore offers the most appropriate balance between strategic relevance, existing organisational capabilities and future market opportunity. If supported by credible emissions measurement, technological scalability and customer-focused marketing, lower-carbon steel can provide a basis for differentiation and contribute to Tata Steel's transition towards a lower-carbon business model.</w:t>
      </w:r>
    </w:p>
    <w:p w14:paraId="308A4C70" w14:textId="77777777" w:rsidR="00665524" w:rsidRPr="00D6537B" w:rsidRDefault="00665524" w:rsidP="00D6537B">
      <w:pPr>
        <w:spacing w:line="360" w:lineRule="auto"/>
        <w:jc w:val="both"/>
        <w:rPr>
          <w:rFonts w:ascii="Arial" w:eastAsia="Times New Roman" w:hAnsi="Arial" w:cs="Arial"/>
          <w:sz w:val="24"/>
          <w:szCs w:val="24"/>
          <w:lang w:eastAsia="en-IN"/>
        </w:rPr>
      </w:pPr>
      <w:r w:rsidRPr="00D6537B">
        <w:rPr>
          <w:rFonts w:ascii="Arial" w:eastAsia="Times New Roman" w:hAnsi="Arial" w:cs="Arial"/>
          <w:sz w:val="24"/>
          <w:szCs w:val="24"/>
          <w:lang w:eastAsia="en-IN"/>
        </w:rPr>
        <w:br w:type="page"/>
      </w:r>
    </w:p>
    <w:p w14:paraId="44A3390F" w14:textId="5A6B0D34" w:rsidR="00665524" w:rsidRPr="00D6537B" w:rsidRDefault="00665524" w:rsidP="00D6537B">
      <w:pPr>
        <w:pStyle w:val="Heading1"/>
        <w:spacing w:line="360" w:lineRule="auto"/>
        <w:jc w:val="center"/>
        <w:rPr>
          <w:rFonts w:ascii="Arial" w:hAnsi="Arial" w:cs="Arial"/>
          <w:sz w:val="34"/>
          <w:szCs w:val="34"/>
        </w:rPr>
      </w:pPr>
      <w:bookmarkStart w:id="14" w:name="_Toc235475850"/>
      <w:r w:rsidRPr="00D6537B">
        <w:rPr>
          <w:rFonts w:ascii="Arial" w:hAnsi="Arial" w:cs="Arial"/>
          <w:sz w:val="34"/>
          <w:szCs w:val="34"/>
        </w:rPr>
        <w:lastRenderedPageBreak/>
        <w:t>Critical Reflection on the Use of Generative AI</w:t>
      </w:r>
      <w:bookmarkEnd w:id="14"/>
    </w:p>
    <w:p w14:paraId="44D0BC28" w14:textId="6268EF86" w:rsidR="00665524" w:rsidRPr="00D6537B" w:rsidRDefault="004E21CA" w:rsidP="00D6537B">
      <w:pPr>
        <w:spacing w:before="100" w:beforeAutospacing="1" w:after="100" w:afterAutospacing="1" w:line="360" w:lineRule="auto"/>
        <w:jc w:val="both"/>
        <w:outlineLvl w:val="1"/>
        <w:rPr>
          <w:rFonts w:ascii="Arial" w:eastAsia="Times New Roman" w:hAnsi="Arial" w:cs="Arial"/>
          <w:b/>
          <w:bCs/>
          <w:sz w:val="24"/>
          <w:szCs w:val="24"/>
          <w:lang w:eastAsia="en-IN"/>
        </w:rPr>
      </w:pPr>
      <w:bookmarkStart w:id="15" w:name="_Toc235475851"/>
      <w:r>
        <w:rPr>
          <w:rFonts w:ascii="Arial" w:eastAsia="Times New Roman" w:hAnsi="Arial" w:cs="Arial"/>
          <w:b/>
          <w:bCs/>
          <w:sz w:val="24"/>
          <w:szCs w:val="24"/>
          <w:lang w:eastAsia="en-IN"/>
        </w:rPr>
        <w:t>3</w:t>
      </w:r>
      <w:r w:rsidR="00665524" w:rsidRPr="00D6537B">
        <w:rPr>
          <w:rFonts w:ascii="Arial" w:eastAsia="Times New Roman" w:hAnsi="Arial" w:cs="Arial"/>
          <w:b/>
          <w:bCs/>
          <w:sz w:val="24"/>
          <w:szCs w:val="24"/>
          <w:lang w:eastAsia="en-IN"/>
        </w:rPr>
        <w:t>.1 Tool Disclosure</w:t>
      </w:r>
      <w:bookmarkEnd w:id="15"/>
    </w:p>
    <w:p w14:paraId="22B90D70" w14:textId="1BCA7538" w:rsidR="00665524" w:rsidRPr="00D6537B" w:rsidRDefault="00665524" w:rsidP="00D6537B">
      <w:pPr>
        <w:spacing w:before="100" w:beforeAutospacing="1" w:after="100" w:afterAutospacing="1" w:line="360" w:lineRule="auto"/>
        <w:jc w:val="both"/>
        <w:rPr>
          <w:rFonts w:ascii="Arial" w:eastAsia="Times New Roman" w:hAnsi="Arial" w:cs="Arial"/>
          <w:sz w:val="24"/>
          <w:szCs w:val="24"/>
          <w:lang w:eastAsia="en-IN"/>
        </w:rPr>
      </w:pPr>
      <w:r w:rsidRPr="00D6537B">
        <w:rPr>
          <w:rFonts w:ascii="Arial" w:eastAsia="Times New Roman" w:hAnsi="Arial" w:cs="Arial"/>
          <w:sz w:val="24"/>
          <w:szCs w:val="24"/>
          <w:lang w:eastAsia="en-IN"/>
        </w:rPr>
        <w:t xml:space="preserve">Generative Artificial Intelligence (AI), specifically </w:t>
      </w:r>
      <w:proofErr w:type="spellStart"/>
      <w:r w:rsidRPr="00D6537B">
        <w:rPr>
          <w:rFonts w:ascii="Arial" w:eastAsia="Times New Roman" w:hAnsi="Arial" w:cs="Arial"/>
          <w:sz w:val="24"/>
          <w:szCs w:val="24"/>
          <w:lang w:eastAsia="en-IN"/>
        </w:rPr>
        <w:t>ChatGPT</w:t>
      </w:r>
      <w:proofErr w:type="spellEnd"/>
      <w:r w:rsidRPr="00D6537B">
        <w:rPr>
          <w:rFonts w:ascii="Arial" w:eastAsia="Times New Roman" w:hAnsi="Arial" w:cs="Arial"/>
          <w:sz w:val="24"/>
          <w:szCs w:val="24"/>
          <w:lang w:eastAsia="en-IN"/>
        </w:rPr>
        <w:t>, was used in accordance with the permitted categories specified for this assessment. Its use was limited to supporting research activities, including the identification and exploration of potentially relevant sources and concepts, proofreading and language improvement, and the creation of a visual diagram to support the presentation of the analysis. AI was not used to create the structure of the submission or to generate text for direct submission. The overall structure, arguments, analysis, strategic recommendation and final written content were developed independently by the student.</w:t>
      </w:r>
    </w:p>
    <w:p w14:paraId="304541FA" w14:textId="6B49CE8F" w:rsidR="00665524" w:rsidRPr="00D6537B" w:rsidRDefault="004E21CA" w:rsidP="00D6537B">
      <w:pPr>
        <w:spacing w:before="100" w:beforeAutospacing="1" w:after="100" w:afterAutospacing="1" w:line="360" w:lineRule="auto"/>
        <w:jc w:val="both"/>
        <w:outlineLvl w:val="1"/>
        <w:rPr>
          <w:rFonts w:ascii="Arial" w:eastAsia="Times New Roman" w:hAnsi="Arial" w:cs="Arial"/>
          <w:b/>
          <w:bCs/>
          <w:sz w:val="24"/>
          <w:szCs w:val="24"/>
          <w:lang w:eastAsia="en-IN"/>
        </w:rPr>
      </w:pPr>
      <w:bookmarkStart w:id="16" w:name="_Toc235475852"/>
      <w:r>
        <w:rPr>
          <w:rFonts w:ascii="Arial" w:eastAsia="Times New Roman" w:hAnsi="Arial" w:cs="Arial"/>
          <w:b/>
          <w:bCs/>
          <w:sz w:val="24"/>
          <w:szCs w:val="24"/>
          <w:lang w:eastAsia="en-IN"/>
        </w:rPr>
        <w:t>3</w:t>
      </w:r>
      <w:r w:rsidR="00665524" w:rsidRPr="00D6537B">
        <w:rPr>
          <w:rFonts w:ascii="Arial" w:eastAsia="Times New Roman" w:hAnsi="Arial" w:cs="Arial"/>
          <w:b/>
          <w:bCs/>
          <w:sz w:val="24"/>
          <w:szCs w:val="24"/>
          <w:lang w:eastAsia="en-IN"/>
        </w:rPr>
        <w:t>.2 Critical Evaluation of AI Output</w:t>
      </w:r>
      <w:bookmarkEnd w:id="16"/>
    </w:p>
    <w:p w14:paraId="6C00E7D0" w14:textId="77777777" w:rsidR="00665524" w:rsidRPr="00D6537B" w:rsidRDefault="00665524" w:rsidP="00D6537B">
      <w:pPr>
        <w:spacing w:before="100" w:beforeAutospacing="1" w:after="100" w:afterAutospacing="1" w:line="360" w:lineRule="auto"/>
        <w:jc w:val="both"/>
        <w:rPr>
          <w:rFonts w:ascii="Arial" w:eastAsia="Times New Roman" w:hAnsi="Arial" w:cs="Arial"/>
          <w:sz w:val="24"/>
          <w:szCs w:val="24"/>
          <w:lang w:eastAsia="en-IN"/>
        </w:rPr>
      </w:pPr>
      <w:r w:rsidRPr="00D6537B">
        <w:rPr>
          <w:rFonts w:ascii="Arial" w:eastAsia="Times New Roman" w:hAnsi="Arial" w:cs="Arial"/>
          <w:sz w:val="24"/>
          <w:szCs w:val="24"/>
          <w:lang w:eastAsia="en-IN"/>
        </w:rPr>
        <w:t>AI-generated research suggestions were treated as preliminary information rather than automatically reliable evidence. This approach was necessary because generative AI can produce inaccurate, incomplete or outdated information, including unsupported factual claims and unreliable references. Therefore, information relating to Tata Steel, decarbonisation, the steel industry and lower-carbon production was checked against appropriate academic, institutional and company sources before being used. Unverified information was not treated as authoritative evidence.</w:t>
      </w:r>
    </w:p>
    <w:p w14:paraId="56A7A818" w14:textId="6565C13C" w:rsidR="00665524" w:rsidRPr="00D6537B" w:rsidRDefault="00665524" w:rsidP="00D6537B">
      <w:pPr>
        <w:spacing w:before="100" w:beforeAutospacing="1" w:after="100" w:afterAutospacing="1" w:line="360" w:lineRule="auto"/>
        <w:jc w:val="both"/>
        <w:rPr>
          <w:rFonts w:ascii="Arial" w:eastAsia="Times New Roman" w:hAnsi="Arial" w:cs="Arial"/>
          <w:sz w:val="24"/>
          <w:szCs w:val="24"/>
          <w:lang w:eastAsia="en-IN"/>
        </w:rPr>
      </w:pPr>
      <w:r w:rsidRPr="00D6537B">
        <w:rPr>
          <w:rFonts w:ascii="Arial" w:eastAsia="Times New Roman" w:hAnsi="Arial" w:cs="Arial"/>
          <w:sz w:val="24"/>
          <w:szCs w:val="24"/>
          <w:lang w:eastAsia="en-IN"/>
        </w:rPr>
        <w:t>AI outputs were also critically assessed for analytical relevance. For example, the existence of a technological innovation was not automatically interpreted as evidence of competitive advantage. The analysis considered whether the technology could be implemented at scale, whether appropriate infrastructure and resources were available and whether customers would value the resulting lower-carbon products. This verification process was important because AI-generated responses can appear logically convincing while still containing weaknesses in evidence or reasoning.</w:t>
      </w:r>
    </w:p>
    <w:p w14:paraId="78E87828" w14:textId="7BA443EF" w:rsidR="00665524" w:rsidRPr="00D6537B" w:rsidRDefault="004E21CA" w:rsidP="00D6537B">
      <w:pPr>
        <w:spacing w:before="100" w:beforeAutospacing="1" w:after="100" w:afterAutospacing="1" w:line="360" w:lineRule="auto"/>
        <w:jc w:val="both"/>
        <w:outlineLvl w:val="1"/>
        <w:rPr>
          <w:rFonts w:ascii="Arial" w:eastAsia="Times New Roman" w:hAnsi="Arial" w:cs="Arial"/>
          <w:b/>
          <w:bCs/>
          <w:sz w:val="24"/>
          <w:szCs w:val="24"/>
          <w:lang w:eastAsia="en-IN"/>
        </w:rPr>
      </w:pPr>
      <w:bookmarkStart w:id="17" w:name="_Toc235475853"/>
      <w:r>
        <w:rPr>
          <w:rFonts w:ascii="Arial" w:eastAsia="Times New Roman" w:hAnsi="Arial" w:cs="Arial"/>
          <w:b/>
          <w:bCs/>
          <w:sz w:val="24"/>
          <w:szCs w:val="24"/>
          <w:lang w:eastAsia="en-IN"/>
        </w:rPr>
        <w:t>3</w:t>
      </w:r>
      <w:r w:rsidR="00665524" w:rsidRPr="00D6537B">
        <w:rPr>
          <w:rFonts w:ascii="Arial" w:eastAsia="Times New Roman" w:hAnsi="Arial" w:cs="Arial"/>
          <w:b/>
          <w:bCs/>
          <w:sz w:val="24"/>
          <w:szCs w:val="24"/>
          <w:lang w:eastAsia="en-IN"/>
        </w:rPr>
        <w:t>.3 Contribution Analysis</w:t>
      </w:r>
      <w:bookmarkEnd w:id="17"/>
    </w:p>
    <w:p w14:paraId="095695C3" w14:textId="77777777" w:rsidR="00665524" w:rsidRPr="00D6537B" w:rsidRDefault="00665524" w:rsidP="00D6537B">
      <w:pPr>
        <w:spacing w:before="100" w:beforeAutospacing="1" w:after="100" w:afterAutospacing="1" w:line="360" w:lineRule="auto"/>
        <w:jc w:val="both"/>
        <w:rPr>
          <w:rFonts w:ascii="Arial" w:eastAsia="Times New Roman" w:hAnsi="Arial" w:cs="Arial"/>
          <w:sz w:val="24"/>
          <w:szCs w:val="24"/>
          <w:lang w:eastAsia="en-IN"/>
        </w:rPr>
      </w:pPr>
      <w:r w:rsidRPr="00D6537B">
        <w:rPr>
          <w:rFonts w:ascii="Arial" w:eastAsia="Times New Roman" w:hAnsi="Arial" w:cs="Arial"/>
          <w:sz w:val="24"/>
          <w:szCs w:val="24"/>
          <w:lang w:eastAsia="en-IN"/>
        </w:rPr>
        <w:t xml:space="preserve">The permitted use of AI contributed to the research process by helping identify potentially relevant concepts, sources and areas requiring further investigation. It also </w:t>
      </w:r>
      <w:r w:rsidRPr="00D6537B">
        <w:rPr>
          <w:rFonts w:ascii="Arial" w:eastAsia="Times New Roman" w:hAnsi="Arial" w:cs="Arial"/>
          <w:sz w:val="24"/>
          <w:szCs w:val="24"/>
          <w:lang w:eastAsia="en-IN"/>
        </w:rPr>
        <w:lastRenderedPageBreak/>
        <w:t>supported proofreading by identifying grammatical, syntactical and clarity issues in the student's own work. In addition, AI was used to support the creation of a visual Ansoff Matrix and related analytical diagram as creative material for the assignment.</w:t>
      </w:r>
    </w:p>
    <w:p w14:paraId="20D011A6" w14:textId="6F3F9644" w:rsidR="00665524" w:rsidRPr="00D6537B" w:rsidRDefault="00665524" w:rsidP="00D6537B">
      <w:pPr>
        <w:spacing w:before="100" w:beforeAutospacing="1" w:after="100" w:afterAutospacing="1" w:line="360" w:lineRule="auto"/>
        <w:jc w:val="both"/>
        <w:rPr>
          <w:rFonts w:ascii="Arial" w:eastAsia="Times New Roman" w:hAnsi="Arial" w:cs="Arial"/>
          <w:sz w:val="24"/>
          <w:szCs w:val="24"/>
          <w:lang w:eastAsia="en-IN"/>
        </w:rPr>
      </w:pPr>
      <w:r w:rsidRPr="00D6537B">
        <w:rPr>
          <w:rFonts w:ascii="Arial" w:eastAsia="Times New Roman" w:hAnsi="Arial" w:cs="Arial"/>
          <w:sz w:val="24"/>
          <w:szCs w:val="24"/>
          <w:lang w:eastAsia="en-IN"/>
        </w:rPr>
        <w:t>However, the intellectual ownership of the submitted work remained with the student. The selection of Tata Steel, the choice of the Natural and Technological Environments for analysis, the evaluation of environmental opportunities and threats, the application of the Ansoff Matrix and the recommendation of Product Development were independently determined. The final arguments were therefore based on the student's own evaluation of the evidence rather than copied AI-generated text.</w:t>
      </w:r>
    </w:p>
    <w:p w14:paraId="6941CE6A" w14:textId="0FD256A4" w:rsidR="00665524" w:rsidRPr="00D6537B" w:rsidRDefault="004E21CA" w:rsidP="00D6537B">
      <w:pPr>
        <w:spacing w:before="100" w:beforeAutospacing="1" w:after="100" w:afterAutospacing="1" w:line="360" w:lineRule="auto"/>
        <w:jc w:val="both"/>
        <w:outlineLvl w:val="1"/>
        <w:rPr>
          <w:rFonts w:ascii="Arial" w:eastAsia="Times New Roman" w:hAnsi="Arial" w:cs="Arial"/>
          <w:b/>
          <w:bCs/>
          <w:sz w:val="24"/>
          <w:szCs w:val="24"/>
          <w:lang w:eastAsia="en-IN"/>
        </w:rPr>
      </w:pPr>
      <w:bookmarkStart w:id="18" w:name="_Toc235475854"/>
      <w:r>
        <w:rPr>
          <w:rFonts w:ascii="Arial" w:eastAsia="Times New Roman" w:hAnsi="Arial" w:cs="Arial"/>
          <w:b/>
          <w:bCs/>
          <w:sz w:val="24"/>
          <w:szCs w:val="24"/>
          <w:lang w:eastAsia="en-IN"/>
        </w:rPr>
        <w:t>3</w:t>
      </w:r>
      <w:r w:rsidR="00665524" w:rsidRPr="00D6537B">
        <w:rPr>
          <w:rFonts w:ascii="Arial" w:eastAsia="Times New Roman" w:hAnsi="Arial" w:cs="Arial"/>
          <w:b/>
          <w:bCs/>
          <w:sz w:val="24"/>
          <w:szCs w:val="24"/>
          <w:lang w:eastAsia="en-IN"/>
        </w:rPr>
        <w:t>.4 Ethical and Professional Reflection</w:t>
      </w:r>
      <w:bookmarkEnd w:id="18"/>
    </w:p>
    <w:p w14:paraId="1C98B2CB" w14:textId="77777777" w:rsidR="00665524" w:rsidRPr="00D6537B" w:rsidRDefault="00665524" w:rsidP="00D6537B">
      <w:pPr>
        <w:spacing w:before="100" w:beforeAutospacing="1" w:after="100" w:afterAutospacing="1" w:line="360" w:lineRule="auto"/>
        <w:jc w:val="both"/>
        <w:rPr>
          <w:rFonts w:ascii="Arial" w:eastAsia="Times New Roman" w:hAnsi="Arial" w:cs="Arial"/>
          <w:sz w:val="24"/>
          <w:szCs w:val="24"/>
          <w:lang w:eastAsia="en-IN"/>
        </w:rPr>
      </w:pPr>
      <w:r w:rsidRPr="00D6537B">
        <w:rPr>
          <w:rFonts w:ascii="Arial" w:eastAsia="Times New Roman" w:hAnsi="Arial" w:cs="Arial"/>
          <w:sz w:val="24"/>
          <w:szCs w:val="24"/>
          <w:lang w:eastAsia="en-IN"/>
        </w:rPr>
        <w:t>The use of AI creates important ethical and professional responsibilities. The principal concern is that AI-generated information may be accepted uncritically despite containing factual errors, misleading claims or inappropriate sources. This is particularly important in sustainability-related marketing, where unsupported environmental claims could contribute to greenwashing and damage stakeholder trust. Consequently, AI should be used as a supplementary research and productivity tool rather than as a replacement for independent judgement.</w:t>
      </w:r>
    </w:p>
    <w:p w14:paraId="290FDA02" w14:textId="77777777" w:rsidR="00665524" w:rsidRPr="00D6537B" w:rsidRDefault="00665524" w:rsidP="00D6537B">
      <w:pPr>
        <w:spacing w:before="100" w:beforeAutospacing="1" w:after="100" w:afterAutospacing="1" w:line="360" w:lineRule="auto"/>
        <w:jc w:val="both"/>
        <w:rPr>
          <w:rFonts w:ascii="Arial" w:eastAsia="Times New Roman" w:hAnsi="Arial" w:cs="Arial"/>
          <w:sz w:val="24"/>
          <w:szCs w:val="24"/>
          <w:lang w:eastAsia="en-IN"/>
        </w:rPr>
      </w:pPr>
      <w:r w:rsidRPr="00D6537B">
        <w:rPr>
          <w:rFonts w:ascii="Arial" w:eastAsia="Times New Roman" w:hAnsi="Arial" w:cs="Arial"/>
          <w:sz w:val="24"/>
          <w:szCs w:val="24"/>
          <w:lang w:eastAsia="en-IN"/>
        </w:rPr>
        <w:t>The assessment's restrictions on AI-generated writing also reinforce the importance of academic integrity and individual authorship. Limiting AI use to permitted research, proofreading and creative support helped ensure that the final written submission reflected the student's own analysis and academic judgement. Overall, the experience demonstrated that AI can improve research efficiency, language accuracy and visual communication when used responsibly, but its outputs require verification and the student remains responsible for the accuracy, originality and ethical quality of the final submission.</w:t>
      </w:r>
    </w:p>
    <w:p w14:paraId="602B4469" w14:textId="6DDF3562" w:rsidR="00EE02A7" w:rsidRPr="00D6537B" w:rsidRDefault="00EE02A7" w:rsidP="00D6537B">
      <w:pPr>
        <w:spacing w:line="360" w:lineRule="auto"/>
        <w:jc w:val="both"/>
        <w:rPr>
          <w:rFonts w:ascii="Arial" w:eastAsia="Times New Roman" w:hAnsi="Arial" w:cs="Arial"/>
          <w:sz w:val="24"/>
          <w:szCs w:val="24"/>
          <w:lang w:eastAsia="en-IN"/>
        </w:rPr>
      </w:pPr>
      <w:r w:rsidRPr="00D6537B">
        <w:rPr>
          <w:rFonts w:ascii="Arial" w:eastAsia="Times New Roman" w:hAnsi="Arial" w:cs="Arial"/>
          <w:sz w:val="24"/>
          <w:szCs w:val="24"/>
          <w:lang w:eastAsia="en-IN"/>
        </w:rPr>
        <w:br w:type="page"/>
      </w:r>
    </w:p>
    <w:p w14:paraId="30340C22" w14:textId="6AC1D081" w:rsidR="00EE02A7" w:rsidRPr="00D6537B" w:rsidRDefault="00EE02A7" w:rsidP="00D6537B">
      <w:pPr>
        <w:pStyle w:val="Heading1"/>
        <w:spacing w:line="360" w:lineRule="auto"/>
        <w:jc w:val="center"/>
        <w:rPr>
          <w:rFonts w:ascii="Arial" w:hAnsi="Arial" w:cs="Arial"/>
          <w:sz w:val="34"/>
          <w:szCs w:val="34"/>
        </w:rPr>
      </w:pPr>
      <w:bookmarkStart w:id="19" w:name="_Toc235475855"/>
      <w:r w:rsidRPr="00D6537B">
        <w:rPr>
          <w:rFonts w:ascii="Arial" w:hAnsi="Arial" w:cs="Arial"/>
          <w:sz w:val="34"/>
          <w:szCs w:val="34"/>
        </w:rPr>
        <w:lastRenderedPageBreak/>
        <w:t>References</w:t>
      </w:r>
      <w:bookmarkEnd w:id="19"/>
    </w:p>
    <w:p w14:paraId="57C23444" w14:textId="77777777" w:rsidR="00EE02A7" w:rsidRPr="00EE02A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EE02A7">
        <w:rPr>
          <w:rFonts w:ascii="Arial" w:eastAsia="Times New Roman" w:hAnsi="Arial" w:cs="Arial"/>
          <w:sz w:val="24"/>
          <w:szCs w:val="24"/>
          <w:lang w:eastAsia="en-IN"/>
        </w:rPr>
        <w:t xml:space="preserve">Ansoff, H.I. (1957) ‘Strategies for diversification’, </w:t>
      </w:r>
      <w:r w:rsidRPr="00EE02A7">
        <w:rPr>
          <w:rFonts w:ascii="Arial" w:eastAsia="Times New Roman" w:hAnsi="Arial" w:cs="Arial"/>
          <w:i/>
          <w:iCs/>
          <w:sz w:val="24"/>
          <w:szCs w:val="24"/>
          <w:lang w:eastAsia="en-IN"/>
        </w:rPr>
        <w:t>Harvard Business Review</w:t>
      </w:r>
      <w:r w:rsidRPr="00EE02A7">
        <w:rPr>
          <w:rFonts w:ascii="Arial" w:eastAsia="Times New Roman" w:hAnsi="Arial" w:cs="Arial"/>
          <w:sz w:val="24"/>
          <w:szCs w:val="24"/>
          <w:lang w:eastAsia="en-IN"/>
        </w:rPr>
        <w:t xml:space="preserve">, 35(5), pp. 113–124. </w:t>
      </w:r>
    </w:p>
    <w:p w14:paraId="505BEC38" w14:textId="77777777" w:rsidR="00EE02A7" w:rsidRPr="00EE02A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EE02A7">
        <w:rPr>
          <w:rFonts w:ascii="Arial" w:eastAsia="Times New Roman" w:hAnsi="Arial" w:cs="Arial"/>
          <w:sz w:val="24"/>
          <w:szCs w:val="24"/>
          <w:lang w:eastAsia="en-IN"/>
        </w:rPr>
        <w:t xml:space="preserve">Barney, J.B. (1991) ‘Firm resources and sustained competitive advantage’, </w:t>
      </w:r>
      <w:r w:rsidRPr="00EE02A7">
        <w:rPr>
          <w:rFonts w:ascii="Arial" w:eastAsia="Times New Roman" w:hAnsi="Arial" w:cs="Arial"/>
          <w:i/>
          <w:iCs/>
          <w:sz w:val="24"/>
          <w:szCs w:val="24"/>
          <w:lang w:eastAsia="en-IN"/>
        </w:rPr>
        <w:t>Journal of Management</w:t>
      </w:r>
      <w:r w:rsidRPr="00EE02A7">
        <w:rPr>
          <w:rFonts w:ascii="Arial" w:eastAsia="Times New Roman" w:hAnsi="Arial" w:cs="Arial"/>
          <w:sz w:val="24"/>
          <w:szCs w:val="24"/>
          <w:lang w:eastAsia="en-IN"/>
        </w:rPr>
        <w:t xml:space="preserve">, 17(1), pp. 99–120. </w:t>
      </w:r>
    </w:p>
    <w:p w14:paraId="7182002D" w14:textId="77777777" w:rsidR="00EE02A7" w:rsidRPr="00EE02A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EE02A7">
        <w:rPr>
          <w:rFonts w:ascii="Arial" w:eastAsia="Times New Roman" w:hAnsi="Arial" w:cs="Arial"/>
          <w:sz w:val="24"/>
          <w:szCs w:val="24"/>
          <w:lang w:eastAsia="en-IN"/>
        </w:rPr>
        <w:t xml:space="preserve">European Commission (2023) </w:t>
      </w:r>
      <w:r w:rsidRPr="00EE02A7">
        <w:rPr>
          <w:rFonts w:ascii="Arial" w:eastAsia="Times New Roman" w:hAnsi="Arial" w:cs="Arial"/>
          <w:i/>
          <w:iCs/>
          <w:sz w:val="24"/>
          <w:szCs w:val="24"/>
          <w:lang w:eastAsia="en-IN"/>
        </w:rPr>
        <w:t>A Green Deal Industrial Plan for the Net-Zero Age</w:t>
      </w:r>
      <w:r w:rsidRPr="00EE02A7">
        <w:rPr>
          <w:rFonts w:ascii="Arial" w:eastAsia="Times New Roman" w:hAnsi="Arial" w:cs="Arial"/>
          <w:sz w:val="24"/>
          <w:szCs w:val="24"/>
          <w:lang w:eastAsia="en-IN"/>
        </w:rPr>
        <w:t xml:space="preserve">. Brussels: European Commission. </w:t>
      </w:r>
    </w:p>
    <w:p w14:paraId="234DA467" w14:textId="77777777" w:rsidR="00EE02A7" w:rsidRPr="00EE02A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EE02A7">
        <w:rPr>
          <w:rFonts w:ascii="Arial" w:eastAsia="Times New Roman" w:hAnsi="Arial" w:cs="Arial"/>
          <w:sz w:val="24"/>
          <w:szCs w:val="24"/>
          <w:lang w:eastAsia="en-IN"/>
        </w:rPr>
        <w:t xml:space="preserve">International Energy Agency (IEA) (2023) </w:t>
      </w:r>
      <w:r w:rsidRPr="00EE02A7">
        <w:rPr>
          <w:rFonts w:ascii="Arial" w:eastAsia="Times New Roman" w:hAnsi="Arial" w:cs="Arial"/>
          <w:i/>
          <w:iCs/>
          <w:sz w:val="24"/>
          <w:szCs w:val="24"/>
          <w:lang w:eastAsia="en-IN"/>
        </w:rPr>
        <w:t>Iron and Steel Technology Roadmap</w:t>
      </w:r>
      <w:r w:rsidRPr="00EE02A7">
        <w:rPr>
          <w:rFonts w:ascii="Arial" w:eastAsia="Times New Roman" w:hAnsi="Arial" w:cs="Arial"/>
          <w:sz w:val="24"/>
          <w:szCs w:val="24"/>
          <w:lang w:eastAsia="en-IN"/>
        </w:rPr>
        <w:t xml:space="preserve">. Paris: IEA. </w:t>
      </w:r>
    </w:p>
    <w:p w14:paraId="74A8C62D" w14:textId="77777777" w:rsidR="00EE02A7" w:rsidRPr="00EE02A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EE02A7">
        <w:rPr>
          <w:rFonts w:ascii="Arial" w:eastAsia="Times New Roman" w:hAnsi="Arial" w:cs="Arial"/>
          <w:sz w:val="24"/>
          <w:szCs w:val="24"/>
          <w:lang w:eastAsia="en-IN"/>
        </w:rPr>
        <w:t xml:space="preserve">Intergovernmental Panel on Climate Change (IPCC) (2023) </w:t>
      </w:r>
      <w:r w:rsidRPr="00EE02A7">
        <w:rPr>
          <w:rFonts w:ascii="Arial" w:eastAsia="Times New Roman" w:hAnsi="Arial" w:cs="Arial"/>
          <w:i/>
          <w:iCs/>
          <w:sz w:val="24"/>
          <w:szCs w:val="24"/>
          <w:lang w:eastAsia="en-IN"/>
        </w:rPr>
        <w:t>Climate Change 2023: Synthesis Report</w:t>
      </w:r>
      <w:r w:rsidRPr="00EE02A7">
        <w:rPr>
          <w:rFonts w:ascii="Arial" w:eastAsia="Times New Roman" w:hAnsi="Arial" w:cs="Arial"/>
          <w:sz w:val="24"/>
          <w:szCs w:val="24"/>
          <w:lang w:eastAsia="en-IN"/>
        </w:rPr>
        <w:t xml:space="preserve">. Geneva: IPCC. </w:t>
      </w:r>
    </w:p>
    <w:p w14:paraId="09C7A67C" w14:textId="77777777" w:rsidR="00EE02A7" w:rsidRPr="00EE02A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EE02A7">
        <w:rPr>
          <w:rFonts w:ascii="Arial" w:eastAsia="Times New Roman" w:hAnsi="Arial" w:cs="Arial"/>
          <w:sz w:val="24"/>
          <w:szCs w:val="24"/>
          <w:lang w:eastAsia="en-IN"/>
        </w:rPr>
        <w:t xml:space="preserve">Klimek, P., Pichler, A., </w:t>
      </w:r>
      <w:proofErr w:type="spellStart"/>
      <w:r w:rsidRPr="00EE02A7">
        <w:rPr>
          <w:rFonts w:ascii="Arial" w:eastAsia="Times New Roman" w:hAnsi="Arial" w:cs="Arial"/>
          <w:sz w:val="24"/>
          <w:szCs w:val="24"/>
          <w:lang w:eastAsia="en-IN"/>
        </w:rPr>
        <w:t>Raidl</w:t>
      </w:r>
      <w:proofErr w:type="spellEnd"/>
      <w:r w:rsidRPr="00EE02A7">
        <w:rPr>
          <w:rFonts w:ascii="Arial" w:eastAsia="Times New Roman" w:hAnsi="Arial" w:cs="Arial"/>
          <w:sz w:val="24"/>
          <w:szCs w:val="24"/>
          <w:lang w:eastAsia="en-IN"/>
        </w:rPr>
        <w:t xml:space="preserve">, A. and Farmer, J.D. (2024) ‘The European steel industry's transition to low-carbon production: resource and supply chain implications’, </w:t>
      </w:r>
      <w:r w:rsidRPr="00EE02A7">
        <w:rPr>
          <w:rFonts w:ascii="Arial" w:eastAsia="Times New Roman" w:hAnsi="Arial" w:cs="Arial"/>
          <w:i/>
          <w:iCs/>
          <w:sz w:val="24"/>
          <w:szCs w:val="24"/>
          <w:lang w:eastAsia="en-IN"/>
        </w:rPr>
        <w:t>Journal of Industrial Ecology</w:t>
      </w:r>
      <w:r w:rsidRPr="00EE02A7">
        <w:rPr>
          <w:rFonts w:ascii="Arial" w:eastAsia="Times New Roman" w:hAnsi="Arial" w:cs="Arial"/>
          <w:sz w:val="24"/>
          <w:szCs w:val="24"/>
          <w:lang w:eastAsia="en-IN"/>
        </w:rPr>
        <w:t xml:space="preserve">, 28(2), pp. 456–472. </w:t>
      </w:r>
    </w:p>
    <w:p w14:paraId="4B4A9985" w14:textId="77777777" w:rsidR="00EE02A7" w:rsidRPr="00EE02A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EE02A7">
        <w:rPr>
          <w:rFonts w:ascii="Arial" w:eastAsia="Times New Roman" w:hAnsi="Arial" w:cs="Arial"/>
          <w:sz w:val="24"/>
          <w:szCs w:val="24"/>
          <w:lang w:eastAsia="en-IN"/>
        </w:rPr>
        <w:t xml:space="preserve">Kotler, P., Keller, K.L. and </w:t>
      </w:r>
      <w:proofErr w:type="spellStart"/>
      <w:r w:rsidRPr="00EE02A7">
        <w:rPr>
          <w:rFonts w:ascii="Arial" w:eastAsia="Times New Roman" w:hAnsi="Arial" w:cs="Arial"/>
          <w:sz w:val="24"/>
          <w:szCs w:val="24"/>
          <w:lang w:eastAsia="en-IN"/>
        </w:rPr>
        <w:t>Chernev</w:t>
      </w:r>
      <w:proofErr w:type="spellEnd"/>
      <w:r w:rsidRPr="00EE02A7">
        <w:rPr>
          <w:rFonts w:ascii="Arial" w:eastAsia="Times New Roman" w:hAnsi="Arial" w:cs="Arial"/>
          <w:sz w:val="24"/>
          <w:szCs w:val="24"/>
          <w:lang w:eastAsia="en-IN"/>
        </w:rPr>
        <w:t xml:space="preserve">, A. (2024) </w:t>
      </w:r>
      <w:r w:rsidRPr="00EE02A7">
        <w:rPr>
          <w:rFonts w:ascii="Arial" w:eastAsia="Times New Roman" w:hAnsi="Arial" w:cs="Arial"/>
          <w:i/>
          <w:iCs/>
          <w:sz w:val="24"/>
          <w:szCs w:val="24"/>
          <w:lang w:eastAsia="en-IN"/>
        </w:rPr>
        <w:t>Marketing Management</w:t>
      </w:r>
      <w:r w:rsidRPr="00EE02A7">
        <w:rPr>
          <w:rFonts w:ascii="Arial" w:eastAsia="Times New Roman" w:hAnsi="Arial" w:cs="Arial"/>
          <w:sz w:val="24"/>
          <w:szCs w:val="24"/>
          <w:lang w:eastAsia="en-IN"/>
        </w:rPr>
        <w:t xml:space="preserve">. 17th </w:t>
      </w:r>
      <w:proofErr w:type="spellStart"/>
      <w:r w:rsidRPr="00EE02A7">
        <w:rPr>
          <w:rFonts w:ascii="Arial" w:eastAsia="Times New Roman" w:hAnsi="Arial" w:cs="Arial"/>
          <w:sz w:val="24"/>
          <w:szCs w:val="24"/>
          <w:lang w:eastAsia="en-IN"/>
        </w:rPr>
        <w:t>edn</w:t>
      </w:r>
      <w:proofErr w:type="spellEnd"/>
      <w:r w:rsidRPr="00EE02A7">
        <w:rPr>
          <w:rFonts w:ascii="Arial" w:eastAsia="Times New Roman" w:hAnsi="Arial" w:cs="Arial"/>
          <w:sz w:val="24"/>
          <w:szCs w:val="24"/>
          <w:lang w:eastAsia="en-IN"/>
        </w:rPr>
        <w:t xml:space="preserve">. Harlow: Pearson. </w:t>
      </w:r>
    </w:p>
    <w:p w14:paraId="07F05F2F" w14:textId="77777777" w:rsidR="00EE02A7" w:rsidRPr="00EE02A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EE02A7">
        <w:rPr>
          <w:rFonts w:ascii="Arial" w:eastAsia="Times New Roman" w:hAnsi="Arial" w:cs="Arial"/>
          <w:sz w:val="24"/>
          <w:szCs w:val="24"/>
          <w:lang w:eastAsia="en-IN"/>
        </w:rPr>
        <w:t xml:space="preserve">Kotler, P., Armstrong, G., Harris, L.C. and He, H. (2021) </w:t>
      </w:r>
      <w:r w:rsidRPr="00EE02A7">
        <w:rPr>
          <w:rFonts w:ascii="Arial" w:eastAsia="Times New Roman" w:hAnsi="Arial" w:cs="Arial"/>
          <w:i/>
          <w:iCs/>
          <w:sz w:val="24"/>
          <w:szCs w:val="24"/>
          <w:lang w:eastAsia="en-IN"/>
        </w:rPr>
        <w:t>Principles of Marketing</w:t>
      </w:r>
      <w:r w:rsidRPr="00EE02A7">
        <w:rPr>
          <w:rFonts w:ascii="Arial" w:eastAsia="Times New Roman" w:hAnsi="Arial" w:cs="Arial"/>
          <w:sz w:val="24"/>
          <w:szCs w:val="24"/>
          <w:lang w:eastAsia="en-IN"/>
        </w:rPr>
        <w:t xml:space="preserve">. 9th European </w:t>
      </w:r>
      <w:proofErr w:type="spellStart"/>
      <w:r w:rsidRPr="00EE02A7">
        <w:rPr>
          <w:rFonts w:ascii="Arial" w:eastAsia="Times New Roman" w:hAnsi="Arial" w:cs="Arial"/>
          <w:sz w:val="24"/>
          <w:szCs w:val="24"/>
          <w:lang w:eastAsia="en-IN"/>
        </w:rPr>
        <w:t>edn</w:t>
      </w:r>
      <w:proofErr w:type="spellEnd"/>
      <w:r w:rsidRPr="00EE02A7">
        <w:rPr>
          <w:rFonts w:ascii="Arial" w:eastAsia="Times New Roman" w:hAnsi="Arial" w:cs="Arial"/>
          <w:sz w:val="24"/>
          <w:szCs w:val="24"/>
          <w:lang w:eastAsia="en-IN"/>
        </w:rPr>
        <w:t xml:space="preserve">. Harlow: Pearson. </w:t>
      </w:r>
    </w:p>
    <w:p w14:paraId="70996453" w14:textId="77777777" w:rsidR="00EE02A7" w:rsidRPr="00EE02A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EE02A7">
        <w:rPr>
          <w:rFonts w:ascii="Arial" w:eastAsia="Times New Roman" w:hAnsi="Arial" w:cs="Arial"/>
          <w:sz w:val="24"/>
          <w:szCs w:val="24"/>
          <w:lang w:eastAsia="en-IN"/>
        </w:rPr>
        <w:t xml:space="preserve">Porter, M.E. (1985) </w:t>
      </w:r>
      <w:r w:rsidRPr="00EE02A7">
        <w:rPr>
          <w:rFonts w:ascii="Arial" w:eastAsia="Times New Roman" w:hAnsi="Arial" w:cs="Arial"/>
          <w:i/>
          <w:iCs/>
          <w:sz w:val="24"/>
          <w:szCs w:val="24"/>
          <w:lang w:eastAsia="en-IN"/>
        </w:rPr>
        <w:t>Competitive Advantage: Creating and Sustaining Superior Performance</w:t>
      </w:r>
      <w:r w:rsidRPr="00EE02A7">
        <w:rPr>
          <w:rFonts w:ascii="Arial" w:eastAsia="Times New Roman" w:hAnsi="Arial" w:cs="Arial"/>
          <w:sz w:val="24"/>
          <w:szCs w:val="24"/>
          <w:lang w:eastAsia="en-IN"/>
        </w:rPr>
        <w:t xml:space="preserve">. New York: Free Press. </w:t>
      </w:r>
    </w:p>
    <w:p w14:paraId="47AAC2DB" w14:textId="77777777" w:rsidR="00EE02A7" w:rsidRPr="00EE02A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EE02A7">
        <w:rPr>
          <w:rFonts w:ascii="Arial" w:eastAsia="Times New Roman" w:hAnsi="Arial" w:cs="Arial"/>
          <w:sz w:val="24"/>
          <w:szCs w:val="24"/>
          <w:lang w:eastAsia="en-IN"/>
        </w:rPr>
        <w:t xml:space="preserve">Porter, M.E. and Kramer, M.R. (2011) ‘Creating shared value’, </w:t>
      </w:r>
      <w:r w:rsidRPr="00EE02A7">
        <w:rPr>
          <w:rFonts w:ascii="Arial" w:eastAsia="Times New Roman" w:hAnsi="Arial" w:cs="Arial"/>
          <w:i/>
          <w:iCs/>
          <w:sz w:val="24"/>
          <w:szCs w:val="24"/>
          <w:lang w:eastAsia="en-IN"/>
        </w:rPr>
        <w:t>Harvard Business Review</w:t>
      </w:r>
      <w:r w:rsidRPr="00EE02A7">
        <w:rPr>
          <w:rFonts w:ascii="Arial" w:eastAsia="Times New Roman" w:hAnsi="Arial" w:cs="Arial"/>
          <w:sz w:val="24"/>
          <w:szCs w:val="24"/>
          <w:lang w:eastAsia="en-IN"/>
        </w:rPr>
        <w:t xml:space="preserve">, 89(1–2), pp. 62–77. </w:t>
      </w:r>
    </w:p>
    <w:p w14:paraId="7D022B63" w14:textId="77777777" w:rsidR="00EE02A7" w:rsidRPr="00EE02A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proofErr w:type="spellStart"/>
      <w:r w:rsidRPr="00EE02A7">
        <w:rPr>
          <w:rFonts w:ascii="Arial" w:eastAsia="Times New Roman" w:hAnsi="Arial" w:cs="Arial"/>
          <w:sz w:val="24"/>
          <w:szCs w:val="24"/>
          <w:lang w:eastAsia="en-IN"/>
        </w:rPr>
        <w:t>Raillard-Cazanove</w:t>
      </w:r>
      <w:proofErr w:type="spellEnd"/>
      <w:r w:rsidRPr="00EE02A7">
        <w:rPr>
          <w:rFonts w:ascii="Arial" w:eastAsia="Times New Roman" w:hAnsi="Arial" w:cs="Arial"/>
          <w:sz w:val="24"/>
          <w:szCs w:val="24"/>
          <w:lang w:eastAsia="en-IN"/>
        </w:rPr>
        <w:t xml:space="preserve">, J., </w:t>
      </w:r>
      <w:proofErr w:type="spellStart"/>
      <w:r w:rsidRPr="00EE02A7">
        <w:rPr>
          <w:rFonts w:ascii="Arial" w:eastAsia="Times New Roman" w:hAnsi="Arial" w:cs="Arial"/>
          <w:sz w:val="24"/>
          <w:szCs w:val="24"/>
          <w:lang w:eastAsia="en-IN"/>
        </w:rPr>
        <w:t>Knibiehly</w:t>
      </w:r>
      <w:proofErr w:type="spellEnd"/>
      <w:r w:rsidRPr="00EE02A7">
        <w:rPr>
          <w:rFonts w:ascii="Arial" w:eastAsia="Times New Roman" w:hAnsi="Arial" w:cs="Arial"/>
          <w:sz w:val="24"/>
          <w:szCs w:val="24"/>
          <w:lang w:eastAsia="en-IN"/>
        </w:rPr>
        <w:t xml:space="preserve">, D. and Girard, R. (2024) ‘Energy infrastructure requirements for industrial decarbonisation: implications for electrification of heavy industry’, </w:t>
      </w:r>
      <w:r w:rsidRPr="00EE02A7">
        <w:rPr>
          <w:rFonts w:ascii="Arial" w:eastAsia="Times New Roman" w:hAnsi="Arial" w:cs="Arial"/>
          <w:i/>
          <w:iCs/>
          <w:sz w:val="24"/>
          <w:szCs w:val="24"/>
          <w:lang w:eastAsia="en-IN"/>
        </w:rPr>
        <w:t>Energy Policy</w:t>
      </w:r>
      <w:r w:rsidRPr="00EE02A7">
        <w:rPr>
          <w:rFonts w:ascii="Arial" w:eastAsia="Times New Roman" w:hAnsi="Arial" w:cs="Arial"/>
          <w:sz w:val="24"/>
          <w:szCs w:val="24"/>
          <w:lang w:eastAsia="en-IN"/>
        </w:rPr>
        <w:t xml:space="preserve">, 189, 114125. </w:t>
      </w:r>
    </w:p>
    <w:p w14:paraId="57478161" w14:textId="77777777" w:rsidR="00EE02A7" w:rsidRPr="00EE02A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EE02A7">
        <w:rPr>
          <w:rFonts w:ascii="Arial" w:eastAsia="Times New Roman" w:hAnsi="Arial" w:cs="Arial"/>
          <w:sz w:val="24"/>
          <w:szCs w:val="24"/>
          <w:lang w:eastAsia="en-IN"/>
        </w:rPr>
        <w:t xml:space="preserve">Tata Steel (2024) </w:t>
      </w:r>
      <w:r w:rsidRPr="00EE02A7">
        <w:rPr>
          <w:rFonts w:ascii="Arial" w:eastAsia="Times New Roman" w:hAnsi="Arial" w:cs="Arial"/>
          <w:i/>
          <w:iCs/>
          <w:sz w:val="24"/>
          <w:szCs w:val="24"/>
          <w:lang w:eastAsia="en-IN"/>
        </w:rPr>
        <w:t>Annual Report 2023–24</w:t>
      </w:r>
      <w:r w:rsidRPr="00EE02A7">
        <w:rPr>
          <w:rFonts w:ascii="Arial" w:eastAsia="Times New Roman" w:hAnsi="Arial" w:cs="Arial"/>
          <w:sz w:val="24"/>
          <w:szCs w:val="24"/>
          <w:lang w:eastAsia="en-IN"/>
        </w:rPr>
        <w:t xml:space="preserve">. Mumbai: Tata Steel Limited. </w:t>
      </w:r>
    </w:p>
    <w:p w14:paraId="6D3B4F5C" w14:textId="77777777" w:rsidR="00EE02A7" w:rsidRPr="00EE02A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EE02A7">
        <w:rPr>
          <w:rFonts w:ascii="Arial" w:eastAsia="Times New Roman" w:hAnsi="Arial" w:cs="Arial"/>
          <w:sz w:val="24"/>
          <w:szCs w:val="24"/>
          <w:lang w:eastAsia="en-IN"/>
        </w:rPr>
        <w:t xml:space="preserve">Tata Steel (2024) </w:t>
      </w:r>
      <w:r w:rsidRPr="00EE02A7">
        <w:rPr>
          <w:rFonts w:ascii="Arial" w:eastAsia="Times New Roman" w:hAnsi="Arial" w:cs="Arial"/>
          <w:i/>
          <w:iCs/>
          <w:sz w:val="24"/>
          <w:szCs w:val="24"/>
          <w:lang w:eastAsia="en-IN"/>
        </w:rPr>
        <w:t>Port Talbot Transformation Programme</w:t>
      </w:r>
      <w:r w:rsidRPr="00EE02A7">
        <w:rPr>
          <w:rFonts w:ascii="Arial" w:eastAsia="Times New Roman" w:hAnsi="Arial" w:cs="Arial"/>
          <w:sz w:val="24"/>
          <w:szCs w:val="24"/>
          <w:lang w:eastAsia="en-IN"/>
        </w:rPr>
        <w:t xml:space="preserve">. Available at: </w:t>
      </w:r>
      <w:hyperlink r:id="rId8" w:tgtFrame="_new" w:history="1">
        <w:r w:rsidRPr="00EE02A7">
          <w:rPr>
            <w:rStyle w:val="Hyperlink"/>
            <w:rFonts w:ascii="Arial" w:eastAsia="Times New Roman" w:hAnsi="Arial" w:cs="Arial"/>
            <w:sz w:val="24"/>
            <w:szCs w:val="24"/>
            <w:lang w:eastAsia="en-IN"/>
          </w:rPr>
          <w:t>https://www.tatasteeleurope.com</w:t>
        </w:r>
      </w:hyperlink>
      <w:r w:rsidRPr="00EE02A7">
        <w:rPr>
          <w:rFonts w:ascii="Arial" w:eastAsia="Times New Roman" w:hAnsi="Arial" w:cs="Arial"/>
          <w:sz w:val="24"/>
          <w:szCs w:val="24"/>
          <w:lang w:eastAsia="en-IN"/>
        </w:rPr>
        <w:t xml:space="preserve"> (Accessed: 20 July 2026). </w:t>
      </w:r>
    </w:p>
    <w:p w14:paraId="1760768F" w14:textId="77777777" w:rsidR="00EE02A7" w:rsidRPr="00EE02A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EE02A7">
        <w:rPr>
          <w:rFonts w:ascii="Arial" w:eastAsia="Times New Roman" w:hAnsi="Arial" w:cs="Arial"/>
          <w:sz w:val="24"/>
          <w:szCs w:val="24"/>
          <w:lang w:eastAsia="en-IN"/>
        </w:rPr>
        <w:t xml:space="preserve">Tata Steel (2025) </w:t>
      </w:r>
      <w:r w:rsidRPr="00EE02A7">
        <w:rPr>
          <w:rFonts w:ascii="Arial" w:eastAsia="Times New Roman" w:hAnsi="Arial" w:cs="Arial"/>
          <w:i/>
          <w:iCs/>
          <w:sz w:val="24"/>
          <w:szCs w:val="24"/>
          <w:lang w:eastAsia="en-IN"/>
        </w:rPr>
        <w:t>Sustainability Report 2024–25</w:t>
      </w:r>
      <w:r w:rsidRPr="00EE02A7">
        <w:rPr>
          <w:rFonts w:ascii="Arial" w:eastAsia="Times New Roman" w:hAnsi="Arial" w:cs="Arial"/>
          <w:sz w:val="24"/>
          <w:szCs w:val="24"/>
          <w:lang w:eastAsia="en-IN"/>
        </w:rPr>
        <w:t xml:space="preserve">. Mumbai: Tata Steel Limited. </w:t>
      </w:r>
    </w:p>
    <w:p w14:paraId="6AB1026B" w14:textId="77777777" w:rsidR="00EE02A7" w:rsidRPr="00EE02A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EE02A7">
        <w:rPr>
          <w:rFonts w:ascii="Arial" w:eastAsia="Times New Roman" w:hAnsi="Arial" w:cs="Arial"/>
          <w:sz w:val="24"/>
          <w:szCs w:val="24"/>
          <w:lang w:eastAsia="en-IN"/>
        </w:rPr>
        <w:t xml:space="preserve">Tata Steel (2025) </w:t>
      </w:r>
      <w:proofErr w:type="spellStart"/>
      <w:r w:rsidRPr="00EE02A7">
        <w:rPr>
          <w:rFonts w:ascii="Arial" w:eastAsia="Times New Roman" w:hAnsi="Arial" w:cs="Arial"/>
          <w:i/>
          <w:iCs/>
          <w:sz w:val="24"/>
          <w:szCs w:val="24"/>
          <w:lang w:eastAsia="en-IN"/>
        </w:rPr>
        <w:t>Zeremis</w:t>
      </w:r>
      <w:proofErr w:type="spellEnd"/>
      <w:r w:rsidRPr="00EE02A7">
        <w:rPr>
          <w:rFonts w:ascii="Arial" w:eastAsia="Times New Roman" w:hAnsi="Arial" w:cs="Arial"/>
          <w:i/>
          <w:iCs/>
          <w:sz w:val="24"/>
          <w:szCs w:val="24"/>
          <w:lang w:eastAsia="en-IN"/>
        </w:rPr>
        <w:t xml:space="preserve"> Carbon Lite and Sustainable Steel Solutions</w:t>
      </w:r>
      <w:r w:rsidRPr="00EE02A7">
        <w:rPr>
          <w:rFonts w:ascii="Arial" w:eastAsia="Times New Roman" w:hAnsi="Arial" w:cs="Arial"/>
          <w:sz w:val="24"/>
          <w:szCs w:val="24"/>
          <w:lang w:eastAsia="en-IN"/>
        </w:rPr>
        <w:t xml:space="preserve">. Available at: </w:t>
      </w:r>
      <w:hyperlink r:id="rId9" w:tgtFrame="_new" w:history="1">
        <w:r w:rsidRPr="00EE02A7">
          <w:rPr>
            <w:rStyle w:val="Hyperlink"/>
            <w:rFonts w:ascii="Arial" w:eastAsia="Times New Roman" w:hAnsi="Arial" w:cs="Arial"/>
            <w:sz w:val="24"/>
            <w:szCs w:val="24"/>
            <w:lang w:eastAsia="en-IN"/>
          </w:rPr>
          <w:t>https://www.tatasteel.com</w:t>
        </w:r>
      </w:hyperlink>
      <w:r w:rsidRPr="00EE02A7">
        <w:rPr>
          <w:rFonts w:ascii="Arial" w:eastAsia="Times New Roman" w:hAnsi="Arial" w:cs="Arial"/>
          <w:sz w:val="24"/>
          <w:szCs w:val="24"/>
          <w:lang w:eastAsia="en-IN"/>
        </w:rPr>
        <w:t xml:space="preserve"> (Accessed: 20 July 2026). </w:t>
      </w:r>
    </w:p>
    <w:p w14:paraId="23B6C519" w14:textId="77777777" w:rsidR="00EE02A7" w:rsidRPr="00EE02A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EE02A7">
        <w:rPr>
          <w:rFonts w:ascii="Arial" w:eastAsia="Times New Roman" w:hAnsi="Arial" w:cs="Arial"/>
          <w:sz w:val="24"/>
          <w:szCs w:val="24"/>
          <w:lang w:eastAsia="en-IN"/>
        </w:rPr>
        <w:lastRenderedPageBreak/>
        <w:t xml:space="preserve">Tata Steel (2025) </w:t>
      </w:r>
      <w:r w:rsidRPr="00EE02A7">
        <w:rPr>
          <w:rFonts w:ascii="Arial" w:eastAsia="Times New Roman" w:hAnsi="Arial" w:cs="Arial"/>
          <w:i/>
          <w:iCs/>
          <w:sz w:val="24"/>
          <w:szCs w:val="24"/>
          <w:lang w:eastAsia="en-IN"/>
        </w:rPr>
        <w:t>Environmental Product Declarations (EPDs)</w:t>
      </w:r>
      <w:r w:rsidRPr="00EE02A7">
        <w:rPr>
          <w:rFonts w:ascii="Arial" w:eastAsia="Times New Roman" w:hAnsi="Arial" w:cs="Arial"/>
          <w:sz w:val="24"/>
          <w:szCs w:val="24"/>
          <w:lang w:eastAsia="en-IN"/>
        </w:rPr>
        <w:t xml:space="preserve">. Available at: </w:t>
      </w:r>
      <w:hyperlink r:id="rId10" w:tgtFrame="_new" w:history="1">
        <w:r w:rsidRPr="00EE02A7">
          <w:rPr>
            <w:rStyle w:val="Hyperlink"/>
            <w:rFonts w:ascii="Arial" w:eastAsia="Times New Roman" w:hAnsi="Arial" w:cs="Arial"/>
            <w:sz w:val="24"/>
            <w:szCs w:val="24"/>
            <w:lang w:eastAsia="en-IN"/>
          </w:rPr>
          <w:t>https://www.tatasteel.com</w:t>
        </w:r>
      </w:hyperlink>
      <w:r w:rsidRPr="00EE02A7">
        <w:rPr>
          <w:rFonts w:ascii="Arial" w:eastAsia="Times New Roman" w:hAnsi="Arial" w:cs="Arial"/>
          <w:sz w:val="24"/>
          <w:szCs w:val="24"/>
          <w:lang w:eastAsia="en-IN"/>
        </w:rPr>
        <w:t xml:space="preserve"> (Accessed: 20 July 2026). </w:t>
      </w:r>
    </w:p>
    <w:p w14:paraId="35B41E15" w14:textId="77777777" w:rsidR="00EE02A7" w:rsidRPr="00EE02A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EE02A7">
        <w:rPr>
          <w:rFonts w:ascii="Arial" w:eastAsia="Times New Roman" w:hAnsi="Arial" w:cs="Arial"/>
          <w:sz w:val="24"/>
          <w:szCs w:val="24"/>
          <w:lang w:eastAsia="en-IN"/>
        </w:rPr>
        <w:t xml:space="preserve">World Steel Association (2023) </w:t>
      </w:r>
      <w:r w:rsidRPr="00EE02A7">
        <w:rPr>
          <w:rFonts w:ascii="Arial" w:eastAsia="Times New Roman" w:hAnsi="Arial" w:cs="Arial"/>
          <w:i/>
          <w:iCs/>
          <w:sz w:val="24"/>
          <w:szCs w:val="24"/>
          <w:lang w:eastAsia="en-IN"/>
        </w:rPr>
        <w:t>Sustainable Steel: Indicators 2023</w:t>
      </w:r>
      <w:r w:rsidRPr="00EE02A7">
        <w:rPr>
          <w:rFonts w:ascii="Arial" w:eastAsia="Times New Roman" w:hAnsi="Arial" w:cs="Arial"/>
          <w:sz w:val="24"/>
          <w:szCs w:val="24"/>
          <w:lang w:eastAsia="en-IN"/>
        </w:rPr>
        <w:t xml:space="preserve">. Brussels: World Steel Association. </w:t>
      </w:r>
    </w:p>
    <w:p w14:paraId="59F2E8D7" w14:textId="77777777" w:rsidR="00EE02A7" w:rsidRPr="00EE02A7" w:rsidRDefault="00EE02A7" w:rsidP="00D6537B">
      <w:pPr>
        <w:numPr>
          <w:ilvl w:val="0"/>
          <w:numId w:val="1"/>
        </w:numPr>
        <w:spacing w:before="100" w:beforeAutospacing="1" w:after="100" w:afterAutospacing="1" w:line="360" w:lineRule="auto"/>
        <w:jc w:val="both"/>
        <w:rPr>
          <w:rFonts w:ascii="Arial" w:eastAsia="Times New Roman" w:hAnsi="Arial" w:cs="Arial"/>
          <w:sz w:val="24"/>
          <w:szCs w:val="24"/>
          <w:lang w:eastAsia="en-IN"/>
        </w:rPr>
      </w:pPr>
      <w:r w:rsidRPr="00EE02A7">
        <w:rPr>
          <w:rFonts w:ascii="Arial" w:eastAsia="Times New Roman" w:hAnsi="Arial" w:cs="Arial"/>
          <w:sz w:val="24"/>
          <w:szCs w:val="24"/>
          <w:lang w:eastAsia="en-IN"/>
        </w:rPr>
        <w:t xml:space="preserve">World Steel Association (2024) </w:t>
      </w:r>
      <w:r w:rsidRPr="00EE02A7">
        <w:rPr>
          <w:rFonts w:ascii="Arial" w:eastAsia="Times New Roman" w:hAnsi="Arial" w:cs="Arial"/>
          <w:i/>
          <w:iCs/>
          <w:sz w:val="24"/>
          <w:szCs w:val="24"/>
          <w:lang w:eastAsia="en-IN"/>
        </w:rPr>
        <w:t>Steel Statistical Yearbook 2024</w:t>
      </w:r>
      <w:r w:rsidRPr="00EE02A7">
        <w:rPr>
          <w:rFonts w:ascii="Arial" w:eastAsia="Times New Roman" w:hAnsi="Arial" w:cs="Arial"/>
          <w:sz w:val="24"/>
          <w:szCs w:val="24"/>
          <w:lang w:eastAsia="en-IN"/>
        </w:rPr>
        <w:t xml:space="preserve">. Brussels: World Steel Association. </w:t>
      </w:r>
    </w:p>
    <w:p w14:paraId="270FF23B" w14:textId="77777777" w:rsidR="002F7E34" w:rsidRPr="00D6537B" w:rsidRDefault="002F7E34" w:rsidP="00D6537B">
      <w:pPr>
        <w:spacing w:before="100" w:beforeAutospacing="1" w:after="100" w:afterAutospacing="1" w:line="360" w:lineRule="auto"/>
        <w:jc w:val="both"/>
        <w:rPr>
          <w:rFonts w:ascii="Arial" w:eastAsia="Times New Roman" w:hAnsi="Arial" w:cs="Arial"/>
          <w:sz w:val="24"/>
          <w:szCs w:val="24"/>
          <w:lang w:eastAsia="en-IN"/>
        </w:rPr>
      </w:pPr>
    </w:p>
    <w:sectPr w:rsidR="002F7E34" w:rsidRPr="00D6537B" w:rsidSect="0061756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896B67" w14:textId="77777777" w:rsidR="00ED3DDA" w:rsidRDefault="00ED3DDA" w:rsidP="00D6537B">
      <w:pPr>
        <w:spacing w:after="0" w:line="240" w:lineRule="auto"/>
      </w:pPr>
      <w:r>
        <w:separator/>
      </w:r>
    </w:p>
  </w:endnote>
  <w:endnote w:type="continuationSeparator" w:id="0">
    <w:p w14:paraId="785BB803" w14:textId="77777777" w:rsidR="00ED3DDA" w:rsidRDefault="00ED3DDA" w:rsidP="00D653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707504"/>
      <w:docPartObj>
        <w:docPartGallery w:val="Page Numbers (Bottom of Page)"/>
        <w:docPartUnique/>
      </w:docPartObj>
    </w:sdtPr>
    <w:sdtEndPr>
      <w:rPr>
        <w:color w:val="7F7F7F" w:themeColor="background1" w:themeShade="7F"/>
        <w:spacing w:val="60"/>
      </w:rPr>
    </w:sdtEndPr>
    <w:sdtContent>
      <w:p w14:paraId="6EA16B33" w14:textId="5CF94E7E" w:rsidR="00617560" w:rsidRDefault="0061756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F748680" w14:textId="77777777" w:rsidR="00617560" w:rsidRDefault="006175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70462C" w14:textId="77777777" w:rsidR="00ED3DDA" w:rsidRDefault="00ED3DDA" w:rsidP="00D6537B">
      <w:pPr>
        <w:spacing w:after="0" w:line="240" w:lineRule="auto"/>
      </w:pPr>
      <w:r>
        <w:separator/>
      </w:r>
    </w:p>
  </w:footnote>
  <w:footnote w:type="continuationSeparator" w:id="0">
    <w:p w14:paraId="777433ED" w14:textId="77777777" w:rsidR="00ED3DDA" w:rsidRDefault="00ED3DDA" w:rsidP="00D653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0E2785"/>
    <w:multiLevelType w:val="multilevel"/>
    <w:tmpl w:val="9C2EFA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E34"/>
    <w:rsid w:val="002F1C21"/>
    <w:rsid w:val="002F7E34"/>
    <w:rsid w:val="00405D02"/>
    <w:rsid w:val="004E21CA"/>
    <w:rsid w:val="00617560"/>
    <w:rsid w:val="00665524"/>
    <w:rsid w:val="00D6537B"/>
    <w:rsid w:val="00DC5BAA"/>
    <w:rsid w:val="00E77A16"/>
    <w:rsid w:val="00ED3DDA"/>
    <w:rsid w:val="00EE02A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07BA9"/>
  <w15:chartTrackingRefBased/>
  <w15:docId w15:val="{DA25D3E7-2D5F-4023-9C6D-6F8A9459F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F7E3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paragraph" w:styleId="Heading2">
    <w:name w:val="heading 2"/>
    <w:basedOn w:val="Normal"/>
    <w:link w:val="Heading2Char"/>
    <w:uiPriority w:val="9"/>
    <w:qFormat/>
    <w:rsid w:val="002F7E34"/>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paragraph" w:styleId="Heading3">
    <w:name w:val="heading 3"/>
    <w:basedOn w:val="Normal"/>
    <w:next w:val="Normal"/>
    <w:link w:val="Heading3Char"/>
    <w:uiPriority w:val="9"/>
    <w:semiHidden/>
    <w:unhideWhenUsed/>
    <w:qFormat/>
    <w:rsid w:val="002F7E3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F7E34"/>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2F7E34"/>
    <w:rPr>
      <w:rFonts w:ascii="Times New Roman" w:eastAsia="Times New Roman" w:hAnsi="Times New Roman" w:cs="Times New Roman"/>
      <w:b/>
      <w:bCs/>
      <w:kern w:val="36"/>
      <w:sz w:val="48"/>
      <w:szCs w:val="48"/>
      <w:lang w:eastAsia="en-IN"/>
    </w:rPr>
  </w:style>
  <w:style w:type="character" w:customStyle="1" w:styleId="Heading2Char">
    <w:name w:val="Heading 2 Char"/>
    <w:basedOn w:val="DefaultParagraphFont"/>
    <w:link w:val="Heading2"/>
    <w:uiPriority w:val="9"/>
    <w:rsid w:val="002F7E34"/>
    <w:rPr>
      <w:rFonts w:ascii="Times New Roman" w:eastAsia="Times New Roman" w:hAnsi="Times New Roman" w:cs="Times New Roman"/>
      <w:b/>
      <w:bCs/>
      <w:sz w:val="36"/>
      <w:szCs w:val="36"/>
      <w:lang w:eastAsia="en-IN"/>
    </w:rPr>
  </w:style>
  <w:style w:type="character" w:styleId="Strong">
    <w:name w:val="Strong"/>
    <w:basedOn w:val="DefaultParagraphFont"/>
    <w:uiPriority w:val="22"/>
    <w:qFormat/>
    <w:rsid w:val="002F7E34"/>
    <w:rPr>
      <w:b/>
      <w:bCs/>
    </w:rPr>
  </w:style>
  <w:style w:type="character" w:customStyle="1" w:styleId="Heading3Char">
    <w:name w:val="Heading 3 Char"/>
    <w:basedOn w:val="DefaultParagraphFont"/>
    <w:link w:val="Heading3"/>
    <w:uiPriority w:val="9"/>
    <w:semiHidden/>
    <w:rsid w:val="002F7E34"/>
    <w:rPr>
      <w:rFonts w:asciiTheme="majorHAnsi" w:eastAsiaTheme="majorEastAsia" w:hAnsiTheme="majorHAnsi" w:cstheme="majorBidi"/>
      <w:color w:val="1F3763" w:themeColor="accent1" w:themeShade="7F"/>
      <w:sz w:val="24"/>
      <w:szCs w:val="24"/>
    </w:rPr>
  </w:style>
  <w:style w:type="paragraph" w:customStyle="1" w:styleId="isselectedend">
    <w:name w:val="isselectedend"/>
    <w:basedOn w:val="Normal"/>
    <w:rsid w:val="00DC5BAA"/>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EE02A7"/>
    <w:rPr>
      <w:color w:val="0563C1" w:themeColor="hyperlink"/>
      <w:u w:val="single"/>
    </w:rPr>
  </w:style>
  <w:style w:type="character" w:styleId="UnresolvedMention">
    <w:name w:val="Unresolved Mention"/>
    <w:basedOn w:val="DefaultParagraphFont"/>
    <w:uiPriority w:val="99"/>
    <w:semiHidden/>
    <w:unhideWhenUsed/>
    <w:rsid w:val="00EE02A7"/>
    <w:rPr>
      <w:color w:val="605E5C"/>
      <w:shd w:val="clear" w:color="auto" w:fill="E1DFDD"/>
    </w:rPr>
  </w:style>
  <w:style w:type="paragraph" w:styleId="Header">
    <w:name w:val="header"/>
    <w:basedOn w:val="Normal"/>
    <w:link w:val="HeaderChar"/>
    <w:uiPriority w:val="99"/>
    <w:unhideWhenUsed/>
    <w:rsid w:val="00D653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37B"/>
  </w:style>
  <w:style w:type="paragraph" w:styleId="Footer">
    <w:name w:val="footer"/>
    <w:basedOn w:val="Normal"/>
    <w:link w:val="FooterChar"/>
    <w:uiPriority w:val="99"/>
    <w:unhideWhenUsed/>
    <w:rsid w:val="00D653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37B"/>
  </w:style>
  <w:style w:type="paragraph" w:styleId="Caption">
    <w:name w:val="caption"/>
    <w:basedOn w:val="Normal"/>
    <w:next w:val="Normal"/>
    <w:uiPriority w:val="35"/>
    <w:unhideWhenUsed/>
    <w:qFormat/>
    <w:rsid w:val="00D6537B"/>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617560"/>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617560"/>
    <w:pPr>
      <w:spacing w:after="100"/>
    </w:pPr>
  </w:style>
  <w:style w:type="paragraph" w:styleId="TOC2">
    <w:name w:val="toc 2"/>
    <w:basedOn w:val="Normal"/>
    <w:next w:val="Normal"/>
    <w:autoRedefine/>
    <w:uiPriority w:val="39"/>
    <w:unhideWhenUsed/>
    <w:rsid w:val="0061756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726955">
      <w:bodyDiv w:val="1"/>
      <w:marLeft w:val="0"/>
      <w:marRight w:val="0"/>
      <w:marTop w:val="0"/>
      <w:marBottom w:val="0"/>
      <w:divBdr>
        <w:top w:val="none" w:sz="0" w:space="0" w:color="auto"/>
        <w:left w:val="none" w:sz="0" w:space="0" w:color="auto"/>
        <w:bottom w:val="none" w:sz="0" w:space="0" w:color="auto"/>
        <w:right w:val="none" w:sz="0" w:space="0" w:color="auto"/>
      </w:divBdr>
    </w:div>
    <w:div w:id="514730751">
      <w:bodyDiv w:val="1"/>
      <w:marLeft w:val="0"/>
      <w:marRight w:val="0"/>
      <w:marTop w:val="0"/>
      <w:marBottom w:val="0"/>
      <w:divBdr>
        <w:top w:val="none" w:sz="0" w:space="0" w:color="auto"/>
        <w:left w:val="none" w:sz="0" w:space="0" w:color="auto"/>
        <w:bottom w:val="none" w:sz="0" w:space="0" w:color="auto"/>
        <w:right w:val="none" w:sz="0" w:space="0" w:color="auto"/>
      </w:divBdr>
    </w:div>
    <w:div w:id="597953867">
      <w:bodyDiv w:val="1"/>
      <w:marLeft w:val="0"/>
      <w:marRight w:val="0"/>
      <w:marTop w:val="0"/>
      <w:marBottom w:val="0"/>
      <w:divBdr>
        <w:top w:val="none" w:sz="0" w:space="0" w:color="auto"/>
        <w:left w:val="none" w:sz="0" w:space="0" w:color="auto"/>
        <w:bottom w:val="none" w:sz="0" w:space="0" w:color="auto"/>
        <w:right w:val="none" w:sz="0" w:space="0" w:color="auto"/>
      </w:divBdr>
      <w:divsChild>
        <w:div w:id="1588228935">
          <w:marLeft w:val="0"/>
          <w:marRight w:val="0"/>
          <w:marTop w:val="0"/>
          <w:marBottom w:val="0"/>
          <w:divBdr>
            <w:top w:val="none" w:sz="0" w:space="0" w:color="auto"/>
            <w:left w:val="none" w:sz="0" w:space="0" w:color="auto"/>
            <w:bottom w:val="none" w:sz="0" w:space="0" w:color="auto"/>
            <w:right w:val="none" w:sz="0" w:space="0" w:color="auto"/>
          </w:divBdr>
          <w:divsChild>
            <w:div w:id="136867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677676">
      <w:bodyDiv w:val="1"/>
      <w:marLeft w:val="0"/>
      <w:marRight w:val="0"/>
      <w:marTop w:val="0"/>
      <w:marBottom w:val="0"/>
      <w:divBdr>
        <w:top w:val="none" w:sz="0" w:space="0" w:color="auto"/>
        <w:left w:val="none" w:sz="0" w:space="0" w:color="auto"/>
        <w:bottom w:val="none" w:sz="0" w:space="0" w:color="auto"/>
        <w:right w:val="none" w:sz="0" w:space="0" w:color="auto"/>
      </w:divBdr>
    </w:div>
    <w:div w:id="696614805">
      <w:bodyDiv w:val="1"/>
      <w:marLeft w:val="0"/>
      <w:marRight w:val="0"/>
      <w:marTop w:val="0"/>
      <w:marBottom w:val="0"/>
      <w:divBdr>
        <w:top w:val="none" w:sz="0" w:space="0" w:color="auto"/>
        <w:left w:val="none" w:sz="0" w:space="0" w:color="auto"/>
        <w:bottom w:val="none" w:sz="0" w:space="0" w:color="auto"/>
        <w:right w:val="none" w:sz="0" w:space="0" w:color="auto"/>
      </w:divBdr>
    </w:div>
    <w:div w:id="881014402">
      <w:bodyDiv w:val="1"/>
      <w:marLeft w:val="0"/>
      <w:marRight w:val="0"/>
      <w:marTop w:val="0"/>
      <w:marBottom w:val="0"/>
      <w:divBdr>
        <w:top w:val="none" w:sz="0" w:space="0" w:color="auto"/>
        <w:left w:val="none" w:sz="0" w:space="0" w:color="auto"/>
        <w:bottom w:val="none" w:sz="0" w:space="0" w:color="auto"/>
        <w:right w:val="none" w:sz="0" w:space="0" w:color="auto"/>
      </w:divBdr>
    </w:div>
    <w:div w:id="887648231">
      <w:bodyDiv w:val="1"/>
      <w:marLeft w:val="0"/>
      <w:marRight w:val="0"/>
      <w:marTop w:val="0"/>
      <w:marBottom w:val="0"/>
      <w:divBdr>
        <w:top w:val="none" w:sz="0" w:space="0" w:color="auto"/>
        <w:left w:val="none" w:sz="0" w:space="0" w:color="auto"/>
        <w:bottom w:val="none" w:sz="0" w:space="0" w:color="auto"/>
        <w:right w:val="none" w:sz="0" w:space="0" w:color="auto"/>
      </w:divBdr>
    </w:div>
    <w:div w:id="896890924">
      <w:bodyDiv w:val="1"/>
      <w:marLeft w:val="0"/>
      <w:marRight w:val="0"/>
      <w:marTop w:val="0"/>
      <w:marBottom w:val="0"/>
      <w:divBdr>
        <w:top w:val="none" w:sz="0" w:space="0" w:color="auto"/>
        <w:left w:val="none" w:sz="0" w:space="0" w:color="auto"/>
        <w:bottom w:val="none" w:sz="0" w:space="0" w:color="auto"/>
        <w:right w:val="none" w:sz="0" w:space="0" w:color="auto"/>
      </w:divBdr>
    </w:div>
    <w:div w:id="989138414">
      <w:bodyDiv w:val="1"/>
      <w:marLeft w:val="0"/>
      <w:marRight w:val="0"/>
      <w:marTop w:val="0"/>
      <w:marBottom w:val="0"/>
      <w:divBdr>
        <w:top w:val="none" w:sz="0" w:space="0" w:color="auto"/>
        <w:left w:val="none" w:sz="0" w:space="0" w:color="auto"/>
        <w:bottom w:val="none" w:sz="0" w:space="0" w:color="auto"/>
        <w:right w:val="none" w:sz="0" w:space="0" w:color="auto"/>
      </w:divBdr>
    </w:div>
    <w:div w:id="1116825015">
      <w:bodyDiv w:val="1"/>
      <w:marLeft w:val="0"/>
      <w:marRight w:val="0"/>
      <w:marTop w:val="0"/>
      <w:marBottom w:val="0"/>
      <w:divBdr>
        <w:top w:val="none" w:sz="0" w:space="0" w:color="auto"/>
        <w:left w:val="none" w:sz="0" w:space="0" w:color="auto"/>
        <w:bottom w:val="none" w:sz="0" w:space="0" w:color="auto"/>
        <w:right w:val="none" w:sz="0" w:space="0" w:color="auto"/>
      </w:divBdr>
    </w:div>
    <w:div w:id="1295790696">
      <w:bodyDiv w:val="1"/>
      <w:marLeft w:val="0"/>
      <w:marRight w:val="0"/>
      <w:marTop w:val="0"/>
      <w:marBottom w:val="0"/>
      <w:divBdr>
        <w:top w:val="none" w:sz="0" w:space="0" w:color="auto"/>
        <w:left w:val="none" w:sz="0" w:space="0" w:color="auto"/>
        <w:bottom w:val="none" w:sz="0" w:space="0" w:color="auto"/>
        <w:right w:val="none" w:sz="0" w:space="0" w:color="auto"/>
      </w:divBdr>
    </w:div>
    <w:div w:id="1726021858">
      <w:bodyDiv w:val="1"/>
      <w:marLeft w:val="0"/>
      <w:marRight w:val="0"/>
      <w:marTop w:val="0"/>
      <w:marBottom w:val="0"/>
      <w:divBdr>
        <w:top w:val="none" w:sz="0" w:space="0" w:color="auto"/>
        <w:left w:val="none" w:sz="0" w:space="0" w:color="auto"/>
        <w:bottom w:val="none" w:sz="0" w:space="0" w:color="auto"/>
        <w:right w:val="none" w:sz="0" w:space="0" w:color="auto"/>
      </w:divBdr>
    </w:div>
    <w:div w:id="1913462623">
      <w:bodyDiv w:val="1"/>
      <w:marLeft w:val="0"/>
      <w:marRight w:val="0"/>
      <w:marTop w:val="0"/>
      <w:marBottom w:val="0"/>
      <w:divBdr>
        <w:top w:val="none" w:sz="0" w:space="0" w:color="auto"/>
        <w:left w:val="none" w:sz="0" w:space="0" w:color="auto"/>
        <w:bottom w:val="none" w:sz="0" w:space="0" w:color="auto"/>
        <w:right w:val="none" w:sz="0" w:space="0" w:color="auto"/>
      </w:divBdr>
    </w:div>
    <w:div w:id="1935505182">
      <w:bodyDiv w:val="1"/>
      <w:marLeft w:val="0"/>
      <w:marRight w:val="0"/>
      <w:marTop w:val="0"/>
      <w:marBottom w:val="0"/>
      <w:divBdr>
        <w:top w:val="none" w:sz="0" w:space="0" w:color="auto"/>
        <w:left w:val="none" w:sz="0" w:space="0" w:color="auto"/>
        <w:bottom w:val="none" w:sz="0" w:space="0" w:color="auto"/>
        <w:right w:val="none" w:sz="0" w:space="0" w:color="auto"/>
      </w:divBdr>
    </w:div>
    <w:div w:id="2058384954">
      <w:bodyDiv w:val="1"/>
      <w:marLeft w:val="0"/>
      <w:marRight w:val="0"/>
      <w:marTop w:val="0"/>
      <w:marBottom w:val="0"/>
      <w:divBdr>
        <w:top w:val="none" w:sz="0" w:space="0" w:color="auto"/>
        <w:left w:val="none" w:sz="0" w:space="0" w:color="auto"/>
        <w:bottom w:val="none" w:sz="0" w:space="0" w:color="auto"/>
        <w:right w:val="none" w:sz="0" w:space="0" w:color="auto"/>
      </w:divBdr>
    </w:div>
    <w:div w:id="2080983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tasteeleurope.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tatasteel.com" TargetMode="External"/><Relationship Id="rId4" Type="http://schemas.openxmlformats.org/officeDocument/2006/relationships/settings" Target="settings.xml"/><Relationship Id="rId9" Type="http://schemas.openxmlformats.org/officeDocument/2006/relationships/hyperlink" Target="https://www.tatastee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771414-7754-4E38-986C-3C6E5B114D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15</Pages>
  <Words>3860</Words>
  <Characters>22003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Dhruvil Solanki</dc:creator>
  <cp:keywords/>
  <dc:description/>
  <cp:lastModifiedBy>Dhruvil Solanki</cp:lastModifiedBy>
  <cp:revision>12</cp:revision>
  <dcterms:created xsi:type="dcterms:W3CDTF">2026-07-19T12:57:00Z</dcterms:created>
  <dcterms:modified xsi:type="dcterms:W3CDTF">2026-07-20T16:11:00Z</dcterms:modified>
</cp:coreProperties>
</file>