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775B4" w14:textId="521D6A45" w:rsidR="000B743B" w:rsidRPr="00A143E4" w:rsidRDefault="0000132F" w:rsidP="0000132F">
      <w:pPr>
        <w:spacing w:before="240"/>
        <w:jc w:val="center"/>
        <w:rPr>
          <w:rFonts w:ascii="Arial" w:hAnsi="Arial" w:cs="Arial"/>
          <w:sz w:val="24"/>
        </w:rPr>
      </w:pPr>
      <w:r>
        <w:rPr>
          <w:noProof/>
        </w:rPr>
        <w:drawing>
          <wp:inline distT="0" distB="0" distL="0" distR="0" wp14:anchorId="4D82BE38" wp14:editId="533B121D">
            <wp:extent cx="4152900" cy="1328420"/>
            <wp:effectExtent l="0" t="0" r="0" b="0"/>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inline>
        </w:drawing>
      </w:r>
    </w:p>
    <w:p w14:paraId="6376FFBA" w14:textId="302C692C" w:rsidR="0000132F" w:rsidRPr="00063B4C" w:rsidRDefault="0000132F" w:rsidP="0000132F">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w:t>
      </w:r>
      <w:r>
        <w:rPr>
          <w:rFonts w:cs="Arial"/>
          <w:sz w:val="60"/>
          <w:szCs w:val="60"/>
        </w:rPr>
        <w:t xml:space="preserve">m </w:t>
      </w:r>
      <w:r w:rsidRPr="00063B4C">
        <w:rPr>
          <w:rFonts w:cs="Arial"/>
          <w:sz w:val="60"/>
          <w:szCs w:val="60"/>
        </w:rPr>
        <w:t>Campus</w:t>
      </w:r>
    </w:p>
    <w:p w14:paraId="673D75F5" w14:textId="77777777" w:rsidR="0000132F" w:rsidRPr="00063B4C" w:rsidRDefault="0000132F" w:rsidP="0000132F">
      <w:pPr>
        <w:pStyle w:val="BodyText"/>
        <w:jc w:val="center"/>
        <w:rPr>
          <w:rFonts w:ascii="Aptos" w:hAnsi="Aptos" w:cs="Arial"/>
          <w:sz w:val="20"/>
        </w:rPr>
      </w:pPr>
    </w:p>
    <w:p w14:paraId="5E14C0D8" w14:textId="3BE32DB8" w:rsidR="00D97D62" w:rsidRDefault="0000132F" w:rsidP="0000132F">
      <w:pPr>
        <w:spacing w:before="240"/>
        <w:jc w:val="center"/>
        <w:rPr>
          <w:rFonts w:ascii="Arial" w:hAnsi="Arial" w:cs="Arial"/>
          <w:b/>
          <w:bCs/>
        </w:rPr>
      </w:pPr>
      <w:r w:rsidRPr="00063B4C">
        <w:rPr>
          <w:rFonts w:cs="Arial"/>
          <w:sz w:val="60"/>
          <w:szCs w:val="60"/>
        </w:rPr>
        <w:t>BSc (Hons) Health and Social Care</w:t>
      </w:r>
    </w:p>
    <w:p w14:paraId="28409C8A" w14:textId="77777777" w:rsidR="0000132F" w:rsidRDefault="0000132F" w:rsidP="0000132F">
      <w:pPr>
        <w:rPr>
          <w:rFonts w:cs="Arial"/>
          <w:b/>
          <w:sz w:val="28"/>
          <w:szCs w:val="28"/>
        </w:rPr>
      </w:pPr>
    </w:p>
    <w:p w14:paraId="21F4AD45" w14:textId="77777777" w:rsidR="0000132F" w:rsidRDefault="0000132F" w:rsidP="0000132F">
      <w:pPr>
        <w:rPr>
          <w:rFonts w:cs="Arial"/>
          <w:b/>
          <w:sz w:val="28"/>
          <w:szCs w:val="28"/>
        </w:rPr>
      </w:pPr>
    </w:p>
    <w:p w14:paraId="4043C0FA" w14:textId="77777777" w:rsidR="0000132F" w:rsidRDefault="0000132F" w:rsidP="0000132F">
      <w:pPr>
        <w:rPr>
          <w:rFonts w:cs="Arial"/>
          <w:b/>
          <w:sz w:val="28"/>
          <w:szCs w:val="28"/>
        </w:rPr>
      </w:pPr>
    </w:p>
    <w:p w14:paraId="2BC69185" w14:textId="77777777" w:rsidR="0000132F" w:rsidRDefault="0000132F" w:rsidP="0000132F">
      <w:pPr>
        <w:rPr>
          <w:rFonts w:cs="Arial"/>
          <w:b/>
          <w:sz w:val="28"/>
          <w:szCs w:val="28"/>
        </w:rPr>
      </w:pPr>
    </w:p>
    <w:p w14:paraId="7872C14B" w14:textId="77777777" w:rsidR="0000132F" w:rsidRDefault="0000132F" w:rsidP="0000132F">
      <w:pPr>
        <w:rPr>
          <w:rFonts w:cs="Arial"/>
          <w:b/>
          <w:sz w:val="28"/>
          <w:szCs w:val="28"/>
        </w:rPr>
      </w:pPr>
    </w:p>
    <w:p w14:paraId="533ADA6C" w14:textId="77777777" w:rsidR="0000132F" w:rsidRDefault="0000132F" w:rsidP="0000132F">
      <w:pPr>
        <w:rPr>
          <w:rFonts w:cs="Arial"/>
          <w:b/>
          <w:sz w:val="28"/>
          <w:szCs w:val="28"/>
        </w:rPr>
      </w:pPr>
    </w:p>
    <w:p w14:paraId="390D1790" w14:textId="77777777" w:rsidR="0000132F" w:rsidRDefault="0000132F" w:rsidP="0000132F">
      <w:pPr>
        <w:rPr>
          <w:rFonts w:cs="Arial"/>
          <w:b/>
          <w:sz w:val="28"/>
          <w:szCs w:val="28"/>
        </w:rPr>
      </w:pPr>
    </w:p>
    <w:p w14:paraId="2FA6A04D" w14:textId="77777777" w:rsidR="0000132F" w:rsidRDefault="0000132F" w:rsidP="0000132F">
      <w:pPr>
        <w:rPr>
          <w:rFonts w:cs="Arial"/>
          <w:b/>
          <w:sz w:val="28"/>
          <w:szCs w:val="28"/>
        </w:rPr>
      </w:pPr>
    </w:p>
    <w:p w14:paraId="5CBF55FD" w14:textId="77777777" w:rsidR="0000132F" w:rsidRDefault="0000132F" w:rsidP="0000132F">
      <w:pPr>
        <w:rPr>
          <w:rFonts w:cs="Arial"/>
          <w:b/>
          <w:sz w:val="28"/>
          <w:szCs w:val="28"/>
        </w:rPr>
      </w:pPr>
    </w:p>
    <w:p w14:paraId="04AC89BF" w14:textId="77777777" w:rsidR="0000132F" w:rsidRDefault="0000132F" w:rsidP="0000132F">
      <w:pPr>
        <w:rPr>
          <w:rFonts w:cs="Arial"/>
          <w:b/>
          <w:sz w:val="28"/>
          <w:szCs w:val="28"/>
        </w:rPr>
      </w:pPr>
    </w:p>
    <w:p w14:paraId="5CA085FC" w14:textId="77777777" w:rsidR="0000132F" w:rsidRDefault="0000132F" w:rsidP="0000132F">
      <w:pPr>
        <w:rPr>
          <w:rFonts w:cs="Arial"/>
          <w:b/>
          <w:sz w:val="28"/>
          <w:szCs w:val="28"/>
        </w:rPr>
      </w:pPr>
    </w:p>
    <w:p w14:paraId="798CE089" w14:textId="77777777" w:rsidR="0000132F" w:rsidRDefault="0000132F" w:rsidP="0000132F">
      <w:pPr>
        <w:rPr>
          <w:rFonts w:cs="Arial"/>
          <w:b/>
          <w:sz w:val="28"/>
          <w:szCs w:val="28"/>
        </w:rPr>
      </w:pPr>
    </w:p>
    <w:p w14:paraId="778BCC70" w14:textId="1540FF3F" w:rsidR="0000132F" w:rsidRPr="0000132F" w:rsidRDefault="0000132F" w:rsidP="0000132F">
      <w:pPr>
        <w:rPr>
          <w:rFonts w:cs="Arial"/>
          <w:b/>
          <w:sz w:val="24"/>
        </w:rPr>
      </w:pPr>
      <w:r w:rsidRPr="0000132F">
        <w:rPr>
          <w:rFonts w:cs="Arial"/>
          <w:b/>
          <w:sz w:val="24"/>
        </w:rPr>
        <w:t>DECLARATION</w:t>
      </w:r>
    </w:p>
    <w:p w14:paraId="492EE4AA" w14:textId="77777777" w:rsidR="0000132F" w:rsidRPr="0000132F" w:rsidRDefault="0000132F" w:rsidP="009417C5">
      <w:pPr>
        <w:jc w:val="both"/>
        <w:rPr>
          <w:rFonts w:cs="Arial"/>
          <w:szCs w:val="22"/>
        </w:rPr>
      </w:pPr>
      <w:r w:rsidRPr="0000132F">
        <w:rPr>
          <w:rFonts w:cs="Arial"/>
          <w:szCs w:val="22"/>
        </w:rPr>
        <w:t>This work has not previously been accepted in substance for any degree and is not being concurrently submitted in candidature for any degree</w:t>
      </w:r>
    </w:p>
    <w:p w14:paraId="738412DE" w14:textId="40B44023" w:rsidR="007F0BB2" w:rsidRPr="0000132F" w:rsidRDefault="007F0BB2" w:rsidP="007F0BB2">
      <w:pPr>
        <w:jc w:val="both"/>
        <w:rPr>
          <w:rFonts w:cs="Arial"/>
          <w:szCs w:val="22"/>
        </w:rPr>
      </w:pPr>
      <w:r w:rsidRPr="0000132F">
        <w:rPr>
          <w:rFonts w:cs="Arial"/>
          <w:szCs w:val="22"/>
        </w:rPr>
        <w:t>Signed</w:t>
      </w:r>
      <w:r>
        <w:rPr>
          <w:rFonts w:cs="Arial"/>
          <w:szCs w:val="22"/>
        </w:rPr>
        <w:t xml:space="preserve">: </w:t>
      </w:r>
      <w:r>
        <w:rPr>
          <w:rFonts w:cs="Arial"/>
          <w:b/>
          <w:bCs/>
          <w:i/>
          <w:iCs/>
          <w:szCs w:val="22"/>
        </w:rPr>
        <w:t>Noreen</w:t>
      </w:r>
      <w:r w:rsidR="0094029E">
        <w:rPr>
          <w:rFonts w:cs="Arial"/>
          <w:b/>
          <w:bCs/>
          <w:i/>
          <w:iCs/>
          <w:szCs w:val="22"/>
        </w:rPr>
        <w:t xml:space="preserve"> Akhtar </w:t>
      </w:r>
    </w:p>
    <w:p w14:paraId="2CD4CD81" w14:textId="35CB0018" w:rsidR="007F0BB2" w:rsidRDefault="007F0BB2" w:rsidP="007F0BB2">
      <w:pPr>
        <w:jc w:val="both"/>
        <w:rPr>
          <w:rFonts w:cs="Arial"/>
          <w:szCs w:val="22"/>
        </w:rPr>
      </w:pPr>
      <w:r w:rsidRPr="0000132F">
        <w:rPr>
          <w:rFonts w:cs="Arial"/>
          <w:szCs w:val="22"/>
        </w:rPr>
        <w:t>Date</w:t>
      </w:r>
      <w:r>
        <w:rPr>
          <w:rFonts w:cs="Arial"/>
          <w:szCs w:val="22"/>
        </w:rPr>
        <w:t xml:space="preserve">: </w:t>
      </w:r>
      <w:r w:rsidR="0094029E">
        <w:rPr>
          <w:rFonts w:cs="Arial"/>
          <w:szCs w:val="22"/>
        </w:rPr>
        <w:t>13t</w:t>
      </w:r>
      <w:r>
        <w:rPr>
          <w:rFonts w:cs="Arial"/>
          <w:szCs w:val="22"/>
        </w:rPr>
        <w:t>h March 2026</w:t>
      </w:r>
    </w:p>
    <w:p w14:paraId="5F9D09D5" w14:textId="77777777" w:rsidR="009417C5" w:rsidRPr="0000132F" w:rsidRDefault="009417C5" w:rsidP="009417C5">
      <w:pPr>
        <w:jc w:val="both"/>
        <w:rPr>
          <w:rFonts w:cs="Arial"/>
          <w:szCs w:val="22"/>
        </w:rPr>
      </w:pPr>
    </w:p>
    <w:p w14:paraId="34F0E372" w14:textId="77777777" w:rsidR="0000132F" w:rsidRPr="0000132F" w:rsidRDefault="0000132F" w:rsidP="009417C5">
      <w:pPr>
        <w:jc w:val="both"/>
        <w:rPr>
          <w:rFonts w:cs="Arial"/>
          <w:bCs/>
          <w:kern w:val="32"/>
          <w:szCs w:val="22"/>
        </w:rPr>
      </w:pPr>
      <w:r w:rsidRPr="0000132F">
        <w:rPr>
          <w:rFonts w:cs="Arial"/>
          <w:b/>
          <w:szCs w:val="22"/>
        </w:rPr>
        <w:t xml:space="preserve">STATEMENT 1 </w:t>
      </w:r>
    </w:p>
    <w:p w14:paraId="185262BC" w14:textId="77777777" w:rsidR="0000132F" w:rsidRPr="0000132F" w:rsidRDefault="0000132F" w:rsidP="009417C5">
      <w:pPr>
        <w:jc w:val="both"/>
        <w:rPr>
          <w:rFonts w:cs="Arial"/>
          <w:szCs w:val="22"/>
        </w:rPr>
      </w:pPr>
      <w:r w:rsidRPr="0000132F">
        <w:rPr>
          <w:rFonts w:cs="Arial"/>
          <w:szCs w:val="22"/>
        </w:rPr>
        <w:t>This dissertation is being submitted in partial fulfilment of the requirements for the degree of BSc.</w:t>
      </w:r>
    </w:p>
    <w:p w14:paraId="19E49F97" w14:textId="0A84716C" w:rsidR="007F0BB2" w:rsidRPr="0000132F" w:rsidRDefault="007F0BB2" w:rsidP="007F0BB2">
      <w:pPr>
        <w:jc w:val="both"/>
        <w:rPr>
          <w:rFonts w:cs="Arial"/>
          <w:szCs w:val="22"/>
        </w:rPr>
      </w:pPr>
      <w:r w:rsidRPr="0000132F">
        <w:rPr>
          <w:rFonts w:cs="Arial"/>
          <w:szCs w:val="22"/>
        </w:rPr>
        <w:t>Signed</w:t>
      </w:r>
      <w:r>
        <w:rPr>
          <w:rFonts w:cs="Arial"/>
          <w:szCs w:val="22"/>
        </w:rPr>
        <w:t xml:space="preserve">: </w:t>
      </w:r>
      <w:r>
        <w:rPr>
          <w:rFonts w:cs="Arial"/>
          <w:b/>
          <w:bCs/>
          <w:i/>
          <w:iCs/>
          <w:szCs w:val="22"/>
        </w:rPr>
        <w:t>Noreen</w:t>
      </w:r>
      <w:r w:rsidR="0094029E">
        <w:rPr>
          <w:rFonts w:cs="Arial"/>
          <w:b/>
          <w:bCs/>
          <w:i/>
          <w:iCs/>
          <w:szCs w:val="22"/>
        </w:rPr>
        <w:t xml:space="preserve"> Akhtar </w:t>
      </w:r>
    </w:p>
    <w:p w14:paraId="72CB2783" w14:textId="136AD71B" w:rsidR="007F0BB2" w:rsidRDefault="007F0BB2" w:rsidP="007F0BB2">
      <w:pPr>
        <w:jc w:val="both"/>
        <w:rPr>
          <w:rFonts w:cs="Arial"/>
          <w:szCs w:val="22"/>
        </w:rPr>
      </w:pPr>
      <w:r w:rsidRPr="0000132F">
        <w:rPr>
          <w:rFonts w:cs="Arial"/>
          <w:szCs w:val="22"/>
        </w:rPr>
        <w:t>Date</w:t>
      </w:r>
      <w:r>
        <w:rPr>
          <w:rFonts w:cs="Arial"/>
          <w:szCs w:val="22"/>
        </w:rPr>
        <w:t xml:space="preserve">: </w:t>
      </w:r>
      <w:r w:rsidR="0094029E">
        <w:rPr>
          <w:rFonts w:cs="Arial"/>
          <w:szCs w:val="22"/>
        </w:rPr>
        <w:t>13t</w:t>
      </w:r>
      <w:r>
        <w:rPr>
          <w:rFonts w:cs="Arial"/>
          <w:szCs w:val="22"/>
        </w:rPr>
        <w:t>h March 2026</w:t>
      </w:r>
    </w:p>
    <w:p w14:paraId="5C2B2E1D" w14:textId="77777777" w:rsidR="009417C5" w:rsidRPr="0000132F" w:rsidRDefault="009417C5" w:rsidP="009417C5">
      <w:pPr>
        <w:jc w:val="both"/>
        <w:rPr>
          <w:rFonts w:cs="Arial"/>
          <w:szCs w:val="22"/>
        </w:rPr>
      </w:pPr>
    </w:p>
    <w:p w14:paraId="683C4956" w14:textId="77777777" w:rsidR="0000132F" w:rsidRPr="0000132F" w:rsidRDefault="0000132F" w:rsidP="009417C5">
      <w:pPr>
        <w:jc w:val="both"/>
        <w:rPr>
          <w:rFonts w:cs="Arial"/>
          <w:szCs w:val="22"/>
        </w:rPr>
      </w:pPr>
      <w:r w:rsidRPr="0000132F">
        <w:rPr>
          <w:rFonts w:cs="Arial"/>
          <w:b/>
          <w:szCs w:val="22"/>
        </w:rPr>
        <w:t>STATEMENT 2</w:t>
      </w:r>
    </w:p>
    <w:p w14:paraId="6BD6666B" w14:textId="77777777" w:rsidR="0000132F" w:rsidRPr="0000132F" w:rsidRDefault="0000132F" w:rsidP="009417C5">
      <w:pPr>
        <w:jc w:val="both"/>
        <w:rPr>
          <w:rFonts w:cs="Arial"/>
          <w:szCs w:val="22"/>
        </w:rPr>
      </w:pPr>
      <w:r w:rsidRPr="0000132F">
        <w:rPr>
          <w:rFonts w:cs="Arial"/>
          <w:szCs w:val="22"/>
        </w:rPr>
        <w:t>This dissertation is the result of my own independent work/investigation, except where otherwise stated. Other sources are acknowledged by footnotes giving explicit references.  A bibliography is appended.</w:t>
      </w:r>
    </w:p>
    <w:p w14:paraId="76B7CD9D" w14:textId="29D0FF0A" w:rsidR="007F0BB2" w:rsidRPr="0000132F" w:rsidRDefault="007F0BB2" w:rsidP="007F0BB2">
      <w:pPr>
        <w:jc w:val="both"/>
        <w:rPr>
          <w:rFonts w:cs="Arial"/>
          <w:szCs w:val="22"/>
        </w:rPr>
      </w:pPr>
      <w:r w:rsidRPr="0000132F">
        <w:rPr>
          <w:rFonts w:cs="Arial"/>
          <w:szCs w:val="22"/>
        </w:rPr>
        <w:t>Signed</w:t>
      </w:r>
      <w:r>
        <w:rPr>
          <w:rFonts w:cs="Arial"/>
          <w:szCs w:val="22"/>
        </w:rPr>
        <w:t xml:space="preserve">: </w:t>
      </w:r>
      <w:r>
        <w:rPr>
          <w:rFonts w:cs="Arial"/>
          <w:b/>
          <w:bCs/>
          <w:i/>
          <w:iCs/>
          <w:szCs w:val="22"/>
        </w:rPr>
        <w:t>Noreen</w:t>
      </w:r>
      <w:r w:rsidR="0094029E">
        <w:rPr>
          <w:rFonts w:cs="Arial"/>
          <w:b/>
          <w:bCs/>
          <w:i/>
          <w:iCs/>
          <w:szCs w:val="22"/>
        </w:rPr>
        <w:t xml:space="preserve"> Akhtar </w:t>
      </w:r>
    </w:p>
    <w:p w14:paraId="0457F800" w14:textId="7BB8BE21" w:rsidR="007F0BB2" w:rsidRDefault="007F0BB2" w:rsidP="007F0BB2">
      <w:pPr>
        <w:jc w:val="both"/>
        <w:rPr>
          <w:rFonts w:cs="Arial"/>
          <w:szCs w:val="22"/>
        </w:rPr>
      </w:pPr>
      <w:r w:rsidRPr="0000132F">
        <w:rPr>
          <w:rFonts w:cs="Arial"/>
          <w:szCs w:val="22"/>
        </w:rPr>
        <w:t>Date</w:t>
      </w:r>
      <w:r>
        <w:rPr>
          <w:rFonts w:cs="Arial"/>
          <w:szCs w:val="22"/>
        </w:rPr>
        <w:t xml:space="preserve">: </w:t>
      </w:r>
      <w:r w:rsidR="0094029E">
        <w:rPr>
          <w:rFonts w:cs="Arial"/>
          <w:szCs w:val="22"/>
        </w:rPr>
        <w:t>13t</w:t>
      </w:r>
      <w:r>
        <w:rPr>
          <w:rFonts w:cs="Arial"/>
          <w:szCs w:val="22"/>
        </w:rPr>
        <w:t>h March 2026</w:t>
      </w:r>
    </w:p>
    <w:p w14:paraId="0FB1B065" w14:textId="77777777" w:rsidR="009417C5" w:rsidRPr="0000132F" w:rsidRDefault="009417C5" w:rsidP="009417C5">
      <w:pPr>
        <w:jc w:val="both"/>
        <w:rPr>
          <w:rFonts w:cs="Arial"/>
          <w:szCs w:val="22"/>
        </w:rPr>
      </w:pPr>
    </w:p>
    <w:p w14:paraId="07E2C03A" w14:textId="77777777" w:rsidR="0000132F" w:rsidRPr="0000132F" w:rsidRDefault="0000132F" w:rsidP="009417C5">
      <w:pPr>
        <w:jc w:val="both"/>
        <w:rPr>
          <w:rFonts w:cs="Arial"/>
          <w:szCs w:val="22"/>
        </w:rPr>
      </w:pPr>
      <w:r w:rsidRPr="0000132F">
        <w:rPr>
          <w:rFonts w:cs="Arial"/>
          <w:b/>
          <w:szCs w:val="22"/>
        </w:rPr>
        <w:t>STATEMENT 3</w:t>
      </w:r>
    </w:p>
    <w:p w14:paraId="20F524B3" w14:textId="77777777" w:rsidR="0000132F" w:rsidRPr="0000132F" w:rsidRDefault="0000132F" w:rsidP="009417C5">
      <w:pPr>
        <w:jc w:val="both"/>
        <w:rPr>
          <w:rFonts w:cs="Arial"/>
          <w:szCs w:val="22"/>
        </w:rPr>
      </w:pPr>
      <w:r w:rsidRPr="0000132F">
        <w:rPr>
          <w:rFonts w:cs="Arial"/>
          <w:szCs w:val="22"/>
        </w:rPr>
        <w:t>I hereby give consent for my dissertation, if accepted, to be available for photocopying and for interlibrary loan, and for the title and summary to be made available to outside organisations.</w:t>
      </w:r>
    </w:p>
    <w:p w14:paraId="3DD1C422" w14:textId="4B765725" w:rsidR="007F0BB2" w:rsidRPr="0000132F" w:rsidRDefault="007F0BB2" w:rsidP="007F0BB2">
      <w:pPr>
        <w:jc w:val="both"/>
        <w:rPr>
          <w:rFonts w:cs="Arial"/>
          <w:szCs w:val="22"/>
        </w:rPr>
      </w:pPr>
      <w:r w:rsidRPr="0000132F">
        <w:rPr>
          <w:rFonts w:cs="Arial"/>
          <w:szCs w:val="22"/>
        </w:rPr>
        <w:t>Signed</w:t>
      </w:r>
      <w:r>
        <w:rPr>
          <w:rFonts w:cs="Arial"/>
          <w:szCs w:val="22"/>
        </w:rPr>
        <w:t xml:space="preserve">: </w:t>
      </w:r>
      <w:r>
        <w:rPr>
          <w:rFonts w:cs="Arial"/>
          <w:b/>
          <w:bCs/>
          <w:i/>
          <w:iCs/>
          <w:szCs w:val="22"/>
        </w:rPr>
        <w:t>Noreen</w:t>
      </w:r>
      <w:r w:rsidR="0094029E">
        <w:rPr>
          <w:rFonts w:cs="Arial"/>
          <w:b/>
          <w:bCs/>
          <w:i/>
          <w:iCs/>
          <w:szCs w:val="22"/>
        </w:rPr>
        <w:t xml:space="preserve"> Akhtar </w:t>
      </w:r>
    </w:p>
    <w:p w14:paraId="335E25AB" w14:textId="124E26D6" w:rsidR="007F0BB2" w:rsidRDefault="007F0BB2" w:rsidP="007F0BB2">
      <w:pPr>
        <w:jc w:val="both"/>
        <w:rPr>
          <w:rFonts w:cs="Arial"/>
          <w:szCs w:val="22"/>
        </w:rPr>
      </w:pPr>
      <w:r w:rsidRPr="0000132F">
        <w:rPr>
          <w:rFonts w:cs="Arial"/>
          <w:szCs w:val="22"/>
        </w:rPr>
        <w:t>Date</w:t>
      </w:r>
      <w:r>
        <w:rPr>
          <w:rFonts w:cs="Arial"/>
          <w:szCs w:val="22"/>
        </w:rPr>
        <w:t xml:space="preserve">: </w:t>
      </w:r>
      <w:r w:rsidR="0094029E">
        <w:rPr>
          <w:rFonts w:cs="Arial"/>
          <w:szCs w:val="22"/>
        </w:rPr>
        <w:t>13t</w:t>
      </w:r>
      <w:r>
        <w:rPr>
          <w:rFonts w:cs="Arial"/>
          <w:szCs w:val="22"/>
        </w:rPr>
        <w:t>h March 2026</w:t>
      </w:r>
    </w:p>
    <w:p w14:paraId="66C63888" w14:textId="77777777" w:rsidR="009417C5" w:rsidRPr="0000132F" w:rsidRDefault="009417C5" w:rsidP="009417C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both"/>
        <w:rPr>
          <w:rFonts w:cs="Arial"/>
          <w:szCs w:val="22"/>
        </w:rPr>
      </w:pPr>
    </w:p>
    <w:p w14:paraId="3580F2D1" w14:textId="77777777" w:rsidR="0000132F" w:rsidRPr="0000132F" w:rsidRDefault="0000132F" w:rsidP="009417C5">
      <w:pPr>
        <w:jc w:val="both"/>
        <w:rPr>
          <w:rFonts w:cs="Arial"/>
          <w:b/>
          <w:szCs w:val="22"/>
        </w:rPr>
      </w:pPr>
      <w:r w:rsidRPr="0000132F">
        <w:rPr>
          <w:rFonts w:cs="Arial"/>
          <w:b/>
          <w:szCs w:val="22"/>
        </w:rPr>
        <w:t>STATEMENT 4</w:t>
      </w:r>
    </w:p>
    <w:p w14:paraId="2EF0079B" w14:textId="77777777" w:rsidR="0000132F" w:rsidRPr="0000132F" w:rsidRDefault="0000132F" w:rsidP="009417C5">
      <w:pPr>
        <w:jc w:val="both"/>
        <w:rPr>
          <w:rFonts w:cs="Arial"/>
          <w:szCs w:val="22"/>
        </w:rPr>
      </w:pPr>
      <w:r w:rsidRPr="0000132F">
        <w:rPr>
          <w:rFonts w:cs="Arial"/>
          <w:szCs w:val="22"/>
        </w:rPr>
        <w:t>I hereby give consent for my dissertation, if accepted, to be available on the university’s IT system to those who have consent to use the system.</w:t>
      </w:r>
    </w:p>
    <w:p w14:paraId="3DD7D861" w14:textId="4EA77DA9" w:rsidR="007F0BB2" w:rsidRPr="0000132F" w:rsidRDefault="007F0BB2" w:rsidP="007F0BB2">
      <w:pPr>
        <w:jc w:val="both"/>
        <w:rPr>
          <w:rFonts w:cs="Arial"/>
          <w:szCs w:val="22"/>
        </w:rPr>
      </w:pPr>
      <w:r w:rsidRPr="0000132F">
        <w:rPr>
          <w:rFonts w:cs="Arial"/>
          <w:szCs w:val="22"/>
        </w:rPr>
        <w:t>Signed</w:t>
      </w:r>
      <w:r>
        <w:rPr>
          <w:rFonts w:cs="Arial"/>
          <w:szCs w:val="22"/>
        </w:rPr>
        <w:t xml:space="preserve">: </w:t>
      </w:r>
      <w:r>
        <w:rPr>
          <w:rFonts w:cs="Arial"/>
          <w:b/>
          <w:bCs/>
          <w:i/>
          <w:iCs/>
          <w:szCs w:val="22"/>
        </w:rPr>
        <w:t>Noreen</w:t>
      </w:r>
      <w:r w:rsidR="0094029E">
        <w:rPr>
          <w:rFonts w:cs="Arial"/>
          <w:b/>
          <w:bCs/>
          <w:i/>
          <w:iCs/>
          <w:szCs w:val="22"/>
        </w:rPr>
        <w:t xml:space="preserve"> Akhtar </w:t>
      </w:r>
    </w:p>
    <w:p w14:paraId="1C94D11D" w14:textId="05EFDF81" w:rsidR="007F0BB2" w:rsidRDefault="007F0BB2" w:rsidP="007F0BB2">
      <w:pPr>
        <w:jc w:val="both"/>
        <w:rPr>
          <w:rFonts w:cs="Arial"/>
          <w:szCs w:val="22"/>
        </w:rPr>
      </w:pPr>
      <w:r w:rsidRPr="0000132F">
        <w:rPr>
          <w:rFonts w:cs="Arial"/>
          <w:szCs w:val="22"/>
        </w:rPr>
        <w:t>Date</w:t>
      </w:r>
      <w:r>
        <w:rPr>
          <w:rFonts w:cs="Arial"/>
          <w:szCs w:val="22"/>
        </w:rPr>
        <w:t xml:space="preserve">: </w:t>
      </w:r>
      <w:r w:rsidR="0094029E">
        <w:rPr>
          <w:rFonts w:cs="Arial"/>
          <w:szCs w:val="22"/>
        </w:rPr>
        <w:t>13t</w:t>
      </w:r>
      <w:r>
        <w:rPr>
          <w:rFonts w:cs="Arial"/>
          <w:szCs w:val="22"/>
        </w:rPr>
        <w:t>h March 2026</w:t>
      </w:r>
    </w:p>
    <w:p w14:paraId="0313921C" w14:textId="77777777" w:rsidR="0000132F" w:rsidRPr="0000132F" w:rsidRDefault="0000132F" w:rsidP="009417C5">
      <w:pPr>
        <w:jc w:val="both"/>
        <w:rPr>
          <w:szCs w:val="22"/>
        </w:rPr>
      </w:pPr>
    </w:p>
    <w:p w14:paraId="3508CEBF" w14:textId="77777777" w:rsidR="0000132F" w:rsidRPr="0000132F" w:rsidRDefault="0000132F" w:rsidP="009417C5">
      <w:pPr>
        <w:spacing w:before="240"/>
        <w:jc w:val="both"/>
        <w:rPr>
          <w:rFonts w:ascii="Arial" w:hAnsi="Arial" w:cs="Arial"/>
          <w:b/>
          <w:bCs/>
          <w:szCs w:val="22"/>
        </w:rPr>
      </w:pPr>
    </w:p>
    <w:p w14:paraId="005AB929" w14:textId="77777777" w:rsidR="0000132F" w:rsidRPr="0000132F" w:rsidRDefault="0000132F" w:rsidP="009417C5">
      <w:pPr>
        <w:spacing w:before="240"/>
        <w:jc w:val="both"/>
        <w:rPr>
          <w:rFonts w:ascii="Arial" w:hAnsi="Arial" w:cs="Arial"/>
          <w:b/>
          <w:bCs/>
          <w:szCs w:val="22"/>
        </w:rPr>
      </w:pPr>
    </w:p>
    <w:p w14:paraId="05B4289D" w14:textId="77777777" w:rsidR="0000132F" w:rsidRDefault="0000132F" w:rsidP="009417C5">
      <w:pPr>
        <w:spacing w:before="240"/>
        <w:jc w:val="both"/>
        <w:rPr>
          <w:rFonts w:ascii="Arial" w:hAnsi="Arial" w:cs="Arial"/>
          <w:b/>
          <w:bCs/>
          <w:sz w:val="36"/>
          <w:szCs w:val="36"/>
        </w:rPr>
      </w:pPr>
    </w:p>
    <w:p w14:paraId="29432B65" w14:textId="321D12D7" w:rsidR="0000132F" w:rsidRDefault="00637C2E" w:rsidP="00637C2E">
      <w:pPr>
        <w:rPr>
          <w:b/>
          <w:bCs/>
        </w:rPr>
      </w:pPr>
      <w:r>
        <w:rPr>
          <w:b/>
          <w:bCs/>
        </w:rPr>
        <w:t>Acknowledgments</w:t>
      </w:r>
    </w:p>
    <w:p w14:paraId="63B04485" w14:textId="77777777" w:rsidR="00CC7ABA" w:rsidRPr="00CC7ABA" w:rsidRDefault="00CC7ABA" w:rsidP="00CC7ABA">
      <w:pPr>
        <w:spacing w:before="100" w:beforeAutospacing="1" w:after="100" w:afterAutospacing="1"/>
        <w:jc w:val="both"/>
        <w:rPr>
          <w:rFonts w:ascii="Arial" w:hAnsi="Arial" w:cs="Arial"/>
          <w:szCs w:val="22"/>
        </w:rPr>
      </w:pPr>
      <w:r w:rsidRPr="00CC7ABA">
        <w:rPr>
          <w:rFonts w:ascii="Arial" w:hAnsi="Arial" w:cs="Arial"/>
          <w:szCs w:val="22"/>
        </w:rPr>
        <w:t>I would like to express my sincere appreciation to my lecturers for their guidance, expertise, and continued support throughout the completion of this dissertation. Their academic insight, constructive feedback, and encouragement have been instrumental in the development of this research and in strengthening my overall academic ability.</w:t>
      </w:r>
    </w:p>
    <w:p w14:paraId="7C418AEA" w14:textId="77777777" w:rsidR="00CC7ABA" w:rsidRPr="00CC7ABA" w:rsidRDefault="00CC7ABA" w:rsidP="00CC7ABA">
      <w:pPr>
        <w:spacing w:before="100" w:beforeAutospacing="1" w:after="100" w:afterAutospacing="1"/>
        <w:jc w:val="both"/>
        <w:rPr>
          <w:rFonts w:ascii="Arial" w:hAnsi="Arial" w:cs="Arial"/>
          <w:szCs w:val="22"/>
        </w:rPr>
      </w:pPr>
      <w:r w:rsidRPr="00CC7ABA">
        <w:rPr>
          <w:rFonts w:ascii="Arial" w:hAnsi="Arial" w:cs="Arial"/>
          <w:szCs w:val="22"/>
        </w:rPr>
        <w:t>I am also grateful to my peers for their ongoing support and collaboration during this journey. The exchange of ideas, shared learning experiences, and mutual encouragement have contributed significantly to both my personal and academic growth.</w:t>
      </w:r>
    </w:p>
    <w:p w14:paraId="7E1C58F5" w14:textId="08119C37" w:rsidR="00D2339D" w:rsidRDefault="001F6299" w:rsidP="0093412F">
      <w:pPr>
        <w:spacing w:before="100" w:beforeAutospacing="1" w:after="100" w:afterAutospacing="1"/>
        <w:jc w:val="both"/>
        <w:rPr>
          <w:rFonts w:ascii="Arial" w:hAnsi="Arial" w:cs="Arial"/>
          <w:szCs w:val="22"/>
        </w:rPr>
      </w:pPr>
      <w:r w:rsidRPr="001F6299">
        <w:rPr>
          <w:rFonts w:ascii="Arial" w:hAnsi="Arial" w:cs="Arial"/>
          <w:szCs w:val="22"/>
        </w:rPr>
        <w:t>Most importantly, I would like to dedicate my deepest appreciation to my children. Your patience, love, and understanding have been my greatest source of strength and inspiration. Throughout this journey, you have made countless sacrifices and have supported me in ways that words cannot fully express. You are the reason I remained determined and focused, even during the most challenging moments. This achievement is as much yours as it is mine</w:t>
      </w:r>
      <w:r w:rsidR="00017E99">
        <w:rPr>
          <w:rFonts w:ascii="Arial" w:hAnsi="Arial" w:cs="Arial"/>
          <w:szCs w:val="22"/>
        </w:rPr>
        <w:t>.</w:t>
      </w:r>
    </w:p>
    <w:p w14:paraId="7622BA73" w14:textId="77777777" w:rsidR="00D2339D" w:rsidRDefault="00D2339D" w:rsidP="0093412F">
      <w:pPr>
        <w:spacing w:before="100" w:beforeAutospacing="1" w:after="100" w:afterAutospacing="1"/>
        <w:jc w:val="both"/>
        <w:rPr>
          <w:rFonts w:ascii="Arial" w:hAnsi="Arial" w:cs="Arial"/>
          <w:szCs w:val="22"/>
        </w:rPr>
      </w:pPr>
    </w:p>
    <w:p w14:paraId="1B13188B" w14:textId="77777777" w:rsidR="00D2339D" w:rsidRDefault="00D2339D" w:rsidP="0093412F">
      <w:pPr>
        <w:spacing w:before="100" w:beforeAutospacing="1" w:after="100" w:afterAutospacing="1"/>
        <w:jc w:val="both"/>
        <w:rPr>
          <w:rFonts w:ascii="Arial" w:hAnsi="Arial" w:cs="Arial"/>
          <w:szCs w:val="22"/>
        </w:rPr>
      </w:pPr>
    </w:p>
    <w:p w14:paraId="323CEF59" w14:textId="77777777" w:rsidR="00D2339D" w:rsidRDefault="00D2339D" w:rsidP="0093412F">
      <w:pPr>
        <w:spacing w:before="100" w:beforeAutospacing="1" w:after="100" w:afterAutospacing="1"/>
        <w:jc w:val="both"/>
        <w:rPr>
          <w:rFonts w:ascii="Arial" w:hAnsi="Arial" w:cs="Arial"/>
          <w:szCs w:val="22"/>
        </w:rPr>
      </w:pPr>
    </w:p>
    <w:p w14:paraId="12FC4373" w14:textId="77777777" w:rsidR="00D2339D" w:rsidRDefault="00D2339D" w:rsidP="0093412F">
      <w:pPr>
        <w:spacing w:before="100" w:beforeAutospacing="1" w:after="100" w:afterAutospacing="1"/>
        <w:jc w:val="both"/>
        <w:rPr>
          <w:rFonts w:ascii="Arial" w:hAnsi="Arial" w:cs="Arial"/>
          <w:szCs w:val="22"/>
        </w:rPr>
      </w:pPr>
    </w:p>
    <w:p w14:paraId="084E64EB" w14:textId="77777777" w:rsidR="00D2339D" w:rsidRDefault="00D2339D" w:rsidP="0093412F">
      <w:pPr>
        <w:spacing w:before="100" w:beforeAutospacing="1" w:after="100" w:afterAutospacing="1"/>
        <w:jc w:val="both"/>
        <w:rPr>
          <w:rFonts w:ascii="Arial" w:hAnsi="Arial" w:cs="Arial"/>
          <w:szCs w:val="22"/>
        </w:rPr>
      </w:pPr>
    </w:p>
    <w:p w14:paraId="1B94C6C8" w14:textId="77777777" w:rsidR="00D2339D" w:rsidRDefault="00D2339D" w:rsidP="0093412F">
      <w:pPr>
        <w:spacing w:before="100" w:beforeAutospacing="1" w:after="100" w:afterAutospacing="1"/>
        <w:jc w:val="both"/>
        <w:rPr>
          <w:rFonts w:ascii="Arial" w:hAnsi="Arial" w:cs="Arial"/>
          <w:szCs w:val="22"/>
        </w:rPr>
      </w:pPr>
    </w:p>
    <w:p w14:paraId="06C19FE8" w14:textId="77777777" w:rsidR="00D2339D" w:rsidRDefault="00D2339D" w:rsidP="0093412F">
      <w:pPr>
        <w:spacing w:before="100" w:beforeAutospacing="1" w:after="100" w:afterAutospacing="1"/>
        <w:jc w:val="both"/>
        <w:rPr>
          <w:rFonts w:ascii="Arial" w:hAnsi="Arial" w:cs="Arial"/>
          <w:szCs w:val="22"/>
        </w:rPr>
      </w:pPr>
    </w:p>
    <w:p w14:paraId="69B1682E" w14:textId="77777777" w:rsidR="00D2339D" w:rsidRDefault="00D2339D" w:rsidP="0093412F">
      <w:pPr>
        <w:spacing w:before="100" w:beforeAutospacing="1" w:after="100" w:afterAutospacing="1"/>
        <w:jc w:val="both"/>
        <w:rPr>
          <w:rFonts w:ascii="Arial" w:hAnsi="Arial" w:cs="Arial"/>
          <w:szCs w:val="22"/>
        </w:rPr>
      </w:pPr>
    </w:p>
    <w:p w14:paraId="6FCDC749" w14:textId="77777777" w:rsidR="00D2339D" w:rsidRDefault="00D2339D" w:rsidP="0093412F">
      <w:pPr>
        <w:spacing w:before="100" w:beforeAutospacing="1" w:after="100" w:afterAutospacing="1"/>
        <w:jc w:val="both"/>
        <w:rPr>
          <w:rFonts w:ascii="Arial" w:hAnsi="Arial" w:cs="Arial"/>
          <w:szCs w:val="22"/>
        </w:rPr>
      </w:pPr>
    </w:p>
    <w:p w14:paraId="2C590C94" w14:textId="77777777" w:rsidR="00D2339D" w:rsidRDefault="00D2339D" w:rsidP="0093412F">
      <w:pPr>
        <w:spacing w:before="100" w:beforeAutospacing="1" w:after="100" w:afterAutospacing="1"/>
        <w:jc w:val="both"/>
        <w:rPr>
          <w:rFonts w:ascii="Arial" w:hAnsi="Arial" w:cs="Arial"/>
          <w:szCs w:val="22"/>
        </w:rPr>
      </w:pPr>
    </w:p>
    <w:p w14:paraId="2B9A3AE8" w14:textId="77777777" w:rsidR="00D2339D" w:rsidRDefault="00D2339D" w:rsidP="0093412F">
      <w:pPr>
        <w:spacing w:before="100" w:beforeAutospacing="1" w:after="100" w:afterAutospacing="1"/>
        <w:jc w:val="both"/>
        <w:rPr>
          <w:rFonts w:ascii="Arial" w:hAnsi="Arial" w:cs="Arial"/>
          <w:szCs w:val="22"/>
        </w:rPr>
      </w:pPr>
    </w:p>
    <w:p w14:paraId="6AF22FFC" w14:textId="77777777" w:rsidR="00D2339D" w:rsidRDefault="00D2339D" w:rsidP="0093412F">
      <w:pPr>
        <w:spacing w:before="100" w:beforeAutospacing="1" w:after="100" w:afterAutospacing="1"/>
        <w:jc w:val="both"/>
        <w:rPr>
          <w:rFonts w:ascii="Arial" w:hAnsi="Arial" w:cs="Arial"/>
          <w:szCs w:val="22"/>
        </w:rPr>
      </w:pPr>
    </w:p>
    <w:p w14:paraId="5891F616" w14:textId="77777777" w:rsidR="00D2339D" w:rsidRDefault="00D2339D" w:rsidP="0093412F">
      <w:pPr>
        <w:spacing w:before="100" w:beforeAutospacing="1" w:after="100" w:afterAutospacing="1"/>
        <w:jc w:val="both"/>
        <w:rPr>
          <w:rFonts w:ascii="Arial" w:hAnsi="Arial" w:cs="Arial"/>
          <w:szCs w:val="22"/>
        </w:rPr>
      </w:pPr>
    </w:p>
    <w:p w14:paraId="2E21E425" w14:textId="77777777" w:rsidR="00D2339D" w:rsidRDefault="00D2339D" w:rsidP="0093412F">
      <w:pPr>
        <w:spacing w:before="100" w:beforeAutospacing="1" w:after="100" w:afterAutospacing="1"/>
        <w:jc w:val="both"/>
        <w:rPr>
          <w:rFonts w:ascii="Arial" w:hAnsi="Arial" w:cs="Arial"/>
          <w:szCs w:val="22"/>
        </w:rPr>
      </w:pPr>
    </w:p>
    <w:p w14:paraId="046C9F93" w14:textId="77777777" w:rsidR="00D2339D" w:rsidRPr="0093412F" w:rsidRDefault="00D2339D" w:rsidP="0093412F">
      <w:pPr>
        <w:spacing w:before="100" w:beforeAutospacing="1" w:after="100" w:afterAutospacing="1"/>
        <w:jc w:val="both"/>
        <w:rPr>
          <w:rFonts w:ascii="Arial" w:hAnsi="Arial" w:cs="Arial"/>
          <w:szCs w:val="22"/>
        </w:rPr>
      </w:pPr>
    </w:p>
    <w:p w14:paraId="406B4948" w14:textId="77777777" w:rsidR="00637C2E" w:rsidRPr="00637C2E" w:rsidRDefault="00637C2E" w:rsidP="00637C2E">
      <w:pPr>
        <w:rPr>
          <w:b/>
          <w:bCs/>
        </w:rPr>
      </w:pPr>
    </w:p>
    <w:p w14:paraId="615E358F" w14:textId="77777777" w:rsidR="0000132F" w:rsidRDefault="0000132F" w:rsidP="0000132F">
      <w:pPr>
        <w:spacing w:before="240"/>
        <w:jc w:val="center"/>
        <w:rPr>
          <w:rFonts w:ascii="Arial" w:hAnsi="Arial" w:cs="Arial"/>
          <w:b/>
          <w:bCs/>
          <w:sz w:val="44"/>
          <w:szCs w:val="44"/>
        </w:rPr>
      </w:pPr>
      <w:r w:rsidRPr="00F31E94">
        <w:rPr>
          <w:rFonts w:ascii="Arial" w:hAnsi="Arial" w:cs="Arial"/>
          <w:b/>
          <w:bCs/>
          <w:sz w:val="44"/>
          <w:szCs w:val="44"/>
        </w:rPr>
        <w:t xml:space="preserve">The Differential Impact of Specific Types of Adverse Childhood Experiences (ACEs) (e.g., Physical Abuse vs. Parental Separation) on Mental Health in Young Adults </w:t>
      </w:r>
      <w:r>
        <w:rPr>
          <w:rFonts w:ascii="Arial" w:hAnsi="Arial" w:cs="Arial"/>
          <w:b/>
          <w:bCs/>
          <w:sz w:val="44"/>
          <w:szCs w:val="44"/>
        </w:rPr>
        <w:t>(</w:t>
      </w:r>
      <w:r w:rsidRPr="003A1DFF">
        <w:rPr>
          <w:rFonts w:ascii="Arial" w:hAnsi="Arial" w:cs="Arial"/>
          <w:b/>
          <w:bCs/>
          <w:sz w:val="44"/>
          <w:szCs w:val="44"/>
        </w:rPr>
        <w:t>15-30</w:t>
      </w:r>
      <w:r>
        <w:rPr>
          <w:rFonts w:ascii="Arial" w:hAnsi="Arial" w:cs="Arial"/>
          <w:b/>
          <w:bCs/>
          <w:sz w:val="44"/>
          <w:szCs w:val="44"/>
        </w:rPr>
        <w:t xml:space="preserve"> years) </w:t>
      </w:r>
      <w:r w:rsidRPr="00F31E94">
        <w:rPr>
          <w:rFonts w:ascii="Arial" w:hAnsi="Arial" w:cs="Arial"/>
          <w:b/>
          <w:bCs/>
          <w:sz w:val="44"/>
          <w:szCs w:val="44"/>
        </w:rPr>
        <w:t>in the UK</w:t>
      </w:r>
    </w:p>
    <w:p w14:paraId="7639A748" w14:textId="77777777" w:rsidR="0000132F" w:rsidRDefault="0000132F" w:rsidP="0000132F">
      <w:pPr>
        <w:spacing w:before="240"/>
        <w:jc w:val="center"/>
        <w:rPr>
          <w:rFonts w:ascii="Arial" w:hAnsi="Arial" w:cs="Arial"/>
          <w:b/>
          <w:bCs/>
          <w:sz w:val="44"/>
          <w:szCs w:val="44"/>
        </w:rPr>
      </w:pPr>
    </w:p>
    <w:p w14:paraId="52B4AFE6" w14:textId="77777777" w:rsidR="000C44C9" w:rsidRDefault="000C44C9" w:rsidP="000C44C9">
      <w:pPr>
        <w:jc w:val="center"/>
        <w:rPr>
          <w:rFonts w:ascii="Arial" w:hAnsi="Arial" w:cs="Arial"/>
          <w:b/>
          <w:bCs/>
          <w:sz w:val="32"/>
          <w:szCs w:val="32"/>
        </w:rPr>
      </w:pPr>
      <w:r>
        <w:rPr>
          <w:rFonts w:ascii="Arial" w:hAnsi="Arial" w:cs="Arial"/>
          <w:b/>
          <w:bCs/>
          <w:sz w:val="32"/>
          <w:szCs w:val="32"/>
        </w:rPr>
        <w:t>Name: Noreen Akhtar</w:t>
      </w:r>
    </w:p>
    <w:p w14:paraId="78CCF8EC" w14:textId="77777777" w:rsidR="000C44C9" w:rsidRPr="00105C97" w:rsidRDefault="000C44C9" w:rsidP="000C44C9">
      <w:pPr>
        <w:jc w:val="center"/>
        <w:rPr>
          <w:rFonts w:ascii="Arial" w:hAnsi="Arial" w:cs="Arial"/>
          <w:b/>
          <w:bCs/>
          <w:sz w:val="32"/>
          <w:szCs w:val="32"/>
        </w:rPr>
      </w:pPr>
      <w:r>
        <w:rPr>
          <w:rFonts w:ascii="Arial" w:hAnsi="Arial" w:cs="Arial"/>
          <w:b/>
          <w:bCs/>
          <w:sz w:val="32"/>
          <w:szCs w:val="32"/>
        </w:rPr>
        <w:t>Student Number: 2246135</w:t>
      </w:r>
    </w:p>
    <w:p w14:paraId="6A7664ED" w14:textId="77777777" w:rsidR="000C44C9" w:rsidRPr="00105C97" w:rsidRDefault="000C44C9" w:rsidP="000C44C9">
      <w:pPr>
        <w:spacing w:line="278" w:lineRule="auto"/>
        <w:jc w:val="center"/>
        <w:rPr>
          <w:b/>
          <w:bCs/>
          <w:sz w:val="32"/>
          <w:szCs w:val="32"/>
        </w:rPr>
      </w:pPr>
      <w:r w:rsidRPr="00105C97">
        <w:rPr>
          <w:b/>
          <w:bCs/>
          <w:sz w:val="32"/>
          <w:szCs w:val="32"/>
        </w:rPr>
        <w:t>Course: BSc (Hons) Health and Social Care</w:t>
      </w:r>
    </w:p>
    <w:p w14:paraId="5B0AC737" w14:textId="77777777" w:rsidR="000C44C9" w:rsidRDefault="000C44C9" w:rsidP="000C44C9">
      <w:pPr>
        <w:spacing w:line="278" w:lineRule="auto"/>
        <w:jc w:val="center"/>
        <w:rPr>
          <w:b/>
          <w:bCs/>
          <w:sz w:val="32"/>
          <w:szCs w:val="32"/>
        </w:rPr>
      </w:pPr>
      <w:r w:rsidRPr="00105C97">
        <w:rPr>
          <w:b/>
          <w:bCs/>
          <w:sz w:val="32"/>
          <w:szCs w:val="32"/>
        </w:rPr>
        <w:t>Module: Independent Project (BMHP6020_BIRM)</w:t>
      </w:r>
    </w:p>
    <w:p w14:paraId="47897121" w14:textId="77777777" w:rsidR="000C44C9" w:rsidRDefault="000C44C9" w:rsidP="000C44C9">
      <w:pPr>
        <w:spacing w:line="278" w:lineRule="auto"/>
        <w:jc w:val="center"/>
        <w:rPr>
          <w:b/>
          <w:bCs/>
          <w:sz w:val="32"/>
          <w:szCs w:val="32"/>
        </w:rPr>
      </w:pPr>
      <w:r w:rsidRPr="00AF4477">
        <w:rPr>
          <w:b/>
          <w:bCs/>
          <w:sz w:val="32"/>
          <w:szCs w:val="32"/>
        </w:rPr>
        <w:t>Assignment Title:</w:t>
      </w:r>
      <w:r>
        <w:rPr>
          <w:b/>
          <w:bCs/>
          <w:sz w:val="32"/>
          <w:szCs w:val="32"/>
        </w:rPr>
        <w:t xml:space="preserve"> </w:t>
      </w:r>
      <w:r w:rsidRPr="00AF4477">
        <w:rPr>
          <w:b/>
          <w:bCs/>
          <w:sz w:val="32"/>
          <w:szCs w:val="32"/>
        </w:rPr>
        <w:t>Component 1: Portfolio (including 3 elements)</w:t>
      </w:r>
    </w:p>
    <w:p w14:paraId="319312AF" w14:textId="77777777" w:rsidR="0000132F" w:rsidRDefault="0000132F" w:rsidP="0000132F">
      <w:pPr>
        <w:spacing w:before="240"/>
        <w:jc w:val="both"/>
        <w:rPr>
          <w:rFonts w:ascii="Arial" w:hAnsi="Arial" w:cs="Arial"/>
          <w:b/>
          <w:bCs/>
          <w:sz w:val="44"/>
          <w:szCs w:val="44"/>
        </w:rPr>
      </w:pPr>
    </w:p>
    <w:p w14:paraId="72409F22" w14:textId="77777777" w:rsidR="0000132F" w:rsidRDefault="0000132F" w:rsidP="0000132F">
      <w:pPr>
        <w:spacing w:before="240"/>
        <w:jc w:val="center"/>
        <w:rPr>
          <w:sz w:val="36"/>
          <w:szCs w:val="36"/>
        </w:rPr>
      </w:pPr>
      <w:r w:rsidRPr="00F31E94">
        <w:rPr>
          <w:sz w:val="36"/>
          <w:szCs w:val="36"/>
        </w:rPr>
        <w:t>Dissertation submitted as part of the requirements for the award BSc (Hons) Health and Social Care</w:t>
      </w:r>
    </w:p>
    <w:p w14:paraId="2D4C40C9" w14:textId="77777777" w:rsidR="0000132F" w:rsidRDefault="0000132F" w:rsidP="00F31E94">
      <w:pPr>
        <w:spacing w:before="240"/>
        <w:jc w:val="center"/>
        <w:rPr>
          <w:rFonts w:ascii="Arial" w:hAnsi="Arial" w:cs="Arial"/>
          <w:b/>
          <w:bCs/>
          <w:sz w:val="36"/>
          <w:szCs w:val="36"/>
        </w:rPr>
      </w:pPr>
    </w:p>
    <w:p w14:paraId="7BAA7FEC" w14:textId="77777777" w:rsidR="0000132F" w:rsidRDefault="0000132F" w:rsidP="00F31E94">
      <w:pPr>
        <w:spacing w:before="240"/>
        <w:jc w:val="center"/>
        <w:rPr>
          <w:rFonts w:ascii="Arial" w:hAnsi="Arial" w:cs="Arial"/>
          <w:b/>
          <w:bCs/>
          <w:sz w:val="36"/>
          <w:szCs w:val="36"/>
        </w:rPr>
      </w:pPr>
    </w:p>
    <w:p w14:paraId="65171300" w14:textId="77777777" w:rsidR="0000132F" w:rsidRPr="00F31E94" w:rsidRDefault="0000132F" w:rsidP="00F31E94">
      <w:pPr>
        <w:spacing w:before="240"/>
        <w:jc w:val="center"/>
        <w:rPr>
          <w:rFonts w:ascii="Arial" w:hAnsi="Arial" w:cs="Arial"/>
          <w:b/>
          <w:bCs/>
          <w:sz w:val="36"/>
          <w:szCs w:val="36"/>
        </w:rPr>
      </w:pPr>
    </w:p>
    <w:p w14:paraId="6BCC8FFC" w14:textId="77777777" w:rsidR="001D676C" w:rsidRDefault="001D676C" w:rsidP="00D2339D">
      <w:pPr>
        <w:spacing w:before="240"/>
        <w:jc w:val="both"/>
        <w:rPr>
          <w:rFonts w:ascii="Arial" w:hAnsi="Arial" w:cs="Arial"/>
          <w:b/>
          <w:bCs/>
          <w:sz w:val="24"/>
        </w:rPr>
      </w:pPr>
    </w:p>
    <w:p w14:paraId="578B135E" w14:textId="74A4A7F6" w:rsidR="00C45E8B" w:rsidRPr="00D2339D" w:rsidRDefault="00D97D62" w:rsidP="00D2339D">
      <w:pPr>
        <w:spacing w:before="240"/>
        <w:jc w:val="both"/>
        <w:rPr>
          <w:rFonts w:ascii="Arial" w:hAnsi="Arial" w:cs="Arial"/>
          <w:b/>
          <w:bCs/>
          <w:sz w:val="24"/>
        </w:rPr>
      </w:pPr>
      <w:r w:rsidRPr="002B4312">
        <w:rPr>
          <w:rFonts w:ascii="Arial" w:hAnsi="Arial" w:cs="Arial"/>
          <w:b/>
          <w:bCs/>
          <w:sz w:val="24"/>
        </w:rPr>
        <w:t>Abstract</w:t>
      </w:r>
    </w:p>
    <w:p w14:paraId="101837D9" w14:textId="1170A34F" w:rsidR="00B526EA" w:rsidRDefault="0062470B" w:rsidP="002B4312">
      <w:pPr>
        <w:spacing w:before="240"/>
        <w:jc w:val="both"/>
        <w:rPr>
          <w:szCs w:val="22"/>
        </w:rPr>
      </w:pPr>
      <w:r w:rsidRPr="0062470B">
        <w:rPr>
          <w:szCs w:val="22"/>
        </w:rPr>
        <w:t>Adverse Childhood Experiences (ACEs) are always related to worse mental health throughout the life course, although routine screening and service responses often depend on the accumulated ACE scores that integrate heterogeneous adversities. The objective of this dissertation was to determine whether two policy-relevant ACEs, including physical abuse and parental separation, had a statistically different impact on the mental health outcomes of young adults aged 15-30 in the UK, and what this would mean in terms of implications of trauma-informed screening and care. The aims were to contrast the effects of these types of ACE, assess the differences in outcomes in relation to depression, anxiety, PTSD/trauma symptoms, self-harm and substance use and discuss the contextual moderators of these effects, including socio-economic status, timing/duration of exposure, co-occurrence of adversity, and access to services. A systematic literature review of secondary sources was conducted after a structured search strategy was developed in 5 databases (PubMed/MEDLINE, PsycINFO, Scopus, CINAHL and Cochrane), screening being done based on PRISMA principles and quality being considered based on critical appraisal. Thematic analysis was done to extract the findings, resulting in an auditable coding trail and higher-order themes, which were oriented to the research objectives. The synthesis showed that physical abuse and parental separation are not fungable exposures. Physical mistreatment exhibited a greater congruity with threat-based processes and a greater impairment of mental wellbeing whereas parental separation was more conditionally related and varied with conflict, instability and socio-economic pressure. Conclusions based on outcome choice and modelling strategy: the variation in effect sizes between diagnostic and wellbeing measures varied, and trends varied when adversities were considered as single exposures or clusters/combinations. Poverty-linked clustering, timing and duration and disparities in accessing support were of importance in the explanation of heterogeneity in reported associations in particular contextual moderators. The main weaknesses were variability of ACE and outcome measure, study design and sample differences, and over-adjustment of variables that might indicate mechanisms and not confounders. It was proposed that the best practices include ACE-type and situation-specific screening, more targeted referral routes that are the same in justified situations based on risk and outcome data, and equity-based strategies that enhance long-term support of vulnerable young adults</w:t>
      </w:r>
      <w:r w:rsidR="00670DCD">
        <w:rPr>
          <w:szCs w:val="22"/>
        </w:rPr>
        <w:t>.</w:t>
      </w:r>
    </w:p>
    <w:p w14:paraId="3FEF72CA" w14:textId="77777777" w:rsidR="00B526EA" w:rsidRDefault="00B526EA" w:rsidP="002B4312">
      <w:pPr>
        <w:spacing w:before="240"/>
        <w:jc w:val="both"/>
        <w:rPr>
          <w:szCs w:val="22"/>
        </w:rPr>
      </w:pPr>
    </w:p>
    <w:p w14:paraId="4D5A8381" w14:textId="77777777" w:rsidR="00B526EA" w:rsidRPr="00B526EA" w:rsidRDefault="00B526EA" w:rsidP="002B4312">
      <w:pPr>
        <w:spacing w:before="240"/>
        <w:jc w:val="both"/>
        <w:rPr>
          <w:szCs w:val="22"/>
        </w:rPr>
      </w:pPr>
    </w:p>
    <w:sdt>
      <w:sdtPr>
        <w:rPr>
          <w:rFonts w:asciiTheme="minorBidi" w:eastAsia="Times New Roman" w:hAnsiTheme="minorBidi" w:cstheme="minorBidi"/>
          <w:b w:val="0"/>
          <w:bCs w:val="0"/>
          <w:color w:val="auto"/>
          <w:sz w:val="22"/>
          <w:szCs w:val="22"/>
          <w:lang w:val="en-GB" w:eastAsia="en-GB"/>
        </w:rPr>
        <w:id w:val="313078280"/>
        <w:docPartObj>
          <w:docPartGallery w:val="Table of Contents"/>
          <w:docPartUnique/>
        </w:docPartObj>
      </w:sdtPr>
      <w:sdtEndPr>
        <w:rPr>
          <w:noProof/>
        </w:rPr>
      </w:sdtEndPr>
      <w:sdtContent>
        <w:p w14:paraId="68334A5B" w14:textId="6875FB95" w:rsidR="00F31E94" w:rsidRPr="00FF0943" w:rsidRDefault="00F31E94">
          <w:pPr>
            <w:pStyle w:val="TOCHeading"/>
            <w:rPr>
              <w:rFonts w:asciiTheme="minorBidi" w:hAnsiTheme="minorBidi" w:cstheme="minorBidi"/>
              <w:sz w:val="32"/>
              <w:szCs w:val="32"/>
            </w:rPr>
          </w:pPr>
          <w:r w:rsidRPr="00FF0943">
            <w:rPr>
              <w:rFonts w:asciiTheme="minorBidi" w:hAnsiTheme="minorBidi" w:cstheme="minorBidi"/>
              <w:sz w:val="32"/>
              <w:szCs w:val="32"/>
            </w:rPr>
            <w:t>Table of Contents</w:t>
          </w:r>
        </w:p>
        <w:p w14:paraId="08D92013" w14:textId="6A555933" w:rsidR="00FF0943" w:rsidRPr="00FF0943" w:rsidRDefault="00F31E94">
          <w:pPr>
            <w:pStyle w:val="TOC1"/>
            <w:tabs>
              <w:tab w:val="right" w:leader="dot" w:pos="9016"/>
            </w:tabs>
            <w:rPr>
              <w:rFonts w:asciiTheme="minorBidi" w:eastAsiaTheme="minorEastAsia" w:hAnsiTheme="minorBidi" w:cstheme="minorBidi"/>
              <w:b w:val="0"/>
              <w:bCs w:val="0"/>
              <w:noProof/>
              <w:kern w:val="2"/>
              <w:sz w:val="22"/>
              <w:szCs w:val="22"/>
              <w14:ligatures w14:val="standardContextual"/>
            </w:rPr>
          </w:pPr>
          <w:r w:rsidRPr="00FF0943">
            <w:rPr>
              <w:rFonts w:asciiTheme="minorBidi" w:hAnsiTheme="minorBidi" w:cstheme="minorBidi"/>
              <w:b w:val="0"/>
              <w:bCs w:val="0"/>
              <w:sz w:val="22"/>
              <w:szCs w:val="22"/>
            </w:rPr>
            <w:fldChar w:fldCharType="begin"/>
          </w:r>
          <w:r w:rsidRPr="00FF0943">
            <w:rPr>
              <w:rFonts w:asciiTheme="minorBidi" w:hAnsiTheme="minorBidi" w:cstheme="minorBidi"/>
              <w:sz w:val="22"/>
              <w:szCs w:val="22"/>
            </w:rPr>
            <w:instrText xml:space="preserve"> TOC \o "1-3" \h \z \u </w:instrText>
          </w:r>
          <w:r w:rsidRPr="00FF0943">
            <w:rPr>
              <w:rFonts w:asciiTheme="minorBidi" w:hAnsiTheme="minorBidi" w:cstheme="minorBidi"/>
              <w:b w:val="0"/>
              <w:bCs w:val="0"/>
              <w:sz w:val="22"/>
              <w:szCs w:val="22"/>
            </w:rPr>
            <w:fldChar w:fldCharType="separate"/>
          </w:r>
          <w:hyperlink w:anchor="_Toc220350508" w:history="1">
            <w:r w:rsidR="00FF0943" w:rsidRPr="00FF0943">
              <w:rPr>
                <w:rStyle w:val="Hyperlink"/>
                <w:rFonts w:asciiTheme="minorBidi" w:hAnsiTheme="minorBidi" w:cstheme="minorBidi"/>
                <w:noProof/>
                <w:sz w:val="22"/>
                <w:szCs w:val="22"/>
              </w:rPr>
              <w:t>CHAPTER 1: Introduction</w:t>
            </w:r>
            <w:r w:rsidR="00FF0943" w:rsidRPr="00FF0943">
              <w:rPr>
                <w:rFonts w:asciiTheme="minorBidi" w:hAnsiTheme="minorBidi" w:cstheme="minorBidi"/>
                <w:noProof/>
                <w:webHidden/>
                <w:sz w:val="22"/>
                <w:szCs w:val="22"/>
              </w:rPr>
              <w:tab/>
            </w:r>
            <w:r w:rsidR="00FF0943" w:rsidRPr="00FF0943">
              <w:rPr>
                <w:rFonts w:asciiTheme="minorBidi" w:hAnsiTheme="minorBidi" w:cstheme="minorBidi"/>
                <w:noProof/>
                <w:webHidden/>
                <w:sz w:val="22"/>
                <w:szCs w:val="22"/>
              </w:rPr>
              <w:fldChar w:fldCharType="begin"/>
            </w:r>
            <w:r w:rsidR="00FF0943" w:rsidRPr="00FF0943">
              <w:rPr>
                <w:rFonts w:asciiTheme="minorBidi" w:hAnsiTheme="minorBidi" w:cstheme="minorBidi"/>
                <w:noProof/>
                <w:webHidden/>
                <w:sz w:val="22"/>
                <w:szCs w:val="22"/>
              </w:rPr>
              <w:instrText xml:space="preserve"> PAGEREF _Toc220350508 \h </w:instrText>
            </w:r>
            <w:r w:rsidR="00FF0943" w:rsidRPr="00FF0943">
              <w:rPr>
                <w:rFonts w:asciiTheme="minorBidi" w:hAnsiTheme="minorBidi" w:cstheme="minorBidi"/>
                <w:noProof/>
                <w:webHidden/>
                <w:sz w:val="22"/>
                <w:szCs w:val="22"/>
              </w:rPr>
            </w:r>
            <w:r w:rsidR="00FF0943"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9</w:t>
            </w:r>
            <w:r w:rsidR="00FF0943" w:rsidRPr="00FF0943">
              <w:rPr>
                <w:rFonts w:asciiTheme="minorBidi" w:hAnsiTheme="minorBidi" w:cstheme="minorBidi"/>
                <w:noProof/>
                <w:webHidden/>
                <w:sz w:val="22"/>
                <w:szCs w:val="22"/>
              </w:rPr>
              <w:fldChar w:fldCharType="end"/>
            </w:r>
          </w:hyperlink>
        </w:p>
        <w:p w14:paraId="0CB029FC" w14:textId="77436741"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09" w:history="1">
            <w:r w:rsidRPr="00FF0943">
              <w:rPr>
                <w:rStyle w:val="Hyperlink"/>
                <w:rFonts w:asciiTheme="minorBidi" w:hAnsiTheme="minorBidi" w:cstheme="minorBidi"/>
                <w:noProof/>
                <w:sz w:val="22"/>
                <w:szCs w:val="22"/>
              </w:rPr>
              <w:t>1.1. Introduction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_Toc220350509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9</w:t>
            </w:r>
            <w:r w:rsidRPr="00FF0943">
              <w:rPr>
                <w:rFonts w:asciiTheme="minorBidi" w:hAnsiTheme="minorBidi" w:cstheme="minorBidi"/>
                <w:noProof/>
                <w:webHidden/>
                <w:sz w:val="22"/>
                <w:szCs w:val="22"/>
              </w:rPr>
              <w:fldChar w:fldCharType="end"/>
            </w:r>
          </w:hyperlink>
        </w:p>
        <w:p w14:paraId="5D475B0C" w14:textId="27FDA69D"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10" w:history="1">
            <w:r w:rsidRPr="00FF0943">
              <w:rPr>
                <w:rStyle w:val="Hyperlink"/>
                <w:rFonts w:asciiTheme="minorBidi" w:hAnsiTheme="minorBidi" w:cstheme="minorBidi"/>
                <w:noProof/>
                <w:sz w:val="22"/>
                <w:szCs w:val="22"/>
              </w:rPr>
              <w:t>1.2 Definitions and Terminology</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_Toc220350510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9</w:t>
            </w:r>
            <w:r w:rsidRPr="00FF0943">
              <w:rPr>
                <w:rFonts w:asciiTheme="minorBidi" w:hAnsiTheme="minorBidi" w:cstheme="minorBidi"/>
                <w:noProof/>
                <w:webHidden/>
                <w:sz w:val="22"/>
                <w:szCs w:val="22"/>
              </w:rPr>
              <w:fldChar w:fldCharType="end"/>
            </w:r>
          </w:hyperlink>
        </w:p>
        <w:p w14:paraId="157CC589" w14:textId="600B32EA"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11" w:history="1">
            <w:r w:rsidRPr="00FF0943">
              <w:rPr>
                <w:rStyle w:val="Hyperlink"/>
                <w:rFonts w:asciiTheme="minorBidi" w:hAnsiTheme="minorBidi" w:cstheme="minorBidi"/>
                <w:noProof/>
                <w:sz w:val="22"/>
                <w:szCs w:val="22"/>
              </w:rPr>
              <w:t>1.3 Rationale for Research</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_Toc220350511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10</w:t>
            </w:r>
            <w:r w:rsidRPr="00FF0943">
              <w:rPr>
                <w:rFonts w:asciiTheme="minorBidi" w:hAnsiTheme="minorBidi" w:cstheme="minorBidi"/>
                <w:noProof/>
                <w:webHidden/>
                <w:sz w:val="22"/>
                <w:szCs w:val="22"/>
              </w:rPr>
              <w:fldChar w:fldCharType="end"/>
            </w:r>
          </w:hyperlink>
        </w:p>
        <w:p w14:paraId="6EB2DB01" w14:textId="6EA52702"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12" w:history="1">
            <w:r w:rsidRPr="00FF0943">
              <w:rPr>
                <w:rStyle w:val="Hyperlink"/>
                <w:rFonts w:asciiTheme="minorBidi" w:hAnsiTheme="minorBidi" w:cstheme="minorBidi"/>
                <w:noProof/>
                <w:sz w:val="22"/>
                <w:szCs w:val="22"/>
              </w:rPr>
              <w:t>1.4 Aim and Objectives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_Toc220350512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11</w:t>
            </w:r>
            <w:r w:rsidRPr="00FF0943">
              <w:rPr>
                <w:rFonts w:asciiTheme="minorBidi" w:hAnsiTheme="minorBidi" w:cstheme="minorBidi"/>
                <w:noProof/>
                <w:webHidden/>
                <w:sz w:val="22"/>
                <w:szCs w:val="22"/>
              </w:rPr>
              <w:fldChar w:fldCharType="end"/>
            </w:r>
          </w:hyperlink>
        </w:p>
        <w:p w14:paraId="5E88A514" w14:textId="7F8CC7CA"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13" w:history="1">
            <w:r w:rsidRPr="00FF0943">
              <w:rPr>
                <w:rStyle w:val="Hyperlink"/>
                <w:rFonts w:asciiTheme="minorBidi" w:hAnsiTheme="minorBidi" w:cstheme="minorBidi"/>
                <w:noProof/>
                <w:sz w:val="22"/>
                <w:szCs w:val="22"/>
              </w:rPr>
              <w:t>1.5 Conclusion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_Toc220350513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12</w:t>
            </w:r>
            <w:r w:rsidRPr="00FF0943">
              <w:rPr>
                <w:rFonts w:asciiTheme="minorBidi" w:hAnsiTheme="minorBidi" w:cstheme="minorBidi"/>
                <w:noProof/>
                <w:webHidden/>
                <w:sz w:val="22"/>
                <w:szCs w:val="22"/>
              </w:rPr>
              <w:fldChar w:fldCharType="end"/>
            </w:r>
          </w:hyperlink>
        </w:p>
        <w:p w14:paraId="3B31E9E0" w14:textId="6540EC79" w:rsidR="00FF0943" w:rsidRPr="00FF0943" w:rsidRDefault="00FF0943">
          <w:pPr>
            <w:pStyle w:val="TOC1"/>
            <w:tabs>
              <w:tab w:val="right" w:leader="dot" w:pos="9016"/>
            </w:tabs>
            <w:rPr>
              <w:rFonts w:asciiTheme="minorBidi" w:eastAsiaTheme="minorEastAsia" w:hAnsiTheme="minorBidi" w:cstheme="minorBidi"/>
              <w:b w:val="0"/>
              <w:bCs w:val="0"/>
              <w:noProof/>
              <w:kern w:val="2"/>
              <w:sz w:val="22"/>
              <w:szCs w:val="22"/>
              <w14:ligatures w14:val="standardContextual"/>
            </w:rPr>
          </w:pPr>
          <w:hyperlink w:anchor="_Toc220350514" w:history="1">
            <w:r w:rsidRPr="00FF0943">
              <w:rPr>
                <w:rStyle w:val="Hyperlink"/>
                <w:rFonts w:asciiTheme="minorBidi" w:hAnsiTheme="minorBidi" w:cstheme="minorBidi"/>
                <w:noProof/>
                <w:sz w:val="22"/>
                <w:szCs w:val="22"/>
              </w:rPr>
              <w:t>CHAPTER 2 – Background Information and Analysis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_Toc220350514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13</w:t>
            </w:r>
            <w:r w:rsidRPr="00FF0943">
              <w:rPr>
                <w:rFonts w:asciiTheme="minorBidi" w:hAnsiTheme="minorBidi" w:cstheme="minorBidi"/>
                <w:noProof/>
                <w:webHidden/>
                <w:sz w:val="22"/>
                <w:szCs w:val="22"/>
              </w:rPr>
              <w:fldChar w:fldCharType="end"/>
            </w:r>
          </w:hyperlink>
        </w:p>
        <w:p w14:paraId="04E608A6" w14:textId="46B59654"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15" w:history="1">
            <w:r w:rsidRPr="00FF0943">
              <w:rPr>
                <w:rStyle w:val="Hyperlink"/>
                <w:rFonts w:asciiTheme="minorBidi" w:hAnsiTheme="minorBidi" w:cstheme="minorBidi"/>
                <w:noProof/>
                <w:sz w:val="22"/>
                <w:szCs w:val="22"/>
              </w:rPr>
              <w:t>2.1 Introduction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_Toc220350515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13</w:t>
            </w:r>
            <w:r w:rsidRPr="00FF0943">
              <w:rPr>
                <w:rFonts w:asciiTheme="minorBidi" w:hAnsiTheme="minorBidi" w:cstheme="minorBidi"/>
                <w:noProof/>
                <w:webHidden/>
                <w:sz w:val="22"/>
                <w:szCs w:val="22"/>
              </w:rPr>
              <w:fldChar w:fldCharType="end"/>
            </w:r>
          </w:hyperlink>
        </w:p>
        <w:p w14:paraId="07E68CB8" w14:textId="51B97E95"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16" w:history="1">
            <w:r w:rsidRPr="00FF0943">
              <w:rPr>
                <w:rStyle w:val="Hyperlink"/>
                <w:rFonts w:asciiTheme="minorBidi" w:hAnsiTheme="minorBidi" w:cstheme="minorBidi"/>
                <w:noProof/>
                <w:sz w:val="22"/>
                <w:szCs w:val="22"/>
              </w:rPr>
              <w:t>2.2 Historical Background</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_Toc220350516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13</w:t>
            </w:r>
            <w:r w:rsidRPr="00FF0943">
              <w:rPr>
                <w:rFonts w:asciiTheme="minorBidi" w:hAnsiTheme="minorBidi" w:cstheme="minorBidi"/>
                <w:noProof/>
                <w:webHidden/>
                <w:sz w:val="22"/>
                <w:szCs w:val="22"/>
              </w:rPr>
              <w:fldChar w:fldCharType="end"/>
            </w:r>
          </w:hyperlink>
        </w:p>
        <w:p w14:paraId="32B11C1A" w14:textId="5F43E4CA"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17" w:history="1">
            <w:r w:rsidRPr="00FF0943">
              <w:rPr>
                <w:rStyle w:val="Hyperlink"/>
                <w:rFonts w:asciiTheme="minorBidi" w:hAnsiTheme="minorBidi" w:cstheme="minorBidi"/>
                <w:noProof/>
                <w:sz w:val="22"/>
                <w:szCs w:val="22"/>
              </w:rPr>
              <w:t>2.3 Theoretical Background</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_Toc220350517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14</w:t>
            </w:r>
            <w:r w:rsidRPr="00FF0943">
              <w:rPr>
                <w:rFonts w:asciiTheme="minorBidi" w:hAnsiTheme="minorBidi" w:cstheme="minorBidi"/>
                <w:noProof/>
                <w:webHidden/>
                <w:sz w:val="22"/>
                <w:szCs w:val="22"/>
              </w:rPr>
              <w:fldChar w:fldCharType="end"/>
            </w:r>
          </w:hyperlink>
        </w:p>
        <w:p w14:paraId="4F8FE032" w14:textId="1FEBBC74"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18" w:history="1">
            <w:r w:rsidRPr="00FF0943">
              <w:rPr>
                <w:rStyle w:val="Hyperlink"/>
                <w:rFonts w:asciiTheme="minorBidi" w:hAnsiTheme="minorBidi" w:cstheme="minorBidi"/>
                <w:noProof/>
                <w:sz w:val="22"/>
                <w:szCs w:val="22"/>
              </w:rPr>
              <w:t>2.4 International Context</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_Toc220350518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16</w:t>
            </w:r>
            <w:r w:rsidRPr="00FF0943">
              <w:rPr>
                <w:rFonts w:asciiTheme="minorBidi" w:hAnsiTheme="minorBidi" w:cstheme="minorBidi"/>
                <w:noProof/>
                <w:webHidden/>
                <w:sz w:val="22"/>
                <w:szCs w:val="22"/>
              </w:rPr>
              <w:fldChar w:fldCharType="end"/>
            </w:r>
          </w:hyperlink>
        </w:p>
        <w:p w14:paraId="5D98B455" w14:textId="5C2720B3"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19" w:history="1">
            <w:r w:rsidRPr="00FF0943">
              <w:rPr>
                <w:rStyle w:val="Hyperlink"/>
                <w:rFonts w:asciiTheme="minorBidi" w:hAnsiTheme="minorBidi" w:cstheme="minorBidi"/>
                <w:noProof/>
                <w:sz w:val="22"/>
                <w:szCs w:val="22"/>
              </w:rPr>
              <w:t>2.5 National/Local UK Context</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_Toc220350519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18</w:t>
            </w:r>
            <w:r w:rsidRPr="00FF0943">
              <w:rPr>
                <w:rFonts w:asciiTheme="minorBidi" w:hAnsiTheme="minorBidi" w:cstheme="minorBidi"/>
                <w:noProof/>
                <w:webHidden/>
                <w:sz w:val="22"/>
                <w:szCs w:val="22"/>
              </w:rPr>
              <w:fldChar w:fldCharType="end"/>
            </w:r>
          </w:hyperlink>
        </w:p>
        <w:p w14:paraId="464AF65F" w14:textId="668CE65E"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20" w:history="1">
            <w:r w:rsidRPr="00FF0943">
              <w:rPr>
                <w:rStyle w:val="Hyperlink"/>
                <w:rFonts w:asciiTheme="minorBidi" w:hAnsiTheme="minorBidi" w:cstheme="minorBidi"/>
                <w:noProof/>
                <w:sz w:val="22"/>
                <w:szCs w:val="22"/>
              </w:rPr>
              <w:t>2.6 Conclusion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_Toc220350520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19</w:t>
            </w:r>
            <w:r w:rsidRPr="00FF0943">
              <w:rPr>
                <w:rFonts w:asciiTheme="minorBidi" w:hAnsiTheme="minorBidi" w:cstheme="minorBidi"/>
                <w:noProof/>
                <w:webHidden/>
                <w:sz w:val="22"/>
                <w:szCs w:val="22"/>
              </w:rPr>
              <w:fldChar w:fldCharType="end"/>
            </w:r>
          </w:hyperlink>
        </w:p>
        <w:p w14:paraId="44DA7E04" w14:textId="0F07F532" w:rsidR="00FF0943" w:rsidRPr="00FF0943" w:rsidRDefault="00FF0943">
          <w:pPr>
            <w:pStyle w:val="TOC1"/>
            <w:tabs>
              <w:tab w:val="right" w:leader="dot" w:pos="9016"/>
            </w:tabs>
            <w:rPr>
              <w:rFonts w:asciiTheme="minorBidi" w:eastAsiaTheme="minorEastAsia" w:hAnsiTheme="minorBidi" w:cstheme="minorBidi"/>
              <w:b w:val="0"/>
              <w:bCs w:val="0"/>
              <w:noProof/>
              <w:kern w:val="2"/>
              <w:sz w:val="22"/>
              <w:szCs w:val="22"/>
              <w14:ligatures w14:val="standardContextual"/>
            </w:rPr>
          </w:pPr>
          <w:hyperlink w:anchor="_Toc220350521" w:history="1">
            <w:r w:rsidRPr="00FF0943">
              <w:rPr>
                <w:rStyle w:val="Hyperlink"/>
                <w:rFonts w:asciiTheme="minorBidi" w:hAnsiTheme="minorBidi" w:cstheme="minorBidi"/>
                <w:noProof/>
                <w:sz w:val="22"/>
                <w:szCs w:val="22"/>
              </w:rPr>
              <w:t>CHAPTER 3 – Methods and Search Strategy</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_Toc220350521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21</w:t>
            </w:r>
            <w:r w:rsidRPr="00FF0943">
              <w:rPr>
                <w:rFonts w:asciiTheme="minorBidi" w:hAnsiTheme="minorBidi" w:cstheme="minorBidi"/>
                <w:noProof/>
                <w:webHidden/>
                <w:sz w:val="22"/>
                <w:szCs w:val="22"/>
              </w:rPr>
              <w:fldChar w:fldCharType="end"/>
            </w:r>
          </w:hyperlink>
        </w:p>
        <w:p w14:paraId="0D2141B0" w14:textId="450EE767"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22" w:history="1">
            <w:r w:rsidRPr="00FF0943">
              <w:rPr>
                <w:rStyle w:val="Hyperlink"/>
                <w:rFonts w:asciiTheme="minorBidi" w:hAnsiTheme="minorBidi" w:cstheme="minorBidi"/>
                <w:noProof/>
                <w:sz w:val="22"/>
                <w:szCs w:val="22"/>
              </w:rPr>
              <w:t>3.1. Introduction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_Toc220350522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21</w:t>
            </w:r>
            <w:r w:rsidRPr="00FF0943">
              <w:rPr>
                <w:rFonts w:asciiTheme="minorBidi" w:hAnsiTheme="minorBidi" w:cstheme="minorBidi"/>
                <w:noProof/>
                <w:webHidden/>
                <w:sz w:val="22"/>
                <w:szCs w:val="22"/>
              </w:rPr>
              <w:fldChar w:fldCharType="end"/>
            </w:r>
          </w:hyperlink>
        </w:p>
        <w:p w14:paraId="4FE1B56F" w14:textId="580B9352"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23" w:history="1">
            <w:r w:rsidRPr="00FF0943">
              <w:rPr>
                <w:rStyle w:val="Hyperlink"/>
                <w:rFonts w:asciiTheme="minorBidi" w:hAnsiTheme="minorBidi" w:cstheme="minorBidi"/>
                <w:noProof/>
                <w:sz w:val="22"/>
                <w:szCs w:val="22"/>
              </w:rPr>
              <w:t>3.2. Search Strategy</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_Toc220350523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21</w:t>
            </w:r>
            <w:r w:rsidRPr="00FF0943">
              <w:rPr>
                <w:rFonts w:asciiTheme="minorBidi" w:hAnsiTheme="minorBidi" w:cstheme="minorBidi"/>
                <w:noProof/>
                <w:webHidden/>
                <w:sz w:val="22"/>
                <w:szCs w:val="22"/>
              </w:rPr>
              <w:fldChar w:fldCharType="end"/>
            </w:r>
          </w:hyperlink>
        </w:p>
        <w:p w14:paraId="20FA3B84" w14:textId="3DF6392B"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24" w:history="1">
            <w:r w:rsidRPr="00FF0943">
              <w:rPr>
                <w:rStyle w:val="Hyperlink"/>
                <w:rFonts w:asciiTheme="minorBidi" w:hAnsiTheme="minorBidi" w:cstheme="minorBidi"/>
                <w:noProof/>
                <w:sz w:val="22"/>
                <w:szCs w:val="22"/>
              </w:rPr>
              <w:t>3.2.1. Keywords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_Toc220350524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21</w:t>
            </w:r>
            <w:r w:rsidRPr="00FF0943">
              <w:rPr>
                <w:rFonts w:asciiTheme="minorBidi" w:hAnsiTheme="minorBidi" w:cstheme="minorBidi"/>
                <w:noProof/>
                <w:webHidden/>
                <w:sz w:val="22"/>
                <w:szCs w:val="22"/>
              </w:rPr>
              <w:fldChar w:fldCharType="end"/>
            </w:r>
          </w:hyperlink>
        </w:p>
        <w:p w14:paraId="3ACA08C7" w14:textId="00291E89"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25" w:history="1">
            <w:r w:rsidRPr="00FF0943">
              <w:rPr>
                <w:rStyle w:val="Hyperlink"/>
                <w:rFonts w:asciiTheme="minorBidi" w:hAnsiTheme="minorBidi" w:cstheme="minorBidi"/>
                <w:noProof/>
                <w:sz w:val="22"/>
                <w:szCs w:val="22"/>
              </w:rPr>
              <w:t>3.2.2. Boolean Logic</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_Toc220350525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22</w:t>
            </w:r>
            <w:r w:rsidRPr="00FF0943">
              <w:rPr>
                <w:rFonts w:asciiTheme="minorBidi" w:hAnsiTheme="minorBidi" w:cstheme="minorBidi"/>
                <w:noProof/>
                <w:webHidden/>
                <w:sz w:val="22"/>
                <w:szCs w:val="22"/>
              </w:rPr>
              <w:fldChar w:fldCharType="end"/>
            </w:r>
          </w:hyperlink>
        </w:p>
        <w:p w14:paraId="73BF7B41" w14:textId="3DEDEBF3"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26" w:history="1">
            <w:r w:rsidRPr="00FF0943">
              <w:rPr>
                <w:rStyle w:val="Hyperlink"/>
                <w:rFonts w:asciiTheme="minorBidi" w:hAnsiTheme="minorBidi" w:cstheme="minorBidi"/>
                <w:noProof/>
                <w:sz w:val="22"/>
                <w:szCs w:val="22"/>
              </w:rPr>
              <w:t>3.3. Searching for Information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_Toc220350526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22</w:t>
            </w:r>
            <w:r w:rsidRPr="00FF0943">
              <w:rPr>
                <w:rFonts w:asciiTheme="minorBidi" w:hAnsiTheme="minorBidi" w:cstheme="minorBidi"/>
                <w:noProof/>
                <w:webHidden/>
                <w:sz w:val="22"/>
                <w:szCs w:val="22"/>
              </w:rPr>
              <w:fldChar w:fldCharType="end"/>
            </w:r>
          </w:hyperlink>
        </w:p>
        <w:p w14:paraId="13E858F6" w14:textId="669F0075"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27" w:history="1">
            <w:r w:rsidRPr="00FF0943">
              <w:rPr>
                <w:rStyle w:val="Hyperlink"/>
                <w:rFonts w:asciiTheme="minorBidi" w:hAnsiTheme="minorBidi" w:cstheme="minorBidi"/>
                <w:noProof/>
                <w:sz w:val="22"/>
                <w:szCs w:val="22"/>
              </w:rPr>
              <w:t>3.3.1. Databases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_Toc220350527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22</w:t>
            </w:r>
            <w:r w:rsidRPr="00FF0943">
              <w:rPr>
                <w:rFonts w:asciiTheme="minorBidi" w:hAnsiTheme="minorBidi" w:cstheme="minorBidi"/>
                <w:noProof/>
                <w:webHidden/>
                <w:sz w:val="22"/>
                <w:szCs w:val="22"/>
              </w:rPr>
              <w:fldChar w:fldCharType="end"/>
            </w:r>
          </w:hyperlink>
        </w:p>
        <w:p w14:paraId="53A9A1DE" w14:textId="298060F2"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28" w:history="1">
            <w:r w:rsidRPr="00FF0943">
              <w:rPr>
                <w:rStyle w:val="Hyperlink"/>
                <w:rFonts w:asciiTheme="minorBidi" w:hAnsiTheme="minorBidi" w:cstheme="minorBidi"/>
                <w:noProof/>
                <w:sz w:val="22"/>
                <w:szCs w:val="22"/>
              </w:rPr>
              <w:t>3.3.2. Using Filters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_Toc220350528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23</w:t>
            </w:r>
            <w:r w:rsidRPr="00FF0943">
              <w:rPr>
                <w:rFonts w:asciiTheme="minorBidi" w:hAnsiTheme="minorBidi" w:cstheme="minorBidi"/>
                <w:noProof/>
                <w:webHidden/>
                <w:sz w:val="22"/>
                <w:szCs w:val="22"/>
              </w:rPr>
              <w:fldChar w:fldCharType="end"/>
            </w:r>
          </w:hyperlink>
        </w:p>
        <w:p w14:paraId="2DB3ACF2" w14:textId="621E5A4E"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29" w:history="1">
            <w:r w:rsidRPr="00FF0943">
              <w:rPr>
                <w:rStyle w:val="Hyperlink"/>
                <w:rFonts w:asciiTheme="minorBidi" w:hAnsiTheme="minorBidi" w:cstheme="minorBidi"/>
                <w:noProof/>
                <w:sz w:val="22"/>
                <w:szCs w:val="22"/>
              </w:rPr>
              <w:t>3.3.3. Search Process and Refinements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_Toc220350529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23</w:t>
            </w:r>
            <w:r w:rsidRPr="00FF0943">
              <w:rPr>
                <w:rFonts w:asciiTheme="minorBidi" w:hAnsiTheme="minorBidi" w:cstheme="minorBidi"/>
                <w:noProof/>
                <w:webHidden/>
                <w:sz w:val="22"/>
                <w:szCs w:val="22"/>
              </w:rPr>
              <w:fldChar w:fldCharType="end"/>
            </w:r>
          </w:hyperlink>
        </w:p>
        <w:p w14:paraId="60FE9DF3" w14:textId="6ECF7DD7"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30" w:history="1">
            <w:r w:rsidRPr="00FF0943">
              <w:rPr>
                <w:rStyle w:val="Hyperlink"/>
                <w:rFonts w:asciiTheme="minorBidi" w:hAnsiTheme="minorBidi" w:cstheme="minorBidi"/>
                <w:noProof/>
                <w:sz w:val="22"/>
                <w:szCs w:val="22"/>
              </w:rPr>
              <w:t>3.4. Research Validation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_Toc220350530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24</w:t>
            </w:r>
            <w:r w:rsidRPr="00FF0943">
              <w:rPr>
                <w:rFonts w:asciiTheme="minorBidi" w:hAnsiTheme="minorBidi" w:cstheme="minorBidi"/>
                <w:noProof/>
                <w:webHidden/>
                <w:sz w:val="22"/>
                <w:szCs w:val="22"/>
              </w:rPr>
              <w:fldChar w:fldCharType="end"/>
            </w:r>
          </w:hyperlink>
        </w:p>
        <w:p w14:paraId="22FE4B8C" w14:textId="3C523819"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31" w:history="1">
            <w:r w:rsidRPr="00FF0943">
              <w:rPr>
                <w:rStyle w:val="Hyperlink"/>
                <w:rFonts w:asciiTheme="minorBidi" w:hAnsiTheme="minorBidi" w:cstheme="minorBidi"/>
                <w:noProof/>
                <w:sz w:val="22"/>
                <w:szCs w:val="22"/>
              </w:rPr>
              <w:t>3.4.1. Skimming Techniques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_Toc220350531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24</w:t>
            </w:r>
            <w:r w:rsidRPr="00FF0943">
              <w:rPr>
                <w:rFonts w:asciiTheme="minorBidi" w:hAnsiTheme="minorBidi" w:cstheme="minorBidi"/>
                <w:noProof/>
                <w:webHidden/>
                <w:sz w:val="22"/>
                <w:szCs w:val="22"/>
              </w:rPr>
              <w:fldChar w:fldCharType="end"/>
            </w:r>
          </w:hyperlink>
        </w:p>
        <w:p w14:paraId="10A4EC4A" w14:textId="7608ABBA"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32" w:history="1">
            <w:r w:rsidRPr="00FF0943">
              <w:rPr>
                <w:rStyle w:val="Hyperlink"/>
                <w:rFonts w:asciiTheme="minorBidi" w:hAnsiTheme="minorBidi" w:cstheme="minorBidi"/>
                <w:noProof/>
                <w:sz w:val="22"/>
                <w:szCs w:val="22"/>
              </w:rPr>
              <w:t>3.4.2. CRAAP Test Application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_Toc220350532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25</w:t>
            </w:r>
            <w:r w:rsidRPr="00FF0943">
              <w:rPr>
                <w:rFonts w:asciiTheme="minorBidi" w:hAnsiTheme="minorBidi" w:cstheme="minorBidi"/>
                <w:noProof/>
                <w:webHidden/>
                <w:sz w:val="22"/>
                <w:szCs w:val="22"/>
              </w:rPr>
              <w:fldChar w:fldCharType="end"/>
            </w:r>
          </w:hyperlink>
        </w:p>
        <w:p w14:paraId="22098FBA" w14:textId="1D438B89"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33" w:history="1">
            <w:r w:rsidRPr="00FF0943">
              <w:rPr>
                <w:rStyle w:val="Hyperlink"/>
                <w:rFonts w:asciiTheme="minorBidi" w:hAnsiTheme="minorBidi" w:cstheme="minorBidi"/>
                <w:noProof/>
                <w:sz w:val="22"/>
                <w:szCs w:val="22"/>
              </w:rPr>
              <w:t>3.5 Inclusion and Exclusion Criteria</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_Toc220350533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25</w:t>
            </w:r>
            <w:r w:rsidRPr="00FF0943">
              <w:rPr>
                <w:rFonts w:asciiTheme="minorBidi" w:hAnsiTheme="minorBidi" w:cstheme="minorBidi"/>
                <w:noProof/>
                <w:webHidden/>
                <w:sz w:val="22"/>
                <w:szCs w:val="22"/>
              </w:rPr>
              <w:fldChar w:fldCharType="end"/>
            </w:r>
          </w:hyperlink>
        </w:p>
        <w:p w14:paraId="63DB98ED" w14:textId="6B14146A"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34" w:history="1">
            <w:r w:rsidRPr="00FF0943">
              <w:rPr>
                <w:rStyle w:val="Hyperlink"/>
                <w:rFonts w:asciiTheme="minorBidi" w:hAnsiTheme="minorBidi" w:cstheme="minorBidi"/>
                <w:noProof/>
                <w:sz w:val="22"/>
                <w:szCs w:val="22"/>
              </w:rPr>
              <w:t>3.6. Thematic Analysis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_Toc220350534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25</w:t>
            </w:r>
            <w:r w:rsidRPr="00FF0943">
              <w:rPr>
                <w:rFonts w:asciiTheme="minorBidi" w:hAnsiTheme="minorBidi" w:cstheme="minorBidi"/>
                <w:noProof/>
                <w:webHidden/>
                <w:sz w:val="22"/>
                <w:szCs w:val="22"/>
              </w:rPr>
              <w:fldChar w:fldCharType="end"/>
            </w:r>
          </w:hyperlink>
        </w:p>
        <w:p w14:paraId="7A86AB70" w14:textId="6852074A"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35" w:history="1">
            <w:r w:rsidRPr="00FF0943">
              <w:rPr>
                <w:rStyle w:val="Hyperlink"/>
                <w:rFonts w:asciiTheme="minorBidi" w:hAnsiTheme="minorBidi" w:cstheme="minorBidi"/>
                <w:noProof/>
                <w:sz w:val="22"/>
                <w:szCs w:val="22"/>
              </w:rPr>
              <w:t>3.7. Ethical Considerations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_Toc220350535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26</w:t>
            </w:r>
            <w:r w:rsidRPr="00FF0943">
              <w:rPr>
                <w:rFonts w:asciiTheme="minorBidi" w:hAnsiTheme="minorBidi" w:cstheme="minorBidi"/>
                <w:noProof/>
                <w:webHidden/>
                <w:sz w:val="22"/>
                <w:szCs w:val="22"/>
              </w:rPr>
              <w:fldChar w:fldCharType="end"/>
            </w:r>
          </w:hyperlink>
        </w:p>
        <w:p w14:paraId="1B6BE4BF" w14:textId="4FF1C69E"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36" w:history="1">
            <w:r w:rsidRPr="00FF0943">
              <w:rPr>
                <w:rStyle w:val="Hyperlink"/>
                <w:rFonts w:asciiTheme="minorBidi" w:hAnsiTheme="minorBidi" w:cstheme="minorBidi"/>
                <w:noProof/>
                <w:sz w:val="22"/>
                <w:szCs w:val="22"/>
              </w:rPr>
              <w:t>3.8. Chapter Conclusion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_Toc220350536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26</w:t>
            </w:r>
            <w:r w:rsidRPr="00FF0943">
              <w:rPr>
                <w:rFonts w:asciiTheme="minorBidi" w:hAnsiTheme="minorBidi" w:cstheme="minorBidi"/>
                <w:noProof/>
                <w:webHidden/>
                <w:sz w:val="22"/>
                <w:szCs w:val="22"/>
              </w:rPr>
              <w:fldChar w:fldCharType="end"/>
            </w:r>
          </w:hyperlink>
        </w:p>
        <w:p w14:paraId="15332D02" w14:textId="0AE0ED0F" w:rsidR="00FF0943" w:rsidRPr="00FF0943" w:rsidRDefault="00FF0943">
          <w:pPr>
            <w:pStyle w:val="TOC1"/>
            <w:tabs>
              <w:tab w:val="right" w:leader="dot" w:pos="9016"/>
            </w:tabs>
            <w:rPr>
              <w:rFonts w:asciiTheme="minorBidi" w:eastAsiaTheme="minorEastAsia" w:hAnsiTheme="minorBidi" w:cstheme="minorBidi"/>
              <w:b w:val="0"/>
              <w:bCs w:val="0"/>
              <w:noProof/>
              <w:kern w:val="2"/>
              <w:sz w:val="22"/>
              <w:szCs w:val="22"/>
              <w14:ligatures w14:val="standardContextual"/>
            </w:rPr>
          </w:pPr>
          <w:hyperlink w:anchor="_Toc220350537" w:history="1">
            <w:r w:rsidRPr="00FF0943">
              <w:rPr>
                <w:rStyle w:val="Hyperlink"/>
                <w:rFonts w:asciiTheme="minorBidi" w:hAnsiTheme="minorBidi" w:cstheme="minorBidi"/>
                <w:noProof/>
                <w:sz w:val="22"/>
                <w:szCs w:val="22"/>
              </w:rPr>
              <w:t>CHAPTER 4 – Findings and Discussion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_Toc220350537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27</w:t>
            </w:r>
            <w:r w:rsidRPr="00FF0943">
              <w:rPr>
                <w:rFonts w:asciiTheme="minorBidi" w:hAnsiTheme="minorBidi" w:cstheme="minorBidi"/>
                <w:noProof/>
                <w:webHidden/>
                <w:sz w:val="22"/>
                <w:szCs w:val="22"/>
              </w:rPr>
              <w:fldChar w:fldCharType="end"/>
            </w:r>
          </w:hyperlink>
        </w:p>
        <w:p w14:paraId="6752735A" w14:textId="54635E6B"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38" w:history="1">
            <w:r w:rsidRPr="00FF0943">
              <w:rPr>
                <w:rStyle w:val="Hyperlink"/>
                <w:rFonts w:asciiTheme="minorBidi" w:hAnsiTheme="minorBidi" w:cstheme="minorBidi"/>
                <w:noProof/>
                <w:sz w:val="22"/>
                <w:szCs w:val="22"/>
              </w:rPr>
              <w:t>4.1. Introduction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_Toc220350538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27</w:t>
            </w:r>
            <w:r w:rsidRPr="00FF0943">
              <w:rPr>
                <w:rFonts w:asciiTheme="minorBidi" w:hAnsiTheme="minorBidi" w:cstheme="minorBidi"/>
                <w:noProof/>
                <w:webHidden/>
                <w:sz w:val="22"/>
                <w:szCs w:val="22"/>
              </w:rPr>
              <w:fldChar w:fldCharType="end"/>
            </w:r>
          </w:hyperlink>
        </w:p>
        <w:p w14:paraId="6120246D" w14:textId="72CFAE28"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39" w:history="1">
            <w:r w:rsidRPr="00FF0943">
              <w:rPr>
                <w:rStyle w:val="Hyperlink"/>
                <w:rFonts w:asciiTheme="minorBidi" w:hAnsiTheme="minorBidi" w:cstheme="minorBidi"/>
                <w:noProof/>
                <w:sz w:val="22"/>
                <w:szCs w:val="22"/>
              </w:rPr>
              <w:t>4.2. Thematic Analysis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_Toc220350539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27</w:t>
            </w:r>
            <w:r w:rsidRPr="00FF0943">
              <w:rPr>
                <w:rFonts w:asciiTheme="minorBidi" w:hAnsiTheme="minorBidi" w:cstheme="minorBidi"/>
                <w:noProof/>
                <w:webHidden/>
                <w:sz w:val="22"/>
                <w:szCs w:val="22"/>
              </w:rPr>
              <w:fldChar w:fldCharType="end"/>
            </w:r>
          </w:hyperlink>
        </w:p>
        <w:p w14:paraId="2922568C" w14:textId="08F5549F"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40" w:history="1">
            <w:r w:rsidRPr="00FF0943">
              <w:rPr>
                <w:rStyle w:val="Hyperlink"/>
                <w:rFonts w:asciiTheme="minorBidi" w:hAnsiTheme="minorBidi" w:cstheme="minorBidi"/>
                <w:noProof/>
                <w:sz w:val="22"/>
                <w:szCs w:val="22"/>
              </w:rPr>
              <w:t>4.2.1. Theme 1: Differential impacts of physical abuse versus parental separation on young adult health</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_Toc220350540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27</w:t>
            </w:r>
            <w:r w:rsidRPr="00FF0943">
              <w:rPr>
                <w:rFonts w:asciiTheme="minorBidi" w:hAnsiTheme="minorBidi" w:cstheme="minorBidi"/>
                <w:noProof/>
                <w:webHidden/>
                <w:sz w:val="22"/>
                <w:szCs w:val="22"/>
              </w:rPr>
              <w:fldChar w:fldCharType="end"/>
            </w:r>
          </w:hyperlink>
        </w:p>
        <w:p w14:paraId="255EF062" w14:textId="3C9BCB97"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41" w:history="1">
            <w:r w:rsidRPr="00FF0943">
              <w:rPr>
                <w:rStyle w:val="Hyperlink"/>
                <w:rFonts w:asciiTheme="minorBidi" w:hAnsiTheme="minorBidi" w:cstheme="minorBidi"/>
                <w:noProof/>
                <w:sz w:val="22"/>
                <w:szCs w:val="22"/>
              </w:rPr>
              <w:t>4.2.2. Theme 2: Outcome-specific patterns and effect size variation across distinct adverse childhood experiences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_Toc220350541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31</w:t>
            </w:r>
            <w:r w:rsidRPr="00FF0943">
              <w:rPr>
                <w:rFonts w:asciiTheme="minorBidi" w:hAnsiTheme="minorBidi" w:cstheme="minorBidi"/>
                <w:noProof/>
                <w:webHidden/>
                <w:sz w:val="22"/>
                <w:szCs w:val="22"/>
              </w:rPr>
              <w:fldChar w:fldCharType="end"/>
            </w:r>
          </w:hyperlink>
        </w:p>
        <w:p w14:paraId="4638A9EE" w14:textId="47453F7D"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42" w:history="1">
            <w:r w:rsidRPr="00FF0943">
              <w:rPr>
                <w:rStyle w:val="Hyperlink"/>
                <w:rFonts w:asciiTheme="minorBidi" w:hAnsiTheme="minorBidi" w:cstheme="minorBidi"/>
                <w:noProof/>
                <w:sz w:val="22"/>
                <w:szCs w:val="22"/>
              </w:rPr>
              <w:t>4.2.3. Theme 3: Contextual moderators shaping adversity–mental health associations in young adulthood</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_Toc220350542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34</w:t>
            </w:r>
            <w:r w:rsidRPr="00FF0943">
              <w:rPr>
                <w:rFonts w:asciiTheme="minorBidi" w:hAnsiTheme="minorBidi" w:cstheme="minorBidi"/>
                <w:noProof/>
                <w:webHidden/>
                <w:sz w:val="22"/>
                <w:szCs w:val="22"/>
              </w:rPr>
              <w:fldChar w:fldCharType="end"/>
            </w:r>
          </w:hyperlink>
        </w:p>
        <w:p w14:paraId="06DBF07F" w14:textId="2E5698DA"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43" w:history="1">
            <w:r w:rsidRPr="00FF0943">
              <w:rPr>
                <w:rStyle w:val="Hyperlink"/>
                <w:rFonts w:asciiTheme="minorBidi" w:hAnsiTheme="minorBidi" w:cstheme="minorBidi"/>
                <w:noProof/>
                <w:sz w:val="22"/>
                <w:szCs w:val="22"/>
              </w:rPr>
              <w:t>4.3. Chapter Conclusion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_Toc220350543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38</w:t>
            </w:r>
            <w:r w:rsidRPr="00FF0943">
              <w:rPr>
                <w:rFonts w:asciiTheme="minorBidi" w:hAnsiTheme="minorBidi" w:cstheme="minorBidi"/>
                <w:noProof/>
                <w:webHidden/>
                <w:sz w:val="22"/>
                <w:szCs w:val="22"/>
              </w:rPr>
              <w:fldChar w:fldCharType="end"/>
            </w:r>
          </w:hyperlink>
        </w:p>
        <w:p w14:paraId="3EA5F43B" w14:textId="3C4D869F" w:rsidR="00FF0943" w:rsidRPr="00FF0943" w:rsidRDefault="00FF0943">
          <w:pPr>
            <w:pStyle w:val="TOC1"/>
            <w:tabs>
              <w:tab w:val="right" w:leader="dot" w:pos="9016"/>
            </w:tabs>
            <w:rPr>
              <w:rFonts w:asciiTheme="minorBidi" w:eastAsiaTheme="minorEastAsia" w:hAnsiTheme="minorBidi" w:cstheme="minorBidi"/>
              <w:b w:val="0"/>
              <w:bCs w:val="0"/>
              <w:noProof/>
              <w:kern w:val="2"/>
              <w:sz w:val="22"/>
              <w:szCs w:val="22"/>
              <w14:ligatures w14:val="standardContextual"/>
            </w:rPr>
          </w:pPr>
          <w:hyperlink w:anchor="_Toc220350544" w:history="1">
            <w:r w:rsidRPr="00FF0943">
              <w:rPr>
                <w:rStyle w:val="Hyperlink"/>
                <w:rFonts w:asciiTheme="minorBidi" w:hAnsiTheme="minorBidi" w:cstheme="minorBidi"/>
                <w:noProof/>
                <w:sz w:val="22"/>
                <w:szCs w:val="22"/>
              </w:rPr>
              <w:t>CHAPTER 5 – Conclusion and Recommendations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_Toc220350544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40</w:t>
            </w:r>
            <w:r w:rsidRPr="00FF0943">
              <w:rPr>
                <w:rFonts w:asciiTheme="minorBidi" w:hAnsiTheme="minorBidi" w:cstheme="minorBidi"/>
                <w:noProof/>
                <w:webHidden/>
                <w:sz w:val="22"/>
                <w:szCs w:val="22"/>
              </w:rPr>
              <w:fldChar w:fldCharType="end"/>
            </w:r>
          </w:hyperlink>
        </w:p>
        <w:p w14:paraId="7F9748D5" w14:textId="4F9A4B0C"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45" w:history="1">
            <w:r w:rsidRPr="00FF0943">
              <w:rPr>
                <w:rStyle w:val="Hyperlink"/>
                <w:rFonts w:asciiTheme="minorBidi" w:hAnsiTheme="minorBidi" w:cstheme="minorBidi"/>
                <w:noProof/>
                <w:sz w:val="22"/>
                <w:szCs w:val="22"/>
              </w:rPr>
              <w:t>5.1. Overall Conclusion</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_Toc220350545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40</w:t>
            </w:r>
            <w:r w:rsidRPr="00FF0943">
              <w:rPr>
                <w:rFonts w:asciiTheme="minorBidi" w:hAnsiTheme="minorBidi" w:cstheme="minorBidi"/>
                <w:noProof/>
                <w:webHidden/>
                <w:sz w:val="22"/>
                <w:szCs w:val="22"/>
              </w:rPr>
              <w:fldChar w:fldCharType="end"/>
            </w:r>
          </w:hyperlink>
        </w:p>
        <w:p w14:paraId="69D20591" w14:textId="5F539A0E"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46" w:history="1">
            <w:r w:rsidRPr="00FF0943">
              <w:rPr>
                <w:rStyle w:val="Hyperlink"/>
                <w:rFonts w:asciiTheme="minorBidi" w:hAnsiTheme="minorBidi" w:cstheme="minorBidi"/>
                <w:noProof/>
                <w:sz w:val="22"/>
                <w:szCs w:val="22"/>
              </w:rPr>
              <w:t>5.2. Recommendations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_Toc220350546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40</w:t>
            </w:r>
            <w:r w:rsidRPr="00FF0943">
              <w:rPr>
                <w:rFonts w:asciiTheme="minorBidi" w:hAnsiTheme="minorBidi" w:cstheme="minorBidi"/>
                <w:noProof/>
                <w:webHidden/>
                <w:sz w:val="22"/>
                <w:szCs w:val="22"/>
              </w:rPr>
              <w:fldChar w:fldCharType="end"/>
            </w:r>
          </w:hyperlink>
        </w:p>
        <w:p w14:paraId="392C84FC" w14:textId="30DAEC87"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47" w:history="1">
            <w:r w:rsidRPr="00FF0943">
              <w:rPr>
                <w:rStyle w:val="Hyperlink"/>
                <w:rFonts w:asciiTheme="minorBidi" w:hAnsiTheme="minorBidi" w:cstheme="minorBidi"/>
                <w:noProof/>
                <w:sz w:val="22"/>
                <w:szCs w:val="22"/>
              </w:rPr>
              <w:t>5.2.1. Recommendation 1: Adopt ACE-type–specific and context-sensitive screening in young-adult services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_Toc220350547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40</w:t>
            </w:r>
            <w:r w:rsidRPr="00FF0943">
              <w:rPr>
                <w:rFonts w:asciiTheme="minorBidi" w:hAnsiTheme="minorBidi" w:cstheme="minorBidi"/>
                <w:noProof/>
                <w:webHidden/>
                <w:sz w:val="22"/>
                <w:szCs w:val="22"/>
              </w:rPr>
              <w:fldChar w:fldCharType="end"/>
            </w:r>
          </w:hyperlink>
        </w:p>
        <w:p w14:paraId="7BF6944E" w14:textId="3E649579"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48" w:history="1">
            <w:r w:rsidRPr="00FF0943">
              <w:rPr>
                <w:rStyle w:val="Hyperlink"/>
                <w:rFonts w:asciiTheme="minorBidi" w:hAnsiTheme="minorBidi" w:cstheme="minorBidi"/>
                <w:noProof/>
                <w:sz w:val="22"/>
                <w:szCs w:val="22"/>
              </w:rPr>
              <w:t>5.2.2. Recommendation 2: Develop differentiated referral pathways aligned with risk and outcome profiles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_Toc220350548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41</w:t>
            </w:r>
            <w:r w:rsidRPr="00FF0943">
              <w:rPr>
                <w:rFonts w:asciiTheme="minorBidi" w:hAnsiTheme="minorBidi" w:cstheme="minorBidi"/>
                <w:noProof/>
                <w:webHidden/>
                <w:sz w:val="22"/>
                <w:szCs w:val="22"/>
              </w:rPr>
              <w:fldChar w:fldCharType="end"/>
            </w:r>
          </w:hyperlink>
        </w:p>
        <w:p w14:paraId="3DA46F98" w14:textId="08FF519E" w:rsidR="00FF0943" w:rsidRPr="00FF0943" w:rsidRDefault="00FF0943">
          <w:pPr>
            <w:pStyle w:val="TOC3"/>
            <w:tabs>
              <w:tab w:val="right" w:leader="dot" w:pos="9016"/>
            </w:tabs>
            <w:rPr>
              <w:rFonts w:asciiTheme="minorBidi" w:eastAsiaTheme="minorEastAsia" w:hAnsiTheme="minorBidi" w:cstheme="minorBidi"/>
              <w:noProof/>
              <w:kern w:val="2"/>
              <w:sz w:val="22"/>
              <w:szCs w:val="22"/>
              <w14:ligatures w14:val="standardContextual"/>
            </w:rPr>
          </w:pPr>
          <w:hyperlink w:anchor="_Toc220350549" w:history="1">
            <w:r w:rsidRPr="00FF0943">
              <w:rPr>
                <w:rStyle w:val="Hyperlink"/>
                <w:rFonts w:asciiTheme="minorBidi" w:hAnsiTheme="minorBidi" w:cstheme="minorBidi"/>
                <w:noProof/>
                <w:sz w:val="22"/>
                <w:szCs w:val="22"/>
              </w:rPr>
              <w:t>5.2.3 Recommendation 3: Strengthen equity and continuity of support for young adults exposed to adversity</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_Toc220350549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42</w:t>
            </w:r>
            <w:r w:rsidRPr="00FF0943">
              <w:rPr>
                <w:rFonts w:asciiTheme="minorBidi" w:hAnsiTheme="minorBidi" w:cstheme="minorBidi"/>
                <w:noProof/>
                <w:webHidden/>
                <w:sz w:val="22"/>
                <w:szCs w:val="22"/>
              </w:rPr>
              <w:fldChar w:fldCharType="end"/>
            </w:r>
          </w:hyperlink>
        </w:p>
        <w:p w14:paraId="6859EC6A" w14:textId="6B7BAB0E" w:rsidR="00FF0943" w:rsidRPr="00FF0943" w:rsidRDefault="00FF0943">
          <w:pPr>
            <w:pStyle w:val="TOC1"/>
            <w:tabs>
              <w:tab w:val="right" w:leader="dot" w:pos="9016"/>
            </w:tabs>
            <w:rPr>
              <w:rFonts w:asciiTheme="minorBidi" w:eastAsiaTheme="minorEastAsia" w:hAnsiTheme="minorBidi" w:cstheme="minorBidi"/>
              <w:b w:val="0"/>
              <w:bCs w:val="0"/>
              <w:noProof/>
              <w:kern w:val="2"/>
              <w:sz w:val="22"/>
              <w:szCs w:val="22"/>
              <w14:ligatures w14:val="standardContextual"/>
            </w:rPr>
          </w:pPr>
          <w:hyperlink w:anchor="_Toc220350550" w:history="1">
            <w:r w:rsidRPr="00FF0943">
              <w:rPr>
                <w:rStyle w:val="Hyperlink"/>
                <w:rFonts w:asciiTheme="minorBidi" w:hAnsiTheme="minorBidi" w:cstheme="minorBidi"/>
                <w:noProof/>
                <w:sz w:val="22"/>
                <w:szCs w:val="22"/>
              </w:rPr>
              <w:t>References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_Toc220350550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44</w:t>
            </w:r>
            <w:r w:rsidRPr="00FF0943">
              <w:rPr>
                <w:rFonts w:asciiTheme="minorBidi" w:hAnsiTheme="minorBidi" w:cstheme="minorBidi"/>
                <w:noProof/>
                <w:webHidden/>
                <w:sz w:val="22"/>
                <w:szCs w:val="22"/>
              </w:rPr>
              <w:fldChar w:fldCharType="end"/>
            </w:r>
          </w:hyperlink>
        </w:p>
        <w:p w14:paraId="5CCF8250" w14:textId="577289A1" w:rsidR="00FF0943" w:rsidRPr="00FF0943" w:rsidRDefault="00FF0943">
          <w:pPr>
            <w:pStyle w:val="TOC1"/>
            <w:tabs>
              <w:tab w:val="right" w:leader="dot" w:pos="9016"/>
            </w:tabs>
            <w:rPr>
              <w:rFonts w:asciiTheme="minorBidi" w:eastAsiaTheme="minorEastAsia" w:hAnsiTheme="minorBidi" w:cstheme="minorBidi"/>
              <w:b w:val="0"/>
              <w:bCs w:val="0"/>
              <w:noProof/>
              <w:kern w:val="2"/>
              <w:sz w:val="22"/>
              <w:szCs w:val="22"/>
              <w14:ligatures w14:val="standardContextual"/>
            </w:rPr>
          </w:pPr>
          <w:hyperlink w:anchor="_Toc220350551" w:history="1">
            <w:r w:rsidRPr="00FF0943">
              <w:rPr>
                <w:rStyle w:val="Hyperlink"/>
                <w:rFonts w:asciiTheme="minorBidi" w:hAnsiTheme="minorBidi" w:cstheme="minorBidi"/>
                <w:noProof/>
                <w:sz w:val="22"/>
                <w:szCs w:val="22"/>
              </w:rPr>
              <w:t>Appendix</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_Toc220350551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53</w:t>
            </w:r>
            <w:r w:rsidRPr="00FF0943">
              <w:rPr>
                <w:rFonts w:asciiTheme="minorBidi" w:hAnsiTheme="minorBidi" w:cstheme="minorBidi"/>
                <w:noProof/>
                <w:webHidden/>
                <w:sz w:val="22"/>
                <w:szCs w:val="22"/>
              </w:rPr>
              <w:fldChar w:fldCharType="end"/>
            </w:r>
          </w:hyperlink>
        </w:p>
        <w:p w14:paraId="1FC70ECE" w14:textId="75CA2C92"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52" w:history="1">
            <w:r w:rsidRPr="00FF0943">
              <w:rPr>
                <w:rStyle w:val="Hyperlink"/>
                <w:rFonts w:asciiTheme="minorBidi" w:hAnsiTheme="minorBidi" w:cstheme="minorBidi"/>
                <w:noProof/>
                <w:sz w:val="22"/>
                <w:szCs w:val="22"/>
              </w:rPr>
              <w:t>Appendix A: Source Tracking Table</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_Toc220350552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53</w:t>
            </w:r>
            <w:r w:rsidRPr="00FF0943">
              <w:rPr>
                <w:rFonts w:asciiTheme="minorBidi" w:hAnsiTheme="minorBidi" w:cstheme="minorBidi"/>
                <w:noProof/>
                <w:webHidden/>
                <w:sz w:val="22"/>
                <w:szCs w:val="22"/>
              </w:rPr>
              <w:fldChar w:fldCharType="end"/>
            </w:r>
          </w:hyperlink>
        </w:p>
        <w:p w14:paraId="328FC336" w14:textId="2E7B6E62"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53" w:history="1">
            <w:r w:rsidRPr="00FF0943">
              <w:rPr>
                <w:rStyle w:val="Hyperlink"/>
                <w:rFonts w:asciiTheme="minorBidi" w:hAnsiTheme="minorBidi" w:cstheme="minorBidi"/>
                <w:noProof/>
                <w:sz w:val="22"/>
                <w:szCs w:val="22"/>
              </w:rPr>
              <w:t>Appendix B: Detailed Study Table</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_Toc220350553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58</w:t>
            </w:r>
            <w:r w:rsidRPr="00FF0943">
              <w:rPr>
                <w:rFonts w:asciiTheme="minorBidi" w:hAnsiTheme="minorBidi" w:cstheme="minorBidi"/>
                <w:noProof/>
                <w:webHidden/>
                <w:sz w:val="22"/>
                <w:szCs w:val="22"/>
              </w:rPr>
              <w:fldChar w:fldCharType="end"/>
            </w:r>
          </w:hyperlink>
        </w:p>
        <w:p w14:paraId="5040C84E" w14:textId="6716C269"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54" w:history="1">
            <w:r w:rsidRPr="00FF0943">
              <w:rPr>
                <w:rStyle w:val="Hyperlink"/>
                <w:rFonts w:asciiTheme="minorBidi" w:hAnsiTheme="minorBidi" w:cstheme="minorBidi"/>
                <w:noProof/>
                <w:sz w:val="22"/>
                <w:szCs w:val="22"/>
              </w:rPr>
              <w:t>Appendix C: Coding and Theme Table</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_Toc220350554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65</w:t>
            </w:r>
            <w:r w:rsidRPr="00FF0943">
              <w:rPr>
                <w:rFonts w:asciiTheme="minorBidi" w:hAnsiTheme="minorBidi" w:cstheme="minorBidi"/>
                <w:noProof/>
                <w:webHidden/>
                <w:sz w:val="22"/>
                <w:szCs w:val="22"/>
              </w:rPr>
              <w:fldChar w:fldCharType="end"/>
            </w:r>
          </w:hyperlink>
        </w:p>
        <w:p w14:paraId="6051426F" w14:textId="31366B02" w:rsidR="00FF0943" w:rsidRPr="00FF0943" w:rsidRDefault="00FF0943">
          <w:pPr>
            <w:pStyle w:val="TOC2"/>
            <w:tabs>
              <w:tab w:val="right" w:leader="dot" w:pos="9016"/>
            </w:tabs>
            <w:rPr>
              <w:rFonts w:asciiTheme="minorBidi" w:eastAsiaTheme="minorEastAsia" w:hAnsiTheme="minorBidi" w:cstheme="minorBidi"/>
              <w:i w:val="0"/>
              <w:iCs w:val="0"/>
              <w:noProof/>
              <w:kern w:val="2"/>
              <w:sz w:val="22"/>
              <w:szCs w:val="22"/>
              <w14:ligatures w14:val="standardContextual"/>
            </w:rPr>
          </w:pPr>
          <w:hyperlink w:anchor="_Toc220350555" w:history="1">
            <w:r w:rsidRPr="00FF0943">
              <w:rPr>
                <w:rStyle w:val="Hyperlink"/>
                <w:rFonts w:asciiTheme="minorBidi" w:hAnsiTheme="minorBidi" w:cstheme="minorBidi"/>
                <w:noProof/>
                <w:sz w:val="22"/>
                <w:szCs w:val="22"/>
              </w:rPr>
              <w:t>Appendix D: Keywords and Search Strings</w:t>
            </w:r>
            <w:r w:rsidRPr="00FF0943">
              <w:rPr>
                <w:rFonts w:asciiTheme="minorBidi" w:hAnsiTheme="minorBidi" w:cstheme="minorBidi"/>
                <w:noProof/>
                <w:webHidden/>
                <w:sz w:val="22"/>
                <w:szCs w:val="22"/>
              </w:rPr>
              <w:tab/>
            </w:r>
            <w:r w:rsidRPr="00FF0943">
              <w:rPr>
                <w:rFonts w:asciiTheme="minorBidi" w:hAnsiTheme="minorBidi" w:cstheme="minorBidi"/>
                <w:noProof/>
                <w:webHidden/>
                <w:sz w:val="22"/>
                <w:szCs w:val="22"/>
              </w:rPr>
              <w:fldChar w:fldCharType="begin"/>
            </w:r>
            <w:r w:rsidRPr="00FF0943">
              <w:rPr>
                <w:rFonts w:asciiTheme="minorBidi" w:hAnsiTheme="minorBidi" w:cstheme="minorBidi"/>
                <w:noProof/>
                <w:webHidden/>
                <w:sz w:val="22"/>
                <w:szCs w:val="22"/>
              </w:rPr>
              <w:instrText xml:space="preserve"> PAGEREF _Toc220350555 \h </w:instrText>
            </w:r>
            <w:r w:rsidRPr="00FF0943">
              <w:rPr>
                <w:rFonts w:asciiTheme="minorBidi" w:hAnsiTheme="minorBidi" w:cstheme="minorBidi"/>
                <w:noProof/>
                <w:webHidden/>
                <w:sz w:val="22"/>
                <w:szCs w:val="22"/>
              </w:rPr>
            </w:r>
            <w:r w:rsidRPr="00FF0943">
              <w:rPr>
                <w:rFonts w:asciiTheme="minorBidi" w:hAnsiTheme="minorBidi" w:cstheme="minorBidi"/>
                <w:noProof/>
                <w:webHidden/>
                <w:sz w:val="22"/>
                <w:szCs w:val="22"/>
              </w:rPr>
              <w:fldChar w:fldCharType="separate"/>
            </w:r>
            <w:r w:rsidR="001C6C1D">
              <w:rPr>
                <w:rFonts w:asciiTheme="minorBidi" w:hAnsiTheme="minorBidi" w:cstheme="minorBidi"/>
                <w:noProof/>
                <w:webHidden/>
                <w:sz w:val="22"/>
                <w:szCs w:val="22"/>
              </w:rPr>
              <w:t>66</w:t>
            </w:r>
            <w:r w:rsidRPr="00FF0943">
              <w:rPr>
                <w:rFonts w:asciiTheme="minorBidi" w:hAnsiTheme="minorBidi" w:cstheme="minorBidi"/>
                <w:noProof/>
                <w:webHidden/>
                <w:sz w:val="22"/>
                <w:szCs w:val="22"/>
              </w:rPr>
              <w:fldChar w:fldCharType="end"/>
            </w:r>
          </w:hyperlink>
        </w:p>
        <w:p w14:paraId="796CBDB1" w14:textId="286E7DF5" w:rsidR="003F5344" w:rsidRPr="00FF0943" w:rsidRDefault="00F31E94">
          <w:pPr>
            <w:rPr>
              <w:rFonts w:cstheme="minorBidi"/>
              <w:b/>
              <w:bCs/>
              <w:noProof/>
              <w:szCs w:val="22"/>
            </w:rPr>
          </w:pPr>
          <w:r w:rsidRPr="00FF0943">
            <w:rPr>
              <w:rFonts w:cstheme="minorBidi"/>
              <w:b/>
              <w:bCs/>
              <w:noProof/>
              <w:szCs w:val="22"/>
            </w:rPr>
            <w:fldChar w:fldCharType="end"/>
          </w:r>
        </w:p>
        <w:p w14:paraId="12B86DD0" w14:textId="0C6AD4A7" w:rsidR="00F31E94" w:rsidRDefault="00BA1CB6"/>
      </w:sdtContent>
    </w:sdt>
    <w:p w14:paraId="758BAD94" w14:textId="77777777" w:rsidR="003F5344" w:rsidRPr="003F5344" w:rsidRDefault="003F5344" w:rsidP="003F5344"/>
    <w:p w14:paraId="29F761B1" w14:textId="77777777" w:rsidR="003F5344" w:rsidRPr="003F5344" w:rsidRDefault="003F5344" w:rsidP="003F5344"/>
    <w:p w14:paraId="44AC28EF" w14:textId="77777777" w:rsidR="003F5344" w:rsidRDefault="003F5344" w:rsidP="003F5344"/>
    <w:p w14:paraId="0CC2232C" w14:textId="493B36CD" w:rsidR="003F5344" w:rsidRDefault="003F5344" w:rsidP="00C31EEB">
      <w:pPr>
        <w:tabs>
          <w:tab w:val="left" w:pos="973"/>
        </w:tabs>
        <w:rPr>
          <w:b/>
          <w:bCs/>
          <w:sz w:val="24"/>
          <w:szCs w:val="28"/>
        </w:rPr>
      </w:pPr>
      <w:r>
        <w:rPr>
          <w:b/>
          <w:bCs/>
          <w:sz w:val="24"/>
          <w:szCs w:val="28"/>
        </w:rPr>
        <w:t>List of Figures</w:t>
      </w:r>
    </w:p>
    <w:p w14:paraId="3FDB0F0C" w14:textId="4EA92051" w:rsidR="00DF6059" w:rsidRDefault="00B8379D">
      <w:pPr>
        <w:pStyle w:val="TableofFigures"/>
        <w:tabs>
          <w:tab w:val="right" w:leader="dot" w:pos="9016"/>
        </w:tabs>
        <w:rPr>
          <w:rFonts w:asciiTheme="minorHAnsi" w:eastAsiaTheme="minorEastAsia" w:hAnsiTheme="minorHAnsi" w:cstheme="minorBidi"/>
          <w:noProof/>
          <w:kern w:val="2"/>
          <w:sz w:val="24"/>
          <w14:ligatures w14:val="standardContextual"/>
        </w:rPr>
      </w:pPr>
      <w:r>
        <w:rPr>
          <w:b/>
          <w:bCs/>
          <w:sz w:val="24"/>
          <w:szCs w:val="28"/>
        </w:rPr>
        <w:fldChar w:fldCharType="begin"/>
      </w:r>
      <w:r>
        <w:rPr>
          <w:b/>
          <w:bCs/>
          <w:sz w:val="24"/>
          <w:szCs w:val="28"/>
        </w:rPr>
        <w:instrText xml:space="preserve"> TOC \h \z \c "Figure" </w:instrText>
      </w:r>
      <w:r>
        <w:rPr>
          <w:b/>
          <w:bCs/>
          <w:sz w:val="24"/>
          <w:szCs w:val="28"/>
        </w:rPr>
        <w:fldChar w:fldCharType="separate"/>
      </w:r>
      <w:hyperlink w:anchor="_Toc224468217" w:history="1">
        <w:r w:rsidR="00DF6059" w:rsidRPr="00B707D6">
          <w:rPr>
            <w:rStyle w:val="Hyperlink"/>
            <w:rFonts w:ascii="Arial" w:eastAsiaTheme="majorEastAsia" w:hAnsi="Arial" w:cs="Arial"/>
            <w:noProof/>
          </w:rPr>
          <w:t>Figure 1: Bowlby's Attachment Theory (Wassell, 2014)</w:t>
        </w:r>
        <w:r w:rsidR="00DF6059">
          <w:rPr>
            <w:noProof/>
            <w:webHidden/>
          </w:rPr>
          <w:tab/>
        </w:r>
        <w:r w:rsidR="00DF6059">
          <w:rPr>
            <w:noProof/>
            <w:webHidden/>
          </w:rPr>
          <w:fldChar w:fldCharType="begin"/>
        </w:r>
        <w:r w:rsidR="00DF6059">
          <w:rPr>
            <w:noProof/>
            <w:webHidden/>
          </w:rPr>
          <w:instrText xml:space="preserve"> PAGEREF _Toc224468217 \h </w:instrText>
        </w:r>
        <w:r w:rsidR="00DF6059">
          <w:rPr>
            <w:noProof/>
            <w:webHidden/>
          </w:rPr>
        </w:r>
        <w:r w:rsidR="00DF6059">
          <w:rPr>
            <w:noProof/>
            <w:webHidden/>
          </w:rPr>
          <w:fldChar w:fldCharType="separate"/>
        </w:r>
        <w:r w:rsidR="00DF6059">
          <w:rPr>
            <w:noProof/>
            <w:webHidden/>
          </w:rPr>
          <w:t>14</w:t>
        </w:r>
        <w:r w:rsidR="00DF6059">
          <w:rPr>
            <w:noProof/>
            <w:webHidden/>
          </w:rPr>
          <w:fldChar w:fldCharType="end"/>
        </w:r>
      </w:hyperlink>
    </w:p>
    <w:p w14:paraId="51DD196C" w14:textId="28D2637D" w:rsidR="00DF6059" w:rsidRDefault="00DF6059">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24468218" w:history="1">
        <w:r w:rsidRPr="00B707D6">
          <w:rPr>
            <w:rStyle w:val="Hyperlink"/>
            <w:rFonts w:ascii="Arial" w:eastAsiaTheme="majorEastAsia" w:hAnsi="Arial" w:cs="Arial"/>
            <w:noProof/>
          </w:rPr>
          <w:t>Figure 2: Policy and practice context relevant to comparing physical abuse and parental separation in UK young adults (self-created)</w:t>
        </w:r>
        <w:r>
          <w:rPr>
            <w:noProof/>
            <w:webHidden/>
          </w:rPr>
          <w:tab/>
        </w:r>
        <w:r>
          <w:rPr>
            <w:noProof/>
            <w:webHidden/>
          </w:rPr>
          <w:fldChar w:fldCharType="begin"/>
        </w:r>
        <w:r>
          <w:rPr>
            <w:noProof/>
            <w:webHidden/>
          </w:rPr>
          <w:instrText xml:space="preserve"> PAGEREF _Toc224468218 \h </w:instrText>
        </w:r>
        <w:r>
          <w:rPr>
            <w:noProof/>
            <w:webHidden/>
          </w:rPr>
        </w:r>
        <w:r>
          <w:rPr>
            <w:noProof/>
            <w:webHidden/>
          </w:rPr>
          <w:fldChar w:fldCharType="separate"/>
        </w:r>
        <w:r>
          <w:rPr>
            <w:noProof/>
            <w:webHidden/>
          </w:rPr>
          <w:t>18</w:t>
        </w:r>
        <w:r>
          <w:rPr>
            <w:noProof/>
            <w:webHidden/>
          </w:rPr>
          <w:fldChar w:fldCharType="end"/>
        </w:r>
      </w:hyperlink>
    </w:p>
    <w:p w14:paraId="2A252AD0" w14:textId="5FB58A4C" w:rsidR="00DF6059" w:rsidRDefault="00DF6059">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24468219" w:history="1">
        <w:r w:rsidRPr="00B707D6">
          <w:rPr>
            <w:rStyle w:val="Hyperlink"/>
            <w:rFonts w:eastAsiaTheme="majorEastAsia"/>
            <w:noProof/>
          </w:rPr>
          <w:t>Figure 3: PRISMA Technique for Study Selection</w:t>
        </w:r>
        <w:r>
          <w:rPr>
            <w:noProof/>
            <w:webHidden/>
          </w:rPr>
          <w:tab/>
        </w:r>
        <w:r>
          <w:rPr>
            <w:noProof/>
            <w:webHidden/>
          </w:rPr>
          <w:fldChar w:fldCharType="begin"/>
        </w:r>
        <w:r>
          <w:rPr>
            <w:noProof/>
            <w:webHidden/>
          </w:rPr>
          <w:instrText xml:space="preserve"> PAGEREF _Toc224468219 \h </w:instrText>
        </w:r>
        <w:r>
          <w:rPr>
            <w:noProof/>
            <w:webHidden/>
          </w:rPr>
        </w:r>
        <w:r>
          <w:rPr>
            <w:noProof/>
            <w:webHidden/>
          </w:rPr>
          <w:fldChar w:fldCharType="separate"/>
        </w:r>
        <w:r>
          <w:rPr>
            <w:noProof/>
            <w:webHidden/>
          </w:rPr>
          <w:t>23</w:t>
        </w:r>
        <w:r>
          <w:rPr>
            <w:noProof/>
            <w:webHidden/>
          </w:rPr>
          <w:fldChar w:fldCharType="end"/>
        </w:r>
      </w:hyperlink>
    </w:p>
    <w:p w14:paraId="6EE83A96" w14:textId="2E966E41" w:rsidR="00DF6059" w:rsidRDefault="00DF6059">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24468220" w:history="1">
        <w:r w:rsidRPr="00B707D6">
          <w:rPr>
            <w:rStyle w:val="Hyperlink"/>
            <w:rFonts w:ascii="Arial" w:eastAsiaTheme="majorEastAsia" w:hAnsi="Arial" w:cs="Arial"/>
            <w:noProof/>
          </w:rPr>
          <w:t>Figure 4: Bronfenbrenner’s Ecological Systems Theory (Guy-Evans, 2025)</w:t>
        </w:r>
        <w:r>
          <w:rPr>
            <w:noProof/>
            <w:webHidden/>
          </w:rPr>
          <w:tab/>
        </w:r>
        <w:r>
          <w:rPr>
            <w:noProof/>
            <w:webHidden/>
          </w:rPr>
          <w:fldChar w:fldCharType="begin"/>
        </w:r>
        <w:r>
          <w:rPr>
            <w:noProof/>
            <w:webHidden/>
          </w:rPr>
          <w:instrText xml:space="preserve"> PAGEREF _Toc224468220 \h </w:instrText>
        </w:r>
        <w:r>
          <w:rPr>
            <w:noProof/>
            <w:webHidden/>
          </w:rPr>
        </w:r>
        <w:r>
          <w:rPr>
            <w:noProof/>
            <w:webHidden/>
          </w:rPr>
          <w:fldChar w:fldCharType="separate"/>
        </w:r>
        <w:r>
          <w:rPr>
            <w:noProof/>
            <w:webHidden/>
          </w:rPr>
          <w:t>37</w:t>
        </w:r>
        <w:r>
          <w:rPr>
            <w:noProof/>
            <w:webHidden/>
          </w:rPr>
          <w:fldChar w:fldCharType="end"/>
        </w:r>
      </w:hyperlink>
    </w:p>
    <w:p w14:paraId="3668B794" w14:textId="5E1C8234" w:rsidR="003F5344" w:rsidRDefault="00B8379D" w:rsidP="003F5344">
      <w:pPr>
        <w:tabs>
          <w:tab w:val="left" w:pos="973"/>
        </w:tabs>
        <w:rPr>
          <w:b/>
          <w:bCs/>
          <w:sz w:val="24"/>
          <w:szCs w:val="28"/>
        </w:rPr>
      </w:pPr>
      <w:r>
        <w:rPr>
          <w:b/>
          <w:bCs/>
          <w:sz w:val="24"/>
          <w:szCs w:val="28"/>
        </w:rPr>
        <w:fldChar w:fldCharType="end"/>
      </w:r>
    </w:p>
    <w:p w14:paraId="575FFB56" w14:textId="77777777" w:rsidR="003F5344" w:rsidRDefault="003F5344" w:rsidP="003F5344">
      <w:pPr>
        <w:tabs>
          <w:tab w:val="left" w:pos="973"/>
        </w:tabs>
        <w:rPr>
          <w:b/>
          <w:bCs/>
          <w:sz w:val="24"/>
          <w:szCs w:val="28"/>
        </w:rPr>
      </w:pPr>
    </w:p>
    <w:p w14:paraId="0CD697D3" w14:textId="77777777" w:rsidR="003F5344" w:rsidRDefault="003F5344" w:rsidP="003F5344">
      <w:pPr>
        <w:tabs>
          <w:tab w:val="left" w:pos="973"/>
        </w:tabs>
        <w:rPr>
          <w:b/>
          <w:bCs/>
          <w:sz w:val="24"/>
          <w:szCs w:val="28"/>
        </w:rPr>
      </w:pPr>
    </w:p>
    <w:p w14:paraId="3C48DA64" w14:textId="17D3D196" w:rsidR="003F5344" w:rsidRDefault="003F5344" w:rsidP="003F5344">
      <w:pPr>
        <w:tabs>
          <w:tab w:val="left" w:pos="973"/>
        </w:tabs>
        <w:rPr>
          <w:b/>
          <w:bCs/>
          <w:sz w:val="24"/>
          <w:szCs w:val="28"/>
        </w:rPr>
      </w:pPr>
      <w:r>
        <w:rPr>
          <w:b/>
          <w:bCs/>
          <w:sz w:val="24"/>
          <w:szCs w:val="28"/>
        </w:rPr>
        <w:t>List of Tables</w:t>
      </w:r>
    </w:p>
    <w:p w14:paraId="4481723E" w14:textId="2DDEC5EF" w:rsidR="00B8379D" w:rsidRDefault="00B8379D">
      <w:pPr>
        <w:pStyle w:val="TableofFigures"/>
        <w:tabs>
          <w:tab w:val="right" w:leader="dot" w:pos="9016"/>
        </w:tabs>
        <w:rPr>
          <w:rFonts w:asciiTheme="minorHAnsi" w:eastAsiaTheme="minorEastAsia" w:hAnsiTheme="minorHAnsi" w:cstheme="minorBidi"/>
          <w:noProof/>
          <w:kern w:val="2"/>
          <w:sz w:val="24"/>
          <w14:ligatures w14:val="standardContextual"/>
        </w:rPr>
      </w:pPr>
      <w:r>
        <w:rPr>
          <w:b/>
          <w:bCs/>
          <w:sz w:val="24"/>
          <w:szCs w:val="28"/>
        </w:rPr>
        <w:fldChar w:fldCharType="begin"/>
      </w:r>
      <w:r>
        <w:rPr>
          <w:b/>
          <w:bCs/>
          <w:sz w:val="24"/>
          <w:szCs w:val="28"/>
        </w:rPr>
        <w:instrText xml:space="preserve"> TOC \h \z \c "Table" </w:instrText>
      </w:r>
      <w:r>
        <w:rPr>
          <w:b/>
          <w:bCs/>
          <w:sz w:val="24"/>
          <w:szCs w:val="28"/>
        </w:rPr>
        <w:fldChar w:fldCharType="separate"/>
      </w:r>
      <w:hyperlink w:anchor="_Toc219221910" w:history="1">
        <w:r w:rsidRPr="00610DBE">
          <w:rPr>
            <w:rStyle w:val="Hyperlink"/>
            <w:rFonts w:ascii="Arial" w:eastAsiaTheme="majorEastAsia" w:hAnsi="Arial" w:cs="Arial"/>
            <w:noProof/>
          </w:rPr>
          <w:t>Table 1: Comparative strengths and limitations of selected ACE perspectives for differentiating physical abuse and parental separation (Hawes and Allen, 2023; Lucente and Guidi, 2023).</w:t>
        </w:r>
        <w:r>
          <w:rPr>
            <w:noProof/>
            <w:webHidden/>
          </w:rPr>
          <w:tab/>
        </w:r>
        <w:r>
          <w:rPr>
            <w:noProof/>
            <w:webHidden/>
          </w:rPr>
          <w:fldChar w:fldCharType="begin"/>
        </w:r>
        <w:r>
          <w:rPr>
            <w:noProof/>
            <w:webHidden/>
          </w:rPr>
          <w:instrText xml:space="preserve"> PAGEREF _Toc219221910 \h </w:instrText>
        </w:r>
        <w:r>
          <w:rPr>
            <w:noProof/>
            <w:webHidden/>
          </w:rPr>
        </w:r>
        <w:r>
          <w:rPr>
            <w:noProof/>
            <w:webHidden/>
          </w:rPr>
          <w:fldChar w:fldCharType="separate"/>
        </w:r>
        <w:r>
          <w:rPr>
            <w:noProof/>
            <w:webHidden/>
          </w:rPr>
          <w:t>14</w:t>
        </w:r>
        <w:r>
          <w:rPr>
            <w:noProof/>
            <w:webHidden/>
          </w:rPr>
          <w:fldChar w:fldCharType="end"/>
        </w:r>
      </w:hyperlink>
    </w:p>
    <w:p w14:paraId="35089EC6" w14:textId="27DD634C" w:rsidR="00B8379D" w:rsidRDefault="00B8379D">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221911" w:history="1">
        <w:r w:rsidRPr="00610DBE">
          <w:rPr>
            <w:rStyle w:val="Hyperlink"/>
            <w:rFonts w:ascii="Arial" w:eastAsiaTheme="majorEastAsia" w:hAnsi="Arial" w:cs="Arial"/>
            <w:noProof/>
          </w:rPr>
          <w:t>Table 2: Inclusion and Exclusion Criteria</w:t>
        </w:r>
        <w:r>
          <w:rPr>
            <w:noProof/>
            <w:webHidden/>
          </w:rPr>
          <w:tab/>
        </w:r>
        <w:r>
          <w:rPr>
            <w:noProof/>
            <w:webHidden/>
          </w:rPr>
          <w:fldChar w:fldCharType="begin"/>
        </w:r>
        <w:r>
          <w:rPr>
            <w:noProof/>
            <w:webHidden/>
          </w:rPr>
          <w:instrText xml:space="preserve"> PAGEREF _Toc219221911 \h </w:instrText>
        </w:r>
        <w:r>
          <w:rPr>
            <w:noProof/>
            <w:webHidden/>
          </w:rPr>
        </w:r>
        <w:r>
          <w:rPr>
            <w:noProof/>
            <w:webHidden/>
          </w:rPr>
          <w:fldChar w:fldCharType="separate"/>
        </w:r>
        <w:r>
          <w:rPr>
            <w:noProof/>
            <w:webHidden/>
          </w:rPr>
          <w:t>23</w:t>
        </w:r>
        <w:r>
          <w:rPr>
            <w:noProof/>
            <w:webHidden/>
          </w:rPr>
          <w:fldChar w:fldCharType="end"/>
        </w:r>
      </w:hyperlink>
    </w:p>
    <w:p w14:paraId="26BFDB23" w14:textId="278235D9" w:rsidR="00B8379D" w:rsidRDefault="00B8379D">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221912" w:history="1">
        <w:r w:rsidRPr="00610DBE">
          <w:rPr>
            <w:rStyle w:val="Hyperlink"/>
            <w:rFonts w:ascii="Arial" w:eastAsiaTheme="majorEastAsia" w:hAnsi="Arial" w:cs="Arial"/>
            <w:noProof/>
          </w:rPr>
          <w:t>Table 3: Conceptual Differentiation Between Physical Abuse and Parental Separation (Sun et al., 2025; Trinh et al., 2025; Webster, 2022)</w:t>
        </w:r>
        <w:r>
          <w:rPr>
            <w:noProof/>
            <w:webHidden/>
          </w:rPr>
          <w:tab/>
        </w:r>
        <w:r>
          <w:rPr>
            <w:noProof/>
            <w:webHidden/>
          </w:rPr>
          <w:fldChar w:fldCharType="begin"/>
        </w:r>
        <w:r>
          <w:rPr>
            <w:noProof/>
            <w:webHidden/>
          </w:rPr>
          <w:instrText xml:space="preserve"> PAGEREF _Toc219221912 \h </w:instrText>
        </w:r>
        <w:r>
          <w:rPr>
            <w:noProof/>
            <w:webHidden/>
          </w:rPr>
        </w:r>
        <w:r>
          <w:rPr>
            <w:noProof/>
            <w:webHidden/>
          </w:rPr>
          <w:fldChar w:fldCharType="separate"/>
        </w:r>
        <w:r>
          <w:rPr>
            <w:noProof/>
            <w:webHidden/>
          </w:rPr>
          <w:t>27</w:t>
        </w:r>
        <w:r>
          <w:rPr>
            <w:noProof/>
            <w:webHidden/>
          </w:rPr>
          <w:fldChar w:fldCharType="end"/>
        </w:r>
      </w:hyperlink>
    </w:p>
    <w:p w14:paraId="294692F3" w14:textId="65E172F3" w:rsidR="00B8379D" w:rsidRDefault="00B8379D">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221913" w:history="1">
        <w:r w:rsidRPr="00610DBE">
          <w:rPr>
            <w:rStyle w:val="Hyperlink"/>
            <w:rFonts w:ascii="Arial" w:eastAsiaTheme="majorEastAsia" w:hAnsi="Arial" w:cs="Arial"/>
            <w:noProof/>
          </w:rPr>
          <w:t>Table 4: Outcome-specific interpretive value and risks when differentiating adverse childhood experience effects (Song et al., 2024; Straatmann et al., 2020)</w:t>
        </w:r>
        <w:r>
          <w:rPr>
            <w:noProof/>
            <w:webHidden/>
          </w:rPr>
          <w:tab/>
        </w:r>
        <w:r>
          <w:rPr>
            <w:noProof/>
            <w:webHidden/>
          </w:rPr>
          <w:fldChar w:fldCharType="begin"/>
        </w:r>
        <w:r>
          <w:rPr>
            <w:noProof/>
            <w:webHidden/>
          </w:rPr>
          <w:instrText xml:space="preserve"> PAGEREF _Toc219221913 \h </w:instrText>
        </w:r>
        <w:r>
          <w:rPr>
            <w:noProof/>
            <w:webHidden/>
          </w:rPr>
        </w:r>
        <w:r>
          <w:rPr>
            <w:noProof/>
            <w:webHidden/>
          </w:rPr>
          <w:fldChar w:fldCharType="separate"/>
        </w:r>
        <w:r>
          <w:rPr>
            <w:noProof/>
            <w:webHidden/>
          </w:rPr>
          <w:t>32</w:t>
        </w:r>
        <w:r>
          <w:rPr>
            <w:noProof/>
            <w:webHidden/>
          </w:rPr>
          <w:fldChar w:fldCharType="end"/>
        </w:r>
      </w:hyperlink>
    </w:p>
    <w:p w14:paraId="138047D3" w14:textId="4D9114A6" w:rsidR="00B8379D" w:rsidRDefault="00B8379D">
      <w:pPr>
        <w:pStyle w:val="TableofFigures"/>
        <w:tabs>
          <w:tab w:val="right" w:leader="dot" w:pos="9016"/>
        </w:tabs>
        <w:rPr>
          <w:rFonts w:asciiTheme="minorHAnsi" w:eastAsiaTheme="minorEastAsia" w:hAnsiTheme="minorHAnsi" w:cstheme="minorBidi"/>
          <w:noProof/>
          <w:kern w:val="2"/>
          <w:sz w:val="24"/>
          <w14:ligatures w14:val="standardContextual"/>
        </w:rPr>
      </w:pPr>
      <w:hyperlink w:anchor="_Toc219221914" w:history="1">
        <w:r w:rsidRPr="00610DBE">
          <w:rPr>
            <w:rStyle w:val="Hyperlink"/>
            <w:rFonts w:ascii="Arial" w:eastAsiaTheme="majorEastAsia" w:hAnsi="Arial" w:cs="Arial"/>
            <w:noProof/>
          </w:rPr>
          <w:t>Table 5: Key structural moderators and potential interpretive distortions in ACE–mental health research (Fisher et al., 2020; Karhina et al., 2023; Lacey et al., 2020)</w:t>
        </w:r>
        <w:r>
          <w:rPr>
            <w:noProof/>
            <w:webHidden/>
          </w:rPr>
          <w:tab/>
        </w:r>
        <w:r>
          <w:rPr>
            <w:noProof/>
            <w:webHidden/>
          </w:rPr>
          <w:fldChar w:fldCharType="begin"/>
        </w:r>
        <w:r>
          <w:rPr>
            <w:noProof/>
            <w:webHidden/>
          </w:rPr>
          <w:instrText xml:space="preserve"> PAGEREF _Toc219221914 \h </w:instrText>
        </w:r>
        <w:r>
          <w:rPr>
            <w:noProof/>
            <w:webHidden/>
          </w:rPr>
        </w:r>
        <w:r>
          <w:rPr>
            <w:noProof/>
            <w:webHidden/>
          </w:rPr>
          <w:fldChar w:fldCharType="separate"/>
        </w:r>
        <w:r>
          <w:rPr>
            <w:noProof/>
            <w:webHidden/>
          </w:rPr>
          <w:t>36</w:t>
        </w:r>
        <w:r>
          <w:rPr>
            <w:noProof/>
            <w:webHidden/>
          </w:rPr>
          <w:fldChar w:fldCharType="end"/>
        </w:r>
      </w:hyperlink>
    </w:p>
    <w:p w14:paraId="0A2A84FB" w14:textId="3B50316F" w:rsidR="00B8379D" w:rsidRDefault="00B8379D" w:rsidP="003F5344">
      <w:pPr>
        <w:tabs>
          <w:tab w:val="left" w:pos="973"/>
        </w:tabs>
        <w:rPr>
          <w:b/>
          <w:bCs/>
          <w:sz w:val="24"/>
          <w:szCs w:val="28"/>
        </w:rPr>
      </w:pPr>
      <w:r>
        <w:rPr>
          <w:b/>
          <w:bCs/>
          <w:sz w:val="24"/>
          <w:szCs w:val="28"/>
        </w:rPr>
        <w:fldChar w:fldCharType="end"/>
      </w:r>
    </w:p>
    <w:p w14:paraId="03120075" w14:textId="77777777" w:rsidR="00B8379D" w:rsidRDefault="00B8379D" w:rsidP="003F5344">
      <w:pPr>
        <w:tabs>
          <w:tab w:val="left" w:pos="973"/>
        </w:tabs>
        <w:rPr>
          <w:b/>
          <w:bCs/>
          <w:sz w:val="24"/>
          <w:szCs w:val="28"/>
        </w:rPr>
      </w:pPr>
    </w:p>
    <w:p w14:paraId="263710AB" w14:textId="77777777" w:rsidR="00B8379D" w:rsidRDefault="00B8379D" w:rsidP="003F5344">
      <w:pPr>
        <w:tabs>
          <w:tab w:val="left" w:pos="973"/>
        </w:tabs>
        <w:rPr>
          <w:b/>
          <w:bCs/>
          <w:sz w:val="24"/>
          <w:szCs w:val="28"/>
        </w:rPr>
      </w:pPr>
    </w:p>
    <w:p w14:paraId="78497E1E" w14:textId="77777777" w:rsidR="00B8379D" w:rsidRDefault="00B8379D" w:rsidP="003F5344">
      <w:pPr>
        <w:tabs>
          <w:tab w:val="left" w:pos="973"/>
        </w:tabs>
        <w:rPr>
          <w:b/>
          <w:bCs/>
          <w:sz w:val="24"/>
          <w:szCs w:val="28"/>
        </w:rPr>
      </w:pPr>
    </w:p>
    <w:p w14:paraId="6E2DA2B5" w14:textId="77777777" w:rsidR="00B8379D" w:rsidRDefault="00B8379D" w:rsidP="003F5344">
      <w:pPr>
        <w:tabs>
          <w:tab w:val="left" w:pos="973"/>
        </w:tabs>
        <w:rPr>
          <w:b/>
          <w:bCs/>
          <w:sz w:val="24"/>
          <w:szCs w:val="28"/>
        </w:rPr>
      </w:pPr>
    </w:p>
    <w:p w14:paraId="30044245" w14:textId="77777777" w:rsidR="00B8379D" w:rsidRDefault="00B8379D" w:rsidP="003F5344">
      <w:pPr>
        <w:tabs>
          <w:tab w:val="left" w:pos="973"/>
        </w:tabs>
        <w:rPr>
          <w:b/>
          <w:bCs/>
          <w:sz w:val="24"/>
          <w:szCs w:val="28"/>
        </w:rPr>
      </w:pPr>
    </w:p>
    <w:p w14:paraId="41F634D8" w14:textId="77777777" w:rsidR="00B8379D" w:rsidRDefault="00B8379D" w:rsidP="003F5344">
      <w:pPr>
        <w:tabs>
          <w:tab w:val="left" w:pos="973"/>
        </w:tabs>
        <w:rPr>
          <w:b/>
          <w:bCs/>
          <w:sz w:val="24"/>
          <w:szCs w:val="28"/>
        </w:rPr>
      </w:pPr>
    </w:p>
    <w:p w14:paraId="64E8EA1C" w14:textId="77777777" w:rsidR="00B8379D" w:rsidRDefault="00B8379D" w:rsidP="003F5344">
      <w:pPr>
        <w:tabs>
          <w:tab w:val="left" w:pos="973"/>
        </w:tabs>
        <w:rPr>
          <w:b/>
          <w:bCs/>
          <w:sz w:val="24"/>
          <w:szCs w:val="28"/>
        </w:rPr>
      </w:pPr>
    </w:p>
    <w:p w14:paraId="42EF276E" w14:textId="77777777" w:rsidR="00B8379D" w:rsidRDefault="00B8379D" w:rsidP="003F5344">
      <w:pPr>
        <w:tabs>
          <w:tab w:val="left" w:pos="973"/>
        </w:tabs>
        <w:rPr>
          <w:b/>
          <w:bCs/>
          <w:sz w:val="24"/>
          <w:szCs w:val="28"/>
        </w:rPr>
      </w:pPr>
    </w:p>
    <w:p w14:paraId="3D5F2055" w14:textId="77777777" w:rsidR="00107B26" w:rsidRDefault="00107B26" w:rsidP="003F5344">
      <w:pPr>
        <w:tabs>
          <w:tab w:val="left" w:pos="973"/>
        </w:tabs>
        <w:rPr>
          <w:b/>
          <w:bCs/>
          <w:sz w:val="24"/>
          <w:szCs w:val="28"/>
        </w:rPr>
      </w:pPr>
    </w:p>
    <w:p w14:paraId="5B474384" w14:textId="77777777" w:rsidR="00B8379D" w:rsidRPr="003F5344" w:rsidRDefault="00B8379D" w:rsidP="003F5344">
      <w:pPr>
        <w:tabs>
          <w:tab w:val="left" w:pos="973"/>
        </w:tabs>
        <w:rPr>
          <w:b/>
          <w:bCs/>
          <w:sz w:val="24"/>
          <w:szCs w:val="28"/>
        </w:rPr>
      </w:pPr>
    </w:p>
    <w:p w14:paraId="3E97FB89" w14:textId="77777777" w:rsidR="00C81978" w:rsidRPr="00B526EA" w:rsidRDefault="00C81978" w:rsidP="00B526EA">
      <w:pPr>
        <w:pStyle w:val="Heading1"/>
      </w:pPr>
      <w:bookmarkStart w:id="0" w:name="_Toc220350508"/>
      <w:r w:rsidRPr="00B526EA">
        <w:t>CHAPTER 1: Introduction</w:t>
      </w:r>
      <w:bookmarkEnd w:id="0"/>
    </w:p>
    <w:p w14:paraId="67999C98" w14:textId="197D5420" w:rsidR="00C81978" w:rsidRPr="00B526EA" w:rsidRDefault="00C81978" w:rsidP="00F31E94">
      <w:pPr>
        <w:pStyle w:val="Heading2"/>
        <w:spacing w:before="240"/>
        <w:jc w:val="both"/>
        <w:rPr>
          <w:sz w:val="22"/>
          <w:szCs w:val="22"/>
        </w:rPr>
      </w:pPr>
      <w:bookmarkStart w:id="1" w:name="_Toc220350509"/>
      <w:r w:rsidRPr="00B526EA">
        <w:rPr>
          <w:sz w:val="22"/>
          <w:szCs w:val="22"/>
        </w:rPr>
        <w:t>1.1</w:t>
      </w:r>
      <w:r w:rsidR="00A143E4" w:rsidRPr="00B526EA">
        <w:rPr>
          <w:sz w:val="22"/>
          <w:szCs w:val="22"/>
        </w:rPr>
        <w:t>.</w:t>
      </w:r>
      <w:r w:rsidRPr="00B526EA">
        <w:rPr>
          <w:sz w:val="22"/>
          <w:szCs w:val="22"/>
        </w:rPr>
        <w:t xml:space="preserve"> Introduction</w:t>
      </w:r>
      <w:bookmarkEnd w:id="1"/>
    </w:p>
    <w:p w14:paraId="159BD5BA" w14:textId="77777777" w:rsidR="0098487D" w:rsidRDefault="00C81978" w:rsidP="00F31E94">
      <w:pPr>
        <w:pStyle w:val="NormalWeb"/>
        <w:spacing w:before="240" w:beforeAutospacing="0" w:line="360" w:lineRule="auto"/>
        <w:jc w:val="both"/>
        <w:rPr>
          <w:rFonts w:ascii="Arial" w:hAnsi="Arial" w:cs="Arial"/>
          <w:szCs w:val="22"/>
        </w:rPr>
      </w:pPr>
      <w:r w:rsidRPr="00B526EA">
        <w:rPr>
          <w:rFonts w:ascii="Arial" w:hAnsi="Arial" w:cs="Arial"/>
          <w:szCs w:val="22"/>
        </w:rPr>
        <w:t>Adverse Childhood Experiences (ACEs) are linked with poorer mental health across the life course</w:t>
      </w:r>
      <w:r w:rsidR="001511DC" w:rsidRPr="00B526EA">
        <w:rPr>
          <w:rFonts w:ascii="Arial" w:hAnsi="Arial" w:cs="Arial"/>
          <w:szCs w:val="22"/>
        </w:rPr>
        <w:t xml:space="preserve"> (Trinh et al., 2025)</w:t>
      </w:r>
      <w:r w:rsidRPr="00B526EA">
        <w:rPr>
          <w:rFonts w:ascii="Arial" w:hAnsi="Arial" w:cs="Arial"/>
          <w:szCs w:val="22"/>
        </w:rPr>
        <w:t>.</w:t>
      </w:r>
      <w:r w:rsidR="0098487D">
        <w:rPr>
          <w:rFonts w:ascii="Arial" w:hAnsi="Arial" w:cs="Arial"/>
          <w:szCs w:val="22"/>
        </w:rPr>
        <w:t xml:space="preserve"> S</w:t>
      </w:r>
      <w:r w:rsidRPr="00B526EA">
        <w:rPr>
          <w:rFonts w:ascii="Arial" w:hAnsi="Arial" w:cs="Arial"/>
          <w:szCs w:val="22"/>
        </w:rPr>
        <w:t>creenin</w:t>
      </w:r>
      <w:r w:rsidR="002A198D" w:rsidRPr="00B526EA">
        <w:rPr>
          <w:rFonts w:ascii="Arial" w:hAnsi="Arial" w:cs="Arial"/>
          <w:szCs w:val="22"/>
        </w:rPr>
        <w:t>g tools such as ACE Questionnaire (ACE-Q) or Adverse Childhood Experiences International Questionnaire (ACE-IQ)</w:t>
      </w:r>
      <w:r w:rsidRPr="00B526EA">
        <w:rPr>
          <w:rFonts w:ascii="Arial" w:hAnsi="Arial" w:cs="Arial"/>
          <w:szCs w:val="22"/>
        </w:rPr>
        <w:t xml:space="preserve"> combine diverse adversities into a single cumulative score</w:t>
      </w:r>
      <w:r w:rsidR="0098487D">
        <w:rPr>
          <w:rFonts w:ascii="Arial" w:hAnsi="Arial" w:cs="Arial"/>
          <w:szCs w:val="22"/>
        </w:rPr>
        <w:t xml:space="preserve"> </w:t>
      </w:r>
      <w:r w:rsidR="00225138" w:rsidRPr="00B526EA">
        <w:rPr>
          <w:rFonts w:ascii="Arial" w:hAnsi="Arial" w:cs="Arial"/>
          <w:szCs w:val="22"/>
        </w:rPr>
        <w:t xml:space="preserve">(Zarse </w:t>
      </w:r>
      <w:r w:rsidR="00225138" w:rsidRPr="00B526EA">
        <w:rPr>
          <w:rFonts w:ascii="Arial" w:hAnsi="Arial" w:cs="Arial"/>
          <w:i/>
          <w:iCs/>
          <w:szCs w:val="22"/>
        </w:rPr>
        <w:t>et al.</w:t>
      </w:r>
      <w:r w:rsidR="00225138" w:rsidRPr="00B526EA">
        <w:rPr>
          <w:rFonts w:ascii="Arial" w:hAnsi="Arial" w:cs="Arial"/>
          <w:szCs w:val="22"/>
        </w:rPr>
        <w:t>, 2019)</w:t>
      </w:r>
      <w:r w:rsidRPr="00B526EA">
        <w:rPr>
          <w:rFonts w:ascii="Arial" w:hAnsi="Arial" w:cs="Arial"/>
          <w:szCs w:val="22"/>
        </w:rPr>
        <w:t xml:space="preserve">. </w:t>
      </w:r>
    </w:p>
    <w:p w14:paraId="2587F60B" w14:textId="6BF6D85D" w:rsidR="000F7C00" w:rsidRPr="00B526EA" w:rsidRDefault="00C81978" w:rsidP="000F7C00">
      <w:pPr>
        <w:pStyle w:val="NormalWeb"/>
        <w:spacing w:before="240" w:beforeAutospacing="0" w:line="360" w:lineRule="auto"/>
        <w:jc w:val="both"/>
        <w:rPr>
          <w:rFonts w:ascii="Arial" w:hAnsi="Arial" w:cs="Arial"/>
          <w:szCs w:val="22"/>
        </w:rPr>
      </w:pPr>
      <w:r w:rsidRPr="00B526EA">
        <w:rPr>
          <w:rFonts w:ascii="Arial" w:hAnsi="Arial" w:cs="Arial"/>
          <w:szCs w:val="22"/>
        </w:rPr>
        <w:t>This dissertation focuses on two policy-salient ACEs</w:t>
      </w:r>
      <w:r w:rsidR="005348CF" w:rsidRPr="00B526EA">
        <w:rPr>
          <w:rFonts w:ascii="Arial" w:hAnsi="Arial" w:cs="Arial"/>
          <w:szCs w:val="22"/>
        </w:rPr>
        <w:t xml:space="preserve"> like </w:t>
      </w:r>
      <w:r w:rsidRPr="00B526EA">
        <w:rPr>
          <w:rFonts w:ascii="Arial" w:hAnsi="Arial" w:cs="Arial"/>
          <w:szCs w:val="22"/>
        </w:rPr>
        <w:t>physical abuse and parental separation</w:t>
      </w:r>
      <w:r w:rsidR="00410798" w:rsidRPr="00B526EA">
        <w:rPr>
          <w:rFonts w:ascii="Arial" w:hAnsi="Arial" w:cs="Arial"/>
          <w:szCs w:val="22"/>
        </w:rPr>
        <w:t xml:space="preserve"> </w:t>
      </w:r>
      <w:r w:rsidRPr="00B526EA">
        <w:rPr>
          <w:rFonts w:ascii="Arial" w:hAnsi="Arial" w:cs="Arial"/>
          <w:szCs w:val="22"/>
        </w:rPr>
        <w:t>and examines how each relates to mental health outcomes in young adults (1</w:t>
      </w:r>
      <w:r w:rsidR="003A1DFF" w:rsidRPr="00B526EA">
        <w:rPr>
          <w:rFonts w:ascii="Arial" w:hAnsi="Arial" w:cs="Arial"/>
          <w:szCs w:val="22"/>
        </w:rPr>
        <w:t>5-30</w:t>
      </w:r>
      <w:r w:rsidRPr="00B526EA">
        <w:rPr>
          <w:rFonts w:ascii="Arial" w:hAnsi="Arial" w:cs="Arial"/>
          <w:szCs w:val="22"/>
        </w:rPr>
        <w:t>) in the UK. The focus on young adulthood is deliberate: it is a period of transition (independent living, higher education or employment entry, new relationships) when latent effects of childhood adversity can surface or intensify</w:t>
      </w:r>
      <w:r w:rsidR="00EE65A8" w:rsidRPr="00B526EA">
        <w:rPr>
          <w:rFonts w:ascii="Arial" w:hAnsi="Arial" w:cs="Arial"/>
          <w:szCs w:val="22"/>
        </w:rPr>
        <w:t xml:space="preserve"> (Arnett, Žukauskienė and Sugimura, 2014)</w:t>
      </w:r>
      <w:r w:rsidRPr="00B526EA">
        <w:rPr>
          <w:rFonts w:ascii="Arial" w:hAnsi="Arial" w:cs="Arial"/>
          <w:szCs w:val="22"/>
        </w:rPr>
        <w:t>.</w:t>
      </w:r>
    </w:p>
    <w:p w14:paraId="699071DD" w14:textId="1666158C" w:rsidR="00C81978" w:rsidRPr="00B526EA" w:rsidRDefault="00C81978" w:rsidP="00F31E94">
      <w:pPr>
        <w:spacing w:before="240" w:after="100" w:afterAutospacing="1"/>
        <w:jc w:val="both"/>
        <w:rPr>
          <w:rFonts w:ascii="Arial" w:hAnsi="Arial" w:cs="Arial"/>
          <w:szCs w:val="22"/>
        </w:rPr>
      </w:pPr>
      <w:r w:rsidRPr="00B526EA">
        <w:rPr>
          <w:rFonts w:ascii="Arial" w:hAnsi="Arial" w:cs="Arial"/>
          <w:szCs w:val="22"/>
        </w:rPr>
        <w:t>The study is situated within debates about how adversity should be measured, which mechanisms drive risk, and how services should target support. Physical abuse is plausibly linked to dysregulated stress physiology, fear conditioning, and hypervigilance</w:t>
      </w:r>
      <w:r w:rsidR="00DF36FF" w:rsidRPr="00B526EA">
        <w:rPr>
          <w:rFonts w:ascii="Arial" w:hAnsi="Arial" w:cs="Arial"/>
          <w:szCs w:val="22"/>
        </w:rPr>
        <w:t xml:space="preserve"> (Brzozowska and Grabowski, 2025)</w:t>
      </w:r>
      <w:r w:rsidRPr="00B526EA">
        <w:rPr>
          <w:rFonts w:ascii="Arial" w:hAnsi="Arial" w:cs="Arial"/>
          <w:szCs w:val="22"/>
        </w:rPr>
        <w:t>. Parental separation is more likely to operate through attachment disruption, economic strain, residence changes, and interparental conflict. Collapsing these into one score impedes mechanism-aware practice</w:t>
      </w:r>
      <w:r w:rsidR="00DF36FF" w:rsidRPr="00B526EA">
        <w:rPr>
          <w:rFonts w:ascii="Arial" w:hAnsi="Arial" w:cs="Arial"/>
          <w:szCs w:val="22"/>
        </w:rPr>
        <w:t xml:space="preserve"> (Brock and Kochanska, 2016)</w:t>
      </w:r>
      <w:r w:rsidRPr="00B526EA">
        <w:rPr>
          <w:rFonts w:ascii="Arial" w:hAnsi="Arial" w:cs="Arial"/>
          <w:szCs w:val="22"/>
        </w:rPr>
        <w:t xml:space="preserve">. By comparing these ACEs, this study seeks to clarify whether different questions should be asked during screening, whether different risks should be monitored, and whether tailored referral pathways should be used. </w:t>
      </w:r>
    </w:p>
    <w:p w14:paraId="32AB3675" w14:textId="77777777" w:rsidR="00C81978" w:rsidRPr="00B526EA" w:rsidRDefault="00C81978" w:rsidP="00F31E94">
      <w:pPr>
        <w:pStyle w:val="Heading2"/>
        <w:spacing w:before="240"/>
        <w:jc w:val="both"/>
        <w:rPr>
          <w:rFonts w:ascii="Arial" w:eastAsia="Times New Roman" w:hAnsi="Arial" w:cs="Arial"/>
          <w:sz w:val="22"/>
          <w:szCs w:val="22"/>
        </w:rPr>
      </w:pPr>
      <w:bookmarkStart w:id="2" w:name="_Toc220350510"/>
      <w:r w:rsidRPr="00B526EA">
        <w:rPr>
          <w:rFonts w:ascii="Arial" w:eastAsia="Times New Roman" w:hAnsi="Arial" w:cs="Arial"/>
          <w:sz w:val="22"/>
          <w:szCs w:val="22"/>
        </w:rPr>
        <w:t>1.2 Definitions and Terminology</w:t>
      </w:r>
      <w:bookmarkEnd w:id="2"/>
    </w:p>
    <w:p w14:paraId="6D550031" w14:textId="77777777" w:rsidR="00C81978" w:rsidRPr="00B526EA" w:rsidRDefault="00C81978" w:rsidP="00F31E94">
      <w:pPr>
        <w:spacing w:before="240" w:after="100" w:afterAutospacing="1"/>
        <w:jc w:val="both"/>
        <w:rPr>
          <w:rFonts w:ascii="Arial" w:hAnsi="Arial" w:cs="Arial"/>
          <w:szCs w:val="22"/>
        </w:rPr>
      </w:pPr>
      <w:r w:rsidRPr="00B526EA">
        <w:rPr>
          <w:rFonts w:ascii="Arial" w:hAnsi="Arial" w:cs="Arial"/>
          <w:b/>
          <w:bCs/>
          <w:szCs w:val="22"/>
        </w:rPr>
        <w:t>Key definitions</w:t>
      </w:r>
    </w:p>
    <w:p w14:paraId="70F541E6" w14:textId="18DCF4BB" w:rsidR="00C81978" w:rsidRPr="00B526EA" w:rsidRDefault="00C81978" w:rsidP="00F31E94">
      <w:pPr>
        <w:numPr>
          <w:ilvl w:val="0"/>
          <w:numId w:val="1"/>
        </w:numPr>
        <w:spacing w:before="240" w:after="100" w:afterAutospacing="1"/>
        <w:jc w:val="both"/>
        <w:rPr>
          <w:rFonts w:ascii="Arial" w:hAnsi="Arial" w:cs="Arial"/>
          <w:szCs w:val="22"/>
        </w:rPr>
      </w:pPr>
      <w:r w:rsidRPr="00B526EA">
        <w:rPr>
          <w:rFonts w:ascii="Arial" w:hAnsi="Arial" w:cs="Arial"/>
          <w:b/>
          <w:bCs/>
          <w:szCs w:val="22"/>
        </w:rPr>
        <w:t>Adverse Childhood Experiences (ACEs):</w:t>
      </w:r>
      <w:r w:rsidRPr="00B526EA">
        <w:rPr>
          <w:rFonts w:ascii="Arial" w:hAnsi="Arial" w:cs="Arial"/>
          <w:szCs w:val="22"/>
        </w:rPr>
        <w:t xml:space="preserve"> Potentially traumatic events before age 18 (abuse, neglect, household dysfunction). This study focuses on </w:t>
      </w:r>
      <w:r w:rsidRPr="00B526EA">
        <w:rPr>
          <w:rFonts w:ascii="Arial" w:hAnsi="Arial" w:cs="Arial"/>
          <w:b/>
          <w:bCs/>
          <w:szCs w:val="22"/>
        </w:rPr>
        <w:t>physical abuse</w:t>
      </w:r>
      <w:r w:rsidRPr="00B526EA">
        <w:rPr>
          <w:rFonts w:ascii="Arial" w:hAnsi="Arial" w:cs="Arial"/>
          <w:szCs w:val="22"/>
        </w:rPr>
        <w:t xml:space="preserve"> and </w:t>
      </w:r>
      <w:r w:rsidRPr="00B526EA">
        <w:rPr>
          <w:rFonts w:ascii="Arial" w:hAnsi="Arial" w:cs="Arial"/>
          <w:b/>
          <w:bCs/>
          <w:szCs w:val="22"/>
        </w:rPr>
        <w:t>parental separation</w:t>
      </w:r>
      <w:r w:rsidR="0088080A" w:rsidRPr="00B526EA">
        <w:rPr>
          <w:rFonts w:ascii="Arial" w:hAnsi="Arial" w:cs="Arial"/>
          <w:b/>
          <w:bCs/>
          <w:szCs w:val="22"/>
        </w:rPr>
        <w:t xml:space="preserve"> </w:t>
      </w:r>
      <w:r w:rsidR="0088080A" w:rsidRPr="00B526EA">
        <w:rPr>
          <w:rFonts w:ascii="Arial" w:hAnsi="Arial" w:cs="Arial"/>
          <w:szCs w:val="22"/>
        </w:rPr>
        <w:t>(Webster, 2022)</w:t>
      </w:r>
      <w:r w:rsidRPr="00B526EA">
        <w:rPr>
          <w:rFonts w:ascii="Arial" w:hAnsi="Arial" w:cs="Arial"/>
          <w:szCs w:val="22"/>
        </w:rPr>
        <w:t>.</w:t>
      </w:r>
    </w:p>
    <w:p w14:paraId="0BEDF631" w14:textId="2876755A" w:rsidR="00C81978" w:rsidRPr="00B526EA" w:rsidRDefault="00C81978" w:rsidP="00F31E94">
      <w:pPr>
        <w:numPr>
          <w:ilvl w:val="0"/>
          <w:numId w:val="1"/>
        </w:numPr>
        <w:spacing w:before="240" w:after="100" w:afterAutospacing="1"/>
        <w:jc w:val="both"/>
        <w:rPr>
          <w:rFonts w:ascii="Arial" w:hAnsi="Arial" w:cs="Arial"/>
          <w:szCs w:val="22"/>
        </w:rPr>
      </w:pPr>
      <w:r w:rsidRPr="00B526EA">
        <w:rPr>
          <w:rFonts w:ascii="Arial" w:hAnsi="Arial" w:cs="Arial"/>
          <w:b/>
          <w:bCs/>
          <w:szCs w:val="22"/>
        </w:rPr>
        <w:t>Physical abuse:</w:t>
      </w:r>
      <w:r w:rsidRPr="00B526EA">
        <w:rPr>
          <w:rFonts w:ascii="Arial" w:hAnsi="Arial" w:cs="Arial"/>
          <w:szCs w:val="22"/>
        </w:rPr>
        <w:t xml:space="preserve"> Intentional physical harm to a child by a caregiver or other adult (e.g., hitting, beating, shaking) that risks injury</w:t>
      </w:r>
      <w:r w:rsidR="00DD3152" w:rsidRPr="00B526EA">
        <w:rPr>
          <w:rFonts w:ascii="Arial" w:hAnsi="Arial" w:cs="Arial"/>
          <w:szCs w:val="22"/>
        </w:rPr>
        <w:t xml:space="preserve"> </w:t>
      </w:r>
      <w:r w:rsidR="00975979" w:rsidRPr="00B526EA">
        <w:rPr>
          <w:rFonts w:ascii="Arial" w:hAnsi="Arial" w:cs="Arial"/>
          <w:szCs w:val="22"/>
        </w:rPr>
        <w:t>(Centers for Disease Control and Prevention, 2024)</w:t>
      </w:r>
      <w:r w:rsidRPr="00B526EA">
        <w:rPr>
          <w:rFonts w:ascii="Arial" w:hAnsi="Arial" w:cs="Arial"/>
          <w:szCs w:val="22"/>
        </w:rPr>
        <w:t>.</w:t>
      </w:r>
    </w:p>
    <w:p w14:paraId="430A5CFD" w14:textId="071BFD74" w:rsidR="00C81978" w:rsidRPr="00B526EA" w:rsidRDefault="00C81978" w:rsidP="00F31E94">
      <w:pPr>
        <w:numPr>
          <w:ilvl w:val="0"/>
          <w:numId w:val="1"/>
        </w:numPr>
        <w:spacing w:before="240" w:after="100" w:afterAutospacing="1"/>
        <w:jc w:val="both"/>
        <w:rPr>
          <w:rFonts w:ascii="Arial" w:hAnsi="Arial" w:cs="Arial"/>
          <w:szCs w:val="22"/>
        </w:rPr>
      </w:pPr>
      <w:r w:rsidRPr="00B526EA">
        <w:rPr>
          <w:rFonts w:ascii="Arial" w:hAnsi="Arial" w:cs="Arial"/>
          <w:b/>
          <w:bCs/>
          <w:szCs w:val="22"/>
        </w:rPr>
        <w:t>Parental separation:</w:t>
      </w:r>
      <w:r w:rsidRPr="00B526EA">
        <w:rPr>
          <w:rFonts w:ascii="Arial" w:hAnsi="Arial" w:cs="Arial"/>
          <w:szCs w:val="22"/>
        </w:rPr>
        <w:t xml:space="preserve"> Permanent separation/divorce of primary caregivers during childhood, including prolonged disruptions that alter residence or caregiving arrangements</w:t>
      </w:r>
      <w:r w:rsidR="00975979" w:rsidRPr="00B526EA">
        <w:rPr>
          <w:rFonts w:ascii="Arial" w:hAnsi="Arial" w:cs="Arial"/>
          <w:szCs w:val="22"/>
        </w:rPr>
        <w:t xml:space="preserve"> (D’Onofrio and Emery, 2019)</w:t>
      </w:r>
      <w:r w:rsidRPr="00B526EA">
        <w:rPr>
          <w:rFonts w:ascii="Arial" w:hAnsi="Arial" w:cs="Arial"/>
          <w:szCs w:val="22"/>
        </w:rPr>
        <w:t>.</w:t>
      </w:r>
    </w:p>
    <w:p w14:paraId="7F9E2FAC" w14:textId="5B867F94" w:rsidR="00C81978" w:rsidRPr="00B526EA" w:rsidRDefault="00C81978" w:rsidP="00F31E94">
      <w:pPr>
        <w:numPr>
          <w:ilvl w:val="0"/>
          <w:numId w:val="1"/>
        </w:numPr>
        <w:spacing w:before="240" w:after="100" w:afterAutospacing="1"/>
        <w:jc w:val="both"/>
        <w:rPr>
          <w:rFonts w:ascii="Arial" w:hAnsi="Arial" w:cs="Arial"/>
          <w:szCs w:val="22"/>
        </w:rPr>
      </w:pPr>
      <w:r w:rsidRPr="00B526EA">
        <w:rPr>
          <w:rFonts w:ascii="Arial" w:hAnsi="Arial" w:cs="Arial"/>
          <w:b/>
          <w:bCs/>
          <w:szCs w:val="22"/>
        </w:rPr>
        <w:t>Young adults:</w:t>
      </w:r>
      <w:r w:rsidRPr="00B526EA">
        <w:rPr>
          <w:rFonts w:ascii="Arial" w:hAnsi="Arial" w:cs="Arial"/>
          <w:szCs w:val="22"/>
        </w:rPr>
        <w:t xml:space="preserve"> Individuals </w:t>
      </w:r>
      <w:r w:rsidRPr="00B526EA">
        <w:rPr>
          <w:rFonts w:ascii="Arial" w:hAnsi="Arial" w:cs="Arial"/>
          <w:b/>
          <w:bCs/>
          <w:szCs w:val="22"/>
        </w:rPr>
        <w:t>aged 1</w:t>
      </w:r>
      <w:r w:rsidR="00215278" w:rsidRPr="00B526EA">
        <w:rPr>
          <w:rFonts w:ascii="Arial" w:hAnsi="Arial" w:cs="Arial"/>
          <w:b/>
          <w:bCs/>
          <w:szCs w:val="22"/>
        </w:rPr>
        <w:t>5-30</w:t>
      </w:r>
      <w:r w:rsidRPr="00B526EA">
        <w:rPr>
          <w:rFonts w:ascii="Arial" w:hAnsi="Arial" w:cs="Arial"/>
          <w:szCs w:val="22"/>
        </w:rPr>
        <w:t xml:space="preserve"> at the time outcomes are assessed</w:t>
      </w:r>
      <w:r w:rsidR="00975979" w:rsidRPr="00B526EA">
        <w:rPr>
          <w:rFonts w:ascii="Arial" w:hAnsi="Arial" w:cs="Arial"/>
          <w:szCs w:val="22"/>
        </w:rPr>
        <w:t xml:space="preserve"> (Arnett, Žukauskienė and Sugimura, 2014)</w:t>
      </w:r>
      <w:r w:rsidRPr="00B526EA">
        <w:rPr>
          <w:rFonts w:ascii="Arial" w:hAnsi="Arial" w:cs="Arial"/>
          <w:szCs w:val="22"/>
        </w:rPr>
        <w:t>.</w:t>
      </w:r>
    </w:p>
    <w:p w14:paraId="7297CA8C" w14:textId="43499302" w:rsidR="00C81978" w:rsidRPr="00B526EA" w:rsidRDefault="00C81978" w:rsidP="00F31E94">
      <w:pPr>
        <w:numPr>
          <w:ilvl w:val="0"/>
          <w:numId w:val="1"/>
        </w:numPr>
        <w:spacing w:before="240" w:after="100" w:afterAutospacing="1"/>
        <w:jc w:val="both"/>
        <w:rPr>
          <w:rFonts w:ascii="Arial" w:hAnsi="Arial" w:cs="Arial"/>
          <w:szCs w:val="22"/>
        </w:rPr>
      </w:pPr>
      <w:r w:rsidRPr="00B526EA">
        <w:rPr>
          <w:rFonts w:ascii="Arial" w:hAnsi="Arial" w:cs="Arial"/>
          <w:b/>
          <w:bCs/>
          <w:szCs w:val="22"/>
        </w:rPr>
        <w:t>Mental health outcomes:</w:t>
      </w:r>
      <w:r w:rsidRPr="00B526EA">
        <w:rPr>
          <w:rFonts w:ascii="Arial" w:hAnsi="Arial" w:cs="Arial"/>
          <w:szCs w:val="22"/>
        </w:rPr>
        <w:t xml:space="preserve"> Depression, anxiety, post-traumatic stress symptoms/disorder (PTSD), self-harm, and substance use</w:t>
      </w:r>
      <w:r w:rsidR="00975979" w:rsidRPr="00B526EA">
        <w:rPr>
          <w:rFonts w:ascii="Arial" w:hAnsi="Arial" w:cs="Arial"/>
          <w:szCs w:val="22"/>
        </w:rPr>
        <w:t xml:space="preserve"> (Garrison-Desany </w:t>
      </w:r>
      <w:r w:rsidR="00975979" w:rsidRPr="00B526EA">
        <w:rPr>
          <w:rFonts w:ascii="Arial" w:hAnsi="Arial" w:cs="Arial"/>
          <w:i/>
          <w:iCs/>
          <w:szCs w:val="22"/>
        </w:rPr>
        <w:t>et al.</w:t>
      </w:r>
      <w:r w:rsidR="00975979" w:rsidRPr="00B526EA">
        <w:rPr>
          <w:rFonts w:ascii="Arial" w:hAnsi="Arial" w:cs="Arial"/>
          <w:szCs w:val="22"/>
        </w:rPr>
        <w:t>, 2024)</w:t>
      </w:r>
      <w:r w:rsidRPr="00B526EA">
        <w:rPr>
          <w:rFonts w:ascii="Arial" w:hAnsi="Arial" w:cs="Arial"/>
          <w:szCs w:val="22"/>
        </w:rPr>
        <w:t>.</w:t>
      </w:r>
    </w:p>
    <w:p w14:paraId="4188BA18" w14:textId="50F62CF0" w:rsidR="00C81978" w:rsidRPr="00B526EA" w:rsidRDefault="00C81978" w:rsidP="00F31E94">
      <w:pPr>
        <w:numPr>
          <w:ilvl w:val="0"/>
          <w:numId w:val="1"/>
        </w:numPr>
        <w:spacing w:before="240" w:after="100" w:afterAutospacing="1"/>
        <w:jc w:val="both"/>
        <w:rPr>
          <w:rFonts w:ascii="Arial" w:hAnsi="Arial" w:cs="Arial"/>
          <w:szCs w:val="22"/>
        </w:rPr>
      </w:pPr>
      <w:r w:rsidRPr="00B526EA">
        <w:rPr>
          <w:rFonts w:ascii="Arial" w:hAnsi="Arial" w:cs="Arial"/>
          <w:b/>
          <w:bCs/>
          <w:szCs w:val="22"/>
        </w:rPr>
        <w:t>Trauma-informed care:</w:t>
      </w:r>
      <w:r w:rsidRPr="00B526EA">
        <w:rPr>
          <w:rFonts w:ascii="Arial" w:hAnsi="Arial" w:cs="Arial"/>
          <w:szCs w:val="22"/>
        </w:rPr>
        <w:t xml:space="preserve"> Approaches that recognise trauma prevalence and impact, avoid re-traumatisation, and tailor responses to needs and safety</w:t>
      </w:r>
      <w:r w:rsidR="007174F9" w:rsidRPr="00B526EA">
        <w:rPr>
          <w:rFonts w:ascii="Arial" w:hAnsi="Arial" w:cs="Arial"/>
          <w:szCs w:val="22"/>
        </w:rPr>
        <w:t xml:space="preserve"> (Saunders </w:t>
      </w:r>
      <w:r w:rsidR="007174F9" w:rsidRPr="00B526EA">
        <w:rPr>
          <w:rFonts w:ascii="Arial" w:hAnsi="Arial" w:cs="Arial"/>
          <w:i/>
          <w:iCs/>
          <w:szCs w:val="22"/>
        </w:rPr>
        <w:t>et al.</w:t>
      </w:r>
      <w:r w:rsidR="007174F9" w:rsidRPr="00B526EA">
        <w:rPr>
          <w:rFonts w:ascii="Arial" w:hAnsi="Arial" w:cs="Arial"/>
          <w:szCs w:val="22"/>
        </w:rPr>
        <w:t>, 2023)</w:t>
      </w:r>
      <w:r w:rsidRPr="00B526EA">
        <w:rPr>
          <w:rFonts w:ascii="Arial" w:hAnsi="Arial" w:cs="Arial"/>
          <w:szCs w:val="22"/>
        </w:rPr>
        <w:t>.</w:t>
      </w:r>
    </w:p>
    <w:p w14:paraId="3557FCD7" w14:textId="77777777" w:rsidR="00C81978" w:rsidRPr="00B526EA" w:rsidRDefault="00C81978" w:rsidP="00F31E94">
      <w:pPr>
        <w:spacing w:before="240" w:after="100" w:afterAutospacing="1"/>
        <w:jc w:val="both"/>
        <w:rPr>
          <w:rFonts w:ascii="Arial" w:hAnsi="Arial" w:cs="Arial"/>
          <w:szCs w:val="22"/>
        </w:rPr>
      </w:pPr>
      <w:r w:rsidRPr="00B526EA">
        <w:rPr>
          <w:rFonts w:ascii="Arial" w:hAnsi="Arial" w:cs="Arial"/>
          <w:b/>
          <w:bCs/>
          <w:szCs w:val="22"/>
        </w:rPr>
        <w:t>Acronyms and abbreviations</w:t>
      </w:r>
    </w:p>
    <w:p w14:paraId="0B8BA0F2" w14:textId="77777777" w:rsidR="00C81978" w:rsidRPr="00B526EA" w:rsidRDefault="00C81978" w:rsidP="00F31E94">
      <w:pPr>
        <w:numPr>
          <w:ilvl w:val="0"/>
          <w:numId w:val="2"/>
        </w:numPr>
        <w:spacing w:before="240" w:after="100" w:afterAutospacing="1"/>
        <w:jc w:val="both"/>
        <w:rPr>
          <w:rFonts w:ascii="Arial" w:hAnsi="Arial" w:cs="Arial"/>
          <w:szCs w:val="22"/>
        </w:rPr>
      </w:pPr>
      <w:r w:rsidRPr="00B526EA">
        <w:rPr>
          <w:rFonts w:ascii="Arial" w:hAnsi="Arial" w:cs="Arial"/>
          <w:b/>
          <w:bCs/>
          <w:szCs w:val="22"/>
        </w:rPr>
        <w:t>ACEs:</w:t>
      </w:r>
      <w:r w:rsidRPr="00B526EA">
        <w:rPr>
          <w:rFonts w:ascii="Arial" w:hAnsi="Arial" w:cs="Arial"/>
          <w:szCs w:val="22"/>
        </w:rPr>
        <w:t xml:space="preserve"> Adverse Childhood Experiences</w:t>
      </w:r>
    </w:p>
    <w:p w14:paraId="06AA196B" w14:textId="77777777" w:rsidR="00C81978" w:rsidRPr="00B526EA" w:rsidRDefault="00C81978" w:rsidP="00F31E94">
      <w:pPr>
        <w:numPr>
          <w:ilvl w:val="0"/>
          <w:numId w:val="2"/>
        </w:numPr>
        <w:spacing w:before="240" w:after="100" w:afterAutospacing="1"/>
        <w:jc w:val="both"/>
        <w:rPr>
          <w:rFonts w:ascii="Arial" w:hAnsi="Arial" w:cs="Arial"/>
          <w:szCs w:val="22"/>
        </w:rPr>
      </w:pPr>
      <w:r w:rsidRPr="00B526EA">
        <w:rPr>
          <w:rFonts w:ascii="Arial" w:hAnsi="Arial" w:cs="Arial"/>
          <w:b/>
          <w:bCs/>
          <w:szCs w:val="22"/>
        </w:rPr>
        <w:t>PTSD:</w:t>
      </w:r>
      <w:r w:rsidRPr="00B526EA">
        <w:rPr>
          <w:rFonts w:ascii="Arial" w:hAnsi="Arial" w:cs="Arial"/>
          <w:szCs w:val="22"/>
        </w:rPr>
        <w:t xml:space="preserve"> Post-Traumatic Stress Disorder</w:t>
      </w:r>
    </w:p>
    <w:p w14:paraId="469DC582" w14:textId="77777777" w:rsidR="00C81978" w:rsidRPr="00B526EA" w:rsidRDefault="00C81978" w:rsidP="00F31E94">
      <w:pPr>
        <w:numPr>
          <w:ilvl w:val="0"/>
          <w:numId w:val="2"/>
        </w:numPr>
        <w:spacing w:before="240" w:after="100" w:afterAutospacing="1"/>
        <w:jc w:val="both"/>
        <w:rPr>
          <w:rFonts w:ascii="Arial" w:hAnsi="Arial" w:cs="Arial"/>
          <w:szCs w:val="22"/>
        </w:rPr>
      </w:pPr>
      <w:r w:rsidRPr="00B526EA">
        <w:rPr>
          <w:rFonts w:ascii="Arial" w:hAnsi="Arial" w:cs="Arial"/>
          <w:b/>
          <w:bCs/>
          <w:szCs w:val="22"/>
        </w:rPr>
        <w:t>SLR:</w:t>
      </w:r>
      <w:r w:rsidRPr="00B526EA">
        <w:rPr>
          <w:rFonts w:ascii="Arial" w:hAnsi="Arial" w:cs="Arial"/>
          <w:szCs w:val="22"/>
        </w:rPr>
        <w:t xml:space="preserve"> Systematic Literature Review</w:t>
      </w:r>
    </w:p>
    <w:p w14:paraId="2DAEE970" w14:textId="77777777" w:rsidR="00C81978" w:rsidRPr="00B526EA" w:rsidRDefault="00C81978" w:rsidP="00F31E94">
      <w:pPr>
        <w:numPr>
          <w:ilvl w:val="0"/>
          <w:numId w:val="2"/>
        </w:numPr>
        <w:spacing w:before="240" w:after="100" w:afterAutospacing="1"/>
        <w:jc w:val="both"/>
        <w:rPr>
          <w:rFonts w:ascii="Arial" w:hAnsi="Arial" w:cs="Arial"/>
          <w:szCs w:val="22"/>
        </w:rPr>
      </w:pPr>
      <w:r w:rsidRPr="00B526EA">
        <w:rPr>
          <w:rFonts w:ascii="Arial" w:hAnsi="Arial" w:cs="Arial"/>
          <w:b/>
          <w:bCs/>
          <w:szCs w:val="22"/>
        </w:rPr>
        <w:t>CASP:</w:t>
      </w:r>
      <w:r w:rsidRPr="00B526EA">
        <w:rPr>
          <w:rFonts w:ascii="Arial" w:hAnsi="Arial" w:cs="Arial"/>
          <w:szCs w:val="22"/>
        </w:rPr>
        <w:t xml:space="preserve"> Critical Appraisal Skills Programme</w:t>
      </w:r>
    </w:p>
    <w:p w14:paraId="2A3E4608" w14:textId="77777777" w:rsidR="00C81978" w:rsidRPr="00B526EA" w:rsidRDefault="00C81978" w:rsidP="00F31E94">
      <w:pPr>
        <w:numPr>
          <w:ilvl w:val="0"/>
          <w:numId w:val="2"/>
        </w:numPr>
        <w:spacing w:before="240" w:after="100" w:afterAutospacing="1"/>
        <w:jc w:val="both"/>
        <w:rPr>
          <w:rFonts w:ascii="Arial" w:hAnsi="Arial" w:cs="Arial"/>
          <w:szCs w:val="22"/>
        </w:rPr>
      </w:pPr>
      <w:r w:rsidRPr="00B526EA">
        <w:rPr>
          <w:rFonts w:ascii="Arial" w:hAnsi="Arial" w:cs="Arial"/>
          <w:b/>
          <w:bCs/>
          <w:szCs w:val="22"/>
        </w:rPr>
        <w:t>PRISMA:</w:t>
      </w:r>
      <w:r w:rsidRPr="00B526EA">
        <w:rPr>
          <w:rFonts w:ascii="Arial" w:hAnsi="Arial" w:cs="Arial"/>
          <w:szCs w:val="22"/>
        </w:rPr>
        <w:t xml:space="preserve"> Preferred Reporting Items for Systematic Reviews and Meta-Analyses</w:t>
      </w:r>
    </w:p>
    <w:p w14:paraId="32115A4D" w14:textId="77777777" w:rsidR="00C81978" w:rsidRPr="00B526EA" w:rsidRDefault="00C81978" w:rsidP="00F31E94">
      <w:pPr>
        <w:numPr>
          <w:ilvl w:val="0"/>
          <w:numId w:val="2"/>
        </w:numPr>
        <w:spacing w:before="240" w:after="100" w:afterAutospacing="1"/>
        <w:jc w:val="both"/>
        <w:rPr>
          <w:rFonts w:ascii="Arial" w:hAnsi="Arial" w:cs="Arial"/>
          <w:szCs w:val="22"/>
        </w:rPr>
      </w:pPr>
      <w:r w:rsidRPr="00B526EA">
        <w:rPr>
          <w:rFonts w:ascii="Arial" w:hAnsi="Arial" w:cs="Arial"/>
          <w:b/>
          <w:bCs/>
          <w:szCs w:val="22"/>
        </w:rPr>
        <w:t>SES:</w:t>
      </w:r>
      <w:r w:rsidRPr="00B526EA">
        <w:rPr>
          <w:rFonts w:ascii="Arial" w:hAnsi="Arial" w:cs="Arial"/>
          <w:szCs w:val="22"/>
        </w:rPr>
        <w:t xml:space="preserve"> Socio-Economic Status</w:t>
      </w:r>
    </w:p>
    <w:p w14:paraId="5EC21B0E" w14:textId="77777777" w:rsidR="00C81978" w:rsidRPr="00B526EA" w:rsidRDefault="00C81978" w:rsidP="00F31E94">
      <w:pPr>
        <w:numPr>
          <w:ilvl w:val="0"/>
          <w:numId w:val="2"/>
        </w:numPr>
        <w:spacing w:before="240" w:after="100" w:afterAutospacing="1"/>
        <w:jc w:val="both"/>
        <w:rPr>
          <w:rFonts w:ascii="Arial" w:hAnsi="Arial" w:cs="Arial"/>
          <w:szCs w:val="22"/>
        </w:rPr>
      </w:pPr>
      <w:r w:rsidRPr="00B526EA">
        <w:rPr>
          <w:rFonts w:ascii="Arial" w:hAnsi="Arial" w:cs="Arial"/>
          <w:b/>
          <w:bCs/>
          <w:szCs w:val="22"/>
        </w:rPr>
        <w:t>GP:</w:t>
      </w:r>
      <w:r w:rsidRPr="00B526EA">
        <w:rPr>
          <w:rFonts w:ascii="Arial" w:hAnsi="Arial" w:cs="Arial"/>
          <w:szCs w:val="22"/>
        </w:rPr>
        <w:t xml:space="preserve"> General Practitioner</w:t>
      </w:r>
    </w:p>
    <w:p w14:paraId="5794D52E" w14:textId="77777777" w:rsidR="00C81978" w:rsidRPr="00B526EA" w:rsidRDefault="00C81978" w:rsidP="00F31E94">
      <w:pPr>
        <w:numPr>
          <w:ilvl w:val="0"/>
          <w:numId w:val="2"/>
        </w:numPr>
        <w:spacing w:before="240" w:after="100" w:afterAutospacing="1"/>
        <w:jc w:val="both"/>
        <w:rPr>
          <w:rFonts w:ascii="Arial" w:hAnsi="Arial" w:cs="Arial"/>
          <w:szCs w:val="22"/>
        </w:rPr>
      </w:pPr>
      <w:r w:rsidRPr="00B526EA">
        <w:rPr>
          <w:rFonts w:ascii="Arial" w:hAnsi="Arial" w:cs="Arial"/>
          <w:b/>
          <w:bCs/>
          <w:szCs w:val="22"/>
        </w:rPr>
        <w:t>UK:</w:t>
      </w:r>
      <w:r w:rsidRPr="00B526EA">
        <w:rPr>
          <w:rFonts w:ascii="Arial" w:hAnsi="Arial" w:cs="Arial"/>
          <w:szCs w:val="22"/>
        </w:rPr>
        <w:t xml:space="preserve"> United Kingdom</w:t>
      </w:r>
    </w:p>
    <w:p w14:paraId="0589B158" w14:textId="77777777" w:rsidR="00C81978" w:rsidRPr="00B526EA" w:rsidRDefault="00C81978" w:rsidP="00F31E94">
      <w:pPr>
        <w:pStyle w:val="Heading2"/>
        <w:spacing w:before="240"/>
        <w:jc w:val="both"/>
        <w:rPr>
          <w:rFonts w:ascii="Arial" w:eastAsia="Times New Roman" w:hAnsi="Arial" w:cs="Arial"/>
          <w:sz w:val="22"/>
          <w:szCs w:val="22"/>
        </w:rPr>
      </w:pPr>
      <w:bookmarkStart w:id="3" w:name="_Toc220350511"/>
      <w:r w:rsidRPr="00B526EA">
        <w:rPr>
          <w:rFonts w:ascii="Arial" w:eastAsia="Times New Roman" w:hAnsi="Arial" w:cs="Arial"/>
          <w:sz w:val="22"/>
          <w:szCs w:val="22"/>
        </w:rPr>
        <w:t>1.3 Rationale for Research</w:t>
      </w:r>
      <w:bookmarkEnd w:id="3"/>
    </w:p>
    <w:p w14:paraId="31CC08D5" w14:textId="77777777" w:rsidR="009C6DAB" w:rsidRPr="00B526EA" w:rsidRDefault="00C81978" w:rsidP="00F31E94">
      <w:pPr>
        <w:spacing w:before="240" w:after="100" w:afterAutospacing="1"/>
        <w:jc w:val="both"/>
        <w:rPr>
          <w:rFonts w:ascii="Arial" w:hAnsi="Arial" w:cs="Arial"/>
          <w:b/>
          <w:bCs/>
          <w:szCs w:val="22"/>
        </w:rPr>
      </w:pPr>
      <w:r w:rsidRPr="00B526EA">
        <w:rPr>
          <w:rFonts w:ascii="Arial" w:hAnsi="Arial" w:cs="Arial"/>
          <w:b/>
          <w:bCs/>
          <w:szCs w:val="22"/>
        </w:rPr>
        <w:t>Problem 1: Cumulative scores obscure differential effects</w:t>
      </w:r>
    </w:p>
    <w:p w14:paraId="0E653219" w14:textId="00547588" w:rsidR="00C81978" w:rsidRPr="00B526EA" w:rsidRDefault="00C81978" w:rsidP="00F31E94">
      <w:pPr>
        <w:spacing w:before="240" w:after="100" w:afterAutospacing="1"/>
        <w:jc w:val="both"/>
        <w:rPr>
          <w:rFonts w:ascii="Arial" w:hAnsi="Arial" w:cs="Arial"/>
          <w:szCs w:val="22"/>
        </w:rPr>
      </w:pPr>
      <w:r w:rsidRPr="00B526EA">
        <w:rPr>
          <w:rFonts w:ascii="Arial" w:hAnsi="Arial" w:cs="Arial"/>
          <w:szCs w:val="22"/>
        </w:rPr>
        <w:t>Treating unlike adversities as equivalent produces weak guidance for screening and intervention. If physical abuse and parental separation operate through distinct mechanisms, their associations with outcomes and implications for care are unlikely to be the same. A comparative focus is therefore necessary</w:t>
      </w:r>
      <w:r w:rsidR="00351667" w:rsidRPr="00B526EA">
        <w:rPr>
          <w:rFonts w:ascii="Arial" w:hAnsi="Arial" w:cs="Arial"/>
          <w:szCs w:val="22"/>
        </w:rPr>
        <w:t xml:space="preserve"> (Tang </w:t>
      </w:r>
      <w:r w:rsidR="00351667" w:rsidRPr="00B526EA">
        <w:rPr>
          <w:rFonts w:ascii="Arial" w:hAnsi="Arial" w:cs="Arial"/>
          <w:i/>
          <w:iCs/>
          <w:szCs w:val="22"/>
        </w:rPr>
        <w:t>et al.</w:t>
      </w:r>
      <w:r w:rsidR="00351667" w:rsidRPr="00B526EA">
        <w:rPr>
          <w:rFonts w:ascii="Arial" w:hAnsi="Arial" w:cs="Arial"/>
          <w:szCs w:val="22"/>
        </w:rPr>
        <w:t>, 2023)</w:t>
      </w:r>
      <w:r w:rsidRPr="00B526EA">
        <w:rPr>
          <w:rFonts w:ascii="Arial" w:hAnsi="Arial" w:cs="Arial"/>
          <w:szCs w:val="22"/>
        </w:rPr>
        <w:t>.</w:t>
      </w:r>
    </w:p>
    <w:p w14:paraId="3EBB2D1B" w14:textId="77777777" w:rsidR="009C6DAB" w:rsidRPr="00B526EA" w:rsidRDefault="00C81978" w:rsidP="00F31E94">
      <w:pPr>
        <w:spacing w:before="240" w:after="100" w:afterAutospacing="1"/>
        <w:jc w:val="both"/>
        <w:rPr>
          <w:rFonts w:ascii="Arial" w:hAnsi="Arial" w:cs="Arial"/>
          <w:b/>
          <w:bCs/>
          <w:szCs w:val="22"/>
        </w:rPr>
      </w:pPr>
      <w:r w:rsidRPr="00B526EA">
        <w:rPr>
          <w:rFonts w:ascii="Arial" w:hAnsi="Arial" w:cs="Arial"/>
          <w:b/>
          <w:bCs/>
          <w:szCs w:val="22"/>
        </w:rPr>
        <w:t>Problem 2: Young adulthood is under-examined</w:t>
      </w:r>
    </w:p>
    <w:p w14:paraId="5B3F943D" w14:textId="4917DAE6" w:rsidR="00C81978" w:rsidRPr="00B526EA" w:rsidRDefault="00C81978" w:rsidP="00F31E94">
      <w:pPr>
        <w:spacing w:before="240" w:after="100" w:afterAutospacing="1"/>
        <w:jc w:val="both"/>
        <w:rPr>
          <w:rFonts w:ascii="Arial" w:hAnsi="Arial" w:cs="Arial"/>
          <w:szCs w:val="22"/>
        </w:rPr>
      </w:pPr>
      <w:r w:rsidRPr="00B526EA">
        <w:rPr>
          <w:rFonts w:ascii="Arial" w:hAnsi="Arial" w:cs="Arial"/>
          <w:szCs w:val="22"/>
        </w:rPr>
        <w:t>Much ACE research focuses on adolescents or older adults</w:t>
      </w:r>
      <w:r w:rsidR="00A04CE6" w:rsidRPr="00B526EA">
        <w:rPr>
          <w:rFonts w:ascii="Arial" w:hAnsi="Arial" w:cs="Arial"/>
          <w:szCs w:val="22"/>
        </w:rPr>
        <w:t xml:space="preserve"> (D’Onofrio and Emery, 2019; Webster, 2022)</w:t>
      </w:r>
      <w:r w:rsidRPr="00B526EA">
        <w:rPr>
          <w:rFonts w:ascii="Arial" w:hAnsi="Arial" w:cs="Arial"/>
          <w:szCs w:val="22"/>
        </w:rPr>
        <w:t xml:space="preserve">. Yet ages </w:t>
      </w:r>
      <w:r w:rsidR="004B31A1" w:rsidRPr="00B526EA">
        <w:rPr>
          <w:rFonts w:ascii="Arial" w:hAnsi="Arial" w:cs="Arial"/>
          <w:szCs w:val="22"/>
        </w:rPr>
        <w:t>15-30</w:t>
      </w:r>
      <w:r w:rsidRPr="00B526EA">
        <w:rPr>
          <w:rFonts w:ascii="Arial" w:hAnsi="Arial" w:cs="Arial"/>
          <w:szCs w:val="22"/>
        </w:rPr>
        <w:t xml:space="preserve"> involve identity formation, work/education transitions, financial and housing instability, and new relationships</w:t>
      </w:r>
      <w:r w:rsidR="003627ED" w:rsidRPr="00B526EA">
        <w:rPr>
          <w:rFonts w:ascii="Arial" w:hAnsi="Arial" w:cs="Arial"/>
          <w:szCs w:val="22"/>
        </w:rPr>
        <w:t xml:space="preserve"> </w:t>
      </w:r>
      <w:r w:rsidRPr="00B526EA">
        <w:rPr>
          <w:rFonts w:ascii="Arial" w:hAnsi="Arial" w:cs="Arial"/>
          <w:szCs w:val="22"/>
        </w:rPr>
        <w:t>conditions under which symptoms often emerge or change. Evidence tailored to this age band is needed for effective early intervention and primary care signposting.</w:t>
      </w:r>
    </w:p>
    <w:p w14:paraId="0F164539" w14:textId="4C34CF26" w:rsidR="00AF0EC2" w:rsidRPr="00B526EA" w:rsidRDefault="00AF0EC2" w:rsidP="00F31E94">
      <w:pPr>
        <w:spacing w:before="240" w:after="100" w:afterAutospacing="1"/>
        <w:jc w:val="both"/>
        <w:rPr>
          <w:rStyle w:val="Strong"/>
          <w:rFonts w:ascii="Arial" w:hAnsi="Arial" w:cs="Arial"/>
          <w:szCs w:val="22"/>
        </w:rPr>
      </w:pPr>
      <w:r w:rsidRPr="00B526EA">
        <w:rPr>
          <w:rStyle w:val="Strong"/>
          <w:rFonts w:ascii="Arial" w:eastAsiaTheme="majorEastAsia" w:hAnsi="Arial" w:cs="Arial"/>
          <w:szCs w:val="22"/>
        </w:rPr>
        <w:t xml:space="preserve">Problem </w:t>
      </w:r>
      <w:r w:rsidR="000C5E81" w:rsidRPr="00B526EA">
        <w:rPr>
          <w:rStyle w:val="Strong"/>
          <w:rFonts w:ascii="Arial" w:eastAsiaTheme="majorEastAsia" w:hAnsi="Arial" w:cs="Arial"/>
          <w:szCs w:val="22"/>
        </w:rPr>
        <w:t>3</w:t>
      </w:r>
      <w:r w:rsidRPr="00B526EA">
        <w:rPr>
          <w:rStyle w:val="Strong"/>
          <w:rFonts w:ascii="Arial" w:eastAsiaTheme="majorEastAsia" w:hAnsi="Arial" w:cs="Arial"/>
          <w:szCs w:val="22"/>
        </w:rPr>
        <w:t>: Why current interventions have struggled to minimise long-term harm</w:t>
      </w:r>
    </w:p>
    <w:p w14:paraId="24EF095E" w14:textId="4DCAD904" w:rsidR="00AF0EC2" w:rsidRPr="00B526EA" w:rsidRDefault="00AF0EC2" w:rsidP="00F31E94">
      <w:pPr>
        <w:spacing w:before="240" w:after="100" w:afterAutospacing="1"/>
        <w:jc w:val="both"/>
        <w:rPr>
          <w:rFonts w:ascii="Arial" w:hAnsi="Arial" w:cs="Arial"/>
          <w:b/>
          <w:bCs/>
          <w:szCs w:val="22"/>
        </w:rPr>
      </w:pPr>
      <w:r w:rsidRPr="00B526EA">
        <w:rPr>
          <w:rStyle w:val="Strong"/>
          <w:rFonts w:ascii="Arial" w:eastAsiaTheme="majorEastAsia" w:hAnsi="Arial" w:cs="Arial"/>
          <w:b w:val="0"/>
          <w:bCs w:val="0"/>
          <w:szCs w:val="22"/>
        </w:rPr>
        <w:t>Despite increased trauma-informed awareness, many ACE-related interventions and service responses have struggled to reduce long-term harm because they often rely on cumulative ACE scoring, offer non-specific or time-limited support, and are constrained by uneven referral pathways and follow-up capacity</w:t>
      </w:r>
      <w:r w:rsidR="001971E1" w:rsidRPr="00B526EA">
        <w:rPr>
          <w:rStyle w:val="Strong"/>
          <w:rFonts w:ascii="Arial" w:eastAsiaTheme="majorEastAsia" w:hAnsi="Arial" w:cs="Arial"/>
          <w:b w:val="0"/>
          <w:bCs w:val="0"/>
          <w:szCs w:val="22"/>
        </w:rPr>
        <w:t xml:space="preserve">, </w:t>
      </w:r>
      <w:r w:rsidRPr="00B526EA">
        <w:rPr>
          <w:rStyle w:val="Strong"/>
          <w:rFonts w:ascii="Arial" w:eastAsiaTheme="majorEastAsia" w:hAnsi="Arial" w:cs="Arial"/>
          <w:b w:val="0"/>
          <w:bCs w:val="0"/>
          <w:szCs w:val="22"/>
        </w:rPr>
        <w:t>meaning risks linked to particular ACE types can be under-identified and under-treated.</w:t>
      </w:r>
      <w:r w:rsidRPr="00B526EA">
        <w:rPr>
          <w:rFonts w:ascii="Arial" w:hAnsi="Arial" w:cs="Arial"/>
          <w:b/>
          <w:bCs/>
          <w:szCs w:val="22"/>
        </w:rPr>
        <w:t xml:space="preserve"> </w:t>
      </w:r>
      <w:r w:rsidRPr="00B526EA">
        <w:rPr>
          <w:rStyle w:val="Strong"/>
          <w:rFonts w:ascii="Arial" w:eastAsiaTheme="majorEastAsia" w:hAnsi="Arial" w:cs="Arial"/>
          <w:b w:val="0"/>
          <w:bCs w:val="0"/>
          <w:szCs w:val="22"/>
        </w:rPr>
        <w:t>This further justifies a focused comparison of physical abuse versus parental separation to inform more targeted, mechanism-aware responses</w:t>
      </w:r>
      <w:r w:rsidR="001971E1" w:rsidRPr="00B526EA">
        <w:rPr>
          <w:rStyle w:val="Strong"/>
          <w:rFonts w:ascii="Arial" w:eastAsiaTheme="majorEastAsia" w:hAnsi="Arial" w:cs="Arial"/>
          <w:b w:val="0"/>
          <w:bCs w:val="0"/>
          <w:szCs w:val="22"/>
        </w:rPr>
        <w:t xml:space="preserve"> </w:t>
      </w:r>
      <w:r w:rsidR="001971E1" w:rsidRPr="00B526EA">
        <w:rPr>
          <w:rFonts w:ascii="Arial" w:hAnsi="Arial" w:cs="Arial"/>
          <w:szCs w:val="22"/>
        </w:rPr>
        <w:t xml:space="preserve">(Bellis </w:t>
      </w:r>
      <w:r w:rsidR="001971E1" w:rsidRPr="00B526EA">
        <w:rPr>
          <w:rFonts w:ascii="Arial" w:hAnsi="Arial" w:cs="Arial"/>
          <w:i/>
          <w:iCs/>
          <w:szCs w:val="22"/>
        </w:rPr>
        <w:t>et al.</w:t>
      </w:r>
      <w:r w:rsidR="001971E1" w:rsidRPr="00B526EA">
        <w:rPr>
          <w:rFonts w:ascii="Arial" w:hAnsi="Arial" w:cs="Arial"/>
          <w:szCs w:val="22"/>
        </w:rPr>
        <w:t xml:space="preserve">, 2024; Bunting </w:t>
      </w:r>
      <w:r w:rsidR="001971E1" w:rsidRPr="00B526EA">
        <w:rPr>
          <w:rFonts w:ascii="Arial" w:hAnsi="Arial" w:cs="Arial"/>
          <w:i/>
          <w:iCs/>
          <w:szCs w:val="22"/>
        </w:rPr>
        <w:t>et al.</w:t>
      </w:r>
      <w:r w:rsidR="001971E1" w:rsidRPr="00B526EA">
        <w:rPr>
          <w:rFonts w:ascii="Arial" w:hAnsi="Arial" w:cs="Arial"/>
          <w:szCs w:val="22"/>
        </w:rPr>
        <w:t>, 2023)</w:t>
      </w:r>
      <w:r w:rsidRPr="00B526EA">
        <w:rPr>
          <w:rStyle w:val="Strong"/>
          <w:rFonts w:ascii="Arial" w:eastAsiaTheme="majorEastAsia" w:hAnsi="Arial" w:cs="Arial"/>
          <w:b w:val="0"/>
          <w:bCs w:val="0"/>
          <w:szCs w:val="22"/>
        </w:rPr>
        <w:t>.</w:t>
      </w:r>
    </w:p>
    <w:p w14:paraId="282CF839" w14:textId="42D04F5B" w:rsidR="009C6DAB" w:rsidRPr="00B526EA" w:rsidRDefault="00C81978" w:rsidP="00F31E94">
      <w:pPr>
        <w:spacing w:before="240" w:after="100" w:afterAutospacing="1"/>
        <w:jc w:val="both"/>
        <w:rPr>
          <w:rFonts w:ascii="Arial" w:hAnsi="Arial" w:cs="Arial"/>
          <w:b/>
          <w:bCs/>
          <w:szCs w:val="22"/>
        </w:rPr>
      </w:pPr>
      <w:r w:rsidRPr="00B526EA">
        <w:rPr>
          <w:rFonts w:ascii="Arial" w:hAnsi="Arial" w:cs="Arial"/>
          <w:b/>
          <w:bCs/>
          <w:szCs w:val="22"/>
        </w:rPr>
        <w:t xml:space="preserve">Timeliness and </w:t>
      </w:r>
      <w:r w:rsidR="00E36161" w:rsidRPr="00B526EA">
        <w:rPr>
          <w:rFonts w:ascii="Arial" w:hAnsi="Arial" w:cs="Arial"/>
          <w:b/>
          <w:bCs/>
          <w:szCs w:val="22"/>
        </w:rPr>
        <w:t>Practice Relevance</w:t>
      </w:r>
    </w:p>
    <w:p w14:paraId="3A85224A" w14:textId="484B6354" w:rsidR="00C81978" w:rsidRPr="00B526EA" w:rsidRDefault="00C81978" w:rsidP="00F31E94">
      <w:pPr>
        <w:spacing w:before="240" w:after="100" w:afterAutospacing="1"/>
        <w:jc w:val="both"/>
        <w:rPr>
          <w:rFonts w:ascii="Arial" w:hAnsi="Arial" w:cs="Arial"/>
          <w:szCs w:val="22"/>
        </w:rPr>
      </w:pPr>
      <w:r w:rsidRPr="00B526EA">
        <w:rPr>
          <w:rFonts w:ascii="Arial" w:hAnsi="Arial" w:cs="Arial"/>
          <w:szCs w:val="22"/>
        </w:rPr>
        <w:t>UK services are moving toward trauma-informed approaches and early intervention, but commonly used screening tools rarely distinguish ACE types. If physical abuse is more strongly associated with PTSD and self-harm through hyperarousal and fear learning, while parental separation is more closely linked with depression or substance use via economic stress and attachment disruption, then assessment questions, risk monitoring, and referral pathways should differ</w:t>
      </w:r>
      <w:r w:rsidR="003B3C3D" w:rsidRPr="00B526EA">
        <w:rPr>
          <w:rFonts w:ascii="Arial" w:hAnsi="Arial" w:cs="Arial"/>
          <w:szCs w:val="22"/>
        </w:rPr>
        <w:t xml:space="preserve"> (Cruz </w:t>
      </w:r>
      <w:r w:rsidR="003B3C3D" w:rsidRPr="00B526EA">
        <w:rPr>
          <w:rFonts w:ascii="Arial" w:hAnsi="Arial" w:cs="Arial"/>
          <w:i/>
          <w:iCs/>
          <w:szCs w:val="22"/>
        </w:rPr>
        <w:t>et al.</w:t>
      </w:r>
      <w:r w:rsidR="003B3C3D" w:rsidRPr="00B526EA">
        <w:rPr>
          <w:rFonts w:ascii="Arial" w:hAnsi="Arial" w:cs="Arial"/>
          <w:szCs w:val="22"/>
        </w:rPr>
        <w:t>, 2022)</w:t>
      </w:r>
      <w:r w:rsidRPr="00B526EA">
        <w:rPr>
          <w:rFonts w:ascii="Arial" w:hAnsi="Arial" w:cs="Arial"/>
          <w:szCs w:val="22"/>
        </w:rPr>
        <w:t xml:space="preserve">. Mapping these links can help GPs, mental health practitioners, and commissioners decide what to ask, what to prioritise, and where to refer. </w:t>
      </w:r>
    </w:p>
    <w:p w14:paraId="18E3467D" w14:textId="5A1421D0" w:rsidR="00C81978" w:rsidRPr="00B526EA" w:rsidRDefault="00C81978" w:rsidP="00F31E94">
      <w:pPr>
        <w:spacing w:before="240" w:after="100" w:afterAutospacing="1"/>
        <w:jc w:val="both"/>
        <w:rPr>
          <w:rFonts w:ascii="Arial" w:hAnsi="Arial" w:cs="Arial"/>
          <w:szCs w:val="22"/>
        </w:rPr>
      </w:pPr>
      <w:r w:rsidRPr="00B526EA">
        <w:rPr>
          <w:rFonts w:ascii="Arial" w:hAnsi="Arial" w:cs="Arial"/>
          <w:b/>
          <w:bCs/>
          <w:szCs w:val="22"/>
        </w:rPr>
        <w:t>Methodological stance.</w:t>
      </w:r>
      <w:r w:rsidRPr="00B526EA">
        <w:rPr>
          <w:rFonts w:ascii="Arial" w:hAnsi="Arial" w:cs="Arial"/>
          <w:szCs w:val="22"/>
        </w:rPr>
        <w:t xml:space="preserve"> </w:t>
      </w:r>
      <w:r w:rsidR="00AF0EC2" w:rsidRPr="00B526EA">
        <w:rPr>
          <w:rStyle w:val="Strong"/>
          <w:rFonts w:ascii="Arial" w:eastAsiaTheme="majorEastAsia" w:hAnsi="Arial" w:cs="Arial"/>
          <w:b w:val="0"/>
          <w:bCs w:val="0"/>
          <w:szCs w:val="22"/>
        </w:rPr>
        <w:t>This dissertation uses secondary sources only and will employ thematic analysis.</w:t>
      </w:r>
      <w:r w:rsidR="00AF0EC2" w:rsidRPr="00B526EA">
        <w:rPr>
          <w:rFonts w:ascii="Arial" w:hAnsi="Arial" w:cs="Arial"/>
          <w:b/>
          <w:bCs/>
          <w:szCs w:val="22"/>
        </w:rPr>
        <w:t xml:space="preserve"> </w:t>
      </w:r>
      <w:r w:rsidRPr="00B526EA">
        <w:rPr>
          <w:rFonts w:ascii="Arial" w:hAnsi="Arial" w:cs="Arial"/>
          <w:szCs w:val="22"/>
        </w:rPr>
        <w:t xml:space="preserve">The review will follow PRISMA for transparent screening and reporting, and use thematic analysis to compare mechanisms, strength of associations, and contextual factors. </w:t>
      </w:r>
    </w:p>
    <w:p w14:paraId="6213E6C6" w14:textId="77777777" w:rsidR="00C81978" w:rsidRPr="00B526EA" w:rsidRDefault="00C81978" w:rsidP="00F31E94">
      <w:pPr>
        <w:pStyle w:val="Heading2"/>
        <w:spacing w:before="240"/>
        <w:jc w:val="both"/>
        <w:rPr>
          <w:rFonts w:ascii="Arial" w:eastAsia="Times New Roman" w:hAnsi="Arial" w:cs="Arial"/>
          <w:sz w:val="22"/>
          <w:szCs w:val="22"/>
        </w:rPr>
      </w:pPr>
      <w:bookmarkStart w:id="4" w:name="_Toc220350512"/>
      <w:r w:rsidRPr="00B526EA">
        <w:rPr>
          <w:rFonts w:ascii="Arial" w:eastAsia="Times New Roman" w:hAnsi="Arial" w:cs="Arial"/>
          <w:sz w:val="22"/>
          <w:szCs w:val="22"/>
        </w:rPr>
        <w:t>1.4 Aim and Objectives</w:t>
      </w:r>
      <w:bookmarkEnd w:id="4"/>
    </w:p>
    <w:p w14:paraId="4BE5515C" w14:textId="77777777" w:rsidR="00115F42" w:rsidRPr="00B526EA" w:rsidRDefault="00C81978" w:rsidP="00F31E94">
      <w:pPr>
        <w:spacing w:before="240" w:after="100" w:afterAutospacing="1"/>
        <w:jc w:val="both"/>
        <w:rPr>
          <w:rFonts w:ascii="Arial" w:hAnsi="Arial" w:cs="Arial"/>
          <w:b/>
          <w:bCs/>
          <w:szCs w:val="22"/>
        </w:rPr>
      </w:pPr>
      <w:r w:rsidRPr="00B526EA">
        <w:rPr>
          <w:rFonts w:ascii="Arial" w:hAnsi="Arial" w:cs="Arial"/>
          <w:b/>
          <w:bCs/>
          <w:szCs w:val="22"/>
        </w:rPr>
        <w:t>Research aim</w:t>
      </w:r>
    </w:p>
    <w:p w14:paraId="30893111" w14:textId="59EDA6CD" w:rsidR="00C81978" w:rsidRPr="00B526EA" w:rsidRDefault="00C81978" w:rsidP="00F31E94">
      <w:pPr>
        <w:spacing w:before="240" w:after="100" w:afterAutospacing="1"/>
        <w:jc w:val="both"/>
        <w:rPr>
          <w:rFonts w:ascii="Arial" w:hAnsi="Arial" w:cs="Arial"/>
          <w:szCs w:val="22"/>
        </w:rPr>
      </w:pPr>
      <w:r w:rsidRPr="00B526EA">
        <w:rPr>
          <w:rFonts w:ascii="Arial" w:hAnsi="Arial" w:cs="Arial"/>
          <w:szCs w:val="22"/>
        </w:rPr>
        <w:t>To examine how distinct Adverse Childhood Experiences</w:t>
      </w:r>
      <w:r w:rsidR="00127247" w:rsidRPr="00B526EA">
        <w:rPr>
          <w:rFonts w:ascii="Arial" w:hAnsi="Arial" w:cs="Arial"/>
          <w:szCs w:val="22"/>
        </w:rPr>
        <w:t xml:space="preserve"> </w:t>
      </w:r>
      <w:r w:rsidRPr="00B526EA">
        <w:rPr>
          <w:rFonts w:ascii="Arial" w:hAnsi="Arial" w:cs="Arial"/>
          <w:szCs w:val="22"/>
        </w:rPr>
        <w:t>specifically physical abuse versus parental separation</w:t>
      </w:r>
      <w:r w:rsidR="00127247" w:rsidRPr="00B526EA">
        <w:rPr>
          <w:rFonts w:ascii="Arial" w:hAnsi="Arial" w:cs="Arial"/>
          <w:szCs w:val="22"/>
        </w:rPr>
        <w:t xml:space="preserve"> </w:t>
      </w:r>
      <w:r w:rsidRPr="00B526EA">
        <w:rPr>
          <w:rFonts w:ascii="Arial" w:hAnsi="Arial" w:cs="Arial"/>
          <w:szCs w:val="22"/>
        </w:rPr>
        <w:t>differentially affect mental health outcomes in young adults (1</w:t>
      </w:r>
      <w:r w:rsidR="004B31A1" w:rsidRPr="00B526EA">
        <w:rPr>
          <w:rFonts w:ascii="Arial" w:hAnsi="Arial" w:cs="Arial"/>
          <w:szCs w:val="22"/>
        </w:rPr>
        <w:t xml:space="preserve">5-30) </w:t>
      </w:r>
      <w:r w:rsidRPr="00B526EA">
        <w:rPr>
          <w:rFonts w:ascii="Arial" w:hAnsi="Arial" w:cs="Arial"/>
          <w:szCs w:val="22"/>
        </w:rPr>
        <w:t>in the UK, and to identify implications for trauma-informed screening and care.</w:t>
      </w:r>
    </w:p>
    <w:p w14:paraId="1A2C2BAD" w14:textId="77777777" w:rsidR="00C81978" w:rsidRPr="00B526EA" w:rsidRDefault="00C81978" w:rsidP="00F31E94">
      <w:pPr>
        <w:spacing w:before="240" w:after="100" w:afterAutospacing="1"/>
        <w:jc w:val="both"/>
        <w:rPr>
          <w:rFonts w:ascii="Arial" w:hAnsi="Arial" w:cs="Arial"/>
          <w:szCs w:val="22"/>
        </w:rPr>
      </w:pPr>
      <w:r w:rsidRPr="00B526EA">
        <w:rPr>
          <w:rFonts w:ascii="Arial" w:hAnsi="Arial" w:cs="Arial"/>
          <w:b/>
          <w:bCs/>
          <w:szCs w:val="22"/>
        </w:rPr>
        <w:t>Research objectives</w:t>
      </w:r>
    </w:p>
    <w:p w14:paraId="2B943ECD" w14:textId="77777777" w:rsidR="00C81978" w:rsidRPr="00B526EA" w:rsidRDefault="00C81978" w:rsidP="00F31E94">
      <w:pPr>
        <w:numPr>
          <w:ilvl w:val="0"/>
          <w:numId w:val="3"/>
        </w:numPr>
        <w:spacing w:before="240" w:after="100" w:afterAutospacing="1"/>
        <w:jc w:val="both"/>
        <w:rPr>
          <w:rFonts w:ascii="Arial" w:hAnsi="Arial" w:cs="Arial"/>
          <w:szCs w:val="22"/>
        </w:rPr>
      </w:pPr>
      <w:r w:rsidRPr="00B526EA">
        <w:rPr>
          <w:rFonts w:ascii="Arial" w:hAnsi="Arial" w:cs="Arial"/>
          <w:b/>
          <w:bCs/>
          <w:szCs w:val="22"/>
        </w:rPr>
        <w:t>Objective 1:</w:t>
      </w:r>
      <w:r w:rsidRPr="00B526EA">
        <w:rPr>
          <w:rFonts w:ascii="Arial" w:hAnsi="Arial" w:cs="Arial"/>
          <w:szCs w:val="22"/>
        </w:rPr>
        <w:t xml:space="preserve"> To define ACEs and examine the impact of physical abuse vs parental separation on the mental health of young adults.</w:t>
      </w:r>
    </w:p>
    <w:p w14:paraId="713A05BA" w14:textId="77777777" w:rsidR="00C81978" w:rsidRPr="00B526EA" w:rsidRDefault="00C81978" w:rsidP="00F31E94">
      <w:pPr>
        <w:numPr>
          <w:ilvl w:val="0"/>
          <w:numId w:val="3"/>
        </w:numPr>
        <w:spacing w:before="240" w:after="100" w:afterAutospacing="1"/>
        <w:jc w:val="both"/>
        <w:rPr>
          <w:rFonts w:ascii="Arial" w:hAnsi="Arial" w:cs="Arial"/>
          <w:szCs w:val="22"/>
        </w:rPr>
      </w:pPr>
      <w:r w:rsidRPr="00B526EA">
        <w:rPr>
          <w:rFonts w:ascii="Arial" w:hAnsi="Arial" w:cs="Arial"/>
          <w:b/>
          <w:bCs/>
          <w:szCs w:val="22"/>
        </w:rPr>
        <w:t>Objective 2:</w:t>
      </w:r>
      <w:r w:rsidRPr="00B526EA">
        <w:rPr>
          <w:rFonts w:ascii="Arial" w:hAnsi="Arial" w:cs="Arial"/>
          <w:szCs w:val="22"/>
        </w:rPr>
        <w:t xml:space="preserve"> To analyse how specific ACEs manifest in outcomes such as depression, anxiety, PTSD, self-harm, or substance use, and compare effect sizes where available.</w:t>
      </w:r>
    </w:p>
    <w:p w14:paraId="59FAA6CE" w14:textId="77777777" w:rsidR="00C81978" w:rsidRPr="00B526EA" w:rsidRDefault="00C81978" w:rsidP="00F31E94">
      <w:pPr>
        <w:numPr>
          <w:ilvl w:val="0"/>
          <w:numId w:val="3"/>
        </w:numPr>
        <w:spacing w:before="240" w:after="100" w:afterAutospacing="1"/>
        <w:jc w:val="both"/>
        <w:rPr>
          <w:rFonts w:ascii="Arial" w:hAnsi="Arial" w:cs="Arial"/>
          <w:szCs w:val="22"/>
        </w:rPr>
      </w:pPr>
      <w:r w:rsidRPr="00B526EA">
        <w:rPr>
          <w:rFonts w:ascii="Arial" w:hAnsi="Arial" w:cs="Arial"/>
          <w:b/>
          <w:bCs/>
          <w:szCs w:val="22"/>
        </w:rPr>
        <w:t>Objective 3:</w:t>
      </w:r>
      <w:r w:rsidRPr="00B526EA">
        <w:rPr>
          <w:rFonts w:ascii="Arial" w:hAnsi="Arial" w:cs="Arial"/>
          <w:szCs w:val="22"/>
        </w:rPr>
        <w:t xml:space="preserve"> To explore moderators and contextual conditions (e.g., gender, SES, ethnicity, service access) that shape the strength or direction of associations.</w:t>
      </w:r>
    </w:p>
    <w:p w14:paraId="7FDE1ECC" w14:textId="77777777" w:rsidR="00C81978" w:rsidRPr="00B526EA" w:rsidRDefault="00C81978" w:rsidP="00F31E94">
      <w:pPr>
        <w:numPr>
          <w:ilvl w:val="0"/>
          <w:numId w:val="3"/>
        </w:numPr>
        <w:spacing w:before="240" w:after="100" w:afterAutospacing="1"/>
        <w:jc w:val="both"/>
        <w:rPr>
          <w:rFonts w:ascii="Arial" w:hAnsi="Arial" w:cs="Arial"/>
          <w:szCs w:val="22"/>
        </w:rPr>
      </w:pPr>
      <w:r w:rsidRPr="00B526EA">
        <w:rPr>
          <w:rFonts w:ascii="Arial" w:hAnsi="Arial" w:cs="Arial"/>
          <w:b/>
          <w:bCs/>
          <w:szCs w:val="22"/>
        </w:rPr>
        <w:t>Objective 4:</w:t>
      </w:r>
      <w:r w:rsidRPr="00B526EA">
        <w:rPr>
          <w:rFonts w:ascii="Arial" w:hAnsi="Arial" w:cs="Arial"/>
          <w:szCs w:val="22"/>
        </w:rPr>
        <w:t xml:space="preserve"> To provide recommendations for practice, screening, and policy, highlighting age-appropriate, trauma-informed interventions and research priorities.</w:t>
      </w:r>
    </w:p>
    <w:p w14:paraId="0D4E6646" w14:textId="77777777" w:rsidR="00C81978" w:rsidRPr="00B526EA" w:rsidRDefault="00C81978" w:rsidP="00F31E94">
      <w:pPr>
        <w:pStyle w:val="Heading2"/>
        <w:spacing w:before="240"/>
        <w:jc w:val="both"/>
        <w:rPr>
          <w:rFonts w:ascii="Arial" w:eastAsia="Times New Roman" w:hAnsi="Arial" w:cs="Arial"/>
          <w:sz w:val="22"/>
          <w:szCs w:val="22"/>
        </w:rPr>
      </w:pPr>
      <w:bookmarkStart w:id="5" w:name="_Toc220350513"/>
      <w:r w:rsidRPr="00B526EA">
        <w:rPr>
          <w:rFonts w:ascii="Arial" w:eastAsia="Times New Roman" w:hAnsi="Arial" w:cs="Arial"/>
          <w:sz w:val="22"/>
          <w:szCs w:val="22"/>
        </w:rPr>
        <w:t>1.5 Conclusion</w:t>
      </w:r>
      <w:bookmarkEnd w:id="5"/>
    </w:p>
    <w:p w14:paraId="1C21443F" w14:textId="77777777" w:rsidR="000F7C00" w:rsidRPr="000F7C00" w:rsidRDefault="000F7C00" w:rsidP="000F7C00">
      <w:pPr>
        <w:spacing w:before="240"/>
        <w:jc w:val="both"/>
        <w:rPr>
          <w:rFonts w:ascii="Arial" w:hAnsi="Arial" w:cs="Arial"/>
          <w:szCs w:val="22"/>
        </w:rPr>
      </w:pPr>
      <w:r>
        <w:rPr>
          <w:rFonts w:ascii="Arial" w:hAnsi="Arial" w:cs="Arial"/>
          <w:szCs w:val="22"/>
        </w:rPr>
        <w:t>The chapter focused on comparing different types of ACE like parental separation to develop evidence based practices to tackle them</w:t>
      </w:r>
      <w:r w:rsidRPr="000F7C00">
        <w:rPr>
          <w:rFonts w:ascii="Arial" w:hAnsi="Arial" w:cs="Arial"/>
          <w:szCs w:val="22"/>
        </w:rPr>
        <w:t xml:space="preserve"> (Zarse et al., 2019; Tang et al., 2023). </w:t>
      </w:r>
      <w:r w:rsidRPr="00845391">
        <w:rPr>
          <w:rFonts w:ascii="Arial" w:hAnsi="Arial" w:cs="Arial"/>
          <w:szCs w:val="22"/>
        </w:rPr>
        <w:t xml:space="preserve">The chapter also gave general defintions of all the terms used in the study leading towards the purpose of research which showed that there is a strong need of research on </w:t>
      </w:r>
      <w:r w:rsidRPr="000F7C00">
        <w:rPr>
          <w:rFonts w:ascii="Arial" w:hAnsi="Arial" w:cs="Arial"/>
          <w:szCs w:val="22"/>
        </w:rPr>
        <w:t>mechanisms, moderating factors, and context. This reflects the growing view that ACE research and practice should move beyond simple counts and use more detailed, mechanism-aware approaches to improve screening and support (Cruz et al., 2022).</w:t>
      </w:r>
    </w:p>
    <w:p w14:paraId="5E4A7B04" w14:textId="166301D6" w:rsidR="00FC024F" w:rsidRPr="00B526EA" w:rsidRDefault="00FC024F" w:rsidP="00F31E94">
      <w:pPr>
        <w:spacing w:before="240"/>
        <w:jc w:val="both"/>
        <w:rPr>
          <w:rFonts w:ascii="Arial" w:hAnsi="Arial" w:cs="Arial"/>
          <w:szCs w:val="22"/>
        </w:rPr>
      </w:pPr>
      <w:r w:rsidRPr="00B526EA">
        <w:rPr>
          <w:rFonts w:ascii="Arial" w:hAnsi="Arial" w:cs="Arial"/>
          <w:szCs w:val="22"/>
        </w:rPr>
        <w:t xml:space="preserve">Chapter 2 will present the background and literature review, synthesising prevalence, measurement debates, and proposed mechanisms, and comparing existing evidence on physical abuse and parental separation in relation to young-adult mental health. </w:t>
      </w:r>
    </w:p>
    <w:p w14:paraId="6E6D65A4" w14:textId="77777777" w:rsidR="000D3BEC" w:rsidRPr="00B526EA" w:rsidRDefault="000D3BEC" w:rsidP="00F31E94">
      <w:pPr>
        <w:spacing w:before="240"/>
        <w:jc w:val="both"/>
        <w:rPr>
          <w:rFonts w:ascii="Arial" w:hAnsi="Arial" w:cs="Arial"/>
          <w:szCs w:val="22"/>
        </w:rPr>
      </w:pPr>
    </w:p>
    <w:p w14:paraId="4DAAEA3A" w14:textId="77777777" w:rsidR="00BD6CCB" w:rsidRPr="00B526EA" w:rsidRDefault="00BD6CCB" w:rsidP="00F31E94">
      <w:pPr>
        <w:spacing w:before="240"/>
        <w:jc w:val="both"/>
        <w:rPr>
          <w:rFonts w:ascii="Arial" w:hAnsi="Arial" w:cs="Arial"/>
          <w:szCs w:val="22"/>
        </w:rPr>
      </w:pPr>
    </w:p>
    <w:p w14:paraId="0BABBB9A" w14:textId="77777777" w:rsidR="00B53957" w:rsidRPr="00B526EA" w:rsidRDefault="00B53957" w:rsidP="00F31E94">
      <w:pPr>
        <w:spacing w:before="240"/>
        <w:jc w:val="both"/>
        <w:rPr>
          <w:rFonts w:ascii="Arial" w:hAnsi="Arial" w:cs="Arial"/>
          <w:szCs w:val="22"/>
        </w:rPr>
      </w:pPr>
    </w:p>
    <w:p w14:paraId="25FAFF58" w14:textId="77777777" w:rsidR="00B53957" w:rsidRPr="00B526EA" w:rsidRDefault="00B53957" w:rsidP="00F31E94">
      <w:pPr>
        <w:spacing w:before="240"/>
        <w:jc w:val="both"/>
        <w:rPr>
          <w:rFonts w:ascii="Arial" w:hAnsi="Arial" w:cs="Arial"/>
          <w:szCs w:val="22"/>
        </w:rPr>
      </w:pPr>
    </w:p>
    <w:p w14:paraId="6441BA83" w14:textId="653C8157" w:rsidR="00BD6CCB" w:rsidRPr="00B526EA" w:rsidRDefault="00023AF1" w:rsidP="00B526EA">
      <w:pPr>
        <w:pStyle w:val="Heading1"/>
      </w:pPr>
      <w:bookmarkStart w:id="6" w:name="_Toc220350514"/>
      <w:r w:rsidRPr="00B526EA">
        <w:t>CHAPTER 2 – Background Information and Analysis</w:t>
      </w:r>
      <w:bookmarkEnd w:id="6"/>
    </w:p>
    <w:p w14:paraId="5080D97F" w14:textId="60A18626" w:rsidR="00BD6CCB" w:rsidRPr="00B526EA" w:rsidRDefault="00BD6CCB" w:rsidP="00F31E94">
      <w:pPr>
        <w:pStyle w:val="Heading2"/>
        <w:spacing w:before="240"/>
        <w:jc w:val="both"/>
        <w:rPr>
          <w:rFonts w:ascii="Arial" w:eastAsia="Times New Roman" w:hAnsi="Arial" w:cs="Arial"/>
          <w:sz w:val="22"/>
          <w:szCs w:val="22"/>
        </w:rPr>
      </w:pPr>
      <w:bookmarkStart w:id="7" w:name="_Toc220350515"/>
      <w:r w:rsidRPr="00B526EA">
        <w:rPr>
          <w:rFonts w:ascii="Arial" w:eastAsia="Times New Roman" w:hAnsi="Arial" w:cs="Arial"/>
          <w:sz w:val="22"/>
          <w:szCs w:val="22"/>
        </w:rPr>
        <w:t>2.1 Introduction</w:t>
      </w:r>
      <w:bookmarkEnd w:id="7"/>
      <w:r w:rsidRPr="00B526EA">
        <w:rPr>
          <w:rFonts w:ascii="Arial" w:eastAsia="Times New Roman" w:hAnsi="Arial" w:cs="Arial"/>
          <w:sz w:val="22"/>
          <w:szCs w:val="22"/>
        </w:rPr>
        <w:t xml:space="preserve"> </w:t>
      </w:r>
    </w:p>
    <w:p w14:paraId="7A24C240" w14:textId="56260B89" w:rsidR="00BD6CCB" w:rsidRPr="00B526EA" w:rsidRDefault="00BD6CCB" w:rsidP="00F31E94">
      <w:pPr>
        <w:spacing w:before="240" w:after="100" w:afterAutospacing="1"/>
        <w:jc w:val="both"/>
        <w:rPr>
          <w:rFonts w:ascii="Arial" w:hAnsi="Arial" w:cs="Arial"/>
          <w:szCs w:val="22"/>
        </w:rPr>
      </w:pPr>
      <w:r w:rsidRPr="00B526EA">
        <w:rPr>
          <w:rFonts w:ascii="Arial" w:hAnsi="Arial" w:cs="Arial"/>
          <w:szCs w:val="22"/>
        </w:rPr>
        <w:t>This chapter sets the background for examining how two specific Adverse Childhood Experiences (ACEs)</w:t>
      </w:r>
      <w:r w:rsidR="00177802" w:rsidRPr="00B526EA">
        <w:rPr>
          <w:rFonts w:ascii="Arial" w:hAnsi="Arial" w:cs="Arial"/>
          <w:szCs w:val="22"/>
        </w:rPr>
        <w:t xml:space="preserve">, </w:t>
      </w:r>
      <w:r w:rsidRPr="00B526EA">
        <w:rPr>
          <w:rFonts w:ascii="Arial" w:hAnsi="Arial" w:cs="Arial"/>
          <w:szCs w:val="22"/>
        </w:rPr>
        <w:t>physical abuse and parental separation</w:t>
      </w:r>
      <w:r w:rsidR="00F5041D" w:rsidRPr="00B526EA">
        <w:rPr>
          <w:rFonts w:ascii="Arial" w:hAnsi="Arial" w:cs="Arial"/>
          <w:szCs w:val="22"/>
        </w:rPr>
        <w:t xml:space="preserve"> </w:t>
      </w:r>
      <w:r w:rsidRPr="00B526EA">
        <w:rPr>
          <w:rFonts w:ascii="Arial" w:hAnsi="Arial" w:cs="Arial"/>
          <w:szCs w:val="22"/>
        </w:rPr>
        <w:t>relate to mental health in young adults in the UK. It outlines where the topic comes from, key shifts in ideas and policy, and the theories that guide analysis. It also introduces the international and UK service context within which screening and referral decisions are made.</w:t>
      </w:r>
    </w:p>
    <w:p w14:paraId="12AB79B9" w14:textId="6F4A2A3C" w:rsidR="00BD6CCB" w:rsidRPr="00B526EA" w:rsidRDefault="00BD6CCB" w:rsidP="00F31E94">
      <w:pPr>
        <w:spacing w:before="240" w:after="100" w:afterAutospacing="1"/>
        <w:jc w:val="both"/>
        <w:rPr>
          <w:rFonts w:ascii="Arial" w:hAnsi="Arial" w:cs="Arial"/>
          <w:szCs w:val="22"/>
        </w:rPr>
      </w:pPr>
      <w:r w:rsidRPr="00B526EA">
        <w:rPr>
          <w:rFonts w:ascii="Arial" w:hAnsi="Arial" w:cs="Arial"/>
          <w:szCs w:val="22"/>
        </w:rPr>
        <w:t xml:space="preserve">The purpose is to give a clear foundation before the review and analysis. The chapter traces the historical development of ACEs, explains the theoretical bases for comparing distinct ACEs rather than relying only on cumulative scores, and sets out contextual factors that shape risk and response. It does not include themes or findings; those will appear in Chapter 4. </w:t>
      </w:r>
    </w:p>
    <w:p w14:paraId="576959E4" w14:textId="7C05BB81" w:rsidR="00BD6CCB" w:rsidRPr="00B526EA" w:rsidRDefault="00BD6CCB" w:rsidP="00F31E94">
      <w:pPr>
        <w:pStyle w:val="Heading2"/>
        <w:spacing w:before="240"/>
        <w:jc w:val="both"/>
        <w:rPr>
          <w:rFonts w:ascii="Arial" w:eastAsia="Times New Roman" w:hAnsi="Arial" w:cs="Arial"/>
          <w:sz w:val="22"/>
          <w:szCs w:val="22"/>
        </w:rPr>
      </w:pPr>
      <w:bookmarkStart w:id="8" w:name="_Toc220350516"/>
      <w:r w:rsidRPr="00B526EA">
        <w:rPr>
          <w:rFonts w:ascii="Arial" w:eastAsia="Times New Roman" w:hAnsi="Arial" w:cs="Arial"/>
          <w:sz w:val="22"/>
          <w:szCs w:val="22"/>
        </w:rPr>
        <w:t>2.2 Historical Background</w:t>
      </w:r>
      <w:bookmarkEnd w:id="8"/>
      <w:r w:rsidRPr="00B526EA">
        <w:rPr>
          <w:rFonts w:ascii="Arial" w:eastAsia="Times New Roman" w:hAnsi="Arial" w:cs="Arial"/>
          <w:sz w:val="22"/>
          <w:szCs w:val="22"/>
        </w:rPr>
        <w:t xml:space="preserve"> </w:t>
      </w:r>
    </w:p>
    <w:p w14:paraId="62D8274B" w14:textId="77777777" w:rsidR="005922C9" w:rsidRDefault="005922C9" w:rsidP="00F31E94">
      <w:pPr>
        <w:spacing w:before="240" w:after="100" w:afterAutospacing="1"/>
        <w:jc w:val="both"/>
        <w:rPr>
          <w:rFonts w:ascii="Arial" w:hAnsi="Arial" w:cs="Arial"/>
          <w:szCs w:val="22"/>
        </w:rPr>
      </w:pPr>
      <w:r w:rsidRPr="005922C9">
        <w:rPr>
          <w:rFonts w:ascii="Arial" w:hAnsi="Arial" w:cs="Arial"/>
          <w:szCs w:val="22"/>
        </w:rPr>
        <w:t>Initial conceptualisations around childhood adversity arose through child protection activities in the twentieth century, such as increased acknowledgement of physical abuse as a social concern and health risk and statutory protection in the UK (Evans, Garner and Honig, 2014). It gained systematic investigation in the late 1990s with a massive study on the US health plan that coined the term Adverse Childhood Experiences (ACEs) and traced cumulative adversity to adult health outcomes. The method rapidly disseminated into research, policy, and practice due to its easy screening logic and a clear message regarding prevention (Webster, 2022).</w:t>
      </w:r>
    </w:p>
    <w:p w14:paraId="44A66DA6" w14:textId="7E3A2B4B" w:rsidR="00BD6CCB" w:rsidRPr="00B526EA" w:rsidRDefault="00815192" w:rsidP="00815192">
      <w:pPr>
        <w:spacing w:before="240" w:after="100" w:afterAutospacing="1"/>
        <w:jc w:val="both"/>
        <w:rPr>
          <w:rFonts w:ascii="Arial" w:hAnsi="Arial" w:cs="Arial"/>
          <w:szCs w:val="22"/>
        </w:rPr>
      </w:pPr>
      <w:r>
        <w:rPr>
          <w:rFonts w:ascii="Arial" w:hAnsi="Arial" w:cs="Arial"/>
          <w:szCs w:val="22"/>
        </w:rPr>
        <w:t xml:space="preserve">After 2000, the research evolved. Hawes and Allen (2023) focused on whether adversities like timing and chronicity changed the risk and argued that physical abuse was the result of mainly family separation and divorce. Moreover, multi agency resposbilities started focusing on UK reforms like Children Act 2004 and Every Child Matters which gave rise to early intervention startegoes. </w:t>
      </w:r>
      <w:r w:rsidR="00BD6CCB" w:rsidRPr="00B526EA">
        <w:rPr>
          <w:rFonts w:ascii="Arial" w:hAnsi="Arial" w:cs="Arial"/>
          <w:szCs w:val="22"/>
        </w:rPr>
        <w:t>Public discourse also shifted as mental health in young people gained prominence in schools, universities, and primary care, bringing ACE ideas into frontline conversations about screening and signposting</w:t>
      </w:r>
      <w:r w:rsidR="007037AD" w:rsidRPr="00B526EA">
        <w:rPr>
          <w:rFonts w:ascii="Arial" w:hAnsi="Arial" w:cs="Arial"/>
          <w:szCs w:val="22"/>
        </w:rPr>
        <w:t xml:space="preserve"> (HM Government, 2023)</w:t>
      </w:r>
      <w:r w:rsidR="00BD6CCB" w:rsidRPr="00B526EA">
        <w:rPr>
          <w:rFonts w:ascii="Arial" w:hAnsi="Arial" w:cs="Arial"/>
          <w:szCs w:val="22"/>
        </w:rPr>
        <w:t>.</w:t>
      </w:r>
    </w:p>
    <w:p w14:paraId="3FC94701" w14:textId="26E67393" w:rsidR="00BD6CCB" w:rsidRPr="00B526EA" w:rsidRDefault="00BD6CCB" w:rsidP="00F31E94">
      <w:pPr>
        <w:spacing w:before="240" w:after="100" w:afterAutospacing="1"/>
        <w:jc w:val="both"/>
        <w:rPr>
          <w:rFonts w:ascii="Arial" w:hAnsi="Arial" w:cs="Arial"/>
          <w:szCs w:val="22"/>
        </w:rPr>
      </w:pPr>
      <w:r w:rsidRPr="00B526EA">
        <w:rPr>
          <w:rFonts w:ascii="Arial" w:hAnsi="Arial" w:cs="Arial"/>
          <w:szCs w:val="22"/>
        </w:rPr>
        <w:t xml:space="preserve">Key milestones include: expansion of longitudinal cohorts that follow children into adulthood; the adoption of trauma-informed principles across health and social care; and debates over measurement. Researchers </w:t>
      </w:r>
      <w:r w:rsidR="00E1538A" w:rsidRPr="00B526EA">
        <w:rPr>
          <w:rFonts w:ascii="Arial" w:hAnsi="Arial" w:cs="Arial"/>
          <w:szCs w:val="22"/>
        </w:rPr>
        <w:t xml:space="preserve">(Bellis </w:t>
      </w:r>
      <w:r w:rsidR="00E1538A" w:rsidRPr="00B526EA">
        <w:rPr>
          <w:rFonts w:ascii="Arial" w:hAnsi="Arial" w:cs="Arial"/>
          <w:i/>
          <w:iCs/>
          <w:szCs w:val="22"/>
        </w:rPr>
        <w:t>et al.</w:t>
      </w:r>
      <w:r w:rsidR="00E1538A" w:rsidRPr="00B526EA">
        <w:rPr>
          <w:rFonts w:ascii="Arial" w:hAnsi="Arial" w:cs="Arial"/>
          <w:szCs w:val="22"/>
        </w:rPr>
        <w:t xml:space="preserve">, 2024; Bunting </w:t>
      </w:r>
      <w:r w:rsidR="00E1538A" w:rsidRPr="00B526EA">
        <w:rPr>
          <w:rFonts w:ascii="Arial" w:hAnsi="Arial" w:cs="Arial"/>
          <w:i/>
          <w:iCs/>
          <w:szCs w:val="22"/>
        </w:rPr>
        <w:t>et al.</w:t>
      </w:r>
      <w:r w:rsidR="00E1538A" w:rsidRPr="00B526EA">
        <w:rPr>
          <w:rFonts w:ascii="Arial" w:hAnsi="Arial" w:cs="Arial"/>
          <w:szCs w:val="22"/>
        </w:rPr>
        <w:t xml:space="preserve">, 2023) </w:t>
      </w:r>
      <w:r w:rsidRPr="00B526EA">
        <w:rPr>
          <w:rFonts w:ascii="Arial" w:hAnsi="Arial" w:cs="Arial"/>
          <w:szCs w:val="22"/>
        </w:rPr>
        <w:t>questioned whether simple counts of ACEs flatten important differences between experiences. In response, newer studies began to test specific pathways, for example linking physical abuse to dysregulated stress systems and hyperarousal, and linking parental separation to attachment disruption, housing and income change, and conflict exposure. Attention also turned to moderators such as gender, socio-economic status, ethnicity, and service access, as well as to co-occurring adversities that complicate attribution</w:t>
      </w:r>
      <w:r w:rsidR="00E1538A" w:rsidRPr="00B526EA">
        <w:rPr>
          <w:rFonts w:ascii="Arial" w:hAnsi="Arial" w:cs="Arial"/>
          <w:szCs w:val="22"/>
        </w:rPr>
        <w:t xml:space="preserve"> (Charuvastra and Cloitre, 2008)</w:t>
      </w:r>
      <w:r w:rsidRPr="00B526EA">
        <w:rPr>
          <w:rFonts w:ascii="Arial" w:hAnsi="Arial" w:cs="Arial"/>
          <w:szCs w:val="22"/>
        </w:rPr>
        <w:t>.</w:t>
      </w:r>
    </w:p>
    <w:p w14:paraId="27B5D911" w14:textId="47AB7F23" w:rsidR="00BD6CCB" w:rsidRPr="00B526EA" w:rsidRDefault="00815192" w:rsidP="00F31E94">
      <w:pPr>
        <w:spacing w:before="240" w:after="100" w:afterAutospacing="1"/>
        <w:jc w:val="both"/>
        <w:rPr>
          <w:rFonts w:ascii="Arial" w:hAnsi="Arial" w:cs="Arial"/>
          <w:szCs w:val="22"/>
        </w:rPr>
      </w:pPr>
      <w:r w:rsidRPr="00815192">
        <w:rPr>
          <w:rFonts w:ascii="Arial" w:hAnsi="Arial" w:cs="Arial"/>
          <w:szCs w:val="22"/>
        </w:rPr>
        <w:t>This path was shaped by several personalities and institutions. The ACE framework of prevention messaging became populari</w:t>
      </w:r>
      <w:r w:rsidR="003C409E">
        <w:rPr>
          <w:rFonts w:ascii="Arial" w:hAnsi="Arial" w:cs="Arial"/>
          <w:szCs w:val="22"/>
        </w:rPr>
        <w:t>s</w:t>
      </w:r>
      <w:r w:rsidRPr="00815192">
        <w:rPr>
          <w:rFonts w:ascii="Arial" w:hAnsi="Arial" w:cs="Arial"/>
          <w:szCs w:val="22"/>
        </w:rPr>
        <w:t>ed by public health agencies such as Public Health Wales. Training on trauma-informed practice was disseminated by UK charities and professional bodies (Bellis et al., 2024). Scholars in the fields of developmental psychopathology, attachment, and stress biology elucidated processes that may underlie the finding that various ACEs have varying consequences. In the UK and elsewhere, longitudinal study groups generated evidence on timing effects and life-course accumulation. Simultaneously, epidemiology and social policy critics such as Riley (2020) cautioned against deterministic interpretations and urged focus on poverty, structural inequality, and service design</w:t>
      </w:r>
      <w:r w:rsidR="00BD6CCB" w:rsidRPr="00B526EA">
        <w:rPr>
          <w:rFonts w:ascii="Arial" w:hAnsi="Arial" w:cs="Arial"/>
          <w:szCs w:val="22"/>
        </w:rPr>
        <w:t>.</w:t>
      </w:r>
    </w:p>
    <w:p w14:paraId="717CC920" w14:textId="1322C196" w:rsidR="00BD6CCB" w:rsidRPr="00B526EA" w:rsidRDefault="00BD6CCB" w:rsidP="00F31E94">
      <w:pPr>
        <w:pStyle w:val="Heading2"/>
        <w:spacing w:before="240"/>
        <w:jc w:val="both"/>
        <w:rPr>
          <w:rFonts w:ascii="Arial" w:eastAsia="Times New Roman" w:hAnsi="Arial" w:cs="Arial"/>
          <w:sz w:val="22"/>
          <w:szCs w:val="22"/>
        </w:rPr>
      </w:pPr>
      <w:bookmarkStart w:id="9" w:name="_Toc220350517"/>
      <w:r w:rsidRPr="00B526EA">
        <w:rPr>
          <w:rFonts w:ascii="Arial" w:eastAsia="Times New Roman" w:hAnsi="Arial" w:cs="Arial"/>
          <w:sz w:val="22"/>
          <w:szCs w:val="22"/>
        </w:rPr>
        <w:t>2.3 Theoretical Background</w:t>
      </w:r>
      <w:bookmarkEnd w:id="9"/>
      <w:r w:rsidRPr="00B526EA">
        <w:rPr>
          <w:rFonts w:ascii="Arial" w:eastAsia="Times New Roman" w:hAnsi="Arial" w:cs="Arial"/>
          <w:sz w:val="22"/>
          <w:szCs w:val="22"/>
        </w:rPr>
        <w:t xml:space="preserve"> </w:t>
      </w:r>
    </w:p>
    <w:p w14:paraId="45219DD6" w14:textId="6F1759DA" w:rsidR="00BD6CCB" w:rsidRPr="00B526EA" w:rsidRDefault="00BD6CCB" w:rsidP="00F31E94">
      <w:pPr>
        <w:spacing w:before="240" w:after="100" w:afterAutospacing="1"/>
        <w:jc w:val="both"/>
        <w:rPr>
          <w:rFonts w:ascii="Arial" w:hAnsi="Arial" w:cs="Arial"/>
          <w:szCs w:val="22"/>
        </w:rPr>
      </w:pPr>
      <w:r w:rsidRPr="00B526EA">
        <w:rPr>
          <w:rFonts w:ascii="Arial" w:hAnsi="Arial" w:cs="Arial"/>
          <w:b/>
          <w:bCs/>
          <w:szCs w:val="22"/>
        </w:rPr>
        <w:t>1) Attachment theory (theory).</w:t>
      </w:r>
      <w:r w:rsidRPr="00B526EA">
        <w:rPr>
          <w:rFonts w:ascii="Arial" w:hAnsi="Arial" w:cs="Arial"/>
          <w:szCs w:val="22"/>
        </w:rPr>
        <w:t xml:space="preserve"> Attachment theory proposes that early relationships with caregivers shape internal working models of self and others. Secure attachment supports emotion regulation and help-seeking; insecure or disorganised attachment increases risk for anxiety, depression, and interpersonal difficulties</w:t>
      </w:r>
      <w:r w:rsidR="004F1047" w:rsidRPr="00B526EA">
        <w:rPr>
          <w:rFonts w:ascii="Arial" w:hAnsi="Arial" w:cs="Arial"/>
          <w:szCs w:val="22"/>
        </w:rPr>
        <w:t xml:space="preserve"> (Cassidy, Jones and Shaver, 2013)</w:t>
      </w:r>
      <w:r w:rsidRPr="00B526EA">
        <w:rPr>
          <w:rFonts w:ascii="Arial" w:hAnsi="Arial" w:cs="Arial"/>
          <w:szCs w:val="22"/>
        </w:rPr>
        <w:t>. Applied to this study, parental separation is expected to influence mental health when it disrupts caregiving stability, increases interparental conflict, or reduces caregiver sensitivity</w:t>
      </w:r>
      <w:r w:rsidR="00D6540A" w:rsidRPr="00B526EA">
        <w:rPr>
          <w:rFonts w:ascii="Arial" w:hAnsi="Arial" w:cs="Arial"/>
          <w:szCs w:val="22"/>
        </w:rPr>
        <w:t xml:space="preserve"> (O’Hara </w:t>
      </w:r>
      <w:r w:rsidR="00D6540A" w:rsidRPr="00B526EA">
        <w:rPr>
          <w:rFonts w:ascii="Arial" w:hAnsi="Arial" w:cs="Arial"/>
          <w:i/>
          <w:iCs/>
          <w:szCs w:val="22"/>
        </w:rPr>
        <w:t>et al.</w:t>
      </w:r>
      <w:r w:rsidR="00D6540A" w:rsidRPr="00B526EA">
        <w:rPr>
          <w:rFonts w:ascii="Arial" w:hAnsi="Arial" w:cs="Arial"/>
          <w:szCs w:val="22"/>
        </w:rPr>
        <w:t>, 2019)</w:t>
      </w:r>
      <w:r w:rsidRPr="00B526EA">
        <w:rPr>
          <w:rFonts w:ascii="Arial" w:hAnsi="Arial" w:cs="Arial"/>
          <w:szCs w:val="22"/>
        </w:rPr>
        <w:t xml:space="preserve">. </w:t>
      </w:r>
      <w:r w:rsidR="003F5C95" w:rsidRPr="00B526EA">
        <w:rPr>
          <w:rFonts w:ascii="Arial" w:hAnsi="Arial" w:cs="Arial"/>
          <w:szCs w:val="22"/>
        </w:rPr>
        <w:t xml:space="preserve">Sun </w:t>
      </w:r>
      <w:r w:rsidR="003F5C95" w:rsidRPr="00B526EA">
        <w:rPr>
          <w:rFonts w:ascii="Arial" w:hAnsi="Arial" w:cs="Arial"/>
          <w:i/>
          <w:iCs/>
          <w:szCs w:val="22"/>
        </w:rPr>
        <w:t>et al.</w:t>
      </w:r>
      <w:r w:rsidR="003F5C95" w:rsidRPr="00B526EA">
        <w:rPr>
          <w:rFonts w:ascii="Arial" w:hAnsi="Arial" w:cs="Arial"/>
          <w:szCs w:val="22"/>
        </w:rPr>
        <w:t xml:space="preserve"> (2025) </w:t>
      </w:r>
      <w:r w:rsidRPr="00B526EA">
        <w:rPr>
          <w:rFonts w:ascii="Arial" w:hAnsi="Arial" w:cs="Arial"/>
          <w:szCs w:val="22"/>
        </w:rPr>
        <w:t xml:space="preserve">has used parent–child relationship measures, conflict indices, and residence change data to test whether separation predicts depressive and anxiety symptoms through attachment-related pathways. In contrast, physical abuse may contribute to disorganised attachment patterns that, in young adulthood, manifest as hypervigilance, relationship instability, and self-harm. </w:t>
      </w:r>
    </w:p>
    <w:p w14:paraId="64F7C907" w14:textId="57F517B6" w:rsidR="001230AC" w:rsidRPr="00B526EA" w:rsidRDefault="001230AC" w:rsidP="00F31E94">
      <w:pPr>
        <w:spacing w:before="240" w:after="100" w:afterAutospacing="1"/>
        <w:jc w:val="both"/>
        <w:rPr>
          <w:rFonts w:ascii="Arial" w:hAnsi="Arial" w:cs="Arial"/>
          <w:szCs w:val="22"/>
        </w:rPr>
      </w:pPr>
      <w:r w:rsidRPr="00B526EA">
        <w:rPr>
          <w:rFonts w:ascii="Arial" w:hAnsi="Arial" w:cs="Arial"/>
          <w:szCs w:val="22"/>
        </w:rPr>
        <w:t>Bowlby’s Attachment Theory proposes that early parent–infant interactions shape whether a child forms a secure attachment (supporting normal development) or an insecure/disrupted attachment (increasing risk of poorer health and later behavioural problems) as shown in figure below (Wassell, 2014).</w:t>
      </w:r>
    </w:p>
    <w:p w14:paraId="4D392FDE" w14:textId="77777777" w:rsidR="00160043" w:rsidRPr="00B526EA" w:rsidRDefault="00160043" w:rsidP="00B53957">
      <w:pPr>
        <w:keepNext/>
        <w:spacing w:before="240" w:after="100" w:afterAutospacing="1"/>
        <w:jc w:val="center"/>
        <w:rPr>
          <w:rFonts w:ascii="Arial" w:hAnsi="Arial" w:cs="Arial"/>
          <w:szCs w:val="22"/>
        </w:rPr>
      </w:pPr>
      <w:r w:rsidRPr="00B526EA">
        <w:rPr>
          <w:rFonts w:ascii="Arial" w:hAnsi="Arial" w:cs="Arial"/>
          <w:szCs w:val="22"/>
        </w:rPr>
        <w:fldChar w:fldCharType="begin"/>
      </w:r>
      <w:r w:rsidRPr="00B526EA">
        <w:rPr>
          <w:rFonts w:ascii="Arial" w:hAnsi="Arial" w:cs="Arial"/>
          <w:szCs w:val="22"/>
        </w:rPr>
        <w:instrText xml:space="preserve"> INCLUDEPICTURE "https://www.researchgate.net/profile/Emily-Wassell/publication/263270117/figure/fig1/AS:655130668060672@1533206731044/Bowlbys-Attachment-Theory.png" \* MERGEFORMATINET </w:instrText>
      </w:r>
      <w:r w:rsidRPr="00B526EA">
        <w:rPr>
          <w:rFonts w:ascii="Arial" w:hAnsi="Arial" w:cs="Arial"/>
          <w:szCs w:val="22"/>
        </w:rPr>
        <w:fldChar w:fldCharType="separate"/>
      </w:r>
      <w:r w:rsidRPr="00B526EA">
        <w:rPr>
          <w:rFonts w:ascii="Arial" w:hAnsi="Arial" w:cs="Arial"/>
          <w:noProof/>
          <w:szCs w:val="22"/>
        </w:rPr>
        <w:drawing>
          <wp:inline distT="0" distB="0" distL="0" distR="0" wp14:anchorId="6280AD99" wp14:editId="6A6149C0">
            <wp:extent cx="4530239" cy="3304575"/>
            <wp:effectExtent l="0" t="0" r="3810" b="0"/>
            <wp:docPr id="245621342" name="Picture 1" descr="Bowlby's Attachmen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lby's Attachment The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8520" cy="3310616"/>
                    </a:xfrm>
                    <a:prstGeom prst="rect">
                      <a:avLst/>
                    </a:prstGeom>
                    <a:noFill/>
                    <a:ln>
                      <a:noFill/>
                    </a:ln>
                  </pic:spPr>
                </pic:pic>
              </a:graphicData>
            </a:graphic>
          </wp:inline>
        </w:drawing>
      </w:r>
      <w:r w:rsidRPr="00B526EA">
        <w:rPr>
          <w:rFonts w:ascii="Arial" w:hAnsi="Arial" w:cs="Arial"/>
          <w:szCs w:val="22"/>
        </w:rPr>
        <w:fldChar w:fldCharType="end"/>
      </w:r>
    </w:p>
    <w:p w14:paraId="618AC164" w14:textId="04F8E56B" w:rsidR="00160043" w:rsidRPr="00B526EA" w:rsidRDefault="00160043" w:rsidP="00B53957">
      <w:pPr>
        <w:pStyle w:val="Caption"/>
        <w:spacing w:before="240" w:line="360" w:lineRule="auto"/>
        <w:jc w:val="center"/>
        <w:rPr>
          <w:rFonts w:ascii="Arial" w:hAnsi="Arial" w:cs="Arial"/>
        </w:rPr>
      </w:pPr>
      <w:bookmarkStart w:id="10" w:name="_Toc224468217"/>
      <w:r w:rsidRPr="00B526EA">
        <w:rPr>
          <w:rFonts w:ascii="Arial" w:hAnsi="Arial" w:cs="Arial"/>
        </w:rPr>
        <w:t xml:space="preserve">Figure </w:t>
      </w:r>
      <w:r w:rsidRPr="00B526EA">
        <w:rPr>
          <w:rFonts w:ascii="Arial" w:hAnsi="Arial" w:cs="Arial"/>
        </w:rPr>
        <w:fldChar w:fldCharType="begin"/>
      </w:r>
      <w:r w:rsidRPr="00B526EA">
        <w:rPr>
          <w:rFonts w:ascii="Arial" w:hAnsi="Arial" w:cs="Arial"/>
        </w:rPr>
        <w:instrText xml:space="preserve"> SEQ Figure \* ARABIC </w:instrText>
      </w:r>
      <w:r w:rsidRPr="00B526EA">
        <w:rPr>
          <w:rFonts w:ascii="Arial" w:hAnsi="Arial" w:cs="Arial"/>
        </w:rPr>
        <w:fldChar w:fldCharType="separate"/>
      </w:r>
      <w:r w:rsidR="00EF03D7">
        <w:rPr>
          <w:rFonts w:ascii="Arial" w:hAnsi="Arial" w:cs="Arial"/>
          <w:noProof/>
        </w:rPr>
        <w:t>1</w:t>
      </w:r>
      <w:r w:rsidRPr="00B526EA">
        <w:rPr>
          <w:rFonts w:ascii="Arial" w:hAnsi="Arial" w:cs="Arial"/>
        </w:rPr>
        <w:fldChar w:fldCharType="end"/>
      </w:r>
      <w:r w:rsidRPr="00B526EA">
        <w:rPr>
          <w:rFonts w:ascii="Arial" w:hAnsi="Arial" w:cs="Arial"/>
        </w:rPr>
        <w:t>: Bowlby's Attachment Theory (Wassell, 2014)</w:t>
      </w:r>
      <w:bookmarkEnd w:id="10"/>
    </w:p>
    <w:p w14:paraId="35B0FCE6" w14:textId="0D015C51" w:rsidR="00BD6CCB" w:rsidRPr="00B526EA" w:rsidRDefault="00BD6CCB" w:rsidP="00F31E94">
      <w:pPr>
        <w:spacing w:before="240" w:after="100" w:afterAutospacing="1"/>
        <w:jc w:val="both"/>
        <w:rPr>
          <w:rFonts w:ascii="Arial" w:hAnsi="Arial" w:cs="Arial"/>
          <w:szCs w:val="22"/>
        </w:rPr>
      </w:pPr>
      <w:r w:rsidRPr="00B526EA">
        <w:rPr>
          <w:rFonts w:ascii="Arial" w:hAnsi="Arial" w:cs="Arial"/>
          <w:b/>
          <w:bCs/>
          <w:szCs w:val="22"/>
        </w:rPr>
        <w:t>2) Allostatic load and toxic stress (theory).</w:t>
      </w:r>
      <w:r w:rsidRPr="00B526EA">
        <w:rPr>
          <w:rFonts w:ascii="Arial" w:hAnsi="Arial" w:cs="Arial"/>
          <w:szCs w:val="22"/>
        </w:rPr>
        <w:t xml:space="preserve"> Allostatic load describes the cumulative physiological ‘wear and tear’ that arises from repeated or chronic stress activation. Toxic stress refers to strong, frequent, or prolonged activation of the stress response in the absence of buffering relationships</w:t>
      </w:r>
      <w:r w:rsidR="009B6E16" w:rsidRPr="00B526EA">
        <w:rPr>
          <w:rFonts w:ascii="Arial" w:hAnsi="Arial" w:cs="Arial"/>
          <w:szCs w:val="22"/>
        </w:rPr>
        <w:t xml:space="preserve"> (Lucente and Guidi, 2023)</w:t>
      </w:r>
      <w:r w:rsidRPr="00B526EA">
        <w:rPr>
          <w:rFonts w:ascii="Arial" w:hAnsi="Arial" w:cs="Arial"/>
          <w:szCs w:val="22"/>
        </w:rPr>
        <w:t>. Applied to this study, physical abuse is hypothesised to associate more strongly with PTSD and hyperarousal symptoms through repeated threat exposure and fear conditioning, while parental separation is hypothesised to link to depressive symptoms through sustained uncertainty and material strain</w:t>
      </w:r>
      <w:r w:rsidR="009A3B63" w:rsidRPr="00B526EA">
        <w:rPr>
          <w:rFonts w:ascii="Arial" w:hAnsi="Arial" w:cs="Arial"/>
          <w:szCs w:val="22"/>
        </w:rPr>
        <w:t xml:space="preserve"> (Charuvastra and Cloitre, 2008)</w:t>
      </w:r>
      <w:r w:rsidRPr="00B526EA">
        <w:rPr>
          <w:rFonts w:ascii="Arial" w:hAnsi="Arial" w:cs="Arial"/>
          <w:szCs w:val="22"/>
        </w:rPr>
        <w:t xml:space="preserve">. </w:t>
      </w:r>
    </w:p>
    <w:p w14:paraId="61E2DB72" w14:textId="34603B7C" w:rsidR="00BD6CCB" w:rsidRPr="00B526EA" w:rsidRDefault="00BD6CCB" w:rsidP="00BD1AE4">
      <w:pPr>
        <w:spacing w:before="240" w:after="100" w:afterAutospacing="1"/>
        <w:jc w:val="both"/>
        <w:rPr>
          <w:rFonts w:ascii="Arial" w:hAnsi="Arial" w:cs="Arial"/>
          <w:szCs w:val="22"/>
        </w:rPr>
      </w:pPr>
      <w:r w:rsidRPr="00B526EA">
        <w:rPr>
          <w:rFonts w:ascii="Arial" w:hAnsi="Arial" w:cs="Arial"/>
          <w:b/>
          <w:bCs/>
          <w:szCs w:val="22"/>
        </w:rPr>
        <w:t>3) Life-course developmental psychopathology</w:t>
      </w:r>
      <w:r w:rsidR="00BD1AE4">
        <w:rPr>
          <w:rFonts w:ascii="Arial" w:hAnsi="Arial" w:cs="Arial"/>
          <w:b/>
          <w:bCs/>
          <w:szCs w:val="22"/>
        </w:rPr>
        <w:t xml:space="preserve">. </w:t>
      </w:r>
      <w:r w:rsidR="00BD1AE4">
        <w:rPr>
          <w:rFonts w:ascii="Arial" w:hAnsi="Arial" w:cs="Arial"/>
          <w:szCs w:val="22"/>
        </w:rPr>
        <w:t xml:space="preserve">This theory focuses on duration, turning points and timing </w:t>
      </w:r>
      <w:r w:rsidR="00BD1AE4" w:rsidRPr="00BD1AE4">
        <w:rPr>
          <w:rStyle w:val="Strong"/>
          <w:rFonts w:eastAsiaTheme="majorEastAsia"/>
          <w:b w:val="0"/>
          <w:bCs w:val="0"/>
        </w:rPr>
        <w:t>of life experiences and adversities across an individual’s life</w:t>
      </w:r>
      <w:r w:rsidR="00BD1AE4" w:rsidRPr="00BD1AE4">
        <w:rPr>
          <w:b/>
          <w:bCs/>
        </w:rPr>
        <w:t>.</w:t>
      </w:r>
      <w:r w:rsidR="00BD1AE4">
        <w:rPr>
          <w:b/>
          <w:bCs/>
        </w:rPr>
        <w:t xml:space="preserve"> </w:t>
      </w:r>
      <w:r w:rsidR="00BD1AE4">
        <w:t>The impact that parental separation has on child depends on the age of separation, how well child is treated after separation while the impact of physical abise sepends on the chronicity and level of abuse and access of safety interventions</w:t>
      </w:r>
      <w:r w:rsidR="008E6BB3" w:rsidRPr="00B526EA">
        <w:rPr>
          <w:rFonts w:ascii="Arial" w:hAnsi="Arial" w:cs="Arial"/>
          <w:szCs w:val="22"/>
        </w:rPr>
        <w:t xml:space="preserve"> (Palmtag, 2022</w:t>
      </w:r>
      <w:r w:rsidR="00C156AB">
        <w:rPr>
          <w:rFonts w:ascii="Arial" w:hAnsi="Arial" w:cs="Arial"/>
          <w:szCs w:val="22"/>
        </w:rPr>
        <w:t xml:space="preserve">; </w:t>
      </w:r>
      <w:r w:rsidR="00686521" w:rsidRPr="00B526EA">
        <w:rPr>
          <w:rFonts w:ascii="Arial" w:hAnsi="Arial" w:cs="Arial"/>
          <w:szCs w:val="22"/>
        </w:rPr>
        <w:t>Connelly and Platt, 2014)</w:t>
      </w:r>
      <w:r w:rsidRPr="00B526EA">
        <w:rPr>
          <w:rFonts w:ascii="Arial" w:hAnsi="Arial" w:cs="Arial"/>
          <w:szCs w:val="22"/>
        </w:rPr>
        <w:t>.</w:t>
      </w:r>
    </w:p>
    <w:p w14:paraId="570980BA" w14:textId="7687321B" w:rsidR="00BD6CCB" w:rsidRPr="00B526EA" w:rsidRDefault="00BD6CCB" w:rsidP="00F31E94">
      <w:pPr>
        <w:spacing w:before="240" w:after="100" w:afterAutospacing="1"/>
        <w:jc w:val="both"/>
        <w:rPr>
          <w:rFonts w:ascii="Arial" w:hAnsi="Arial" w:cs="Arial"/>
          <w:szCs w:val="22"/>
        </w:rPr>
      </w:pPr>
      <w:r w:rsidRPr="00B526EA">
        <w:rPr>
          <w:rFonts w:ascii="Arial" w:hAnsi="Arial" w:cs="Arial"/>
          <w:szCs w:val="22"/>
        </w:rPr>
        <w:t>These frameworks are complementary but have limits. Attachment theory clarifies relational mechanisms and is clinically actionable, yet risks over-psychologising outcomes and under-weighting poverty, discrimination, and service access. Measures of attachment vary and can be sensitive to method effects</w:t>
      </w:r>
      <w:r w:rsidR="007B1B85" w:rsidRPr="00B526EA">
        <w:rPr>
          <w:rFonts w:ascii="Arial" w:hAnsi="Arial" w:cs="Arial"/>
          <w:szCs w:val="22"/>
        </w:rPr>
        <w:t xml:space="preserve"> (D’Onofrio and Emery, 2019)</w:t>
      </w:r>
      <w:r w:rsidRPr="00B526EA">
        <w:rPr>
          <w:rFonts w:ascii="Arial" w:hAnsi="Arial" w:cs="Arial"/>
          <w:szCs w:val="22"/>
        </w:rPr>
        <w:t>. Allostatic load connects adversity to biology and symptom profiles, but biomarker studies are costly, cross-sectional designs are common, and effect sizes vary. Physiological indices are also shaped by sleep, diet, medication, and measurement timing. A life-course lens strengthens causal inference by considering timing and trajectories, but observational designs remain vulnerable to confounding and selection</w:t>
      </w:r>
      <w:r w:rsidR="007B1B85" w:rsidRPr="00B526EA">
        <w:rPr>
          <w:rFonts w:ascii="Arial" w:hAnsi="Arial" w:cs="Arial"/>
          <w:szCs w:val="22"/>
        </w:rPr>
        <w:t xml:space="preserve"> (Hawes and Allen, 2023; Lucente and Guidi, 2023)</w:t>
      </w:r>
      <w:r w:rsidRPr="00B526EA">
        <w:rPr>
          <w:rFonts w:ascii="Arial" w:hAnsi="Arial" w:cs="Arial"/>
          <w:szCs w:val="22"/>
        </w:rPr>
        <w:t>.</w:t>
      </w:r>
    </w:p>
    <w:p w14:paraId="1F398221" w14:textId="00AE8276" w:rsidR="006C085B" w:rsidRPr="00B526EA" w:rsidRDefault="006C085B" w:rsidP="00F31E94">
      <w:pPr>
        <w:spacing w:before="240" w:after="100" w:afterAutospacing="1"/>
        <w:jc w:val="both"/>
        <w:rPr>
          <w:rFonts w:ascii="Arial" w:hAnsi="Arial" w:cs="Arial"/>
          <w:szCs w:val="22"/>
        </w:rPr>
      </w:pPr>
      <w:r w:rsidRPr="00B526EA">
        <w:rPr>
          <w:rFonts w:ascii="Arial" w:hAnsi="Arial" w:cs="Arial"/>
          <w:szCs w:val="22"/>
        </w:rPr>
        <w:t xml:space="preserve">Table </w:t>
      </w:r>
      <w:r w:rsidR="00C06443" w:rsidRPr="00B526EA">
        <w:rPr>
          <w:rFonts w:ascii="Arial" w:hAnsi="Arial" w:cs="Arial"/>
          <w:szCs w:val="22"/>
        </w:rPr>
        <w:t>1</w:t>
      </w:r>
      <w:r w:rsidRPr="00B526EA">
        <w:rPr>
          <w:rFonts w:ascii="Arial" w:hAnsi="Arial" w:cs="Arial"/>
          <w:szCs w:val="22"/>
        </w:rPr>
        <w:t xml:space="preserve"> </w:t>
      </w:r>
      <w:r w:rsidRPr="00B526EA">
        <w:rPr>
          <w:rStyle w:val="Strong"/>
          <w:rFonts w:ascii="Arial" w:eastAsiaTheme="majorEastAsia" w:hAnsi="Arial" w:cs="Arial"/>
          <w:b w:val="0"/>
          <w:bCs w:val="0"/>
          <w:szCs w:val="22"/>
        </w:rPr>
        <w:t>summarises how different ACE models help</w:t>
      </w:r>
      <w:r w:rsidR="003E3DE5" w:rsidRPr="00B526EA">
        <w:rPr>
          <w:rStyle w:val="Strong"/>
          <w:rFonts w:ascii="Arial" w:hAnsi="Arial" w:cs="Arial"/>
          <w:b w:val="0"/>
          <w:bCs w:val="0"/>
          <w:szCs w:val="22"/>
        </w:rPr>
        <w:t xml:space="preserve"> </w:t>
      </w:r>
      <w:r w:rsidRPr="00B526EA">
        <w:rPr>
          <w:rStyle w:val="Strong"/>
          <w:rFonts w:ascii="Arial" w:eastAsiaTheme="majorEastAsia" w:hAnsi="Arial" w:cs="Arial"/>
          <w:b w:val="0"/>
          <w:bCs w:val="0"/>
          <w:szCs w:val="22"/>
        </w:rPr>
        <w:t>or fail to help</w:t>
      </w:r>
      <w:r w:rsidR="003E3DE5" w:rsidRPr="00B526EA">
        <w:rPr>
          <w:rStyle w:val="Strong"/>
          <w:rFonts w:ascii="Arial" w:hAnsi="Arial" w:cs="Arial"/>
          <w:b w:val="0"/>
          <w:bCs w:val="0"/>
          <w:szCs w:val="22"/>
        </w:rPr>
        <w:t xml:space="preserve"> </w:t>
      </w:r>
      <w:r w:rsidRPr="00B526EA">
        <w:rPr>
          <w:rStyle w:val="Strong"/>
          <w:rFonts w:ascii="Arial" w:eastAsiaTheme="majorEastAsia" w:hAnsi="Arial" w:cs="Arial"/>
          <w:b w:val="0"/>
          <w:bCs w:val="0"/>
          <w:szCs w:val="22"/>
        </w:rPr>
        <w:t>differentiate physical abuse and parental separation</w:t>
      </w:r>
      <w:r w:rsidR="00C06443" w:rsidRPr="00B526EA">
        <w:rPr>
          <w:rFonts w:ascii="Arial" w:hAnsi="Arial" w:cs="Arial"/>
          <w:szCs w:val="22"/>
        </w:rPr>
        <w:t>.</w:t>
      </w:r>
    </w:p>
    <w:p w14:paraId="70EA4B94" w14:textId="384DC3BC" w:rsidR="006C085B" w:rsidRPr="00B526EA" w:rsidRDefault="006C085B" w:rsidP="00F31E94">
      <w:pPr>
        <w:pStyle w:val="Caption"/>
        <w:keepNext/>
        <w:spacing w:before="240" w:line="360" w:lineRule="auto"/>
        <w:jc w:val="both"/>
        <w:rPr>
          <w:rFonts w:ascii="Arial" w:hAnsi="Arial" w:cs="Arial"/>
        </w:rPr>
      </w:pPr>
      <w:bookmarkStart w:id="11" w:name="_Toc219221910"/>
      <w:r w:rsidRPr="00B526EA">
        <w:rPr>
          <w:rFonts w:ascii="Arial" w:hAnsi="Arial" w:cs="Arial"/>
        </w:rPr>
        <w:t xml:space="preserve">Table </w:t>
      </w:r>
      <w:r w:rsidRPr="00B526EA">
        <w:rPr>
          <w:rFonts w:ascii="Arial" w:hAnsi="Arial" w:cs="Arial"/>
        </w:rPr>
        <w:fldChar w:fldCharType="begin"/>
      </w:r>
      <w:r w:rsidRPr="00B526EA">
        <w:rPr>
          <w:rFonts w:ascii="Arial" w:hAnsi="Arial" w:cs="Arial"/>
        </w:rPr>
        <w:instrText xml:space="preserve"> SEQ Table \* ARABIC </w:instrText>
      </w:r>
      <w:r w:rsidRPr="00B526EA">
        <w:rPr>
          <w:rFonts w:ascii="Arial" w:hAnsi="Arial" w:cs="Arial"/>
        </w:rPr>
        <w:fldChar w:fldCharType="separate"/>
      </w:r>
      <w:r w:rsidR="00F451A8" w:rsidRPr="00B526EA">
        <w:rPr>
          <w:rFonts w:ascii="Arial" w:hAnsi="Arial" w:cs="Arial"/>
          <w:noProof/>
        </w:rPr>
        <w:t>1</w:t>
      </w:r>
      <w:r w:rsidRPr="00B526EA">
        <w:rPr>
          <w:rFonts w:ascii="Arial" w:hAnsi="Arial" w:cs="Arial"/>
        </w:rPr>
        <w:fldChar w:fldCharType="end"/>
      </w:r>
      <w:r w:rsidRPr="00B526EA">
        <w:rPr>
          <w:rFonts w:ascii="Arial" w:hAnsi="Arial" w:cs="Arial"/>
        </w:rPr>
        <w:t>: Comparative strengths and limitations of selected ACE perspectives for differentiating physical abuse and parental separation</w:t>
      </w:r>
      <w:r w:rsidR="00C31C57" w:rsidRPr="00B526EA">
        <w:rPr>
          <w:rFonts w:ascii="Arial" w:hAnsi="Arial" w:cs="Arial"/>
        </w:rPr>
        <w:t xml:space="preserve"> (Hawes and Allen, 2023; Lucente and Guidi, 2023).</w:t>
      </w:r>
      <w:bookmarkEnd w:id="11"/>
    </w:p>
    <w:tbl>
      <w:tblPr>
        <w:tblStyle w:val="TableGrid"/>
        <w:tblW w:w="0" w:type="auto"/>
        <w:tblLook w:val="04A0" w:firstRow="1" w:lastRow="0" w:firstColumn="1" w:lastColumn="0" w:noHBand="0" w:noVBand="1"/>
      </w:tblPr>
      <w:tblGrid>
        <w:gridCol w:w="2218"/>
        <w:gridCol w:w="3421"/>
        <w:gridCol w:w="3377"/>
      </w:tblGrid>
      <w:tr w:rsidR="006C085B" w:rsidRPr="00B526EA" w14:paraId="73149F55" w14:textId="77777777" w:rsidTr="006C085B">
        <w:tc>
          <w:tcPr>
            <w:tcW w:w="0" w:type="auto"/>
            <w:hideMark/>
          </w:tcPr>
          <w:p w14:paraId="2B42F3CF" w14:textId="77777777" w:rsidR="006C085B" w:rsidRPr="00B526EA" w:rsidRDefault="006C085B" w:rsidP="00F31E94">
            <w:pPr>
              <w:spacing w:before="240"/>
              <w:jc w:val="both"/>
              <w:rPr>
                <w:rFonts w:ascii="Arial" w:hAnsi="Arial" w:cs="Arial"/>
                <w:b/>
                <w:bCs/>
                <w:szCs w:val="22"/>
              </w:rPr>
            </w:pPr>
            <w:r w:rsidRPr="00B526EA">
              <w:rPr>
                <w:rFonts w:ascii="Arial" w:hAnsi="Arial" w:cs="Arial"/>
                <w:b/>
                <w:bCs/>
                <w:szCs w:val="22"/>
              </w:rPr>
              <w:t>ACE perspective / model</w:t>
            </w:r>
          </w:p>
        </w:tc>
        <w:tc>
          <w:tcPr>
            <w:tcW w:w="0" w:type="auto"/>
            <w:hideMark/>
          </w:tcPr>
          <w:p w14:paraId="4290285C" w14:textId="77777777" w:rsidR="006C085B" w:rsidRPr="00B526EA" w:rsidRDefault="006C085B" w:rsidP="00F31E94">
            <w:pPr>
              <w:spacing w:before="240"/>
              <w:jc w:val="both"/>
              <w:rPr>
                <w:rFonts w:ascii="Arial" w:hAnsi="Arial" w:cs="Arial"/>
                <w:b/>
                <w:bCs/>
                <w:szCs w:val="22"/>
              </w:rPr>
            </w:pPr>
            <w:r w:rsidRPr="00B526EA">
              <w:rPr>
                <w:rFonts w:ascii="Arial" w:hAnsi="Arial" w:cs="Arial"/>
                <w:b/>
                <w:bCs/>
                <w:szCs w:val="22"/>
              </w:rPr>
              <w:t>Strengths</w:t>
            </w:r>
          </w:p>
        </w:tc>
        <w:tc>
          <w:tcPr>
            <w:tcW w:w="0" w:type="auto"/>
            <w:hideMark/>
          </w:tcPr>
          <w:p w14:paraId="2F693B4C" w14:textId="77777777" w:rsidR="006C085B" w:rsidRPr="00B526EA" w:rsidRDefault="006C085B" w:rsidP="00F31E94">
            <w:pPr>
              <w:spacing w:before="240"/>
              <w:jc w:val="both"/>
              <w:rPr>
                <w:rFonts w:ascii="Arial" w:hAnsi="Arial" w:cs="Arial"/>
                <w:b/>
                <w:bCs/>
                <w:szCs w:val="22"/>
              </w:rPr>
            </w:pPr>
            <w:r w:rsidRPr="00B526EA">
              <w:rPr>
                <w:rFonts w:ascii="Arial" w:hAnsi="Arial" w:cs="Arial"/>
                <w:b/>
                <w:bCs/>
                <w:szCs w:val="22"/>
              </w:rPr>
              <w:t>Limitations</w:t>
            </w:r>
          </w:p>
        </w:tc>
      </w:tr>
      <w:tr w:rsidR="006C085B" w:rsidRPr="00B526EA" w14:paraId="5BCD6DD8" w14:textId="77777777" w:rsidTr="006C085B">
        <w:tc>
          <w:tcPr>
            <w:tcW w:w="0" w:type="auto"/>
            <w:hideMark/>
          </w:tcPr>
          <w:p w14:paraId="79318014"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Attachment theory</w:t>
            </w:r>
          </w:p>
        </w:tc>
        <w:tc>
          <w:tcPr>
            <w:tcW w:w="0" w:type="auto"/>
            <w:hideMark/>
          </w:tcPr>
          <w:p w14:paraId="7B0B775F"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Clear relational mechanism; clinically interpretable; useful for explaining depression/anxiety and interpersonal outcomes</w:t>
            </w:r>
          </w:p>
        </w:tc>
        <w:tc>
          <w:tcPr>
            <w:tcW w:w="0" w:type="auto"/>
            <w:hideMark/>
          </w:tcPr>
          <w:p w14:paraId="01EF7E50"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Can underweight structural factors (e.g., poverty); attachment measures vary and may be method-sensitive</w:t>
            </w:r>
          </w:p>
        </w:tc>
      </w:tr>
      <w:tr w:rsidR="006C085B" w:rsidRPr="00B526EA" w14:paraId="019300FF" w14:textId="77777777" w:rsidTr="006C085B">
        <w:tc>
          <w:tcPr>
            <w:tcW w:w="0" w:type="auto"/>
            <w:hideMark/>
          </w:tcPr>
          <w:p w14:paraId="72FBECCE"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Allostatic load / toxic stress</w:t>
            </w:r>
          </w:p>
        </w:tc>
        <w:tc>
          <w:tcPr>
            <w:tcW w:w="0" w:type="auto"/>
            <w:hideMark/>
          </w:tcPr>
          <w:p w14:paraId="45B89CE9"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Strong biological plausibility for threat-based ACEs; helps interpret PTSD/hyperarousal and trauma-related risk</w:t>
            </w:r>
          </w:p>
        </w:tc>
        <w:tc>
          <w:tcPr>
            <w:tcW w:w="0" w:type="auto"/>
            <w:hideMark/>
          </w:tcPr>
          <w:p w14:paraId="56687D12"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Biomarker evidence can be inconsistent/costly; timing and confounding issues; physiology influenced by non-ACE factors</w:t>
            </w:r>
          </w:p>
        </w:tc>
      </w:tr>
      <w:tr w:rsidR="006C085B" w:rsidRPr="00B526EA" w14:paraId="03C5BC2C" w14:textId="77777777" w:rsidTr="006C085B">
        <w:tc>
          <w:tcPr>
            <w:tcW w:w="0" w:type="auto"/>
            <w:hideMark/>
          </w:tcPr>
          <w:p w14:paraId="7F99E7DC"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Life-course developmental psychopathology</w:t>
            </w:r>
          </w:p>
        </w:tc>
        <w:tc>
          <w:tcPr>
            <w:tcW w:w="0" w:type="auto"/>
            <w:hideMark/>
          </w:tcPr>
          <w:p w14:paraId="4E60F016"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Captures timing/chronicity and trajectories; supports moderator analysis and nuanced inference</w:t>
            </w:r>
          </w:p>
        </w:tc>
        <w:tc>
          <w:tcPr>
            <w:tcW w:w="0" w:type="auto"/>
            <w:hideMark/>
          </w:tcPr>
          <w:p w14:paraId="77E76976"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Mostly observational evidence; complex constructs reduce comparability across heterogeneous studies</w:t>
            </w:r>
          </w:p>
        </w:tc>
      </w:tr>
      <w:tr w:rsidR="006C085B" w:rsidRPr="00B526EA" w14:paraId="45FD50AF" w14:textId="77777777" w:rsidTr="006C085B">
        <w:tc>
          <w:tcPr>
            <w:tcW w:w="0" w:type="auto"/>
            <w:hideMark/>
          </w:tcPr>
          <w:p w14:paraId="53D09177"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Cumulative ACE score (risk-count)</w:t>
            </w:r>
          </w:p>
        </w:tc>
        <w:tc>
          <w:tcPr>
            <w:tcW w:w="0" w:type="auto"/>
            <w:hideMark/>
          </w:tcPr>
          <w:p w14:paraId="036965E4"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Simple communication; useful for population-level risk and broad screening</w:t>
            </w:r>
          </w:p>
        </w:tc>
        <w:tc>
          <w:tcPr>
            <w:tcW w:w="0" w:type="auto"/>
            <w:hideMark/>
          </w:tcPr>
          <w:p w14:paraId="7D767F44" w14:textId="77777777" w:rsidR="006C085B" w:rsidRPr="00B526EA" w:rsidRDefault="006C085B" w:rsidP="00F31E94">
            <w:pPr>
              <w:spacing w:before="240"/>
              <w:jc w:val="both"/>
              <w:rPr>
                <w:rFonts w:ascii="Arial" w:hAnsi="Arial" w:cs="Arial"/>
                <w:szCs w:val="22"/>
              </w:rPr>
            </w:pPr>
            <w:r w:rsidRPr="00B526EA">
              <w:rPr>
                <w:rFonts w:ascii="Arial" w:hAnsi="Arial" w:cs="Arial"/>
                <w:szCs w:val="22"/>
              </w:rPr>
              <w:t>Flattens differences between ACE types; weak for mechanism-aware, targeted referral decisions</w:t>
            </w:r>
          </w:p>
        </w:tc>
      </w:tr>
    </w:tbl>
    <w:p w14:paraId="5F015076" w14:textId="77777777" w:rsidR="006C085B" w:rsidRPr="00B526EA" w:rsidRDefault="006C085B" w:rsidP="00F31E94">
      <w:pPr>
        <w:spacing w:before="240" w:after="100" w:afterAutospacing="1"/>
        <w:jc w:val="both"/>
        <w:rPr>
          <w:rFonts w:ascii="Arial" w:hAnsi="Arial" w:cs="Arial"/>
          <w:szCs w:val="22"/>
        </w:rPr>
      </w:pPr>
    </w:p>
    <w:p w14:paraId="43277B2D" w14:textId="4CCC7897" w:rsidR="002B1585" w:rsidRPr="00B526EA" w:rsidRDefault="002B1585" w:rsidP="00F31E94">
      <w:pPr>
        <w:pStyle w:val="Heading2"/>
        <w:spacing w:before="240"/>
        <w:jc w:val="both"/>
        <w:rPr>
          <w:rFonts w:ascii="Arial" w:eastAsia="Times New Roman" w:hAnsi="Arial" w:cs="Arial"/>
          <w:sz w:val="22"/>
          <w:szCs w:val="22"/>
        </w:rPr>
      </w:pPr>
      <w:bookmarkStart w:id="12" w:name="_Toc220350518"/>
      <w:r w:rsidRPr="00B526EA">
        <w:rPr>
          <w:rFonts w:ascii="Arial" w:eastAsia="Times New Roman" w:hAnsi="Arial" w:cs="Arial"/>
          <w:sz w:val="22"/>
          <w:szCs w:val="22"/>
        </w:rPr>
        <w:t>2.4 International Context</w:t>
      </w:r>
      <w:bookmarkEnd w:id="12"/>
      <w:r w:rsidRPr="00B526EA">
        <w:rPr>
          <w:rFonts w:ascii="Arial" w:eastAsia="Times New Roman" w:hAnsi="Arial" w:cs="Arial"/>
          <w:sz w:val="22"/>
          <w:szCs w:val="22"/>
        </w:rPr>
        <w:t xml:space="preserve"> </w:t>
      </w:r>
    </w:p>
    <w:p w14:paraId="79F25FA8" w14:textId="77777777" w:rsidR="00EC7B31" w:rsidRDefault="00EC7B31" w:rsidP="00F31E94">
      <w:pPr>
        <w:spacing w:before="240" w:after="100" w:afterAutospacing="1"/>
        <w:jc w:val="both"/>
        <w:rPr>
          <w:rFonts w:ascii="Arial" w:hAnsi="Arial" w:cs="Arial"/>
          <w:szCs w:val="22"/>
        </w:rPr>
      </w:pPr>
      <w:r w:rsidRPr="00EC7B31">
        <w:rPr>
          <w:rFonts w:ascii="Arial" w:hAnsi="Arial" w:cs="Arial"/>
          <w:szCs w:val="22"/>
        </w:rPr>
        <w:t>Canada confronts ACEs using population health and trauma-informed practice. Provinces promote normal enquiry in primary care and youth care services, yet the adoption depends on the clinic capacity and Indigenous governance. An example is in practice British Columbia, which uses primary care networks in which brief ACE questions are combined with safety planning and immediate referral to counselling, income advice and housing assists. Assessments indicate an improved involvement of young-adults, but clinicians cautiously oppose simple scoring and insist on culturally-safe assessments developed in partnership with First-Nations (MacCarthy et al., 2012).</w:t>
      </w:r>
    </w:p>
    <w:p w14:paraId="660CA28D" w14:textId="07CE924C" w:rsidR="00D9739B" w:rsidRPr="00B526EA" w:rsidRDefault="0059689D" w:rsidP="0059689D">
      <w:pPr>
        <w:spacing w:before="240" w:after="100" w:afterAutospacing="1"/>
        <w:jc w:val="both"/>
        <w:rPr>
          <w:rFonts w:ascii="Arial" w:hAnsi="Arial" w:cs="Arial"/>
          <w:szCs w:val="22"/>
        </w:rPr>
      </w:pPr>
      <w:r>
        <w:rPr>
          <w:rFonts w:ascii="Arial" w:hAnsi="Arial" w:cs="Arial"/>
          <w:szCs w:val="22"/>
        </w:rPr>
        <w:t xml:space="preserve">In US, pediatrics, justice organisations and family medicine centers recognise ACE practices. The states in US reimburse screening in Medicaid which encourage ACE practices while arguing about different harms if there is no ACE follow up resources. In California, reimbursement state opportunities and trainings expanded screening in young adults in safety clinics. These gave benefits like early detection of PTSD and substance use. However, chalelnges were faced like poor data quality </w:t>
      </w:r>
      <w:r w:rsidR="002B1585" w:rsidRPr="00B526EA">
        <w:rPr>
          <w:rFonts w:ascii="Arial" w:hAnsi="Arial" w:cs="Arial"/>
          <w:szCs w:val="22"/>
        </w:rPr>
        <w:t>and variable fidelity to trauma-informed principles</w:t>
      </w:r>
      <w:r w:rsidR="00D9739B" w:rsidRPr="00B526EA">
        <w:rPr>
          <w:rFonts w:ascii="Arial" w:hAnsi="Arial" w:cs="Arial"/>
          <w:szCs w:val="22"/>
        </w:rPr>
        <w:t xml:space="preserve"> (Barnes </w:t>
      </w:r>
      <w:r w:rsidR="00D9739B" w:rsidRPr="00B526EA">
        <w:rPr>
          <w:rFonts w:ascii="Arial" w:hAnsi="Arial" w:cs="Arial"/>
          <w:i/>
          <w:iCs/>
          <w:szCs w:val="22"/>
        </w:rPr>
        <w:t>et al.</w:t>
      </w:r>
      <w:r w:rsidR="00D9739B" w:rsidRPr="00B526EA">
        <w:rPr>
          <w:rFonts w:ascii="Arial" w:hAnsi="Arial" w:cs="Arial"/>
          <w:szCs w:val="22"/>
        </w:rPr>
        <w:t xml:space="preserve">, 2020; Viglione </w:t>
      </w:r>
      <w:r w:rsidR="00D9739B" w:rsidRPr="00B526EA">
        <w:rPr>
          <w:rFonts w:ascii="Arial" w:hAnsi="Arial" w:cs="Arial"/>
          <w:i/>
          <w:iCs/>
          <w:szCs w:val="22"/>
        </w:rPr>
        <w:t>et al.</w:t>
      </w:r>
      <w:r w:rsidR="00D9739B" w:rsidRPr="00B526EA">
        <w:rPr>
          <w:rFonts w:ascii="Arial" w:hAnsi="Arial" w:cs="Arial"/>
          <w:szCs w:val="22"/>
        </w:rPr>
        <w:t>, 2025)</w:t>
      </w:r>
      <w:r w:rsidR="002B1585" w:rsidRPr="00B526EA">
        <w:rPr>
          <w:rFonts w:ascii="Arial" w:hAnsi="Arial" w:cs="Arial"/>
          <w:szCs w:val="22"/>
        </w:rPr>
        <w:t>.</w:t>
      </w:r>
    </w:p>
    <w:p w14:paraId="4FB10F59" w14:textId="4FB23DF8" w:rsidR="004B3A81" w:rsidRPr="004B3A81" w:rsidRDefault="004B3A81" w:rsidP="00126FDC">
      <w:pPr>
        <w:spacing w:before="240"/>
        <w:jc w:val="both"/>
        <w:rPr>
          <w:rFonts w:ascii="Arial" w:hAnsi="Arial" w:cs="Arial"/>
          <w:szCs w:val="22"/>
        </w:rPr>
      </w:pPr>
      <w:r w:rsidRPr="004B3A81">
        <w:rPr>
          <w:rFonts w:ascii="Arial" w:hAnsi="Arial" w:cs="Arial"/>
          <w:szCs w:val="22"/>
        </w:rPr>
        <w:t xml:space="preserve">Australia situates adversity in the context of trauma-sensitive, healing-oriented practice. States have experimented with school, university and community programmes that </w:t>
      </w:r>
      <w:r w:rsidR="003E7B34">
        <w:rPr>
          <w:rFonts w:ascii="Arial" w:hAnsi="Arial" w:cs="Arial"/>
          <w:szCs w:val="22"/>
        </w:rPr>
        <w:t>normalise</w:t>
      </w:r>
      <w:r w:rsidRPr="004B3A81">
        <w:rPr>
          <w:rFonts w:ascii="Arial" w:hAnsi="Arial" w:cs="Arial"/>
          <w:szCs w:val="22"/>
        </w:rPr>
        <w:t xml:space="preserve"> help-seeking and differentiate between threat-based adversities like physical abuse and reorgani</w:t>
      </w:r>
      <w:r w:rsidR="003E7B34">
        <w:rPr>
          <w:rFonts w:ascii="Arial" w:hAnsi="Arial" w:cs="Arial"/>
          <w:szCs w:val="22"/>
        </w:rPr>
        <w:t>s</w:t>
      </w:r>
      <w:r w:rsidRPr="004B3A81">
        <w:rPr>
          <w:rFonts w:ascii="Arial" w:hAnsi="Arial" w:cs="Arial"/>
          <w:szCs w:val="22"/>
        </w:rPr>
        <w:t>ation of families like separation. The campus-based model in Victoria combines short-term screening, on-site psychological assistance, and family violence legal aid. Assessments show a decrease in symptom severity and greater academic retention, and the staff note workload, supervision requests, and the possibility of over-screening with the absence of defined referral channels (Fisher et al., 2020).</w:t>
      </w:r>
    </w:p>
    <w:p w14:paraId="633E48D0" w14:textId="18403788" w:rsidR="004B3A81" w:rsidRDefault="004B3A81" w:rsidP="004B3A81">
      <w:pPr>
        <w:spacing w:before="240"/>
        <w:jc w:val="both"/>
        <w:rPr>
          <w:rFonts w:ascii="Arial" w:hAnsi="Arial" w:cs="Arial"/>
          <w:szCs w:val="22"/>
        </w:rPr>
      </w:pPr>
      <w:r w:rsidRPr="004B3A81">
        <w:rPr>
          <w:rFonts w:ascii="Arial" w:hAnsi="Arial" w:cs="Arial"/>
          <w:szCs w:val="22"/>
        </w:rPr>
        <w:t xml:space="preserve">Nordic nations, including Sweden, focus on universal prevention, early assistance, and robust social welfare. Municipal family counselling and youth health clinics </w:t>
      </w:r>
      <w:r w:rsidR="003E7B34">
        <w:rPr>
          <w:rFonts w:ascii="Arial" w:hAnsi="Arial" w:cs="Arial"/>
          <w:szCs w:val="22"/>
        </w:rPr>
        <w:t>minimise</w:t>
      </w:r>
      <w:r w:rsidRPr="004B3A81">
        <w:rPr>
          <w:rFonts w:ascii="Arial" w:hAnsi="Arial" w:cs="Arial"/>
          <w:szCs w:val="22"/>
        </w:rPr>
        <w:t xml:space="preserve"> the separation barriers to care and provide specific trauma treatment following abuse. A Stockholm municipal programme connects school nurses, social workers, and primary care to conflict and housing relocation upon separation during abuse history screening. Such accomplishments as high coverage and continuity, waiting times to specialist trauma therapy, and cross-municipal coordination are persistent challenges (Moberg et al., 2025).</w:t>
      </w:r>
    </w:p>
    <w:p w14:paraId="015AFB9A" w14:textId="38F3277A" w:rsidR="0098161E" w:rsidRPr="00B526EA" w:rsidRDefault="0098161E" w:rsidP="004B3A81">
      <w:pPr>
        <w:spacing w:before="240"/>
        <w:jc w:val="both"/>
        <w:rPr>
          <w:rFonts w:ascii="Arial" w:hAnsi="Arial" w:cs="Arial"/>
          <w:szCs w:val="22"/>
        </w:rPr>
      </w:pPr>
      <w:r w:rsidRPr="00B526EA">
        <w:rPr>
          <w:rFonts w:ascii="Arial" w:hAnsi="Arial" w:cs="Arial"/>
          <w:szCs w:val="22"/>
        </w:rPr>
        <w:t>Cross-national differences in success at reducing ACE-related harms appear to be driven less by whether ACEs are recognised and more by how well recognition is translated into resourced, equitable systems of response. Settings that perform better tend to combine routine enquiry with strong welfare infrastructure and integrated referral pathways, so disclosures lead to timely access to psychological support alongside practical assistance that addresses common downstream stressors such as housing and income instability (as illustrated by British Columbia’s linkage of screening to counselling, income advice, and housing supports)</w:t>
      </w:r>
      <w:r w:rsidR="00554DDF" w:rsidRPr="00B526EA">
        <w:rPr>
          <w:rFonts w:ascii="Arial" w:hAnsi="Arial" w:cs="Arial"/>
          <w:szCs w:val="22"/>
        </w:rPr>
        <w:t xml:space="preserve"> (Bispo </w:t>
      </w:r>
      <w:r w:rsidR="00554DDF" w:rsidRPr="00B526EA">
        <w:rPr>
          <w:rFonts w:ascii="Arial" w:hAnsi="Arial" w:cs="Arial"/>
          <w:i/>
          <w:iCs/>
          <w:szCs w:val="22"/>
        </w:rPr>
        <w:t>et al.</w:t>
      </w:r>
      <w:r w:rsidR="00554DDF" w:rsidRPr="00B526EA">
        <w:rPr>
          <w:rFonts w:ascii="Arial" w:hAnsi="Arial" w:cs="Arial"/>
          <w:szCs w:val="22"/>
        </w:rPr>
        <w:t>, 2024)</w:t>
      </w:r>
      <w:r w:rsidRPr="00B526EA">
        <w:rPr>
          <w:rFonts w:ascii="Arial" w:hAnsi="Arial" w:cs="Arial"/>
          <w:szCs w:val="22"/>
        </w:rPr>
        <w:t>. In contrast, jurisdictions that expand screening rapidly through reimbursement or training but do not simultaneously expand treatment capacity can increase identification without reliably reducing harm, creating uneven follow-up and ethical concerns about over-screening when services are limited (a risk highlighted in parts of the United States where referral capacity and fidelity vary)</w:t>
      </w:r>
      <w:r w:rsidR="000429E8" w:rsidRPr="00B526EA">
        <w:rPr>
          <w:rFonts w:ascii="Arial" w:hAnsi="Arial" w:cs="Arial"/>
          <w:szCs w:val="22"/>
        </w:rPr>
        <w:t xml:space="preserve"> (Bunting </w:t>
      </w:r>
      <w:r w:rsidR="000429E8" w:rsidRPr="00B526EA">
        <w:rPr>
          <w:rFonts w:ascii="Arial" w:hAnsi="Arial" w:cs="Arial"/>
          <w:i/>
          <w:iCs/>
          <w:szCs w:val="22"/>
        </w:rPr>
        <w:t>et al.</w:t>
      </w:r>
      <w:r w:rsidR="000429E8" w:rsidRPr="00B526EA">
        <w:rPr>
          <w:rFonts w:ascii="Arial" w:hAnsi="Arial" w:cs="Arial"/>
          <w:szCs w:val="22"/>
        </w:rPr>
        <w:t>, 2023)</w:t>
      </w:r>
      <w:r w:rsidRPr="00B526EA">
        <w:rPr>
          <w:rFonts w:ascii="Arial" w:hAnsi="Arial" w:cs="Arial"/>
          <w:szCs w:val="22"/>
        </w:rPr>
        <w:t>. Countries with universal prevention and robust social protection, such as the Nordics, may buffer the material and relational disruptions associated with parental separation and reduce barriers to care through accessible youth health services, while still facing challenges when specialist trauma provision is constrained by waiting times and coordination</w:t>
      </w:r>
      <w:r w:rsidR="0098487D">
        <w:rPr>
          <w:rFonts w:ascii="Arial" w:hAnsi="Arial" w:cs="Arial"/>
          <w:szCs w:val="22"/>
        </w:rPr>
        <w:t xml:space="preserve"> </w:t>
      </w:r>
      <w:r w:rsidRPr="00B526EA">
        <w:rPr>
          <w:rFonts w:ascii="Arial" w:hAnsi="Arial" w:cs="Arial"/>
          <w:szCs w:val="22"/>
        </w:rPr>
        <w:t>(MacCarthy et al., 2012; Barnes et al., 2020; Fisher et al., 2020; Moberg et al., 2025).</w:t>
      </w:r>
    </w:p>
    <w:p w14:paraId="4398DA97" w14:textId="73EC6EA7" w:rsidR="002B1585" w:rsidRPr="00B526EA" w:rsidRDefault="002B1585" w:rsidP="00F31E94">
      <w:pPr>
        <w:pStyle w:val="Heading2"/>
        <w:spacing w:before="240"/>
        <w:jc w:val="both"/>
        <w:rPr>
          <w:rFonts w:ascii="Arial" w:eastAsia="Times New Roman" w:hAnsi="Arial" w:cs="Arial"/>
          <w:sz w:val="22"/>
          <w:szCs w:val="22"/>
        </w:rPr>
      </w:pPr>
      <w:bookmarkStart w:id="13" w:name="_Toc220350519"/>
      <w:r w:rsidRPr="00B526EA">
        <w:rPr>
          <w:rFonts w:ascii="Arial" w:eastAsia="Times New Roman" w:hAnsi="Arial" w:cs="Arial"/>
          <w:sz w:val="22"/>
          <w:szCs w:val="22"/>
        </w:rPr>
        <w:t>2.5 National/Local UK Context</w:t>
      </w:r>
      <w:bookmarkEnd w:id="13"/>
      <w:r w:rsidRPr="00B526EA">
        <w:rPr>
          <w:rFonts w:ascii="Arial" w:eastAsia="Times New Roman" w:hAnsi="Arial" w:cs="Arial"/>
          <w:sz w:val="22"/>
          <w:szCs w:val="22"/>
        </w:rPr>
        <w:t xml:space="preserve"> </w:t>
      </w:r>
    </w:p>
    <w:p w14:paraId="5A06B649" w14:textId="725C9B52" w:rsidR="002B1585" w:rsidRPr="00B526EA" w:rsidRDefault="00126FDC" w:rsidP="002A1CCB">
      <w:pPr>
        <w:spacing w:before="240" w:after="100" w:afterAutospacing="1"/>
        <w:jc w:val="both"/>
        <w:rPr>
          <w:rFonts w:ascii="Arial" w:hAnsi="Arial" w:cs="Arial"/>
          <w:szCs w:val="22"/>
        </w:rPr>
      </w:pPr>
      <w:r>
        <w:rPr>
          <w:rFonts w:ascii="Arial" w:hAnsi="Arial" w:cs="Arial"/>
          <w:szCs w:val="22"/>
        </w:rPr>
        <w:t xml:space="preserve">In UK, ACE practices include prevention and safeguarding of trauma but practices differes by area, in primary care, universities and community care institutions, mental health of adult is prioritised, however there is no routine examination of different ACE types as argued by Smyth and McSherry (2024). </w:t>
      </w:r>
      <w:r w:rsidR="002A1CCB">
        <w:rPr>
          <w:rFonts w:ascii="Arial" w:hAnsi="Arial" w:cs="Arial"/>
          <w:szCs w:val="22"/>
        </w:rPr>
        <w:t xml:space="preserve">NHS England (2023) argue that </w:t>
      </w:r>
      <w:r w:rsidR="002B1585" w:rsidRPr="00B526EA">
        <w:rPr>
          <w:rFonts w:ascii="Arial" w:hAnsi="Arial" w:cs="Arial"/>
          <w:szCs w:val="22"/>
        </w:rPr>
        <w:t>physical abuse and parental separation can act through different mechanisms; however, many frontline tools still rely on cumulative counts, which limits tailoring of risk assessment and referral. Trends include expansion of NHS Talking Therapies for anxiety and depression</w:t>
      </w:r>
      <w:r w:rsidR="000D37A4" w:rsidRPr="00B526EA">
        <w:rPr>
          <w:rFonts w:ascii="Arial" w:hAnsi="Arial" w:cs="Arial"/>
          <w:szCs w:val="22"/>
        </w:rPr>
        <w:t xml:space="preserve"> (NHS England, 2023)</w:t>
      </w:r>
      <w:r w:rsidR="002B1585" w:rsidRPr="00B526EA">
        <w:rPr>
          <w:rFonts w:ascii="Arial" w:hAnsi="Arial" w:cs="Arial"/>
          <w:szCs w:val="22"/>
        </w:rPr>
        <w:t>, growth of primary care mental health practitioners in general practice, and greater attention to self-harm and suicide prevention in young people. Universities have widened wellbeing provision and case-management, though capacity and continuity at term breaks remain uneven</w:t>
      </w:r>
      <w:r w:rsidR="000D37A4" w:rsidRPr="00B526EA">
        <w:rPr>
          <w:rFonts w:ascii="Arial" w:hAnsi="Arial" w:cs="Arial"/>
          <w:szCs w:val="22"/>
        </w:rPr>
        <w:t xml:space="preserve"> (Thomson, 2024)</w:t>
      </w:r>
      <w:r w:rsidR="002B1585" w:rsidRPr="00B526EA">
        <w:rPr>
          <w:rFonts w:ascii="Arial" w:hAnsi="Arial" w:cs="Arial"/>
          <w:szCs w:val="22"/>
        </w:rPr>
        <w:t>.</w:t>
      </w:r>
    </w:p>
    <w:p w14:paraId="17E5AF5D" w14:textId="77777777" w:rsidR="002A1CCB" w:rsidRDefault="002A1CCB" w:rsidP="00F31E94">
      <w:pPr>
        <w:spacing w:before="240" w:after="100" w:afterAutospacing="1"/>
        <w:jc w:val="both"/>
        <w:rPr>
          <w:rFonts w:ascii="Arial" w:hAnsi="Arial" w:cs="Arial"/>
          <w:szCs w:val="22"/>
        </w:rPr>
      </w:pPr>
      <w:r w:rsidRPr="002A1CCB">
        <w:rPr>
          <w:rFonts w:ascii="Arial" w:hAnsi="Arial" w:cs="Arial"/>
          <w:szCs w:val="22"/>
        </w:rPr>
        <w:t xml:space="preserve">Policy frameworks applicable to this subject cut across health, social care, and justice. NICE recommendations on depression, PTSD, self-harm, and domestic abuse promote trauma-informed evaluation and joint safety planning (NICE, 2022). The Children Act and Working Together to Safeguard Children safeguarding duties impact responses to abuse and neglect whilst family justice reforms and mediation policy affect patterns of separation and post-separation contact (Gov UK, 2025). </w:t>
      </w:r>
    </w:p>
    <w:p w14:paraId="2417C508" w14:textId="2B55DC00" w:rsidR="002B1585" w:rsidRPr="00B526EA" w:rsidRDefault="002B1585" w:rsidP="00F31E94">
      <w:pPr>
        <w:spacing w:before="240" w:after="100" w:afterAutospacing="1"/>
        <w:jc w:val="both"/>
        <w:rPr>
          <w:rFonts w:ascii="Arial" w:hAnsi="Arial" w:cs="Arial"/>
          <w:szCs w:val="22"/>
        </w:rPr>
      </w:pPr>
      <w:r w:rsidRPr="00B526EA">
        <w:rPr>
          <w:rFonts w:ascii="Arial" w:hAnsi="Arial" w:cs="Arial"/>
          <w:szCs w:val="22"/>
        </w:rPr>
        <w:t>At local level, Integrated Care Systems and authorities commission services that determine whether enquiry about ACE types is embedded in triage and whether referral pathways recognise different mechanisms. Some areas operate multi-agency hubs where primary care, mental health, housing, and domestic abuse services co-locate. Where these exist, young adults disclosing physical abuse can access rapid trauma-focused interventions and legal support, while those experiencing fallout from parental separation receive mediation, financial advice, and counselling</w:t>
      </w:r>
      <w:r w:rsidR="008E1A32" w:rsidRPr="00B526EA">
        <w:rPr>
          <w:rFonts w:ascii="Arial" w:hAnsi="Arial" w:cs="Arial"/>
          <w:szCs w:val="22"/>
        </w:rPr>
        <w:t xml:space="preserve"> (HM Government, 2023)</w:t>
      </w:r>
      <w:r w:rsidRPr="00B526EA">
        <w:rPr>
          <w:rFonts w:ascii="Arial" w:hAnsi="Arial" w:cs="Arial"/>
          <w:szCs w:val="22"/>
        </w:rPr>
        <w:t>. Other areas rely on signposting across fragmented providers, which increases drop-out and weakens continuity. Regional variation is also shaped by devolved administrations. Scotland emphasises a public-health approach to adversity, with strong local partnerships and routine enquiry pilots in primary care and justice settings</w:t>
      </w:r>
      <w:r w:rsidR="008E1A32" w:rsidRPr="00B526EA">
        <w:rPr>
          <w:rFonts w:ascii="Arial" w:hAnsi="Arial" w:cs="Arial"/>
          <w:szCs w:val="22"/>
        </w:rPr>
        <w:t xml:space="preserve"> (Stewart </w:t>
      </w:r>
      <w:r w:rsidR="008E1A32" w:rsidRPr="00B526EA">
        <w:rPr>
          <w:rFonts w:ascii="Arial" w:hAnsi="Arial" w:cs="Arial"/>
          <w:i/>
          <w:iCs/>
          <w:szCs w:val="22"/>
        </w:rPr>
        <w:t>et al.</w:t>
      </w:r>
      <w:r w:rsidR="008E1A32" w:rsidRPr="00B526EA">
        <w:rPr>
          <w:rFonts w:ascii="Arial" w:hAnsi="Arial" w:cs="Arial"/>
          <w:szCs w:val="22"/>
        </w:rPr>
        <w:t>, 2022)</w:t>
      </w:r>
      <w:r w:rsidRPr="00B526EA">
        <w:rPr>
          <w:rFonts w:ascii="Arial" w:hAnsi="Arial" w:cs="Arial"/>
          <w:szCs w:val="22"/>
        </w:rPr>
        <w:t>. Wales has invested in early help services and school-based mental health teams, supporting smoother handovers between child and adult services. Northern Ireland’s services are influenced by legacy trauma and rural access constraints, creating reliance on voluntary sector counselling and outreach</w:t>
      </w:r>
      <w:r w:rsidR="003A0DCD" w:rsidRPr="00B526EA">
        <w:rPr>
          <w:rFonts w:ascii="Arial" w:hAnsi="Arial" w:cs="Arial"/>
          <w:szCs w:val="22"/>
        </w:rPr>
        <w:t xml:space="preserve"> (Gov Wales, 2024)</w:t>
      </w:r>
      <w:r w:rsidRPr="00B526EA">
        <w:rPr>
          <w:rFonts w:ascii="Arial" w:hAnsi="Arial" w:cs="Arial"/>
          <w:szCs w:val="22"/>
        </w:rPr>
        <w:t>.</w:t>
      </w:r>
    </w:p>
    <w:p w14:paraId="3F7C33D2" w14:textId="5BBA66B3" w:rsidR="00473294" w:rsidRPr="00B526EA" w:rsidRDefault="00473294" w:rsidP="00F31E94">
      <w:pPr>
        <w:spacing w:before="240" w:after="100" w:afterAutospacing="1"/>
        <w:jc w:val="both"/>
        <w:rPr>
          <w:rFonts w:ascii="Arial" w:hAnsi="Arial" w:cs="Arial"/>
          <w:szCs w:val="22"/>
        </w:rPr>
      </w:pPr>
      <w:r w:rsidRPr="00B526EA">
        <w:rPr>
          <w:rFonts w:ascii="Arial" w:hAnsi="Arial" w:cs="Arial"/>
          <w:szCs w:val="22"/>
        </w:rPr>
        <w:t xml:space="preserve">The figure shows how different UK policy domains including health, safeguarding, justice, and equity intersect around young adults aged </w:t>
      </w:r>
      <w:r w:rsidR="00CD01F2" w:rsidRPr="00B526EA">
        <w:rPr>
          <w:rFonts w:ascii="Arial" w:hAnsi="Arial" w:cs="Arial"/>
          <w:szCs w:val="22"/>
        </w:rPr>
        <w:t xml:space="preserve">15-30 </w:t>
      </w:r>
      <w:r w:rsidRPr="00B526EA">
        <w:rPr>
          <w:rFonts w:ascii="Arial" w:hAnsi="Arial" w:cs="Arial"/>
          <w:szCs w:val="22"/>
        </w:rPr>
        <w:t>shaping how ACE-related harms from physical abuse and parental separation are identified and addressed.</w:t>
      </w:r>
    </w:p>
    <w:p w14:paraId="37C9082D" w14:textId="77777777" w:rsidR="00473294" w:rsidRPr="00B526EA" w:rsidRDefault="00473294" w:rsidP="00B53957">
      <w:pPr>
        <w:keepNext/>
        <w:spacing w:before="240" w:after="100" w:afterAutospacing="1"/>
        <w:jc w:val="center"/>
        <w:rPr>
          <w:rFonts w:ascii="Arial" w:hAnsi="Arial" w:cs="Arial"/>
          <w:szCs w:val="22"/>
        </w:rPr>
      </w:pPr>
      <w:r w:rsidRPr="00B526EA">
        <w:rPr>
          <w:rFonts w:ascii="Arial" w:hAnsi="Arial" w:cs="Arial"/>
          <w:noProof/>
          <w:szCs w:val="22"/>
        </w:rPr>
        <w:drawing>
          <wp:inline distT="0" distB="0" distL="0" distR="0" wp14:anchorId="0751A577" wp14:editId="30D03DA8">
            <wp:extent cx="5731510" cy="3312160"/>
            <wp:effectExtent l="0" t="0" r="0" b="2540"/>
            <wp:docPr id="794140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40673" name=""/>
                    <pic:cNvPicPr/>
                  </pic:nvPicPr>
                  <pic:blipFill>
                    <a:blip r:embed="rId10"/>
                    <a:stretch>
                      <a:fillRect/>
                    </a:stretch>
                  </pic:blipFill>
                  <pic:spPr>
                    <a:xfrm>
                      <a:off x="0" y="0"/>
                      <a:ext cx="5731510" cy="3312160"/>
                    </a:xfrm>
                    <a:prstGeom prst="rect">
                      <a:avLst/>
                    </a:prstGeom>
                  </pic:spPr>
                </pic:pic>
              </a:graphicData>
            </a:graphic>
          </wp:inline>
        </w:drawing>
      </w:r>
    </w:p>
    <w:p w14:paraId="52B87749" w14:textId="56224ACC" w:rsidR="00311351" w:rsidRPr="00B526EA" w:rsidRDefault="00473294" w:rsidP="00B53957">
      <w:pPr>
        <w:pStyle w:val="Caption"/>
        <w:spacing w:before="240" w:line="360" w:lineRule="auto"/>
        <w:jc w:val="center"/>
        <w:rPr>
          <w:rFonts w:ascii="Arial" w:hAnsi="Arial" w:cs="Arial"/>
        </w:rPr>
      </w:pPr>
      <w:bookmarkStart w:id="14" w:name="_Toc224468218"/>
      <w:r w:rsidRPr="00B526EA">
        <w:rPr>
          <w:rFonts w:ascii="Arial" w:hAnsi="Arial" w:cs="Arial"/>
        </w:rPr>
        <w:t xml:space="preserve">Figure </w:t>
      </w:r>
      <w:r w:rsidRPr="00B526EA">
        <w:rPr>
          <w:rFonts w:ascii="Arial" w:hAnsi="Arial" w:cs="Arial"/>
        </w:rPr>
        <w:fldChar w:fldCharType="begin"/>
      </w:r>
      <w:r w:rsidRPr="00B526EA">
        <w:rPr>
          <w:rFonts w:ascii="Arial" w:hAnsi="Arial" w:cs="Arial"/>
        </w:rPr>
        <w:instrText xml:space="preserve"> SEQ Figure \* ARABIC </w:instrText>
      </w:r>
      <w:r w:rsidRPr="00B526EA">
        <w:rPr>
          <w:rFonts w:ascii="Arial" w:hAnsi="Arial" w:cs="Arial"/>
        </w:rPr>
        <w:fldChar w:fldCharType="separate"/>
      </w:r>
      <w:r w:rsidR="00EF03D7">
        <w:rPr>
          <w:rFonts w:ascii="Arial" w:hAnsi="Arial" w:cs="Arial"/>
          <w:noProof/>
        </w:rPr>
        <w:t>2</w:t>
      </w:r>
      <w:r w:rsidRPr="00B526EA">
        <w:rPr>
          <w:rFonts w:ascii="Arial" w:hAnsi="Arial" w:cs="Arial"/>
        </w:rPr>
        <w:fldChar w:fldCharType="end"/>
      </w:r>
      <w:r w:rsidRPr="00B526EA">
        <w:rPr>
          <w:rFonts w:ascii="Arial" w:hAnsi="Arial" w:cs="Arial"/>
        </w:rPr>
        <w:t>: Policy and practice context relevant to comparing physical abuse and parental separation in UK young adults</w:t>
      </w:r>
      <w:r w:rsidR="00B53957" w:rsidRPr="00B526EA">
        <w:rPr>
          <w:rFonts w:ascii="Arial" w:hAnsi="Arial" w:cs="Arial"/>
        </w:rPr>
        <w:t xml:space="preserve"> (self-created)</w:t>
      </w:r>
      <w:bookmarkEnd w:id="14"/>
    </w:p>
    <w:p w14:paraId="64D28D72" w14:textId="77777777" w:rsidR="00AA7D31" w:rsidRPr="00B526EA" w:rsidRDefault="00AA7D31" w:rsidP="00F31E94">
      <w:pPr>
        <w:spacing w:before="240"/>
        <w:jc w:val="both"/>
        <w:rPr>
          <w:szCs w:val="22"/>
        </w:rPr>
      </w:pPr>
    </w:p>
    <w:p w14:paraId="3EEE9940" w14:textId="23EACBC6" w:rsidR="002B1585" w:rsidRPr="00B526EA" w:rsidRDefault="002B1585" w:rsidP="00F31E94">
      <w:pPr>
        <w:pStyle w:val="Heading2"/>
        <w:spacing w:before="240"/>
        <w:jc w:val="both"/>
        <w:rPr>
          <w:rFonts w:ascii="Arial" w:eastAsia="Times New Roman" w:hAnsi="Arial" w:cs="Arial"/>
          <w:sz w:val="22"/>
          <w:szCs w:val="22"/>
        </w:rPr>
      </w:pPr>
      <w:bookmarkStart w:id="15" w:name="_Toc220350520"/>
      <w:r w:rsidRPr="00B526EA">
        <w:rPr>
          <w:rFonts w:ascii="Arial" w:eastAsia="Times New Roman" w:hAnsi="Arial" w:cs="Arial"/>
          <w:sz w:val="22"/>
          <w:szCs w:val="22"/>
        </w:rPr>
        <w:t>2.6 Conclusion</w:t>
      </w:r>
      <w:bookmarkEnd w:id="15"/>
      <w:r w:rsidRPr="00B526EA">
        <w:rPr>
          <w:rFonts w:ascii="Arial" w:eastAsia="Times New Roman" w:hAnsi="Arial" w:cs="Arial"/>
          <w:sz w:val="22"/>
          <w:szCs w:val="22"/>
        </w:rPr>
        <w:t xml:space="preserve"> </w:t>
      </w:r>
    </w:p>
    <w:p w14:paraId="39661922" w14:textId="6FA31198" w:rsidR="0098487D" w:rsidRDefault="002B1585" w:rsidP="007C23BB">
      <w:pPr>
        <w:spacing w:before="240" w:after="100" w:afterAutospacing="1"/>
        <w:jc w:val="both"/>
        <w:rPr>
          <w:rFonts w:ascii="Arial" w:hAnsi="Arial" w:cs="Arial"/>
          <w:szCs w:val="22"/>
        </w:rPr>
      </w:pPr>
      <w:r w:rsidRPr="00B526EA">
        <w:rPr>
          <w:rFonts w:ascii="Arial" w:hAnsi="Arial" w:cs="Arial"/>
          <w:szCs w:val="22"/>
        </w:rPr>
        <w:t>This chapter established why comparing specific ACEs matters and set the context for examining young-adult mental health. Historically, the field moved from cumulative scores toward mechanism-aware approaches</w:t>
      </w:r>
      <w:r w:rsidR="0015694C" w:rsidRPr="00B526EA">
        <w:rPr>
          <w:rFonts w:ascii="Arial" w:hAnsi="Arial" w:cs="Arial"/>
          <w:szCs w:val="22"/>
        </w:rPr>
        <w:t xml:space="preserve"> (Bunting </w:t>
      </w:r>
      <w:r w:rsidR="0015694C" w:rsidRPr="00B526EA">
        <w:rPr>
          <w:rFonts w:ascii="Arial" w:hAnsi="Arial" w:cs="Arial"/>
          <w:i/>
          <w:iCs/>
          <w:szCs w:val="22"/>
        </w:rPr>
        <w:t>et al.</w:t>
      </w:r>
      <w:r w:rsidR="0015694C" w:rsidRPr="00B526EA">
        <w:rPr>
          <w:rFonts w:ascii="Arial" w:hAnsi="Arial" w:cs="Arial"/>
          <w:szCs w:val="22"/>
        </w:rPr>
        <w:t>, 2023)</w:t>
      </w:r>
      <w:r w:rsidRPr="00B526EA">
        <w:rPr>
          <w:rFonts w:ascii="Arial" w:hAnsi="Arial" w:cs="Arial"/>
          <w:szCs w:val="22"/>
        </w:rPr>
        <w:t xml:space="preserve">. </w:t>
      </w:r>
      <w:r w:rsidR="007C23BB">
        <w:rPr>
          <w:rFonts w:ascii="Arial" w:hAnsi="Arial" w:cs="Arial"/>
          <w:szCs w:val="22"/>
        </w:rPr>
        <w:t xml:space="preserve">In theories, attachment theory, allostatic load and life course thinking explain the reason of different risks and needs of young adults suffering physical abuse and parental separation. Internationally, countries like </w:t>
      </w:r>
      <w:r w:rsidR="007C23BB" w:rsidRPr="00B526EA">
        <w:rPr>
          <w:rFonts w:ascii="Arial" w:hAnsi="Arial" w:cs="Arial"/>
          <w:szCs w:val="22"/>
        </w:rPr>
        <w:t>Canad</w:t>
      </w:r>
      <w:r w:rsidR="007C23BB">
        <w:rPr>
          <w:rFonts w:ascii="Arial" w:hAnsi="Arial" w:cs="Arial"/>
          <w:szCs w:val="22"/>
        </w:rPr>
        <w:t>a</w:t>
      </w:r>
      <w:r w:rsidR="007C23BB" w:rsidRPr="00B526EA">
        <w:rPr>
          <w:rFonts w:ascii="Arial" w:hAnsi="Arial" w:cs="Arial"/>
          <w:szCs w:val="22"/>
        </w:rPr>
        <w:t>, America, Australia, Nordic, and South Africa</w:t>
      </w:r>
      <w:r w:rsidR="007C23BB">
        <w:rPr>
          <w:rFonts w:ascii="Arial" w:hAnsi="Arial" w:cs="Arial"/>
          <w:szCs w:val="22"/>
        </w:rPr>
        <w:t xml:space="preserve"> are adopting different trauma informed practices, however implementation is inconsisent</w:t>
      </w:r>
      <w:r w:rsidR="0015694C" w:rsidRPr="00B526EA">
        <w:rPr>
          <w:rFonts w:ascii="Arial" w:hAnsi="Arial" w:cs="Arial"/>
          <w:szCs w:val="22"/>
        </w:rPr>
        <w:t xml:space="preserve"> (Centers for Disease Control and Prevention, 2024; Connelly and Platt, 2014)</w:t>
      </w:r>
      <w:r w:rsidRPr="00B526EA">
        <w:rPr>
          <w:rFonts w:ascii="Arial" w:hAnsi="Arial" w:cs="Arial"/>
          <w:szCs w:val="22"/>
        </w:rPr>
        <w:t xml:space="preserve">. In the UK, policy frameworks support trauma-informed assessment, yet routine enquiry and referral capacity vary by locality. </w:t>
      </w:r>
    </w:p>
    <w:p w14:paraId="627A01D1" w14:textId="76872367" w:rsidR="002B1585" w:rsidRPr="00B526EA" w:rsidRDefault="002B1585" w:rsidP="00F31E94">
      <w:pPr>
        <w:spacing w:before="240" w:after="100" w:afterAutospacing="1"/>
        <w:jc w:val="both"/>
        <w:rPr>
          <w:rFonts w:ascii="Arial" w:hAnsi="Arial" w:cs="Arial"/>
          <w:szCs w:val="22"/>
        </w:rPr>
      </w:pPr>
      <w:r w:rsidRPr="00B526EA">
        <w:rPr>
          <w:rFonts w:ascii="Arial" w:hAnsi="Arial" w:cs="Arial"/>
          <w:szCs w:val="22"/>
        </w:rPr>
        <w:t>The next chapter outlines methodology: databases, search strategy, inclusion and exclusion criteria, appraisal tools, and analytic approach. This background informs operational choices and supports reproducible methods aligned to the aim.</w:t>
      </w:r>
    </w:p>
    <w:p w14:paraId="1E8C1B7F" w14:textId="77777777" w:rsidR="00BD6CCB" w:rsidRDefault="00BD6CCB" w:rsidP="00F31E94">
      <w:pPr>
        <w:spacing w:before="240"/>
        <w:jc w:val="both"/>
        <w:rPr>
          <w:rFonts w:ascii="Arial" w:hAnsi="Arial" w:cs="Arial"/>
          <w:szCs w:val="22"/>
        </w:rPr>
      </w:pPr>
    </w:p>
    <w:p w14:paraId="33ADAE44" w14:textId="77777777" w:rsidR="0098487D" w:rsidRDefault="0098487D" w:rsidP="00F31E94">
      <w:pPr>
        <w:spacing w:before="240"/>
        <w:jc w:val="both"/>
        <w:rPr>
          <w:rFonts w:ascii="Arial" w:hAnsi="Arial" w:cs="Arial"/>
          <w:szCs w:val="22"/>
        </w:rPr>
      </w:pPr>
    </w:p>
    <w:p w14:paraId="7BD8B149" w14:textId="77777777" w:rsidR="0098487D" w:rsidRDefault="0098487D" w:rsidP="00F31E94">
      <w:pPr>
        <w:spacing w:before="240"/>
        <w:jc w:val="both"/>
        <w:rPr>
          <w:rFonts w:ascii="Arial" w:hAnsi="Arial" w:cs="Arial"/>
          <w:szCs w:val="22"/>
        </w:rPr>
      </w:pPr>
    </w:p>
    <w:p w14:paraId="337E6FD1" w14:textId="77777777" w:rsidR="0098487D" w:rsidRDefault="0098487D" w:rsidP="00F31E94">
      <w:pPr>
        <w:spacing w:before="240"/>
        <w:jc w:val="both"/>
        <w:rPr>
          <w:rFonts w:ascii="Arial" w:hAnsi="Arial" w:cs="Arial"/>
          <w:szCs w:val="22"/>
        </w:rPr>
      </w:pPr>
    </w:p>
    <w:p w14:paraId="5B5C5019" w14:textId="77777777" w:rsidR="0098487D" w:rsidRDefault="0098487D" w:rsidP="00F31E94">
      <w:pPr>
        <w:spacing w:before="240"/>
        <w:jc w:val="both"/>
        <w:rPr>
          <w:rFonts w:ascii="Arial" w:hAnsi="Arial" w:cs="Arial"/>
          <w:szCs w:val="22"/>
        </w:rPr>
      </w:pPr>
    </w:p>
    <w:p w14:paraId="24DCC7DD" w14:textId="77777777" w:rsidR="0098487D" w:rsidRDefault="0098487D" w:rsidP="00F31E94">
      <w:pPr>
        <w:spacing w:before="240"/>
        <w:jc w:val="both"/>
        <w:rPr>
          <w:rFonts w:ascii="Arial" w:hAnsi="Arial" w:cs="Arial"/>
          <w:szCs w:val="22"/>
        </w:rPr>
      </w:pPr>
    </w:p>
    <w:p w14:paraId="2A07C52D" w14:textId="77777777" w:rsidR="0098487D" w:rsidRDefault="0098487D" w:rsidP="00F31E94">
      <w:pPr>
        <w:spacing w:before="240"/>
        <w:jc w:val="both"/>
        <w:rPr>
          <w:rFonts w:ascii="Arial" w:hAnsi="Arial" w:cs="Arial"/>
          <w:szCs w:val="22"/>
        </w:rPr>
      </w:pPr>
    </w:p>
    <w:p w14:paraId="03221701" w14:textId="77777777" w:rsidR="0098487D" w:rsidRDefault="0098487D" w:rsidP="00F31E94">
      <w:pPr>
        <w:spacing w:before="240"/>
        <w:jc w:val="both"/>
        <w:rPr>
          <w:rFonts w:ascii="Arial" w:hAnsi="Arial" w:cs="Arial"/>
          <w:szCs w:val="22"/>
        </w:rPr>
      </w:pPr>
    </w:p>
    <w:p w14:paraId="3150F402" w14:textId="77777777" w:rsidR="0098487D" w:rsidRDefault="0098487D" w:rsidP="00F31E94">
      <w:pPr>
        <w:spacing w:before="240"/>
        <w:jc w:val="both"/>
        <w:rPr>
          <w:rFonts w:ascii="Arial" w:hAnsi="Arial" w:cs="Arial"/>
          <w:szCs w:val="22"/>
        </w:rPr>
      </w:pPr>
    </w:p>
    <w:p w14:paraId="078CCF38" w14:textId="77777777" w:rsidR="0098487D" w:rsidRDefault="0098487D" w:rsidP="00F31E94">
      <w:pPr>
        <w:spacing w:before="240"/>
        <w:jc w:val="both"/>
        <w:rPr>
          <w:rFonts w:ascii="Arial" w:hAnsi="Arial" w:cs="Arial"/>
          <w:szCs w:val="22"/>
        </w:rPr>
      </w:pPr>
    </w:p>
    <w:p w14:paraId="187F687C" w14:textId="77777777" w:rsidR="0098487D" w:rsidRDefault="0098487D" w:rsidP="00F31E94">
      <w:pPr>
        <w:spacing w:before="240"/>
        <w:jc w:val="both"/>
        <w:rPr>
          <w:rFonts w:ascii="Arial" w:hAnsi="Arial" w:cs="Arial"/>
          <w:szCs w:val="22"/>
        </w:rPr>
      </w:pPr>
    </w:p>
    <w:p w14:paraId="689D82EA" w14:textId="77777777" w:rsidR="003E6396" w:rsidRDefault="003E6396" w:rsidP="00F31E94">
      <w:pPr>
        <w:spacing w:before="240"/>
        <w:jc w:val="both"/>
        <w:rPr>
          <w:rFonts w:ascii="Arial" w:hAnsi="Arial" w:cs="Arial"/>
          <w:szCs w:val="22"/>
        </w:rPr>
      </w:pPr>
    </w:p>
    <w:p w14:paraId="05496FBD" w14:textId="77777777" w:rsidR="003E6396" w:rsidRDefault="003E6396" w:rsidP="00F31E94">
      <w:pPr>
        <w:spacing w:before="240"/>
        <w:jc w:val="both"/>
        <w:rPr>
          <w:rFonts w:ascii="Arial" w:hAnsi="Arial" w:cs="Arial"/>
          <w:szCs w:val="22"/>
        </w:rPr>
      </w:pPr>
    </w:p>
    <w:p w14:paraId="57D22DF7" w14:textId="77777777" w:rsidR="003E6396" w:rsidRPr="00B526EA" w:rsidRDefault="003E6396" w:rsidP="00F31E94">
      <w:pPr>
        <w:spacing w:before="240"/>
        <w:jc w:val="both"/>
        <w:rPr>
          <w:rFonts w:ascii="Arial" w:hAnsi="Arial" w:cs="Arial"/>
          <w:szCs w:val="22"/>
        </w:rPr>
      </w:pPr>
    </w:p>
    <w:p w14:paraId="393D25F1" w14:textId="06717D2D" w:rsidR="00D53101" w:rsidRPr="00B526EA" w:rsidRDefault="00726861" w:rsidP="00B526EA">
      <w:pPr>
        <w:pStyle w:val="Heading1"/>
      </w:pPr>
      <w:bookmarkStart w:id="16" w:name="_Toc220350521"/>
      <w:r w:rsidRPr="00B526EA">
        <w:t>CHAPTER 3 – Methods and Search Strategy</w:t>
      </w:r>
      <w:bookmarkEnd w:id="16"/>
    </w:p>
    <w:p w14:paraId="34F8AF4C" w14:textId="3FBD8509" w:rsidR="00726861" w:rsidRPr="00B526EA" w:rsidRDefault="00726861" w:rsidP="00F31E94">
      <w:pPr>
        <w:pStyle w:val="Heading2"/>
        <w:spacing w:before="240"/>
        <w:jc w:val="both"/>
        <w:rPr>
          <w:sz w:val="22"/>
          <w:szCs w:val="22"/>
        </w:rPr>
      </w:pPr>
      <w:bookmarkStart w:id="17" w:name="_Toc220350522"/>
      <w:r w:rsidRPr="00B526EA">
        <w:rPr>
          <w:sz w:val="22"/>
          <w:szCs w:val="22"/>
        </w:rPr>
        <w:t>3.1. Introduction</w:t>
      </w:r>
      <w:bookmarkEnd w:id="17"/>
    </w:p>
    <w:p w14:paraId="3E4756A9" w14:textId="16E06840" w:rsidR="003E6396" w:rsidRDefault="003E6396" w:rsidP="00F31E94">
      <w:pPr>
        <w:spacing w:before="240" w:after="100" w:afterAutospacing="1"/>
        <w:jc w:val="both"/>
        <w:rPr>
          <w:rFonts w:ascii="Arial" w:hAnsi="Arial" w:cs="Arial"/>
          <w:szCs w:val="22"/>
        </w:rPr>
      </w:pPr>
      <w:r>
        <w:rPr>
          <w:rFonts w:ascii="Arial" w:hAnsi="Arial" w:cs="Arial"/>
          <w:szCs w:val="22"/>
        </w:rPr>
        <w:t>The chapter includes the data collection procedures used for carrying this systematic literature review dissertation. The study was based on collecting secondary data sources so academic sources were systematically located, screened, selected and then analysed to answer research questions. The procedures used for data collection and analysis are presented in Chapter 3 whereas the results of analysis are presented in chapter 4.</w:t>
      </w:r>
    </w:p>
    <w:p w14:paraId="0C728E41" w14:textId="34D7A712" w:rsidR="00ED6C6A" w:rsidRPr="00B526EA" w:rsidRDefault="00ED6C6A" w:rsidP="00F31E94">
      <w:pPr>
        <w:spacing w:before="240"/>
        <w:jc w:val="both"/>
        <w:rPr>
          <w:szCs w:val="22"/>
        </w:rPr>
      </w:pPr>
      <w:r w:rsidRPr="00B526EA">
        <w:rPr>
          <w:szCs w:val="22"/>
        </w:rPr>
        <w:t>A systematic literature review is a structured, transparent method of identifying, appraising, and synthesising all relevant studies on a defined question using pre-specified search and selection procedures</w:t>
      </w:r>
      <w:r w:rsidR="00A10BF8" w:rsidRPr="00B526EA">
        <w:rPr>
          <w:szCs w:val="22"/>
        </w:rPr>
        <w:t xml:space="preserve"> </w:t>
      </w:r>
      <w:r w:rsidR="00E61320" w:rsidRPr="00B526EA">
        <w:rPr>
          <w:szCs w:val="22"/>
        </w:rPr>
        <w:t xml:space="preserve">(Gupta </w:t>
      </w:r>
      <w:r w:rsidR="00E61320" w:rsidRPr="00B526EA">
        <w:rPr>
          <w:i/>
          <w:iCs/>
          <w:szCs w:val="22"/>
        </w:rPr>
        <w:t>et al.</w:t>
      </w:r>
      <w:r w:rsidR="00E61320" w:rsidRPr="00B526EA">
        <w:rPr>
          <w:szCs w:val="22"/>
        </w:rPr>
        <w:t>, 2018)</w:t>
      </w:r>
      <w:r w:rsidRPr="00B526EA">
        <w:rPr>
          <w:szCs w:val="22"/>
        </w:rPr>
        <w:t>. It was used in this research to comprehensively compare evidence on physical abuse versus parental separation and their mental health impacts in young adults while minimising selection bias through a reproducible process</w:t>
      </w:r>
      <w:r w:rsidR="009F31FF" w:rsidRPr="00B526EA">
        <w:rPr>
          <w:szCs w:val="22"/>
        </w:rPr>
        <w:t xml:space="preserve"> (Lame, 2019)</w:t>
      </w:r>
      <w:r w:rsidRPr="00B526EA">
        <w:rPr>
          <w:szCs w:val="22"/>
        </w:rPr>
        <w:t>.</w:t>
      </w:r>
    </w:p>
    <w:p w14:paraId="7DCDD7E8" w14:textId="625B550A" w:rsidR="003D352B" w:rsidRPr="00B526EA" w:rsidRDefault="003D352B" w:rsidP="00F31E94">
      <w:pPr>
        <w:pStyle w:val="Heading2"/>
        <w:spacing w:before="240"/>
        <w:jc w:val="both"/>
        <w:rPr>
          <w:rFonts w:ascii="Arial" w:hAnsi="Arial" w:cs="Arial"/>
          <w:sz w:val="22"/>
          <w:szCs w:val="22"/>
        </w:rPr>
      </w:pPr>
      <w:bookmarkStart w:id="18" w:name="_Toc220350523"/>
      <w:r w:rsidRPr="00B526EA">
        <w:rPr>
          <w:rFonts w:ascii="Arial" w:hAnsi="Arial" w:cs="Arial"/>
          <w:sz w:val="22"/>
          <w:szCs w:val="22"/>
        </w:rPr>
        <w:t>3.2. Search Strategy</w:t>
      </w:r>
      <w:bookmarkEnd w:id="18"/>
    </w:p>
    <w:p w14:paraId="5CE0E5C7" w14:textId="44B5ACD7" w:rsidR="003D352B" w:rsidRPr="00B526EA" w:rsidRDefault="003D352B" w:rsidP="00F31E94">
      <w:pPr>
        <w:pStyle w:val="NormalWeb"/>
        <w:spacing w:before="240" w:beforeAutospacing="0" w:line="360" w:lineRule="auto"/>
        <w:jc w:val="both"/>
        <w:rPr>
          <w:rFonts w:ascii="Arial" w:hAnsi="Arial" w:cs="Arial"/>
          <w:szCs w:val="22"/>
        </w:rPr>
      </w:pPr>
      <w:r w:rsidRPr="00B526EA">
        <w:rPr>
          <w:rFonts w:ascii="Arial" w:hAnsi="Arial" w:cs="Arial"/>
          <w:szCs w:val="22"/>
        </w:rPr>
        <w:t>Search terms were developed directly from the dissertation title, research aim, and objectives, ensuring alignment with the focus on specific ACE types (physical abuse and parental separation), young adults (</w:t>
      </w:r>
      <w:r w:rsidR="005D13D3" w:rsidRPr="00B526EA">
        <w:rPr>
          <w:rFonts w:ascii="Arial" w:hAnsi="Arial" w:cs="Arial"/>
          <w:szCs w:val="22"/>
        </w:rPr>
        <w:t>15-30</w:t>
      </w:r>
      <w:r w:rsidRPr="00B526EA">
        <w:rPr>
          <w:rFonts w:ascii="Arial" w:hAnsi="Arial" w:cs="Arial"/>
          <w:szCs w:val="22"/>
        </w:rPr>
        <w:t xml:space="preserve">), UK context, and mental health outcomes (depression, anxiety, PTSD, self-harm, substance use). Keywords were selected to include both common terms and discipline-specific synonyms to maximise retrieval across health and social science databases. Boolean operators were used to structure the search: AND combined core concepts, OR captured synonyms, and NOT was used sparingly to exclude clearly irrelevant topics. </w:t>
      </w:r>
    </w:p>
    <w:p w14:paraId="3ADBDEEE" w14:textId="0C2E6BF0" w:rsidR="003D352B" w:rsidRPr="00B526EA" w:rsidRDefault="00F64D8D" w:rsidP="00F31E94">
      <w:pPr>
        <w:pStyle w:val="Heading3"/>
        <w:spacing w:before="240"/>
        <w:jc w:val="both"/>
        <w:rPr>
          <w:rFonts w:ascii="Arial" w:hAnsi="Arial" w:cs="Arial"/>
          <w:szCs w:val="22"/>
        </w:rPr>
      </w:pPr>
      <w:bookmarkStart w:id="19" w:name="_Toc220350524"/>
      <w:r w:rsidRPr="00B526EA">
        <w:rPr>
          <w:rFonts w:ascii="Arial" w:hAnsi="Arial" w:cs="Arial"/>
          <w:szCs w:val="22"/>
        </w:rPr>
        <w:t xml:space="preserve">3.2.1. </w:t>
      </w:r>
      <w:r w:rsidR="003D352B" w:rsidRPr="00B526EA">
        <w:rPr>
          <w:rFonts w:ascii="Arial" w:hAnsi="Arial" w:cs="Arial"/>
          <w:szCs w:val="22"/>
        </w:rPr>
        <w:t>Keywords</w:t>
      </w:r>
      <w:bookmarkEnd w:id="19"/>
      <w:r w:rsidR="003D352B" w:rsidRPr="00B526EA">
        <w:rPr>
          <w:rFonts w:ascii="Arial" w:hAnsi="Arial" w:cs="Arial"/>
          <w:szCs w:val="22"/>
        </w:rPr>
        <w:t xml:space="preserve"> </w:t>
      </w:r>
    </w:p>
    <w:p w14:paraId="20042FEC" w14:textId="77777777" w:rsidR="003D352B" w:rsidRPr="00B526EA" w:rsidRDefault="003D352B" w:rsidP="00F31E94">
      <w:pPr>
        <w:pStyle w:val="NormalWeb"/>
        <w:spacing w:before="240" w:beforeAutospacing="0" w:line="360" w:lineRule="auto"/>
        <w:jc w:val="both"/>
        <w:rPr>
          <w:rFonts w:ascii="Arial" w:hAnsi="Arial" w:cs="Arial"/>
          <w:szCs w:val="22"/>
        </w:rPr>
      </w:pPr>
      <w:r w:rsidRPr="00B526EA">
        <w:rPr>
          <w:rStyle w:val="Strong"/>
          <w:rFonts w:ascii="Arial" w:eastAsiaTheme="majorEastAsia" w:hAnsi="Arial" w:cs="Arial"/>
          <w:szCs w:val="22"/>
        </w:rPr>
        <w:t>ACEs / adversity</w:t>
      </w:r>
    </w:p>
    <w:p w14:paraId="5BAF33F2" w14:textId="77777777" w:rsidR="003D352B" w:rsidRPr="00B526EA" w:rsidRDefault="003D352B" w:rsidP="00F31E94">
      <w:pPr>
        <w:pStyle w:val="NormalWeb"/>
        <w:numPr>
          <w:ilvl w:val="0"/>
          <w:numId w:val="5"/>
        </w:numPr>
        <w:spacing w:before="240" w:beforeAutospacing="0" w:line="360" w:lineRule="auto"/>
        <w:jc w:val="both"/>
        <w:rPr>
          <w:rFonts w:ascii="Arial" w:hAnsi="Arial" w:cs="Arial"/>
          <w:szCs w:val="22"/>
        </w:rPr>
      </w:pPr>
      <w:r w:rsidRPr="00B526EA">
        <w:rPr>
          <w:rFonts w:ascii="Arial" w:hAnsi="Arial" w:cs="Arial"/>
          <w:szCs w:val="22"/>
        </w:rPr>
        <w:t>Adverse Childhood Experiences; ACEs</w:t>
      </w:r>
    </w:p>
    <w:p w14:paraId="6B68A221" w14:textId="77777777" w:rsidR="003D352B" w:rsidRPr="00B526EA" w:rsidRDefault="003D352B" w:rsidP="00F31E94">
      <w:pPr>
        <w:pStyle w:val="NormalWeb"/>
        <w:numPr>
          <w:ilvl w:val="0"/>
          <w:numId w:val="5"/>
        </w:numPr>
        <w:spacing w:before="240" w:beforeAutospacing="0" w:line="360" w:lineRule="auto"/>
        <w:jc w:val="both"/>
        <w:rPr>
          <w:rFonts w:ascii="Arial" w:hAnsi="Arial" w:cs="Arial"/>
          <w:szCs w:val="22"/>
        </w:rPr>
      </w:pPr>
      <w:r w:rsidRPr="00B526EA">
        <w:rPr>
          <w:rFonts w:ascii="Arial" w:hAnsi="Arial" w:cs="Arial"/>
          <w:szCs w:val="22"/>
        </w:rPr>
        <w:t>childhood adversity; childhood trauma</w:t>
      </w:r>
    </w:p>
    <w:p w14:paraId="2820B650" w14:textId="77777777" w:rsidR="003D352B" w:rsidRPr="00B526EA" w:rsidRDefault="003D352B" w:rsidP="00F31E94">
      <w:pPr>
        <w:pStyle w:val="NormalWeb"/>
        <w:spacing w:before="240" w:beforeAutospacing="0" w:line="360" w:lineRule="auto"/>
        <w:jc w:val="both"/>
        <w:rPr>
          <w:rFonts w:ascii="Arial" w:hAnsi="Arial" w:cs="Arial"/>
          <w:szCs w:val="22"/>
        </w:rPr>
      </w:pPr>
      <w:r w:rsidRPr="00B526EA">
        <w:rPr>
          <w:rStyle w:val="Strong"/>
          <w:rFonts w:ascii="Arial" w:eastAsiaTheme="majorEastAsia" w:hAnsi="Arial" w:cs="Arial"/>
          <w:szCs w:val="22"/>
        </w:rPr>
        <w:t>Specific ACE types</w:t>
      </w:r>
    </w:p>
    <w:p w14:paraId="09FEEB50" w14:textId="77777777" w:rsidR="003D352B" w:rsidRPr="00B526EA" w:rsidRDefault="003D352B" w:rsidP="00F31E94">
      <w:pPr>
        <w:pStyle w:val="NormalWeb"/>
        <w:numPr>
          <w:ilvl w:val="0"/>
          <w:numId w:val="6"/>
        </w:numPr>
        <w:spacing w:before="240" w:beforeAutospacing="0" w:line="360" w:lineRule="auto"/>
        <w:jc w:val="both"/>
        <w:rPr>
          <w:rFonts w:ascii="Arial" w:hAnsi="Arial" w:cs="Arial"/>
          <w:szCs w:val="22"/>
        </w:rPr>
      </w:pPr>
      <w:r w:rsidRPr="00B526EA">
        <w:rPr>
          <w:rFonts w:ascii="Arial" w:hAnsi="Arial" w:cs="Arial"/>
          <w:szCs w:val="22"/>
        </w:rPr>
        <w:t>physical abuse; childhood physical abuse; physical maltreatment; child maltreatment</w:t>
      </w:r>
    </w:p>
    <w:p w14:paraId="13962426" w14:textId="77777777" w:rsidR="003D352B" w:rsidRPr="00B526EA" w:rsidRDefault="003D352B" w:rsidP="00F31E94">
      <w:pPr>
        <w:pStyle w:val="NormalWeb"/>
        <w:numPr>
          <w:ilvl w:val="0"/>
          <w:numId w:val="6"/>
        </w:numPr>
        <w:spacing w:before="240" w:beforeAutospacing="0" w:line="360" w:lineRule="auto"/>
        <w:jc w:val="both"/>
        <w:rPr>
          <w:rFonts w:ascii="Arial" w:hAnsi="Arial" w:cs="Arial"/>
          <w:szCs w:val="22"/>
        </w:rPr>
      </w:pPr>
      <w:r w:rsidRPr="00B526EA">
        <w:rPr>
          <w:rFonts w:ascii="Arial" w:hAnsi="Arial" w:cs="Arial"/>
          <w:szCs w:val="22"/>
        </w:rPr>
        <w:t>parental separation; parental divorce; family breakdown; family dissolution</w:t>
      </w:r>
    </w:p>
    <w:p w14:paraId="01F56F3F" w14:textId="77777777" w:rsidR="003D352B" w:rsidRPr="00B526EA" w:rsidRDefault="003D352B" w:rsidP="00F31E94">
      <w:pPr>
        <w:pStyle w:val="NormalWeb"/>
        <w:spacing w:before="240" w:beforeAutospacing="0" w:line="360" w:lineRule="auto"/>
        <w:jc w:val="both"/>
        <w:rPr>
          <w:rFonts w:ascii="Arial" w:hAnsi="Arial" w:cs="Arial"/>
          <w:szCs w:val="22"/>
        </w:rPr>
      </w:pPr>
      <w:r w:rsidRPr="00B526EA">
        <w:rPr>
          <w:rStyle w:val="Strong"/>
          <w:rFonts w:ascii="Arial" w:eastAsiaTheme="majorEastAsia" w:hAnsi="Arial" w:cs="Arial"/>
          <w:szCs w:val="22"/>
        </w:rPr>
        <w:t>Population</w:t>
      </w:r>
    </w:p>
    <w:p w14:paraId="7ADBB64A" w14:textId="754680BC" w:rsidR="005D13D3" w:rsidRPr="00B526EA" w:rsidRDefault="003D352B" w:rsidP="005D13D3">
      <w:pPr>
        <w:pStyle w:val="NormalWeb"/>
        <w:numPr>
          <w:ilvl w:val="0"/>
          <w:numId w:val="7"/>
        </w:numPr>
        <w:spacing w:before="240" w:beforeAutospacing="0" w:line="360" w:lineRule="auto"/>
        <w:jc w:val="both"/>
        <w:rPr>
          <w:rFonts w:ascii="Arial" w:hAnsi="Arial" w:cs="Arial"/>
          <w:szCs w:val="22"/>
        </w:rPr>
      </w:pPr>
      <w:r w:rsidRPr="00B526EA">
        <w:rPr>
          <w:rFonts w:ascii="Arial" w:hAnsi="Arial" w:cs="Arial"/>
          <w:szCs w:val="22"/>
        </w:rPr>
        <w:t>young adults; emerging adulthood;</w:t>
      </w:r>
      <w:r w:rsidR="005D13D3" w:rsidRPr="00B526EA">
        <w:rPr>
          <w:rFonts w:ascii="Arial" w:hAnsi="Arial" w:cs="Arial"/>
          <w:szCs w:val="22"/>
        </w:rPr>
        <w:t xml:space="preserve"> 15-30</w:t>
      </w:r>
    </w:p>
    <w:p w14:paraId="45F7810F" w14:textId="77777777" w:rsidR="003D352B" w:rsidRPr="00B526EA" w:rsidRDefault="003D352B" w:rsidP="00F31E94">
      <w:pPr>
        <w:pStyle w:val="NormalWeb"/>
        <w:spacing w:before="240" w:beforeAutospacing="0" w:line="360" w:lineRule="auto"/>
        <w:jc w:val="both"/>
        <w:rPr>
          <w:rFonts w:ascii="Arial" w:hAnsi="Arial" w:cs="Arial"/>
          <w:szCs w:val="22"/>
        </w:rPr>
      </w:pPr>
      <w:r w:rsidRPr="00B526EA">
        <w:rPr>
          <w:rStyle w:val="Strong"/>
          <w:rFonts w:ascii="Arial" w:eastAsiaTheme="majorEastAsia" w:hAnsi="Arial" w:cs="Arial"/>
          <w:szCs w:val="22"/>
        </w:rPr>
        <w:t>Mental health outcomes</w:t>
      </w:r>
    </w:p>
    <w:p w14:paraId="431EF5D7" w14:textId="77777777" w:rsidR="003D352B" w:rsidRPr="00B526EA" w:rsidRDefault="003D352B" w:rsidP="00F31E94">
      <w:pPr>
        <w:pStyle w:val="NormalWeb"/>
        <w:numPr>
          <w:ilvl w:val="0"/>
          <w:numId w:val="8"/>
        </w:numPr>
        <w:spacing w:before="240" w:beforeAutospacing="0" w:line="360" w:lineRule="auto"/>
        <w:jc w:val="both"/>
        <w:rPr>
          <w:rFonts w:ascii="Arial" w:hAnsi="Arial" w:cs="Arial"/>
          <w:szCs w:val="22"/>
        </w:rPr>
      </w:pPr>
      <w:r w:rsidRPr="00B526EA">
        <w:rPr>
          <w:rFonts w:ascii="Arial" w:hAnsi="Arial" w:cs="Arial"/>
          <w:szCs w:val="22"/>
        </w:rPr>
        <w:t>depression; depressive symptoms</w:t>
      </w:r>
    </w:p>
    <w:p w14:paraId="15CA0755" w14:textId="77777777" w:rsidR="003D352B" w:rsidRPr="00B526EA" w:rsidRDefault="003D352B" w:rsidP="00F31E94">
      <w:pPr>
        <w:pStyle w:val="NormalWeb"/>
        <w:numPr>
          <w:ilvl w:val="0"/>
          <w:numId w:val="8"/>
        </w:numPr>
        <w:spacing w:before="240" w:beforeAutospacing="0" w:line="360" w:lineRule="auto"/>
        <w:jc w:val="both"/>
        <w:rPr>
          <w:rFonts w:ascii="Arial" w:hAnsi="Arial" w:cs="Arial"/>
          <w:szCs w:val="22"/>
        </w:rPr>
      </w:pPr>
      <w:r w:rsidRPr="00B526EA">
        <w:rPr>
          <w:rFonts w:ascii="Arial" w:hAnsi="Arial" w:cs="Arial"/>
          <w:szCs w:val="22"/>
        </w:rPr>
        <w:t>anxiety; anxiety symptoms</w:t>
      </w:r>
    </w:p>
    <w:p w14:paraId="028813A3" w14:textId="77777777" w:rsidR="003D352B" w:rsidRPr="00B526EA" w:rsidRDefault="003D352B" w:rsidP="00F31E94">
      <w:pPr>
        <w:pStyle w:val="NormalWeb"/>
        <w:numPr>
          <w:ilvl w:val="0"/>
          <w:numId w:val="8"/>
        </w:numPr>
        <w:spacing w:before="240" w:beforeAutospacing="0" w:line="360" w:lineRule="auto"/>
        <w:jc w:val="both"/>
        <w:rPr>
          <w:rFonts w:ascii="Arial" w:hAnsi="Arial" w:cs="Arial"/>
          <w:szCs w:val="22"/>
        </w:rPr>
      </w:pPr>
      <w:r w:rsidRPr="00B526EA">
        <w:rPr>
          <w:rFonts w:ascii="Arial" w:hAnsi="Arial" w:cs="Arial"/>
          <w:szCs w:val="22"/>
        </w:rPr>
        <w:t>PTSD; post-traumatic stress; trauma symptoms</w:t>
      </w:r>
    </w:p>
    <w:p w14:paraId="3965F9D4" w14:textId="77777777" w:rsidR="003D352B" w:rsidRPr="00B526EA" w:rsidRDefault="003D352B" w:rsidP="00F31E94">
      <w:pPr>
        <w:pStyle w:val="NormalWeb"/>
        <w:numPr>
          <w:ilvl w:val="0"/>
          <w:numId w:val="8"/>
        </w:numPr>
        <w:spacing w:before="240" w:beforeAutospacing="0" w:line="360" w:lineRule="auto"/>
        <w:jc w:val="both"/>
        <w:rPr>
          <w:rFonts w:ascii="Arial" w:hAnsi="Arial" w:cs="Arial"/>
          <w:szCs w:val="22"/>
        </w:rPr>
      </w:pPr>
      <w:r w:rsidRPr="00B526EA">
        <w:rPr>
          <w:rFonts w:ascii="Arial" w:hAnsi="Arial" w:cs="Arial"/>
          <w:szCs w:val="22"/>
        </w:rPr>
        <w:t>self-harm; self-injury; suicidal ideation</w:t>
      </w:r>
    </w:p>
    <w:p w14:paraId="182E1AE7" w14:textId="77777777" w:rsidR="003D352B" w:rsidRPr="00B526EA" w:rsidRDefault="003D352B" w:rsidP="00F31E94">
      <w:pPr>
        <w:pStyle w:val="NormalWeb"/>
        <w:numPr>
          <w:ilvl w:val="0"/>
          <w:numId w:val="8"/>
        </w:numPr>
        <w:spacing w:before="240" w:beforeAutospacing="0" w:line="360" w:lineRule="auto"/>
        <w:jc w:val="both"/>
        <w:rPr>
          <w:rFonts w:ascii="Arial" w:hAnsi="Arial" w:cs="Arial"/>
          <w:szCs w:val="22"/>
        </w:rPr>
      </w:pPr>
      <w:r w:rsidRPr="00B526EA">
        <w:rPr>
          <w:rFonts w:ascii="Arial" w:hAnsi="Arial" w:cs="Arial"/>
          <w:szCs w:val="22"/>
        </w:rPr>
        <w:t>substance use; alcohol use; drug use; substance misuse</w:t>
      </w:r>
    </w:p>
    <w:p w14:paraId="3BCAD514" w14:textId="77777777" w:rsidR="003D352B" w:rsidRPr="00B526EA" w:rsidRDefault="003D352B" w:rsidP="00F31E94">
      <w:pPr>
        <w:pStyle w:val="NormalWeb"/>
        <w:spacing w:before="240" w:beforeAutospacing="0" w:line="360" w:lineRule="auto"/>
        <w:jc w:val="both"/>
        <w:rPr>
          <w:rFonts w:ascii="Arial" w:hAnsi="Arial" w:cs="Arial"/>
          <w:szCs w:val="22"/>
        </w:rPr>
      </w:pPr>
      <w:r w:rsidRPr="00B526EA">
        <w:rPr>
          <w:rStyle w:val="Strong"/>
          <w:rFonts w:ascii="Arial" w:eastAsiaTheme="majorEastAsia" w:hAnsi="Arial" w:cs="Arial"/>
          <w:szCs w:val="22"/>
        </w:rPr>
        <w:t>Context / setting</w:t>
      </w:r>
    </w:p>
    <w:p w14:paraId="6F5D2CD7" w14:textId="77777777" w:rsidR="003D352B" w:rsidRPr="00B526EA" w:rsidRDefault="003D352B" w:rsidP="00F31E94">
      <w:pPr>
        <w:pStyle w:val="NormalWeb"/>
        <w:numPr>
          <w:ilvl w:val="0"/>
          <w:numId w:val="9"/>
        </w:numPr>
        <w:spacing w:before="240" w:beforeAutospacing="0" w:line="360" w:lineRule="auto"/>
        <w:jc w:val="both"/>
        <w:rPr>
          <w:rFonts w:ascii="Arial" w:hAnsi="Arial" w:cs="Arial"/>
          <w:szCs w:val="22"/>
        </w:rPr>
      </w:pPr>
      <w:r w:rsidRPr="00B526EA">
        <w:rPr>
          <w:rFonts w:ascii="Arial" w:hAnsi="Arial" w:cs="Arial"/>
          <w:szCs w:val="22"/>
        </w:rPr>
        <w:t>United Kingdom; UK; England; Scotland; Wales; Northern Ireland</w:t>
      </w:r>
    </w:p>
    <w:p w14:paraId="648E265F" w14:textId="7A89E1D0" w:rsidR="003D352B" w:rsidRPr="00B526EA" w:rsidRDefault="00F64D8D" w:rsidP="00F31E94">
      <w:pPr>
        <w:pStyle w:val="Heading3"/>
        <w:spacing w:before="240"/>
        <w:jc w:val="both"/>
        <w:rPr>
          <w:rFonts w:ascii="Arial" w:hAnsi="Arial" w:cs="Arial"/>
          <w:szCs w:val="22"/>
        </w:rPr>
      </w:pPr>
      <w:bookmarkStart w:id="20" w:name="_Toc220350525"/>
      <w:r w:rsidRPr="00B526EA">
        <w:rPr>
          <w:rFonts w:ascii="Arial" w:hAnsi="Arial" w:cs="Arial"/>
          <w:szCs w:val="22"/>
        </w:rPr>
        <w:t>3.2.2. Boolean Logic</w:t>
      </w:r>
      <w:bookmarkEnd w:id="20"/>
    </w:p>
    <w:p w14:paraId="3C62E480" w14:textId="77777777" w:rsidR="003D352B" w:rsidRPr="00B526EA" w:rsidRDefault="003D352B" w:rsidP="00F31E94">
      <w:pPr>
        <w:pStyle w:val="NormalWeb"/>
        <w:numPr>
          <w:ilvl w:val="0"/>
          <w:numId w:val="10"/>
        </w:numPr>
        <w:spacing w:before="240" w:beforeAutospacing="0" w:line="360" w:lineRule="auto"/>
        <w:jc w:val="both"/>
        <w:rPr>
          <w:rFonts w:ascii="Arial" w:hAnsi="Arial" w:cs="Arial"/>
          <w:szCs w:val="22"/>
        </w:rPr>
      </w:pPr>
      <w:r w:rsidRPr="00B526EA">
        <w:rPr>
          <w:rFonts w:ascii="Arial" w:hAnsi="Arial" w:cs="Arial"/>
          <w:szCs w:val="22"/>
        </w:rPr>
        <w:t>AND used to combine concepts: ACE exposure AND outcomes AND population AND UK</w:t>
      </w:r>
    </w:p>
    <w:p w14:paraId="38E4E21C" w14:textId="77777777" w:rsidR="003D352B" w:rsidRPr="00B526EA" w:rsidRDefault="003D352B" w:rsidP="00F31E94">
      <w:pPr>
        <w:pStyle w:val="NormalWeb"/>
        <w:numPr>
          <w:ilvl w:val="0"/>
          <w:numId w:val="10"/>
        </w:numPr>
        <w:spacing w:before="240" w:beforeAutospacing="0" w:line="360" w:lineRule="auto"/>
        <w:jc w:val="both"/>
        <w:rPr>
          <w:rFonts w:ascii="Arial" w:hAnsi="Arial" w:cs="Arial"/>
          <w:szCs w:val="22"/>
        </w:rPr>
      </w:pPr>
      <w:r w:rsidRPr="00B526EA">
        <w:rPr>
          <w:rFonts w:ascii="Arial" w:hAnsi="Arial" w:cs="Arial"/>
          <w:szCs w:val="22"/>
        </w:rPr>
        <w:t>OR used to broaden synonyms: parental separation OR divorce OR family breakdown</w:t>
      </w:r>
    </w:p>
    <w:p w14:paraId="3FC31D52" w14:textId="77777777" w:rsidR="003D352B" w:rsidRPr="00B526EA" w:rsidRDefault="003D352B" w:rsidP="00F31E94">
      <w:pPr>
        <w:pStyle w:val="NormalWeb"/>
        <w:numPr>
          <w:ilvl w:val="0"/>
          <w:numId w:val="10"/>
        </w:numPr>
        <w:spacing w:before="240" w:beforeAutospacing="0" w:line="360" w:lineRule="auto"/>
        <w:jc w:val="both"/>
        <w:rPr>
          <w:rFonts w:ascii="Arial" w:hAnsi="Arial" w:cs="Arial"/>
          <w:szCs w:val="22"/>
        </w:rPr>
      </w:pPr>
      <w:r w:rsidRPr="00B526EA">
        <w:rPr>
          <w:rFonts w:ascii="Arial" w:hAnsi="Arial" w:cs="Arial"/>
          <w:szCs w:val="22"/>
        </w:rPr>
        <w:t>NOT used sparingly to remove irrelevant areas (e.g., non-human studies), where needed</w:t>
      </w:r>
    </w:p>
    <w:p w14:paraId="3B48A1C4" w14:textId="0C027B10" w:rsidR="003D352B" w:rsidRPr="00B526EA" w:rsidRDefault="00860ACF" w:rsidP="00F31E94">
      <w:pPr>
        <w:spacing w:before="240"/>
        <w:jc w:val="both"/>
        <w:rPr>
          <w:rFonts w:ascii="Arial" w:hAnsi="Arial" w:cs="Arial"/>
          <w:szCs w:val="22"/>
        </w:rPr>
      </w:pPr>
      <w:r w:rsidRPr="00B526EA">
        <w:rPr>
          <w:rFonts w:ascii="Arial" w:hAnsi="Arial" w:cs="Arial"/>
          <w:szCs w:val="22"/>
        </w:rPr>
        <w:t>A table explaining the keywords and search strings is included in Appendix C.</w:t>
      </w:r>
    </w:p>
    <w:p w14:paraId="5340DFE0" w14:textId="77777777" w:rsidR="00640C4D" w:rsidRPr="00B526EA" w:rsidRDefault="00640C4D" w:rsidP="00F31E94">
      <w:pPr>
        <w:spacing w:before="240"/>
        <w:jc w:val="both"/>
        <w:rPr>
          <w:rFonts w:ascii="Arial" w:hAnsi="Arial" w:cs="Arial"/>
          <w:szCs w:val="22"/>
        </w:rPr>
      </w:pPr>
    </w:p>
    <w:p w14:paraId="5BD78406" w14:textId="31DBA4F3" w:rsidR="00211E60" w:rsidRPr="00B526EA" w:rsidRDefault="00211E60" w:rsidP="00F31E94">
      <w:pPr>
        <w:pStyle w:val="Heading2"/>
        <w:spacing w:before="240"/>
        <w:jc w:val="both"/>
        <w:rPr>
          <w:sz w:val="22"/>
          <w:szCs w:val="22"/>
        </w:rPr>
      </w:pPr>
      <w:bookmarkStart w:id="21" w:name="_Toc220350526"/>
      <w:r w:rsidRPr="00B526EA">
        <w:rPr>
          <w:sz w:val="22"/>
          <w:szCs w:val="22"/>
        </w:rPr>
        <w:t>3.3. Searching for Information</w:t>
      </w:r>
      <w:bookmarkEnd w:id="21"/>
      <w:r w:rsidRPr="00B526EA">
        <w:rPr>
          <w:sz w:val="22"/>
          <w:szCs w:val="22"/>
        </w:rPr>
        <w:t xml:space="preserve"> </w:t>
      </w:r>
    </w:p>
    <w:p w14:paraId="75F0BB95" w14:textId="25589AAF" w:rsidR="00211E60" w:rsidRPr="00B526EA" w:rsidRDefault="00211E60" w:rsidP="00F31E94">
      <w:pPr>
        <w:pStyle w:val="Heading3"/>
        <w:spacing w:before="240"/>
        <w:jc w:val="both"/>
        <w:rPr>
          <w:szCs w:val="22"/>
        </w:rPr>
      </w:pPr>
      <w:bookmarkStart w:id="22" w:name="_Toc220350527"/>
      <w:r w:rsidRPr="00B526EA">
        <w:rPr>
          <w:szCs w:val="22"/>
        </w:rPr>
        <w:t>3.3.1. Databases</w:t>
      </w:r>
      <w:bookmarkEnd w:id="22"/>
      <w:r w:rsidRPr="00B526EA">
        <w:rPr>
          <w:szCs w:val="22"/>
        </w:rPr>
        <w:t xml:space="preserve"> </w:t>
      </w:r>
    </w:p>
    <w:p w14:paraId="2F59486D" w14:textId="578A5910" w:rsidR="00211E60" w:rsidRPr="00B526EA" w:rsidRDefault="002A03A1" w:rsidP="00F31E94">
      <w:pPr>
        <w:pStyle w:val="NormalWeb"/>
        <w:spacing w:before="240" w:beforeAutospacing="0" w:line="360" w:lineRule="auto"/>
        <w:jc w:val="both"/>
        <w:rPr>
          <w:rFonts w:ascii="Arial" w:hAnsi="Arial" w:cs="Arial"/>
          <w:szCs w:val="22"/>
        </w:rPr>
      </w:pPr>
      <w:r w:rsidRPr="002A03A1">
        <w:rPr>
          <w:rFonts w:ascii="Arial" w:hAnsi="Arial" w:cs="Arial"/>
          <w:szCs w:val="22"/>
        </w:rPr>
        <w:t>The sources were located based on the systematic searches in five scholarly databases: PubMed/MEDLINE, PsycINFO, Scopus, CINAHL, and Cochrane Library. They were chosen due to the credible and peer-reviewed health and social science studies concerning Adverse Childhood Experiences and mental health. Biomedical and public health research was captured in PubMed/MEDLINE; psychological and trauma-specific evidence was captured in PsycINFO; broad multidisciplinary coverage and citation tracking was supported on Scopus; nursing, allied health, and service-delivery literature on CINAHL and high-quality reviews and methodologically sound evidence on Cochrane Library were used</w:t>
      </w:r>
      <w:r>
        <w:rPr>
          <w:rFonts w:ascii="Arial" w:hAnsi="Arial" w:cs="Arial"/>
          <w:szCs w:val="22"/>
        </w:rPr>
        <w:t xml:space="preserve"> </w:t>
      </w:r>
      <w:r w:rsidR="00440D48" w:rsidRPr="00B526EA">
        <w:rPr>
          <w:rFonts w:ascii="Arial" w:hAnsi="Arial" w:cs="Arial"/>
          <w:szCs w:val="22"/>
        </w:rPr>
        <w:t xml:space="preserve">(Bramer </w:t>
      </w:r>
      <w:r w:rsidR="00440D48" w:rsidRPr="00B526EA">
        <w:rPr>
          <w:rFonts w:ascii="Arial" w:hAnsi="Arial" w:cs="Arial"/>
          <w:i/>
          <w:iCs/>
          <w:szCs w:val="22"/>
        </w:rPr>
        <w:t>et al.</w:t>
      </w:r>
      <w:r w:rsidR="00440D48" w:rsidRPr="00B526EA">
        <w:rPr>
          <w:rFonts w:ascii="Arial" w:hAnsi="Arial" w:cs="Arial"/>
          <w:szCs w:val="22"/>
        </w:rPr>
        <w:t>, 2017)</w:t>
      </w:r>
      <w:r w:rsidR="00211E60" w:rsidRPr="00B526EA">
        <w:rPr>
          <w:rFonts w:ascii="Arial" w:hAnsi="Arial" w:cs="Arial"/>
          <w:szCs w:val="22"/>
        </w:rPr>
        <w:t>.</w:t>
      </w:r>
    </w:p>
    <w:p w14:paraId="0F3C5CD6" w14:textId="2DAF4C5D" w:rsidR="00211E60" w:rsidRPr="00B526EA" w:rsidRDefault="00211E60" w:rsidP="00F31E94">
      <w:pPr>
        <w:pStyle w:val="Heading3"/>
        <w:spacing w:before="240"/>
        <w:jc w:val="both"/>
        <w:rPr>
          <w:rFonts w:ascii="Arial" w:hAnsi="Arial" w:cs="Arial"/>
          <w:szCs w:val="22"/>
        </w:rPr>
      </w:pPr>
      <w:bookmarkStart w:id="23" w:name="_Toc220350528"/>
      <w:r w:rsidRPr="00B526EA">
        <w:rPr>
          <w:rFonts w:ascii="Arial" w:hAnsi="Arial" w:cs="Arial"/>
          <w:szCs w:val="22"/>
        </w:rPr>
        <w:t>3.3.2. Using Filters</w:t>
      </w:r>
      <w:bookmarkEnd w:id="23"/>
    </w:p>
    <w:p w14:paraId="19C22C0D" w14:textId="59D2CA34" w:rsidR="00211E60" w:rsidRPr="00B526EA" w:rsidRDefault="00211E60" w:rsidP="00F31E94">
      <w:pPr>
        <w:pStyle w:val="NormalWeb"/>
        <w:spacing w:before="240" w:beforeAutospacing="0" w:line="360" w:lineRule="auto"/>
        <w:jc w:val="both"/>
        <w:rPr>
          <w:rFonts w:ascii="Arial" w:hAnsi="Arial" w:cs="Arial"/>
          <w:szCs w:val="22"/>
        </w:rPr>
      </w:pPr>
      <w:r w:rsidRPr="00B526EA">
        <w:rPr>
          <w:rFonts w:ascii="Arial" w:hAnsi="Arial" w:cs="Arial"/>
          <w:szCs w:val="22"/>
        </w:rPr>
        <w:t>To improve relevance, database filters were applied consistently. Searches were limited to English-language sources published between 201</w:t>
      </w:r>
      <w:r w:rsidR="00D469BC">
        <w:rPr>
          <w:rFonts w:ascii="Arial" w:hAnsi="Arial" w:cs="Arial"/>
          <w:szCs w:val="22"/>
        </w:rPr>
        <w:t>5</w:t>
      </w:r>
      <w:r w:rsidRPr="00B526EA">
        <w:rPr>
          <w:rFonts w:ascii="Arial" w:hAnsi="Arial" w:cs="Arial"/>
          <w:szCs w:val="22"/>
        </w:rPr>
        <w:t xml:space="preserve"> and 2025. Where available, filters were used for peer-reviewed status and human participants. Additional limits were applied to align with the research focus, including mental health outcomes and UK context (e.g., UK/United Kingdom or constituent nations). </w:t>
      </w:r>
    </w:p>
    <w:p w14:paraId="4920ABF0" w14:textId="686ADAD3" w:rsidR="00211E60" w:rsidRPr="00B526EA" w:rsidRDefault="00211E60" w:rsidP="00F31E94">
      <w:pPr>
        <w:pStyle w:val="Heading3"/>
        <w:spacing w:before="240"/>
        <w:jc w:val="both"/>
        <w:rPr>
          <w:rFonts w:ascii="Arial" w:hAnsi="Arial" w:cs="Arial"/>
          <w:szCs w:val="22"/>
        </w:rPr>
      </w:pPr>
      <w:bookmarkStart w:id="24" w:name="_Toc220350529"/>
      <w:r w:rsidRPr="00B526EA">
        <w:rPr>
          <w:rFonts w:ascii="Arial" w:hAnsi="Arial" w:cs="Arial"/>
          <w:szCs w:val="22"/>
        </w:rPr>
        <w:t>3.3.3. Search Process and Refinements</w:t>
      </w:r>
      <w:bookmarkEnd w:id="24"/>
    </w:p>
    <w:p w14:paraId="0570FF64" w14:textId="4F435D47" w:rsidR="00211E60" w:rsidRDefault="00211E60" w:rsidP="00F31E94">
      <w:pPr>
        <w:pStyle w:val="NormalWeb"/>
        <w:spacing w:before="240" w:beforeAutospacing="0" w:line="360" w:lineRule="auto"/>
        <w:jc w:val="both"/>
        <w:rPr>
          <w:rFonts w:ascii="Arial" w:hAnsi="Arial" w:cs="Arial"/>
          <w:szCs w:val="22"/>
        </w:rPr>
      </w:pPr>
      <w:r w:rsidRPr="00B526EA">
        <w:rPr>
          <w:rFonts w:ascii="Arial" w:hAnsi="Arial" w:cs="Arial"/>
          <w:szCs w:val="22"/>
        </w:rPr>
        <w:t>Search terms were refined iteratively to increase retrieval of studies reporting physical abuse and parental separation as specific ACE types. For example, outcome terms (e.g., PTSD, self-harm, substance use) were rotated to capture studies with different primary endpoints, and synonyms such as “family breakdown” or “physical maltreatment” were added where needed. A source tracking table was used to record searches and decisions, including author/year, title, a brief summary, CRAAP notes, and file link</w:t>
      </w:r>
      <w:r w:rsidR="00C54332">
        <w:rPr>
          <w:rFonts w:ascii="Arial" w:hAnsi="Arial" w:cs="Arial"/>
          <w:szCs w:val="22"/>
        </w:rPr>
        <w:t>. T</w:t>
      </w:r>
      <w:r w:rsidR="00C54332" w:rsidRPr="00C54332">
        <w:rPr>
          <w:rFonts w:ascii="Arial" w:hAnsi="Arial" w:cs="Arial"/>
          <w:szCs w:val="22"/>
        </w:rPr>
        <w:t>he full Source Tracking Table can be found in Appendix A</w:t>
      </w:r>
      <w:r w:rsidR="00C54332">
        <w:rPr>
          <w:rFonts w:ascii="Arial" w:hAnsi="Arial" w:cs="Arial"/>
          <w:szCs w:val="22"/>
        </w:rPr>
        <w:t>.</w:t>
      </w:r>
    </w:p>
    <w:p w14:paraId="22D58419" w14:textId="5AFEFB7C" w:rsidR="00320036" w:rsidRDefault="00320036" w:rsidP="00320036">
      <w:pPr>
        <w:jc w:val="both"/>
      </w:pPr>
      <w:r>
        <w:t>Following title, abstract and full-text screening against the inclusion and exclusion criteria, 12 studies were retained for final thematic analysis</w:t>
      </w:r>
      <w:r w:rsidR="00EF03D7">
        <w:t xml:space="preserve"> through this PRISMA</w:t>
      </w:r>
      <w:r>
        <w:t>.</w:t>
      </w:r>
    </w:p>
    <w:p w14:paraId="1A5DF2C5" w14:textId="77777777" w:rsidR="00EF03D7" w:rsidRDefault="00BB7D95" w:rsidP="00EF03D7">
      <w:pPr>
        <w:keepNext/>
        <w:jc w:val="center"/>
      </w:pPr>
      <w:r w:rsidRPr="00BB7D95">
        <w:rPr>
          <w:rFonts w:ascii="Arial" w:hAnsi="Arial" w:cs="Arial"/>
          <w:noProof/>
          <w:szCs w:val="22"/>
        </w:rPr>
        <w:drawing>
          <wp:inline distT="0" distB="0" distL="0" distR="0" wp14:anchorId="6CCA1B89" wp14:editId="768BD9EB">
            <wp:extent cx="5731510" cy="5720715"/>
            <wp:effectExtent l="0" t="0" r="0" b="0"/>
            <wp:docPr id="539710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10924" name=""/>
                    <pic:cNvPicPr/>
                  </pic:nvPicPr>
                  <pic:blipFill>
                    <a:blip r:embed="rId11"/>
                    <a:stretch>
                      <a:fillRect/>
                    </a:stretch>
                  </pic:blipFill>
                  <pic:spPr>
                    <a:xfrm>
                      <a:off x="0" y="0"/>
                      <a:ext cx="5731510" cy="5720715"/>
                    </a:xfrm>
                    <a:prstGeom prst="rect">
                      <a:avLst/>
                    </a:prstGeom>
                  </pic:spPr>
                </pic:pic>
              </a:graphicData>
            </a:graphic>
          </wp:inline>
        </w:drawing>
      </w:r>
    </w:p>
    <w:p w14:paraId="51304524" w14:textId="1103F905" w:rsidR="00BB7D95" w:rsidRPr="00B526EA" w:rsidRDefault="00EF03D7" w:rsidP="00EF03D7">
      <w:pPr>
        <w:pStyle w:val="Caption"/>
        <w:jc w:val="center"/>
        <w:rPr>
          <w:rFonts w:ascii="Arial" w:hAnsi="Arial" w:cs="Arial"/>
          <w:szCs w:val="22"/>
        </w:rPr>
      </w:pPr>
      <w:bookmarkStart w:id="25" w:name="_Toc224468219"/>
      <w:r>
        <w:t xml:space="preserve">Figure </w:t>
      </w:r>
      <w:r>
        <w:fldChar w:fldCharType="begin"/>
      </w:r>
      <w:r>
        <w:instrText xml:space="preserve"> SEQ Figure \* ARABIC </w:instrText>
      </w:r>
      <w:r>
        <w:fldChar w:fldCharType="separate"/>
      </w:r>
      <w:r>
        <w:rPr>
          <w:noProof/>
        </w:rPr>
        <w:t>3</w:t>
      </w:r>
      <w:r>
        <w:rPr>
          <w:noProof/>
        </w:rPr>
        <w:fldChar w:fldCharType="end"/>
      </w:r>
      <w:r>
        <w:t>: PRISMA Technique for Study Selection</w:t>
      </w:r>
      <w:bookmarkEnd w:id="25"/>
    </w:p>
    <w:p w14:paraId="369AEB34" w14:textId="18D79260" w:rsidR="00550640" w:rsidRPr="00B526EA" w:rsidRDefault="00550640" w:rsidP="00F31E94">
      <w:pPr>
        <w:pStyle w:val="Heading2"/>
        <w:spacing w:before="240"/>
        <w:jc w:val="both"/>
        <w:rPr>
          <w:rFonts w:ascii="Arial" w:hAnsi="Arial" w:cs="Arial"/>
          <w:sz w:val="22"/>
          <w:szCs w:val="22"/>
        </w:rPr>
      </w:pPr>
      <w:bookmarkStart w:id="26" w:name="_Toc220350530"/>
      <w:r w:rsidRPr="00B526EA">
        <w:rPr>
          <w:rFonts w:ascii="Arial" w:hAnsi="Arial" w:cs="Arial"/>
          <w:sz w:val="22"/>
          <w:szCs w:val="22"/>
        </w:rPr>
        <w:t>3.4. Research Validation</w:t>
      </w:r>
      <w:bookmarkEnd w:id="26"/>
      <w:r w:rsidRPr="00B526EA">
        <w:rPr>
          <w:rFonts w:ascii="Arial" w:hAnsi="Arial" w:cs="Arial"/>
          <w:sz w:val="22"/>
          <w:szCs w:val="22"/>
        </w:rPr>
        <w:t xml:space="preserve"> </w:t>
      </w:r>
    </w:p>
    <w:p w14:paraId="703E060D" w14:textId="502B367B" w:rsidR="00550640" w:rsidRPr="00B526EA" w:rsidRDefault="00550640" w:rsidP="00F31E94">
      <w:pPr>
        <w:pStyle w:val="Heading3"/>
        <w:spacing w:before="240"/>
        <w:jc w:val="both"/>
        <w:rPr>
          <w:rFonts w:ascii="Arial" w:hAnsi="Arial" w:cs="Arial"/>
          <w:szCs w:val="22"/>
        </w:rPr>
      </w:pPr>
      <w:bookmarkStart w:id="27" w:name="_Toc220350531"/>
      <w:r w:rsidRPr="00B526EA">
        <w:rPr>
          <w:rFonts w:ascii="Arial" w:hAnsi="Arial" w:cs="Arial"/>
          <w:szCs w:val="22"/>
        </w:rPr>
        <w:t>3.4.1. Skimming Techniques</w:t>
      </w:r>
      <w:bookmarkEnd w:id="27"/>
    </w:p>
    <w:p w14:paraId="167B0A99" w14:textId="6AB338DF" w:rsidR="00550640" w:rsidRPr="00B526EA" w:rsidRDefault="00550640" w:rsidP="00F31E94">
      <w:pPr>
        <w:pStyle w:val="NormalWeb"/>
        <w:spacing w:before="240" w:beforeAutospacing="0" w:line="360" w:lineRule="auto"/>
        <w:jc w:val="both"/>
        <w:rPr>
          <w:rFonts w:ascii="Arial" w:hAnsi="Arial" w:cs="Arial"/>
          <w:szCs w:val="22"/>
        </w:rPr>
      </w:pPr>
      <w:r w:rsidRPr="00B526EA">
        <w:rPr>
          <w:rFonts w:ascii="Arial" w:hAnsi="Arial" w:cs="Arial"/>
          <w:szCs w:val="22"/>
        </w:rPr>
        <w:t xml:space="preserve">To assess relevance efficiently, sources were first skimmed using the title and abstract, followed by the introduction and conclusion where needed. This rapid screening checked whether the study (a) reported physical abuse and/or parental separation as distinct ACE types, (b) measured mental health outcomes relevant to the dissertation, (c) included participants aged </w:t>
      </w:r>
      <w:r w:rsidR="00E15DEE" w:rsidRPr="00B526EA">
        <w:rPr>
          <w:rFonts w:ascii="Arial" w:hAnsi="Arial" w:cs="Arial"/>
          <w:szCs w:val="22"/>
        </w:rPr>
        <w:t xml:space="preserve">15-30 </w:t>
      </w:r>
      <w:r w:rsidRPr="00B526EA">
        <w:rPr>
          <w:rFonts w:ascii="Arial" w:hAnsi="Arial" w:cs="Arial"/>
          <w:szCs w:val="22"/>
        </w:rPr>
        <w:t>(or reported extractable results for this age band), and (d) was UK-based or clearly transferable to a UK policy and service context.</w:t>
      </w:r>
    </w:p>
    <w:p w14:paraId="09525C63" w14:textId="0265B0BA" w:rsidR="00550640" w:rsidRPr="00B526EA" w:rsidRDefault="00550640" w:rsidP="00F31E94">
      <w:pPr>
        <w:pStyle w:val="Heading3"/>
        <w:spacing w:before="240"/>
        <w:jc w:val="both"/>
        <w:rPr>
          <w:rFonts w:ascii="Arial" w:hAnsi="Arial" w:cs="Arial"/>
          <w:szCs w:val="22"/>
        </w:rPr>
      </w:pPr>
      <w:bookmarkStart w:id="28" w:name="_Toc220350532"/>
      <w:r w:rsidRPr="00B526EA">
        <w:rPr>
          <w:rFonts w:ascii="Arial" w:hAnsi="Arial" w:cs="Arial"/>
          <w:szCs w:val="22"/>
        </w:rPr>
        <w:t>3.4.2. CRAAP Test Application</w:t>
      </w:r>
      <w:bookmarkEnd w:id="28"/>
    </w:p>
    <w:p w14:paraId="673471AA" w14:textId="2A3921F1" w:rsidR="00550640" w:rsidRPr="00B526EA" w:rsidRDefault="00550640" w:rsidP="00F31E94">
      <w:pPr>
        <w:pStyle w:val="NormalWeb"/>
        <w:spacing w:before="240" w:beforeAutospacing="0" w:line="360" w:lineRule="auto"/>
        <w:jc w:val="both"/>
        <w:rPr>
          <w:rFonts w:ascii="Arial" w:hAnsi="Arial" w:cs="Arial"/>
          <w:szCs w:val="22"/>
        </w:rPr>
      </w:pPr>
      <w:r w:rsidRPr="00B526EA">
        <w:rPr>
          <w:rFonts w:ascii="Arial" w:hAnsi="Arial" w:cs="Arial"/>
          <w:szCs w:val="22"/>
        </w:rPr>
        <w:t xml:space="preserve">Each potentially relevant source was then evaluated using the CRAAP framework: Currency, Relevance, Authority, Accuracy, and Purpose. As not all sources met every criterion equally, priority was given to Currency, Relevance, and Authority </w:t>
      </w:r>
      <w:r w:rsidR="009D2405" w:rsidRPr="00B526EA">
        <w:rPr>
          <w:rFonts w:ascii="Arial" w:hAnsi="Arial" w:cs="Arial"/>
          <w:szCs w:val="22"/>
        </w:rPr>
        <w:t>(Kalidas, 2021)</w:t>
      </w:r>
      <w:r w:rsidRPr="00B526EA">
        <w:rPr>
          <w:rFonts w:ascii="Arial" w:hAnsi="Arial" w:cs="Arial"/>
          <w:szCs w:val="22"/>
        </w:rPr>
        <w:t>.</w:t>
      </w:r>
    </w:p>
    <w:p w14:paraId="61F96444" w14:textId="792D1DCC" w:rsidR="00550640" w:rsidRPr="00B526EA" w:rsidRDefault="00550640" w:rsidP="00F31E94">
      <w:pPr>
        <w:pStyle w:val="Heading2"/>
        <w:spacing w:before="240"/>
        <w:jc w:val="both"/>
        <w:rPr>
          <w:rFonts w:ascii="Arial" w:hAnsi="Arial" w:cs="Arial"/>
          <w:sz w:val="22"/>
          <w:szCs w:val="22"/>
        </w:rPr>
      </w:pPr>
      <w:bookmarkStart w:id="29" w:name="_Toc220350533"/>
      <w:r w:rsidRPr="00B526EA">
        <w:rPr>
          <w:rFonts w:ascii="Arial" w:hAnsi="Arial" w:cs="Arial"/>
          <w:sz w:val="22"/>
          <w:szCs w:val="22"/>
        </w:rPr>
        <w:t>3.5 Inclusion and Exclusion Criteria</w:t>
      </w:r>
      <w:bookmarkEnd w:id="29"/>
      <w:r w:rsidRPr="00B526EA">
        <w:rPr>
          <w:rFonts w:ascii="Arial" w:hAnsi="Arial" w:cs="Arial"/>
          <w:sz w:val="22"/>
          <w:szCs w:val="22"/>
        </w:rPr>
        <w:t xml:space="preserve"> </w:t>
      </w:r>
    </w:p>
    <w:p w14:paraId="29A0BF2C" w14:textId="35B6AA48" w:rsidR="005A4724" w:rsidRPr="00B526EA" w:rsidRDefault="005A4724" w:rsidP="00F31E94">
      <w:pPr>
        <w:pStyle w:val="Caption"/>
        <w:keepNext/>
        <w:spacing w:before="240" w:line="360" w:lineRule="auto"/>
        <w:jc w:val="both"/>
        <w:rPr>
          <w:rFonts w:ascii="Arial" w:hAnsi="Arial" w:cs="Arial"/>
        </w:rPr>
      </w:pPr>
      <w:bookmarkStart w:id="30" w:name="_Toc219221911"/>
      <w:r w:rsidRPr="00B526EA">
        <w:rPr>
          <w:rFonts w:ascii="Arial" w:hAnsi="Arial" w:cs="Arial"/>
        </w:rPr>
        <w:t xml:space="preserve">Table </w:t>
      </w:r>
      <w:r w:rsidRPr="00B526EA">
        <w:rPr>
          <w:rFonts w:ascii="Arial" w:hAnsi="Arial" w:cs="Arial"/>
        </w:rPr>
        <w:fldChar w:fldCharType="begin"/>
      </w:r>
      <w:r w:rsidRPr="00B526EA">
        <w:rPr>
          <w:rFonts w:ascii="Arial" w:hAnsi="Arial" w:cs="Arial"/>
        </w:rPr>
        <w:instrText xml:space="preserve"> SEQ Table \* ARABIC </w:instrText>
      </w:r>
      <w:r w:rsidRPr="00B526EA">
        <w:rPr>
          <w:rFonts w:ascii="Arial" w:hAnsi="Arial" w:cs="Arial"/>
        </w:rPr>
        <w:fldChar w:fldCharType="separate"/>
      </w:r>
      <w:r w:rsidR="00F451A8" w:rsidRPr="00B526EA">
        <w:rPr>
          <w:rFonts w:ascii="Arial" w:hAnsi="Arial" w:cs="Arial"/>
          <w:noProof/>
        </w:rPr>
        <w:t>2</w:t>
      </w:r>
      <w:r w:rsidRPr="00B526EA">
        <w:rPr>
          <w:rFonts w:ascii="Arial" w:hAnsi="Arial" w:cs="Arial"/>
        </w:rPr>
        <w:fldChar w:fldCharType="end"/>
      </w:r>
      <w:r w:rsidRPr="00B526EA">
        <w:rPr>
          <w:rFonts w:ascii="Arial" w:hAnsi="Arial" w:cs="Arial"/>
        </w:rPr>
        <w:t>: Inclusion and Exclusion Criteria</w:t>
      </w:r>
      <w:bookmarkEnd w:id="30"/>
    </w:p>
    <w:tbl>
      <w:tblPr>
        <w:tblStyle w:val="TableGrid"/>
        <w:tblW w:w="0" w:type="auto"/>
        <w:tblLook w:val="04A0" w:firstRow="1" w:lastRow="0" w:firstColumn="1" w:lastColumn="0" w:noHBand="0" w:noVBand="1"/>
      </w:tblPr>
      <w:tblGrid>
        <w:gridCol w:w="1477"/>
        <w:gridCol w:w="3838"/>
        <w:gridCol w:w="3701"/>
      </w:tblGrid>
      <w:tr w:rsidR="00550640" w:rsidRPr="00B526EA" w14:paraId="6F32F3B0" w14:textId="77777777" w:rsidTr="00104CB3">
        <w:tc>
          <w:tcPr>
            <w:tcW w:w="0" w:type="auto"/>
            <w:hideMark/>
          </w:tcPr>
          <w:p w14:paraId="378878EB" w14:textId="77777777" w:rsidR="00550640" w:rsidRPr="00B526EA" w:rsidRDefault="00550640" w:rsidP="00F31E94">
            <w:pPr>
              <w:spacing w:before="240"/>
              <w:jc w:val="both"/>
              <w:rPr>
                <w:rFonts w:ascii="Arial" w:hAnsi="Arial" w:cs="Arial"/>
                <w:b/>
                <w:bCs/>
                <w:szCs w:val="22"/>
              </w:rPr>
            </w:pPr>
            <w:r w:rsidRPr="00B526EA">
              <w:rPr>
                <w:rFonts w:ascii="Arial" w:hAnsi="Arial" w:cs="Arial"/>
                <w:b/>
                <w:bCs/>
                <w:szCs w:val="22"/>
              </w:rPr>
              <w:t>Domain</w:t>
            </w:r>
          </w:p>
        </w:tc>
        <w:tc>
          <w:tcPr>
            <w:tcW w:w="0" w:type="auto"/>
            <w:hideMark/>
          </w:tcPr>
          <w:p w14:paraId="09939EA6" w14:textId="77777777" w:rsidR="00550640" w:rsidRPr="00B526EA" w:rsidRDefault="00550640" w:rsidP="00F31E94">
            <w:pPr>
              <w:spacing w:before="240"/>
              <w:jc w:val="both"/>
              <w:rPr>
                <w:rFonts w:ascii="Arial" w:hAnsi="Arial" w:cs="Arial"/>
                <w:b/>
                <w:bCs/>
                <w:szCs w:val="22"/>
              </w:rPr>
            </w:pPr>
            <w:r w:rsidRPr="00B526EA">
              <w:rPr>
                <w:rFonts w:ascii="Arial" w:hAnsi="Arial" w:cs="Arial"/>
                <w:b/>
                <w:bCs/>
                <w:szCs w:val="22"/>
              </w:rPr>
              <w:t>Inclusion criteria</w:t>
            </w:r>
          </w:p>
        </w:tc>
        <w:tc>
          <w:tcPr>
            <w:tcW w:w="0" w:type="auto"/>
            <w:hideMark/>
          </w:tcPr>
          <w:p w14:paraId="7F3A0085" w14:textId="77777777" w:rsidR="00550640" w:rsidRPr="00B526EA" w:rsidRDefault="00550640" w:rsidP="00F31E94">
            <w:pPr>
              <w:spacing w:before="240"/>
              <w:jc w:val="both"/>
              <w:rPr>
                <w:rFonts w:ascii="Arial" w:hAnsi="Arial" w:cs="Arial"/>
                <w:b/>
                <w:bCs/>
                <w:szCs w:val="22"/>
              </w:rPr>
            </w:pPr>
            <w:r w:rsidRPr="00B526EA">
              <w:rPr>
                <w:rFonts w:ascii="Arial" w:hAnsi="Arial" w:cs="Arial"/>
                <w:b/>
                <w:bCs/>
                <w:szCs w:val="22"/>
              </w:rPr>
              <w:t>Exclusion criteria</w:t>
            </w:r>
          </w:p>
        </w:tc>
      </w:tr>
      <w:tr w:rsidR="00550640" w:rsidRPr="00B526EA" w14:paraId="29A102A2" w14:textId="77777777" w:rsidTr="00104CB3">
        <w:tc>
          <w:tcPr>
            <w:tcW w:w="0" w:type="auto"/>
            <w:hideMark/>
          </w:tcPr>
          <w:p w14:paraId="10BB8D11"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Publication type</w:t>
            </w:r>
          </w:p>
        </w:tc>
        <w:tc>
          <w:tcPr>
            <w:tcW w:w="0" w:type="auto"/>
            <w:hideMark/>
          </w:tcPr>
          <w:p w14:paraId="061F8ED6"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Peer-reviewed journal articles and credible reports</w:t>
            </w:r>
          </w:p>
        </w:tc>
        <w:tc>
          <w:tcPr>
            <w:tcW w:w="0" w:type="auto"/>
            <w:hideMark/>
          </w:tcPr>
          <w:p w14:paraId="03B74A10"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Opinion pieces, blogs, non-scholarly websites</w:t>
            </w:r>
          </w:p>
        </w:tc>
      </w:tr>
      <w:tr w:rsidR="00550640" w:rsidRPr="00B526EA" w14:paraId="69AEAE45" w14:textId="77777777" w:rsidTr="00104CB3">
        <w:tc>
          <w:tcPr>
            <w:tcW w:w="0" w:type="auto"/>
            <w:hideMark/>
          </w:tcPr>
          <w:p w14:paraId="20EECAE2"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Date range</w:t>
            </w:r>
          </w:p>
        </w:tc>
        <w:tc>
          <w:tcPr>
            <w:tcW w:w="0" w:type="auto"/>
            <w:hideMark/>
          </w:tcPr>
          <w:p w14:paraId="03EA0544" w14:textId="314B91C1" w:rsidR="00550640" w:rsidRPr="00B526EA" w:rsidRDefault="00550640" w:rsidP="00F31E94">
            <w:pPr>
              <w:spacing w:before="240"/>
              <w:jc w:val="both"/>
              <w:rPr>
                <w:rFonts w:ascii="Arial" w:hAnsi="Arial" w:cs="Arial"/>
                <w:szCs w:val="22"/>
              </w:rPr>
            </w:pPr>
            <w:r w:rsidRPr="00B526EA">
              <w:rPr>
                <w:rFonts w:ascii="Arial" w:hAnsi="Arial" w:cs="Arial"/>
                <w:szCs w:val="22"/>
              </w:rPr>
              <w:t>201</w:t>
            </w:r>
            <w:r w:rsidR="002A341E" w:rsidRPr="00B526EA">
              <w:rPr>
                <w:rFonts w:ascii="Arial" w:hAnsi="Arial" w:cs="Arial"/>
                <w:szCs w:val="22"/>
              </w:rPr>
              <w:t>5</w:t>
            </w:r>
            <w:r w:rsidRPr="00B526EA">
              <w:rPr>
                <w:rFonts w:ascii="Arial" w:hAnsi="Arial" w:cs="Arial"/>
                <w:szCs w:val="22"/>
              </w:rPr>
              <w:t>–2025</w:t>
            </w:r>
          </w:p>
        </w:tc>
        <w:tc>
          <w:tcPr>
            <w:tcW w:w="0" w:type="auto"/>
            <w:hideMark/>
          </w:tcPr>
          <w:p w14:paraId="43D8A7EB" w14:textId="5450878E" w:rsidR="00550640" w:rsidRPr="00B526EA" w:rsidRDefault="00550640" w:rsidP="00F31E94">
            <w:pPr>
              <w:spacing w:before="240"/>
              <w:jc w:val="both"/>
              <w:rPr>
                <w:rFonts w:ascii="Arial" w:hAnsi="Arial" w:cs="Arial"/>
                <w:szCs w:val="22"/>
              </w:rPr>
            </w:pPr>
            <w:r w:rsidRPr="00B526EA">
              <w:rPr>
                <w:rFonts w:ascii="Arial" w:hAnsi="Arial" w:cs="Arial"/>
                <w:szCs w:val="22"/>
              </w:rPr>
              <w:t>Pre-201</w:t>
            </w:r>
            <w:r w:rsidR="002A341E" w:rsidRPr="00B526EA">
              <w:rPr>
                <w:rFonts w:ascii="Arial" w:hAnsi="Arial" w:cs="Arial"/>
                <w:szCs w:val="22"/>
              </w:rPr>
              <w:t>5</w:t>
            </w:r>
            <w:r w:rsidRPr="00B526EA">
              <w:rPr>
                <w:rFonts w:ascii="Arial" w:hAnsi="Arial" w:cs="Arial"/>
                <w:szCs w:val="22"/>
              </w:rPr>
              <w:t xml:space="preserve"> sourcesnly)</w:t>
            </w:r>
          </w:p>
        </w:tc>
      </w:tr>
      <w:tr w:rsidR="00550640" w:rsidRPr="00B526EA" w14:paraId="169C1606" w14:textId="77777777" w:rsidTr="00104CB3">
        <w:tc>
          <w:tcPr>
            <w:tcW w:w="0" w:type="auto"/>
            <w:hideMark/>
          </w:tcPr>
          <w:p w14:paraId="6D608D57"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Language</w:t>
            </w:r>
          </w:p>
        </w:tc>
        <w:tc>
          <w:tcPr>
            <w:tcW w:w="0" w:type="auto"/>
            <w:hideMark/>
          </w:tcPr>
          <w:p w14:paraId="2C1B419C"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English</w:t>
            </w:r>
          </w:p>
        </w:tc>
        <w:tc>
          <w:tcPr>
            <w:tcW w:w="0" w:type="auto"/>
            <w:hideMark/>
          </w:tcPr>
          <w:p w14:paraId="2CB0D304"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Non-English sources</w:t>
            </w:r>
          </w:p>
        </w:tc>
      </w:tr>
      <w:tr w:rsidR="00550640" w:rsidRPr="00B526EA" w14:paraId="6169FEE5" w14:textId="77777777" w:rsidTr="00104CB3">
        <w:tc>
          <w:tcPr>
            <w:tcW w:w="0" w:type="auto"/>
            <w:hideMark/>
          </w:tcPr>
          <w:p w14:paraId="7D05A849"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Population</w:t>
            </w:r>
          </w:p>
        </w:tc>
        <w:tc>
          <w:tcPr>
            <w:tcW w:w="0" w:type="auto"/>
            <w:hideMark/>
          </w:tcPr>
          <w:p w14:paraId="5D15FCFE" w14:textId="3CD0F772" w:rsidR="00550640" w:rsidRPr="00B526EA" w:rsidRDefault="00550640" w:rsidP="00F31E94">
            <w:pPr>
              <w:spacing w:before="240"/>
              <w:jc w:val="both"/>
              <w:rPr>
                <w:rFonts w:ascii="Arial" w:hAnsi="Arial" w:cs="Arial"/>
                <w:szCs w:val="22"/>
              </w:rPr>
            </w:pPr>
            <w:r w:rsidRPr="00B526EA">
              <w:rPr>
                <w:rFonts w:ascii="Arial" w:hAnsi="Arial" w:cs="Arial"/>
                <w:szCs w:val="22"/>
              </w:rPr>
              <w:t xml:space="preserve">Outcomes assessed in young adults aged </w:t>
            </w:r>
            <w:r w:rsidR="00E15DEE" w:rsidRPr="00B526EA">
              <w:rPr>
                <w:rFonts w:ascii="Arial" w:hAnsi="Arial" w:cs="Arial"/>
                <w:szCs w:val="22"/>
              </w:rPr>
              <w:t xml:space="preserve">15-30 </w:t>
            </w:r>
            <w:r w:rsidRPr="00B526EA">
              <w:rPr>
                <w:rFonts w:ascii="Arial" w:hAnsi="Arial" w:cs="Arial"/>
                <w:szCs w:val="22"/>
              </w:rPr>
              <w:t xml:space="preserve"> (or extractable subgroup)</w:t>
            </w:r>
          </w:p>
        </w:tc>
        <w:tc>
          <w:tcPr>
            <w:tcW w:w="0" w:type="auto"/>
            <w:hideMark/>
          </w:tcPr>
          <w:p w14:paraId="2F977B82" w14:textId="54460694" w:rsidR="00550640" w:rsidRPr="00B526EA" w:rsidRDefault="00550640" w:rsidP="00F31E94">
            <w:pPr>
              <w:spacing w:before="240"/>
              <w:jc w:val="both"/>
              <w:rPr>
                <w:rFonts w:ascii="Arial" w:hAnsi="Arial" w:cs="Arial"/>
                <w:szCs w:val="22"/>
              </w:rPr>
            </w:pPr>
            <w:r w:rsidRPr="00B526EA">
              <w:rPr>
                <w:rFonts w:ascii="Arial" w:hAnsi="Arial" w:cs="Arial"/>
                <w:szCs w:val="22"/>
              </w:rPr>
              <w:t xml:space="preserve">Outcomes not reported for </w:t>
            </w:r>
            <w:r w:rsidR="00E15DEE" w:rsidRPr="00B526EA">
              <w:rPr>
                <w:rFonts w:ascii="Arial" w:hAnsi="Arial" w:cs="Arial"/>
                <w:szCs w:val="22"/>
              </w:rPr>
              <w:t xml:space="preserve">15-30 </w:t>
            </w:r>
            <w:r w:rsidRPr="00B526EA">
              <w:rPr>
                <w:rFonts w:ascii="Arial" w:hAnsi="Arial" w:cs="Arial"/>
                <w:szCs w:val="22"/>
              </w:rPr>
              <w:t>and not extractable</w:t>
            </w:r>
          </w:p>
        </w:tc>
      </w:tr>
      <w:tr w:rsidR="00550640" w:rsidRPr="00B526EA" w14:paraId="0D04BB12" w14:textId="77777777" w:rsidTr="00104CB3">
        <w:tc>
          <w:tcPr>
            <w:tcW w:w="0" w:type="auto"/>
            <w:hideMark/>
          </w:tcPr>
          <w:p w14:paraId="787C2C32"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Exposure</w:t>
            </w:r>
          </w:p>
        </w:tc>
        <w:tc>
          <w:tcPr>
            <w:tcW w:w="0" w:type="auto"/>
            <w:hideMark/>
          </w:tcPr>
          <w:p w14:paraId="4EB8733F"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Physical abuse and/or parental separation reported as distinct ACE types</w:t>
            </w:r>
          </w:p>
        </w:tc>
        <w:tc>
          <w:tcPr>
            <w:tcW w:w="0" w:type="auto"/>
            <w:hideMark/>
          </w:tcPr>
          <w:p w14:paraId="152A261C"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ACEs only reported as a cumulative score with no separate ACE-type data</w:t>
            </w:r>
          </w:p>
        </w:tc>
      </w:tr>
      <w:tr w:rsidR="00550640" w:rsidRPr="00B526EA" w14:paraId="0D660CD5" w14:textId="77777777" w:rsidTr="00104CB3">
        <w:tc>
          <w:tcPr>
            <w:tcW w:w="0" w:type="auto"/>
            <w:hideMark/>
          </w:tcPr>
          <w:p w14:paraId="09894C2D"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Outcomes</w:t>
            </w:r>
          </w:p>
        </w:tc>
        <w:tc>
          <w:tcPr>
            <w:tcW w:w="0" w:type="auto"/>
            <w:hideMark/>
          </w:tcPr>
          <w:p w14:paraId="733C1B62"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Depression, anxiety, PTSD/trauma symptoms, self-harm, substance use</w:t>
            </w:r>
          </w:p>
        </w:tc>
        <w:tc>
          <w:tcPr>
            <w:tcW w:w="0" w:type="auto"/>
            <w:hideMark/>
          </w:tcPr>
          <w:p w14:paraId="63F371EA" w14:textId="77777777" w:rsidR="00550640" w:rsidRPr="00B526EA" w:rsidRDefault="00550640" w:rsidP="00F31E94">
            <w:pPr>
              <w:spacing w:before="240"/>
              <w:jc w:val="both"/>
              <w:rPr>
                <w:rFonts w:ascii="Arial" w:hAnsi="Arial" w:cs="Arial"/>
                <w:szCs w:val="22"/>
              </w:rPr>
            </w:pPr>
            <w:r w:rsidRPr="00B526EA">
              <w:rPr>
                <w:rFonts w:ascii="Arial" w:hAnsi="Arial" w:cs="Arial"/>
                <w:szCs w:val="22"/>
              </w:rPr>
              <w:t>Outcomes unrelated to mental health aims of the dissertation</w:t>
            </w:r>
          </w:p>
        </w:tc>
      </w:tr>
    </w:tbl>
    <w:p w14:paraId="2297B7B0" w14:textId="1868406C" w:rsidR="00550640" w:rsidRPr="00B526EA" w:rsidRDefault="00550640" w:rsidP="00F31E94">
      <w:pPr>
        <w:spacing w:before="240"/>
        <w:jc w:val="both"/>
        <w:rPr>
          <w:szCs w:val="22"/>
        </w:rPr>
      </w:pPr>
      <w:r w:rsidRPr="00B526EA">
        <w:rPr>
          <w:szCs w:val="22"/>
        </w:rPr>
        <w:t>These criteria helped maintain focus on evidence directly aligned to the research aim while protecting quality by prioritising recent, peer-reviewed, clearly reported studies that allow comparison between the two ACE types.</w:t>
      </w:r>
    </w:p>
    <w:p w14:paraId="316E9BAD" w14:textId="7E55DB32" w:rsidR="00550640" w:rsidRPr="00B526EA" w:rsidRDefault="00550640" w:rsidP="00F31E94">
      <w:pPr>
        <w:pStyle w:val="Heading2"/>
        <w:spacing w:before="240"/>
        <w:jc w:val="both"/>
        <w:rPr>
          <w:sz w:val="22"/>
          <w:szCs w:val="22"/>
        </w:rPr>
      </w:pPr>
      <w:bookmarkStart w:id="31" w:name="_Toc220350534"/>
      <w:r w:rsidRPr="00B526EA">
        <w:rPr>
          <w:sz w:val="22"/>
          <w:szCs w:val="22"/>
        </w:rPr>
        <w:t>3.6</w:t>
      </w:r>
      <w:r w:rsidR="00104CB3" w:rsidRPr="00B526EA">
        <w:rPr>
          <w:sz w:val="22"/>
          <w:szCs w:val="22"/>
        </w:rPr>
        <w:t>.</w:t>
      </w:r>
      <w:r w:rsidRPr="00B526EA">
        <w:rPr>
          <w:sz w:val="22"/>
          <w:szCs w:val="22"/>
        </w:rPr>
        <w:t xml:space="preserve"> </w:t>
      </w:r>
      <w:r w:rsidR="000913B2" w:rsidRPr="00B526EA">
        <w:rPr>
          <w:sz w:val="22"/>
          <w:szCs w:val="22"/>
        </w:rPr>
        <w:t>Thematic Analysis</w:t>
      </w:r>
      <w:bookmarkEnd w:id="31"/>
    </w:p>
    <w:p w14:paraId="7E58218C" w14:textId="2B8F6163" w:rsidR="00550640" w:rsidRPr="00B526EA" w:rsidRDefault="003F21D2" w:rsidP="00F31E94">
      <w:pPr>
        <w:spacing w:before="240"/>
        <w:jc w:val="both"/>
        <w:rPr>
          <w:rFonts w:ascii="Arial" w:hAnsi="Arial" w:cs="Arial"/>
          <w:szCs w:val="22"/>
        </w:rPr>
      </w:pPr>
      <w:r w:rsidRPr="00B526EA">
        <w:rPr>
          <w:szCs w:val="22"/>
        </w:rPr>
        <w:t xml:space="preserve">Thematic analysis is a qualitative method for systematically identifying, analysing, and interpreting recurring patterns of meaning (themes) across a dataset </w:t>
      </w:r>
      <w:r w:rsidRPr="00B526EA">
        <w:rPr>
          <w:rFonts w:ascii="Arial" w:hAnsi="Arial" w:cs="Arial"/>
          <w:szCs w:val="22"/>
        </w:rPr>
        <w:t>(Braun and Clarke, 2006)</w:t>
      </w:r>
      <w:r w:rsidRPr="00B526EA">
        <w:rPr>
          <w:szCs w:val="22"/>
        </w:rPr>
        <w:t xml:space="preserve">. </w:t>
      </w:r>
      <w:r w:rsidR="0097194F" w:rsidRPr="0097194F">
        <w:rPr>
          <w:rFonts w:ascii="Arial" w:hAnsi="Arial" w:cs="Arial"/>
          <w:szCs w:val="22"/>
        </w:rPr>
        <w:t>Thematic coding was used to analyse the literature included to detect recurring patterns applicable to the research objective. All studies were read and important information was identified such as ACE definitions, sample, measures, key findings, effect sizes where feasible, and moderators. Preliminary codes were created based on repeating ideas including threat/hyperarousal, attachment disruption, interparental conflict, material strain, and barriers to service access. The studies then compared similar codes and sorted them into bigger categories. The following categories were further narrowed down to the final themes found in Chapter 4, where the relation of physical abuse to parental separation and the circumstances in which these associations were most significant and weakest could be compared.</w:t>
      </w:r>
    </w:p>
    <w:p w14:paraId="6C171131" w14:textId="102066DD" w:rsidR="00550640" w:rsidRPr="00B526EA" w:rsidRDefault="00550640" w:rsidP="00F31E94">
      <w:pPr>
        <w:pStyle w:val="Heading2"/>
        <w:spacing w:before="240"/>
        <w:jc w:val="both"/>
        <w:rPr>
          <w:rFonts w:ascii="Arial" w:hAnsi="Arial" w:cs="Arial"/>
          <w:sz w:val="22"/>
          <w:szCs w:val="22"/>
        </w:rPr>
      </w:pPr>
      <w:bookmarkStart w:id="32" w:name="_Toc220350535"/>
      <w:r w:rsidRPr="00B526EA">
        <w:rPr>
          <w:rFonts w:ascii="Arial" w:hAnsi="Arial" w:cs="Arial"/>
          <w:sz w:val="22"/>
          <w:szCs w:val="22"/>
        </w:rPr>
        <w:t>3.7</w:t>
      </w:r>
      <w:r w:rsidR="00104CB3" w:rsidRPr="00B526EA">
        <w:rPr>
          <w:rFonts w:ascii="Arial" w:hAnsi="Arial" w:cs="Arial"/>
          <w:sz w:val="22"/>
          <w:szCs w:val="22"/>
        </w:rPr>
        <w:t>.</w:t>
      </w:r>
      <w:r w:rsidRPr="00B526EA">
        <w:rPr>
          <w:rFonts w:ascii="Arial" w:hAnsi="Arial" w:cs="Arial"/>
          <w:sz w:val="22"/>
          <w:szCs w:val="22"/>
        </w:rPr>
        <w:t xml:space="preserve"> Ethical Considerations</w:t>
      </w:r>
      <w:bookmarkEnd w:id="32"/>
      <w:r w:rsidRPr="00B526EA">
        <w:rPr>
          <w:rFonts w:ascii="Arial" w:hAnsi="Arial" w:cs="Arial"/>
          <w:sz w:val="22"/>
          <w:szCs w:val="22"/>
        </w:rPr>
        <w:t xml:space="preserve"> </w:t>
      </w:r>
    </w:p>
    <w:p w14:paraId="0A3BB3C6" w14:textId="5BAF9D15" w:rsidR="00550640" w:rsidRPr="00B526EA" w:rsidRDefault="00550640" w:rsidP="00F31E94">
      <w:pPr>
        <w:pStyle w:val="NormalWeb"/>
        <w:spacing w:before="240" w:beforeAutospacing="0" w:line="360" w:lineRule="auto"/>
        <w:jc w:val="both"/>
        <w:rPr>
          <w:rFonts w:ascii="Arial" w:hAnsi="Arial" w:cs="Arial"/>
          <w:szCs w:val="22"/>
        </w:rPr>
      </w:pPr>
      <w:r w:rsidRPr="00B526EA">
        <w:rPr>
          <w:rFonts w:ascii="Arial" w:hAnsi="Arial" w:cs="Arial"/>
          <w:szCs w:val="22"/>
        </w:rPr>
        <w:t xml:space="preserve">This dissertation used secondary research only, meaning no new data were collected and no participants were recruited. </w:t>
      </w:r>
      <w:r w:rsidR="006914C0" w:rsidRPr="006914C0">
        <w:rPr>
          <w:rFonts w:ascii="Arial" w:hAnsi="Arial" w:cs="Arial"/>
          <w:szCs w:val="22"/>
        </w:rPr>
        <w:t>Ethical practice was thus centered on academic integrity, proper representation and transparency. All references were referenced throughout in Harvard style and conclusions were appropriately paraphrased to prevent plagiarism or misrepresentation. The processes of selection and synthesis were conducted in a fair manner and mixed or conflicting evidence was reported to minimi</w:t>
      </w:r>
      <w:r w:rsidR="003E7B34">
        <w:rPr>
          <w:rFonts w:ascii="Arial" w:hAnsi="Arial" w:cs="Arial"/>
          <w:szCs w:val="22"/>
        </w:rPr>
        <w:t>s</w:t>
      </w:r>
      <w:r w:rsidR="006914C0" w:rsidRPr="006914C0">
        <w:rPr>
          <w:rFonts w:ascii="Arial" w:hAnsi="Arial" w:cs="Arial"/>
          <w:szCs w:val="22"/>
        </w:rPr>
        <w:t>e bias. Transparency was also promoted with the preservation of a documented search strategy, source tracking table, and clear inclusion/exclusion criteria to allow readers to trace the process of evidence selection and interpretation</w:t>
      </w:r>
      <w:r w:rsidRPr="00B526EA">
        <w:rPr>
          <w:rFonts w:ascii="Arial" w:hAnsi="Arial" w:cs="Arial"/>
          <w:szCs w:val="22"/>
        </w:rPr>
        <w:t>.</w:t>
      </w:r>
    </w:p>
    <w:p w14:paraId="2F6C62BC" w14:textId="4616E12F" w:rsidR="00550640" w:rsidRPr="00B526EA" w:rsidRDefault="00550640" w:rsidP="00F31E94">
      <w:pPr>
        <w:pStyle w:val="Heading2"/>
        <w:spacing w:before="240"/>
        <w:jc w:val="both"/>
        <w:rPr>
          <w:rFonts w:ascii="Arial" w:hAnsi="Arial" w:cs="Arial"/>
          <w:sz w:val="22"/>
          <w:szCs w:val="22"/>
        </w:rPr>
      </w:pPr>
      <w:bookmarkStart w:id="33" w:name="_Toc220350536"/>
      <w:r w:rsidRPr="00B526EA">
        <w:rPr>
          <w:rFonts w:ascii="Arial" w:hAnsi="Arial" w:cs="Arial"/>
          <w:sz w:val="22"/>
          <w:szCs w:val="22"/>
        </w:rPr>
        <w:t>3.8</w:t>
      </w:r>
      <w:r w:rsidR="00104CB3" w:rsidRPr="00B526EA">
        <w:rPr>
          <w:rFonts w:ascii="Arial" w:hAnsi="Arial" w:cs="Arial"/>
          <w:sz w:val="22"/>
          <w:szCs w:val="22"/>
        </w:rPr>
        <w:t>.</w:t>
      </w:r>
      <w:r w:rsidRPr="00B526EA">
        <w:rPr>
          <w:rFonts w:ascii="Arial" w:hAnsi="Arial" w:cs="Arial"/>
          <w:sz w:val="22"/>
          <w:szCs w:val="22"/>
        </w:rPr>
        <w:t xml:space="preserve"> Chapter Conclusion</w:t>
      </w:r>
      <w:bookmarkEnd w:id="33"/>
      <w:r w:rsidRPr="00B526EA">
        <w:rPr>
          <w:rFonts w:ascii="Arial" w:hAnsi="Arial" w:cs="Arial"/>
          <w:sz w:val="22"/>
          <w:szCs w:val="22"/>
        </w:rPr>
        <w:t xml:space="preserve"> </w:t>
      </w:r>
    </w:p>
    <w:p w14:paraId="6E5EB2F7" w14:textId="6977211D" w:rsidR="00D53101" w:rsidRPr="00B526EA" w:rsidRDefault="00387123" w:rsidP="00F31E94">
      <w:pPr>
        <w:spacing w:before="240"/>
        <w:jc w:val="both"/>
        <w:rPr>
          <w:rFonts w:ascii="Arial" w:hAnsi="Arial" w:cs="Arial"/>
          <w:szCs w:val="22"/>
        </w:rPr>
      </w:pPr>
      <w:r w:rsidRPr="00387123">
        <w:rPr>
          <w:rFonts w:ascii="Arial" w:hAnsi="Arial" w:cs="Arial"/>
          <w:szCs w:val="22"/>
        </w:rPr>
        <w:t>This chapter outlined the methods to find, assess, and examine research evidence on physical abuse and parental separation as independent ACEs and their correlations with mental health outcomes in young adults aged 15-30 in the UK. It described the organi</w:t>
      </w:r>
      <w:r w:rsidR="003E7B34">
        <w:rPr>
          <w:rFonts w:ascii="Arial" w:hAnsi="Arial" w:cs="Arial"/>
          <w:szCs w:val="22"/>
        </w:rPr>
        <w:t>se</w:t>
      </w:r>
      <w:r w:rsidRPr="00387123">
        <w:rPr>
          <w:rFonts w:ascii="Arial" w:hAnsi="Arial" w:cs="Arial"/>
          <w:szCs w:val="22"/>
        </w:rPr>
        <w:t>d database search plan, application of filters and refinements, and validation of the search using skimming and CRAAP framework. Relevance and quality were ensured by clear inclusion and exclusion criteria, and findings were synthesised into themes using thematic coding, with an auditable trail of coding. The findings of this thematic synthesis are now presented in chapter 4 under themes that are related to the research objectives.</w:t>
      </w:r>
    </w:p>
    <w:p w14:paraId="193547FD" w14:textId="77777777" w:rsidR="003E19C6" w:rsidRDefault="003E19C6" w:rsidP="00F31E94">
      <w:pPr>
        <w:spacing w:before="240"/>
        <w:jc w:val="both"/>
        <w:rPr>
          <w:rFonts w:ascii="Arial" w:hAnsi="Arial" w:cs="Arial"/>
          <w:szCs w:val="22"/>
        </w:rPr>
      </w:pPr>
    </w:p>
    <w:p w14:paraId="34208DFE" w14:textId="77777777" w:rsidR="0098487D" w:rsidRDefault="0098487D" w:rsidP="00F31E94">
      <w:pPr>
        <w:spacing w:before="240"/>
        <w:jc w:val="both"/>
        <w:rPr>
          <w:rFonts w:ascii="Arial" w:hAnsi="Arial" w:cs="Arial"/>
          <w:szCs w:val="22"/>
        </w:rPr>
      </w:pPr>
    </w:p>
    <w:p w14:paraId="1BD4D7DF" w14:textId="77777777" w:rsidR="007A0220" w:rsidRDefault="007A0220" w:rsidP="00F31E94">
      <w:pPr>
        <w:spacing w:before="240"/>
        <w:jc w:val="both"/>
        <w:rPr>
          <w:rFonts w:ascii="Arial" w:hAnsi="Arial" w:cs="Arial"/>
          <w:szCs w:val="22"/>
        </w:rPr>
      </w:pPr>
    </w:p>
    <w:p w14:paraId="39012406" w14:textId="77777777" w:rsidR="007A0220" w:rsidRPr="00B526EA" w:rsidRDefault="007A0220" w:rsidP="00F31E94">
      <w:pPr>
        <w:spacing w:before="240"/>
        <w:jc w:val="both"/>
        <w:rPr>
          <w:rFonts w:ascii="Arial" w:hAnsi="Arial" w:cs="Arial"/>
          <w:szCs w:val="22"/>
        </w:rPr>
      </w:pPr>
    </w:p>
    <w:p w14:paraId="12FBA8B2" w14:textId="00D738D6" w:rsidR="003E19C6" w:rsidRPr="00B526EA" w:rsidRDefault="00996C1C" w:rsidP="00B526EA">
      <w:pPr>
        <w:pStyle w:val="Heading1"/>
      </w:pPr>
      <w:bookmarkStart w:id="34" w:name="_Toc220350537"/>
      <w:r w:rsidRPr="00B526EA">
        <w:t>CHAPTER 4 – Findings and Discussion</w:t>
      </w:r>
      <w:bookmarkEnd w:id="34"/>
    </w:p>
    <w:p w14:paraId="65C1A22F" w14:textId="63D59F30" w:rsidR="00891200" w:rsidRPr="00B526EA" w:rsidRDefault="00891200" w:rsidP="00F31E94">
      <w:pPr>
        <w:pStyle w:val="Heading2"/>
        <w:spacing w:before="240"/>
        <w:jc w:val="both"/>
        <w:rPr>
          <w:sz w:val="22"/>
          <w:szCs w:val="22"/>
        </w:rPr>
      </w:pPr>
      <w:bookmarkStart w:id="35" w:name="_Toc220350538"/>
      <w:r w:rsidRPr="00B526EA">
        <w:rPr>
          <w:sz w:val="22"/>
          <w:szCs w:val="22"/>
        </w:rPr>
        <w:t>4.1</w:t>
      </w:r>
      <w:r w:rsidR="002772D8" w:rsidRPr="00B526EA">
        <w:rPr>
          <w:sz w:val="22"/>
          <w:szCs w:val="22"/>
        </w:rPr>
        <w:t>.</w:t>
      </w:r>
      <w:r w:rsidRPr="00B526EA">
        <w:rPr>
          <w:sz w:val="22"/>
          <w:szCs w:val="22"/>
        </w:rPr>
        <w:t xml:space="preserve"> Introduction</w:t>
      </w:r>
      <w:bookmarkEnd w:id="35"/>
      <w:r w:rsidRPr="00B526EA">
        <w:rPr>
          <w:sz w:val="22"/>
          <w:szCs w:val="22"/>
        </w:rPr>
        <w:t xml:space="preserve"> </w:t>
      </w:r>
    </w:p>
    <w:p w14:paraId="21D4AFC7" w14:textId="5FF41613" w:rsidR="00891200" w:rsidRPr="00B526EA" w:rsidRDefault="00891200" w:rsidP="00F31E94">
      <w:pPr>
        <w:pStyle w:val="NormalWeb"/>
        <w:spacing w:before="240" w:beforeAutospacing="0" w:line="360" w:lineRule="auto"/>
        <w:jc w:val="both"/>
        <w:rPr>
          <w:rFonts w:ascii="Arial" w:hAnsi="Arial" w:cs="Arial"/>
          <w:szCs w:val="22"/>
        </w:rPr>
      </w:pPr>
      <w:r w:rsidRPr="00B526EA">
        <w:rPr>
          <w:rFonts w:ascii="Arial" w:hAnsi="Arial" w:cs="Arial"/>
          <w:szCs w:val="22"/>
        </w:rPr>
        <w:t>This chapter presents the findings from the literature review and evaluates what the evidence suggests about the relationship between specific Adverse Childhood Experiences and mental health outcomes in young adults. It draws together results from the included studies and interprets them in relation to the dissertation aim and objectives. Evidence is synthesised using a thematic approach</w:t>
      </w:r>
      <w:r w:rsidR="00BC197E" w:rsidRPr="00B526EA">
        <w:rPr>
          <w:rFonts w:ascii="Arial" w:hAnsi="Arial" w:cs="Arial"/>
          <w:szCs w:val="22"/>
        </w:rPr>
        <w:t xml:space="preserve"> (Braun and Clarke, 2006)</w:t>
      </w:r>
      <w:r w:rsidRPr="00B526EA">
        <w:rPr>
          <w:rFonts w:ascii="Arial" w:hAnsi="Arial" w:cs="Arial"/>
          <w:szCs w:val="22"/>
        </w:rPr>
        <w:t xml:space="preserve">, allowing patterns across studies to be identified, compared, and critically analysed rather than reported as isolated findings. </w:t>
      </w:r>
    </w:p>
    <w:p w14:paraId="7768347D" w14:textId="1548F2C5" w:rsidR="00891200" w:rsidRPr="00B526EA" w:rsidRDefault="00891200" w:rsidP="00F31E94">
      <w:pPr>
        <w:pStyle w:val="Heading2"/>
        <w:spacing w:before="240"/>
        <w:jc w:val="both"/>
        <w:rPr>
          <w:rFonts w:ascii="Arial" w:hAnsi="Arial" w:cs="Arial"/>
          <w:sz w:val="22"/>
          <w:szCs w:val="22"/>
        </w:rPr>
      </w:pPr>
      <w:bookmarkStart w:id="36" w:name="_Toc220350539"/>
      <w:r w:rsidRPr="00B526EA">
        <w:rPr>
          <w:rFonts w:ascii="Arial" w:hAnsi="Arial" w:cs="Arial"/>
          <w:sz w:val="22"/>
          <w:szCs w:val="22"/>
        </w:rPr>
        <w:t>4.2</w:t>
      </w:r>
      <w:r w:rsidR="002772D8" w:rsidRPr="00B526EA">
        <w:rPr>
          <w:rFonts w:ascii="Arial" w:hAnsi="Arial" w:cs="Arial"/>
          <w:sz w:val="22"/>
          <w:szCs w:val="22"/>
        </w:rPr>
        <w:t>.</w:t>
      </w:r>
      <w:r w:rsidRPr="00B526EA">
        <w:rPr>
          <w:rFonts w:ascii="Arial" w:hAnsi="Arial" w:cs="Arial"/>
          <w:sz w:val="22"/>
          <w:szCs w:val="22"/>
        </w:rPr>
        <w:t xml:space="preserve"> Thematic Analysis</w:t>
      </w:r>
      <w:bookmarkEnd w:id="36"/>
      <w:r w:rsidRPr="00B526EA">
        <w:rPr>
          <w:rFonts w:ascii="Arial" w:hAnsi="Arial" w:cs="Arial"/>
          <w:sz w:val="22"/>
          <w:szCs w:val="22"/>
        </w:rPr>
        <w:t xml:space="preserve"> </w:t>
      </w:r>
    </w:p>
    <w:p w14:paraId="26997C19" w14:textId="6EADAA19" w:rsidR="00891200" w:rsidRPr="00B526EA" w:rsidRDefault="00891200" w:rsidP="00F31E94">
      <w:pPr>
        <w:pStyle w:val="NormalWeb"/>
        <w:spacing w:before="240" w:beforeAutospacing="0" w:line="360" w:lineRule="auto"/>
        <w:jc w:val="both"/>
        <w:rPr>
          <w:rFonts w:ascii="Arial" w:hAnsi="Arial" w:cs="Arial"/>
          <w:szCs w:val="22"/>
        </w:rPr>
      </w:pPr>
      <w:r w:rsidRPr="00B526EA">
        <w:rPr>
          <w:rFonts w:ascii="Arial" w:hAnsi="Arial" w:cs="Arial"/>
          <w:szCs w:val="22"/>
        </w:rPr>
        <w:t>Thematic analysis is a flexible qualitative method used to identify, analyse and interpret patterned meaning across a dataset (Braun and Clarke, 2006). In this dissertation, thematic analysis was applied by extracting relevant content from each included study</w:t>
      </w:r>
      <w:r w:rsidR="005C5EF2" w:rsidRPr="00B526EA">
        <w:rPr>
          <w:rFonts w:ascii="Arial" w:hAnsi="Arial" w:cs="Arial"/>
          <w:szCs w:val="22"/>
        </w:rPr>
        <w:t xml:space="preserve"> called codes which</w:t>
      </w:r>
      <w:r w:rsidRPr="00B526EA">
        <w:rPr>
          <w:rFonts w:ascii="Arial" w:hAnsi="Arial" w:cs="Arial"/>
          <w:szCs w:val="22"/>
        </w:rPr>
        <w:t xml:space="preserve"> were entered into the coding/results table as a transparent record of the analysis process, with initial codes assigned to recurring ideas and findings (Appendix </w:t>
      </w:r>
      <w:r w:rsidR="002772D8" w:rsidRPr="00B526EA">
        <w:rPr>
          <w:rFonts w:ascii="Arial" w:hAnsi="Arial" w:cs="Arial"/>
          <w:szCs w:val="22"/>
        </w:rPr>
        <w:t>B</w:t>
      </w:r>
      <w:r w:rsidRPr="00B526EA">
        <w:rPr>
          <w:rFonts w:ascii="Arial" w:hAnsi="Arial" w:cs="Arial"/>
          <w:szCs w:val="22"/>
        </w:rPr>
        <w:t xml:space="preserve">). Codes were then reviewed and grouped into </w:t>
      </w:r>
      <w:r w:rsidR="005C5EF2" w:rsidRPr="00B526EA">
        <w:rPr>
          <w:rFonts w:ascii="Arial" w:hAnsi="Arial" w:cs="Arial"/>
          <w:szCs w:val="22"/>
        </w:rPr>
        <w:t>subthemes which were further analysed and combine to form 3 themes</w:t>
      </w:r>
      <w:r w:rsidRPr="00B526EA">
        <w:rPr>
          <w:rFonts w:ascii="Arial" w:hAnsi="Arial" w:cs="Arial"/>
          <w:szCs w:val="22"/>
        </w:rPr>
        <w:t>. These themes are presented and critically discussed in the following sections of this chapter, using examples from the reviewed studies to demonstrate how the interpretations were derived.</w:t>
      </w:r>
    </w:p>
    <w:p w14:paraId="5B3A1EFA" w14:textId="1B274895" w:rsidR="0095283D" w:rsidRPr="00B526EA" w:rsidRDefault="0095283D" w:rsidP="00F31E94">
      <w:pPr>
        <w:pStyle w:val="Heading3"/>
        <w:spacing w:before="240"/>
        <w:jc w:val="both"/>
        <w:rPr>
          <w:rFonts w:ascii="Arial" w:hAnsi="Arial" w:cs="Arial"/>
          <w:szCs w:val="22"/>
        </w:rPr>
      </w:pPr>
      <w:bookmarkStart w:id="37" w:name="_Toc220350540"/>
      <w:r w:rsidRPr="00B526EA">
        <w:rPr>
          <w:rFonts w:ascii="Arial" w:hAnsi="Arial" w:cs="Arial"/>
          <w:szCs w:val="22"/>
        </w:rPr>
        <w:t>4.2.1. Theme 1: Differential impacts of physical abuse versus parental separation on young adult health</w:t>
      </w:r>
      <w:bookmarkEnd w:id="37"/>
    </w:p>
    <w:p w14:paraId="15322C49" w14:textId="2E60D916" w:rsidR="0095283D" w:rsidRPr="00B526EA" w:rsidRDefault="0095283D" w:rsidP="00F31E94">
      <w:pPr>
        <w:pStyle w:val="NormalWeb"/>
        <w:spacing w:before="240" w:beforeAutospacing="0" w:line="360" w:lineRule="auto"/>
        <w:jc w:val="both"/>
        <w:rPr>
          <w:rFonts w:ascii="Arial" w:hAnsi="Arial" w:cs="Arial"/>
          <w:szCs w:val="22"/>
        </w:rPr>
      </w:pPr>
      <w:r w:rsidRPr="00B526EA">
        <w:rPr>
          <w:rFonts w:ascii="Arial" w:hAnsi="Arial" w:cs="Arial"/>
          <w:szCs w:val="22"/>
        </w:rPr>
        <w:t>This theme examines how physical abuse and parental separation</w:t>
      </w:r>
      <w:r w:rsidR="00E63043" w:rsidRPr="00B526EA">
        <w:rPr>
          <w:rFonts w:ascii="Arial" w:hAnsi="Arial" w:cs="Arial"/>
          <w:szCs w:val="22"/>
        </w:rPr>
        <w:t xml:space="preserve"> which are </w:t>
      </w:r>
      <w:r w:rsidRPr="00B526EA">
        <w:rPr>
          <w:rFonts w:ascii="Arial" w:hAnsi="Arial" w:cs="Arial"/>
          <w:szCs w:val="22"/>
        </w:rPr>
        <w:t>two distinct forms of Adverse Childhood Experiences (ACEs)</w:t>
      </w:r>
      <w:r w:rsidR="00E63043" w:rsidRPr="00B526EA">
        <w:rPr>
          <w:rFonts w:ascii="Arial" w:hAnsi="Arial" w:cs="Arial"/>
          <w:szCs w:val="22"/>
        </w:rPr>
        <w:t xml:space="preserve"> </w:t>
      </w:r>
      <w:r w:rsidRPr="00B526EA">
        <w:rPr>
          <w:rFonts w:ascii="Arial" w:hAnsi="Arial" w:cs="Arial"/>
          <w:szCs w:val="22"/>
        </w:rPr>
        <w:t xml:space="preserve">affect mental health outcomes in young adulthood. Differential impact refers to systematic differences in both </w:t>
      </w:r>
      <w:r w:rsidRPr="00B526EA">
        <w:rPr>
          <w:rStyle w:val="Emphasis"/>
          <w:rFonts w:ascii="Arial" w:eastAsiaTheme="majorEastAsia" w:hAnsi="Arial" w:cs="Arial"/>
          <w:i w:val="0"/>
          <w:iCs w:val="0"/>
          <w:szCs w:val="22"/>
        </w:rPr>
        <w:t>mechanisms</w:t>
      </w:r>
      <w:r w:rsidRPr="00B526EA">
        <w:rPr>
          <w:rFonts w:ascii="Arial" w:hAnsi="Arial" w:cs="Arial"/>
          <w:szCs w:val="22"/>
        </w:rPr>
        <w:t xml:space="preserve"> (how adversities operate psychologically and socially) and </w:t>
      </w:r>
      <w:r w:rsidRPr="00B526EA">
        <w:rPr>
          <w:rStyle w:val="Emphasis"/>
          <w:rFonts w:ascii="Arial" w:eastAsiaTheme="majorEastAsia" w:hAnsi="Arial" w:cs="Arial"/>
          <w:i w:val="0"/>
          <w:iCs w:val="0"/>
          <w:szCs w:val="22"/>
        </w:rPr>
        <w:t>outcomes</w:t>
      </w:r>
      <w:r w:rsidRPr="00B526EA">
        <w:rPr>
          <w:rFonts w:ascii="Arial" w:hAnsi="Arial" w:cs="Arial"/>
          <w:szCs w:val="22"/>
        </w:rPr>
        <w:t xml:space="preserve"> (what types or severities of mental health effects emerge). The term underscores the limitations of cumulative ACE scoring, which assumes equal weight across heterogeneous experiences</w:t>
      </w:r>
      <w:r w:rsidR="004A577B" w:rsidRPr="00B526EA">
        <w:rPr>
          <w:rFonts w:ascii="Arial" w:hAnsi="Arial" w:cs="Arial"/>
          <w:szCs w:val="22"/>
        </w:rPr>
        <w:t xml:space="preserve"> (Ungar, 2018)</w:t>
      </w:r>
      <w:r w:rsidRPr="00B526EA">
        <w:rPr>
          <w:rFonts w:ascii="Arial" w:hAnsi="Arial" w:cs="Arial"/>
          <w:szCs w:val="22"/>
        </w:rPr>
        <w:t xml:space="preserve">. </w:t>
      </w:r>
    </w:p>
    <w:p w14:paraId="40D9AE02" w14:textId="77777777" w:rsidR="0095283D" w:rsidRPr="00B526EA" w:rsidRDefault="0095283D" w:rsidP="00F31E94">
      <w:pPr>
        <w:spacing w:before="240"/>
        <w:jc w:val="both"/>
        <w:rPr>
          <w:rFonts w:ascii="Arial" w:hAnsi="Arial" w:cs="Arial"/>
          <w:b/>
          <w:bCs/>
          <w:szCs w:val="22"/>
        </w:rPr>
      </w:pPr>
      <w:r w:rsidRPr="00B526EA">
        <w:rPr>
          <w:rFonts w:ascii="Arial" w:hAnsi="Arial" w:cs="Arial"/>
          <w:b/>
          <w:bCs/>
          <w:szCs w:val="22"/>
        </w:rPr>
        <w:t>Historical and Contextual Background</w:t>
      </w:r>
    </w:p>
    <w:p w14:paraId="5382C8A4" w14:textId="071B64FA" w:rsidR="0095283D" w:rsidRPr="00B526EA" w:rsidRDefault="0095283D" w:rsidP="00F31E94">
      <w:pPr>
        <w:pStyle w:val="NormalWeb"/>
        <w:spacing w:before="240" w:beforeAutospacing="0" w:line="360" w:lineRule="auto"/>
        <w:jc w:val="both"/>
        <w:rPr>
          <w:rFonts w:ascii="Arial" w:hAnsi="Arial" w:cs="Arial"/>
          <w:szCs w:val="22"/>
        </w:rPr>
      </w:pPr>
      <w:r w:rsidRPr="00B526EA">
        <w:rPr>
          <w:rFonts w:ascii="Arial" w:hAnsi="Arial" w:cs="Arial"/>
          <w:szCs w:val="22"/>
        </w:rPr>
        <w:t>The original ACE framework by Felitti et al. (1998) treated diverse adversities</w:t>
      </w:r>
      <w:r w:rsidR="00E63043" w:rsidRPr="00B526EA">
        <w:rPr>
          <w:rFonts w:ascii="Arial" w:hAnsi="Arial" w:cs="Arial"/>
          <w:szCs w:val="22"/>
        </w:rPr>
        <w:t xml:space="preserve"> </w:t>
      </w:r>
      <w:r w:rsidRPr="00B526EA">
        <w:rPr>
          <w:rFonts w:ascii="Arial" w:hAnsi="Arial" w:cs="Arial"/>
          <w:szCs w:val="22"/>
        </w:rPr>
        <w:t>ranging from abuse to parental separation</w:t>
      </w:r>
      <w:r w:rsidR="00E63043" w:rsidRPr="00B526EA">
        <w:rPr>
          <w:rFonts w:ascii="Arial" w:hAnsi="Arial" w:cs="Arial"/>
          <w:szCs w:val="22"/>
        </w:rPr>
        <w:t xml:space="preserve"> </w:t>
      </w:r>
      <w:r w:rsidRPr="00B526EA">
        <w:rPr>
          <w:rFonts w:ascii="Arial" w:hAnsi="Arial" w:cs="Arial"/>
          <w:szCs w:val="22"/>
        </w:rPr>
        <w:t>as additive contributors to health risk. While influential, this count-based</w:t>
      </w:r>
      <w:r w:rsidR="00E63043" w:rsidRPr="00B526EA">
        <w:rPr>
          <w:rFonts w:ascii="Arial" w:hAnsi="Arial" w:cs="Arial"/>
          <w:szCs w:val="22"/>
        </w:rPr>
        <w:t xml:space="preserve"> </w:t>
      </w:r>
      <w:r w:rsidRPr="00B526EA">
        <w:rPr>
          <w:rFonts w:ascii="Arial" w:hAnsi="Arial" w:cs="Arial"/>
          <w:szCs w:val="22"/>
        </w:rPr>
        <w:t xml:space="preserve">approach blurs critical distinctions. Recent research argues that ACEs differ by </w:t>
      </w:r>
      <w:r w:rsidRPr="00B526EA">
        <w:rPr>
          <w:rStyle w:val="Emphasis"/>
          <w:rFonts w:ascii="Arial" w:eastAsiaTheme="majorEastAsia" w:hAnsi="Arial" w:cs="Arial"/>
          <w:i w:val="0"/>
          <w:iCs w:val="0"/>
          <w:szCs w:val="22"/>
        </w:rPr>
        <w:t>threat</w:t>
      </w:r>
      <w:r w:rsidRPr="00B526EA">
        <w:rPr>
          <w:rFonts w:ascii="Arial" w:hAnsi="Arial" w:cs="Arial"/>
          <w:szCs w:val="22"/>
        </w:rPr>
        <w:t xml:space="preserve"> and </w:t>
      </w:r>
      <w:r w:rsidRPr="00B526EA">
        <w:rPr>
          <w:rStyle w:val="Emphasis"/>
          <w:rFonts w:ascii="Arial" w:eastAsiaTheme="majorEastAsia" w:hAnsi="Arial" w:cs="Arial"/>
          <w:i w:val="0"/>
          <w:iCs w:val="0"/>
          <w:szCs w:val="22"/>
        </w:rPr>
        <w:t>deprivation</w:t>
      </w:r>
      <w:r w:rsidRPr="00B526EA">
        <w:rPr>
          <w:rFonts w:ascii="Arial" w:hAnsi="Arial" w:cs="Arial"/>
          <w:szCs w:val="22"/>
        </w:rPr>
        <w:t xml:space="preserve"> </w:t>
      </w:r>
      <w:r w:rsidR="009B5595" w:rsidRPr="00B526EA">
        <w:rPr>
          <w:rFonts w:ascii="Arial" w:hAnsi="Arial" w:cs="Arial"/>
          <w:szCs w:val="22"/>
        </w:rPr>
        <w:t>(McLaughlin, Sheridan and Lambert, 2014)</w:t>
      </w:r>
      <w:r w:rsidRPr="00B526EA">
        <w:rPr>
          <w:rFonts w:ascii="Arial" w:hAnsi="Arial" w:cs="Arial"/>
          <w:szCs w:val="22"/>
        </w:rPr>
        <w:t xml:space="preserve">, or by </w:t>
      </w:r>
      <w:r w:rsidRPr="00B526EA">
        <w:rPr>
          <w:rStyle w:val="Emphasis"/>
          <w:rFonts w:ascii="Arial" w:eastAsiaTheme="majorEastAsia" w:hAnsi="Arial" w:cs="Arial"/>
          <w:i w:val="0"/>
          <w:iCs w:val="0"/>
          <w:szCs w:val="22"/>
        </w:rPr>
        <w:t>trauma</w:t>
      </w:r>
      <w:r w:rsidRPr="00B526EA">
        <w:rPr>
          <w:rFonts w:ascii="Arial" w:hAnsi="Arial" w:cs="Arial"/>
          <w:szCs w:val="22"/>
        </w:rPr>
        <w:t xml:space="preserve"> versus </w:t>
      </w:r>
      <w:r w:rsidRPr="00B526EA">
        <w:rPr>
          <w:rStyle w:val="Emphasis"/>
          <w:rFonts w:ascii="Arial" w:eastAsiaTheme="majorEastAsia" w:hAnsi="Arial" w:cs="Arial"/>
          <w:i w:val="0"/>
          <w:iCs w:val="0"/>
          <w:szCs w:val="22"/>
        </w:rPr>
        <w:t>disruption</w:t>
      </w:r>
      <w:r w:rsidRPr="00B526EA">
        <w:rPr>
          <w:rFonts w:ascii="Arial" w:hAnsi="Arial" w:cs="Arial"/>
          <w:szCs w:val="22"/>
        </w:rPr>
        <w:t xml:space="preserve"> </w:t>
      </w:r>
      <w:r w:rsidR="00CA32D8" w:rsidRPr="00B526EA">
        <w:rPr>
          <w:rFonts w:ascii="Arial" w:hAnsi="Arial" w:cs="Arial"/>
          <w:szCs w:val="22"/>
        </w:rPr>
        <w:t xml:space="preserve">(Barnes </w:t>
      </w:r>
      <w:r w:rsidR="00CA32D8" w:rsidRPr="00B526EA">
        <w:rPr>
          <w:rFonts w:ascii="Arial" w:hAnsi="Arial" w:cs="Arial"/>
          <w:i/>
          <w:iCs/>
          <w:szCs w:val="22"/>
        </w:rPr>
        <w:t>et al.</w:t>
      </w:r>
      <w:r w:rsidR="00CA32D8" w:rsidRPr="00B526EA">
        <w:rPr>
          <w:rFonts w:ascii="Arial" w:hAnsi="Arial" w:cs="Arial"/>
          <w:szCs w:val="22"/>
        </w:rPr>
        <w:t>, 2020)</w:t>
      </w:r>
      <w:r w:rsidRPr="00B526EA">
        <w:rPr>
          <w:rFonts w:ascii="Arial" w:hAnsi="Arial" w:cs="Arial"/>
          <w:szCs w:val="22"/>
        </w:rPr>
        <w:t>. Physical abuse represents a high-threat, high-arousal exposure disrupting safety and emotional regulation; parental separation, conversely, represents relational instability that undermines attachment and economic security. Both pathways may yield depression and anxiety, but through qualitatively distinct mediators. Recognising these mechanisms is essential for understanding why similar ACE counts can produce divergent clinical profiles</w:t>
      </w:r>
      <w:r w:rsidR="00906E1F" w:rsidRPr="00B526EA">
        <w:rPr>
          <w:rFonts w:ascii="Arial" w:hAnsi="Arial" w:cs="Arial"/>
          <w:szCs w:val="22"/>
        </w:rPr>
        <w:t xml:space="preserve"> (Norman </w:t>
      </w:r>
      <w:r w:rsidR="00906E1F" w:rsidRPr="00B526EA">
        <w:rPr>
          <w:rFonts w:ascii="Arial" w:hAnsi="Arial" w:cs="Arial"/>
          <w:i/>
          <w:iCs/>
          <w:szCs w:val="22"/>
        </w:rPr>
        <w:t>et al.</w:t>
      </w:r>
      <w:r w:rsidR="00906E1F" w:rsidRPr="00B526EA">
        <w:rPr>
          <w:rFonts w:ascii="Arial" w:hAnsi="Arial" w:cs="Arial"/>
          <w:szCs w:val="22"/>
        </w:rPr>
        <w:t>, 2012)</w:t>
      </w:r>
      <w:r w:rsidRPr="00B526EA">
        <w:rPr>
          <w:rFonts w:ascii="Arial" w:hAnsi="Arial" w:cs="Arial"/>
          <w:szCs w:val="22"/>
        </w:rPr>
        <w:t>.</w:t>
      </w:r>
    </w:p>
    <w:p w14:paraId="5B58297F" w14:textId="77777777" w:rsidR="0095283D" w:rsidRPr="00B526EA" w:rsidRDefault="0095283D" w:rsidP="00F31E94">
      <w:pPr>
        <w:spacing w:before="240"/>
        <w:jc w:val="both"/>
        <w:rPr>
          <w:rFonts w:ascii="Arial" w:hAnsi="Arial" w:cs="Arial"/>
          <w:b/>
          <w:bCs/>
          <w:szCs w:val="22"/>
        </w:rPr>
      </w:pPr>
      <w:r w:rsidRPr="00B526EA">
        <w:rPr>
          <w:rFonts w:ascii="Arial" w:hAnsi="Arial" w:cs="Arial"/>
          <w:b/>
          <w:bCs/>
          <w:szCs w:val="22"/>
        </w:rPr>
        <w:t>Relevance to the Research Question</w:t>
      </w:r>
    </w:p>
    <w:p w14:paraId="19593796" w14:textId="267FA489" w:rsidR="0095283D" w:rsidRPr="00B526EA" w:rsidRDefault="007A0220" w:rsidP="00F31E94">
      <w:pPr>
        <w:pStyle w:val="NormalWeb"/>
        <w:spacing w:before="240" w:beforeAutospacing="0" w:line="360" w:lineRule="auto"/>
        <w:jc w:val="both"/>
        <w:rPr>
          <w:rFonts w:ascii="Arial" w:hAnsi="Arial" w:cs="Arial"/>
          <w:szCs w:val="22"/>
        </w:rPr>
      </w:pPr>
      <w:r w:rsidRPr="007A0220">
        <w:rPr>
          <w:rFonts w:ascii="Arial" w:hAnsi="Arial" w:cs="Arial"/>
          <w:szCs w:val="22"/>
        </w:rPr>
        <w:t>This theme covers the first objective of the dissertation directly: to define and compare the mental health effects of physical abuse and parental separation. The comparison is important because trauma-informed screening instruments employed in UK primary care are frequently unable to distinguish these ACEs. Their divergent effects suggest that clinical questions, referral pathways, and follow-up care must also vary. Physical violence can lead to the necessity of trauma-specific intervention, and parental divorce can necessitate relational and socio-economic intervention</w:t>
      </w:r>
      <w:r>
        <w:rPr>
          <w:rFonts w:ascii="Arial" w:hAnsi="Arial" w:cs="Arial"/>
          <w:szCs w:val="22"/>
        </w:rPr>
        <w:t xml:space="preserve"> </w:t>
      </w:r>
      <w:r w:rsidR="00D4716A" w:rsidRPr="00B526EA">
        <w:rPr>
          <w:rFonts w:ascii="Arial" w:hAnsi="Arial" w:cs="Arial"/>
          <w:szCs w:val="22"/>
        </w:rPr>
        <w:t xml:space="preserve">(Palmtag, 2022; Saunders </w:t>
      </w:r>
      <w:r w:rsidR="00D4716A" w:rsidRPr="00B526EA">
        <w:rPr>
          <w:rFonts w:ascii="Arial" w:hAnsi="Arial" w:cs="Arial"/>
          <w:i/>
          <w:iCs/>
          <w:szCs w:val="22"/>
        </w:rPr>
        <w:t>et al.</w:t>
      </w:r>
      <w:r w:rsidR="00D4716A" w:rsidRPr="00B526EA">
        <w:rPr>
          <w:rFonts w:ascii="Arial" w:hAnsi="Arial" w:cs="Arial"/>
          <w:szCs w:val="22"/>
        </w:rPr>
        <w:t>, 2023)</w:t>
      </w:r>
      <w:r w:rsidR="0095283D" w:rsidRPr="00B526EA">
        <w:rPr>
          <w:rFonts w:ascii="Arial" w:hAnsi="Arial" w:cs="Arial"/>
          <w:szCs w:val="22"/>
        </w:rPr>
        <w:t xml:space="preserve">. </w:t>
      </w:r>
    </w:p>
    <w:p w14:paraId="0EB63509" w14:textId="77777777" w:rsidR="0095283D" w:rsidRPr="00B526EA" w:rsidRDefault="0095283D" w:rsidP="00F31E94">
      <w:pPr>
        <w:pStyle w:val="Heading4"/>
        <w:spacing w:before="240"/>
        <w:jc w:val="both"/>
        <w:rPr>
          <w:rFonts w:ascii="Arial" w:hAnsi="Arial" w:cs="Arial"/>
          <w:b/>
          <w:bCs/>
          <w:szCs w:val="22"/>
        </w:rPr>
      </w:pPr>
      <w:r w:rsidRPr="00B526EA">
        <w:rPr>
          <w:rFonts w:ascii="Arial" w:hAnsi="Arial" w:cs="Arial"/>
          <w:b/>
          <w:bCs/>
          <w:szCs w:val="22"/>
        </w:rPr>
        <w:t>Mechanisms and Theoretical Frameworks</w:t>
      </w:r>
    </w:p>
    <w:p w14:paraId="2945B122" w14:textId="2B346AF2" w:rsidR="001E36CD" w:rsidRPr="001E36CD" w:rsidRDefault="001E36CD" w:rsidP="00AA62D6">
      <w:pPr>
        <w:spacing w:before="240"/>
        <w:jc w:val="both"/>
        <w:rPr>
          <w:rFonts w:ascii="Arial" w:hAnsi="Arial" w:cs="Arial"/>
          <w:szCs w:val="22"/>
        </w:rPr>
      </w:pPr>
      <w:r w:rsidRPr="001E36CD">
        <w:rPr>
          <w:rFonts w:ascii="Arial" w:hAnsi="Arial" w:cs="Arial"/>
          <w:szCs w:val="22"/>
        </w:rPr>
        <w:t>The theories of attachment (Bowlby, Ainsworth and Bretherton, 1992) and allostatic load (McEwen, 1998) provide complementary accounts of the influence of these ACEs on development. Physical abuse affects the sense of safety of the child in the attachment relationship, contributing to hypervigilance, emotion-dysregulation, and subsequent symptoms associated with trauma (Merrick et al., 2017). Parental separation, though, jeopardi</w:t>
      </w:r>
      <w:r w:rsidR="003E7B34">
        <w:rPr>
          <w:rFonts w:ascii="Arial" w:hAnsi="Arial" w:cs="Arial"/>
          <w:szCs w:val="22"/>
        </w:rPr>
        <w:t>se</w:t>
      </w:r>
      <w:r w:rsidRPr="001E36CD">
        <w:rPr>
          <w:rFonts w:ascii="Arial" w:hAnsi="Arial" w:cs="Arial"/>
          <w:szCs w:val="22"/>
        </w:rPr>
        <w:t>s continuity of attachment but is not necessarily traumatic when it is not accompanied by conflict, neglect, or economic hardship (D’Onofrio and Emery, 2019).</w:t>
      </w:r>
    </w:p>
    <w:p w14:paraId="55597A50" w14:textId="77777777" w:rsidR="001E36CD" w:rsidRDefault="001E36CD" w:rsidP="00AA62D6">
      <w:pPr>
        <w:spacing w:before="240"/>
        <w:jc w:val="both"/>
        <w:rPr>
          <w:rFonts w:ascii="Arial" w:hAnsi="Arial" w:cs="Arial"/>
          <w:szCs w:val="22"/>
        </w:rPr>
      </w:pPr>
      <w:r w:rsidRPr="001E36CD">
        <w:rPr>
          <w:rFonts w:ascii="Arial" w:hAnsi="Arial" w:cs="Arial"/>
          <w:szCs w:val="22"/>
        </w:rPr>
        <w:t>These differences are further elucidated by the allostatic load model. Threat-based adversities such as abuse tend to involve chronic activation of stress physiology, as repeated fear responses result in neurobiological sensitisation. Conversely, separation can lead to cumulative stress due to instability, yielding depressive or anxiety symptoms via chronic uncertainty and material stressors, but not due to acute fear (Shchaslyvyi, Antonenko and Telegeev, 2024).</w:t>
      </w:r>
    </w:p>
    <w:p w14:paraId="2220F9AB" w14:textId="409CAB03" w:rsidR="00876870" w:rsidRPr="00B526EA" w:rsidRDefault="00876870" w:rsidP="001E36CD">
      <w:pPr>
        <w:spacing w:before="240"/>
        <w:jc w:val="both"/>
        <w:rPr>
          <w:rFonts w:ascii="Times New Roman" w:hAnsi="Times New Roman"/>
          <w:szCs w:val="22"/>
        </w:rPr>
      </w:pPr>
      <w:r w:rsidRPr="00B526EA">
        <w:rPr>
          <w:szCs w:val="22"/>
        </w:rPr>
        <w:t>The table shows that physical abuse and parental separation operate through distinct mechanisms and pathways, leading to different mental health risks and requiring different approaches to assessment and care.</w:t>
      </w:r>
    </w:p>
    <w:p w14:paraId="5082FA78" w14:textId="3BC62AA7" w:rsidR="0095283D" w:rsidRPr="00B526EA" w:rsidRDefault="0095283D" w:rsidP="00F31E94">
      <w:pPr>
        <w:pStyle w:val="Caption"/>
        <w:keepNext/>
        <w:spacing w:before="240" w:line="360" w:lineRule="auto"/>
        <w:jc w:val="both"/>
        <w:rPr>
          <w:rFonts w:ascii="Arial" w:hAnsi="Arial" w:cs="Arial"/>
        </w:rPr>
      </w:pPr>
      <w:bookmarkStart w:id="38" w:name="_Toc219221912"/>
      <w:r w:rsidRPr="00B526EA">
        <w:rPr>
          <w:rFonts w:ascii="Arial" w:hAnsi="Arial" w:cs="Arial"/>
        </w:rPr>
        <w:t xml:space="preserve">Table </w:t>
      </w:r>
      <w:r w:rsidRPr="00B526EA">
        <w:rPr>
          <w:rFonts w:ascii="Arial" w:hAnsi="Arial" w:cs="Arial"/>
        </w:rPr>
        <w:fldChar w:fldCharType="begin"/>
      </w:r>
      <w:r w:rsidRPr="00B526EA">
        <w:rPr>
          <w:rFonts w:ascii="Arial" w:hAnsi="Arial" w:cs="Arial"/>
        </w:rPr>
        <w:instrText xml:space="preserve"> SEQ Table \* ARABIC </w:instrText>
      </w:r>
      <w:r w:rsidRPr="00B526EA">
        <w:rPr>
          <w:rFonts w:ascii="Arial" w:hAnsi="Arial" w:cs="Arial"/>
        </w:rPr>
        <w:fldChar w:fldCharType="separate"/>
      </w:r>
      <w:r w:rsidR="00F451A8" w:rsidRPr="00B526EA">
        <w:rPr>
          <w:rFonts w:ascii="Arial" w:hAnsi="Arial" w:cs="Arial"/>
          <w:noProof/>
        </w:rPr>
        <w:t>3</w:t>
      </w:r>
      <w:r w:rsidRPr="00B526EA">
        <w:rPr>
          <w:rFonts w:ascii="Arial" w:hAnsi="Arial" w:cs="Arial"/>
        </w:rPr>
        <w:fldChar w:fldCharType="end"/>
      </w:r>
      <w:r w:rsidRPr="00B526EA">
        <w:rPr>
          <w:rFonts w:ascii="Arial" w:hAnsi="Arial" w:cs="Arial"/>
        </w:rPr>
        <w:t>: Conceptual Differentiation Between Physical Abuse and Parental Separation</w:t>
      </w:r>
      <w:r w:rsidR="00825C5E" w:rsidRPr="00B526EA">
        <w:rPr>
          <w:rFonts w:ascii="Arial" w:hAnsi="Arial" w:cs="Arial"/>
        </w:rPr>
        <w:t xml:space="preserve"> </w:t>
      </w:r>
      <w:r w:rsidR="00F911C1" w:rsidRPr="00B526EA">
        <w:rPr>
          <w:rFonts w:ascii="Arial" w:hAnsi="Arial" w:cs="Arial"/>
        </w:rPr>
        <w:t xml:space="preserve">(Sun </w:t>
      </w:r>
      <w:r w:rsidR="00F911C1" w:rsidRPr="00B526EA">
        <w:rPr>
          <w:rFonts w:ascii="Arial" w:hAnsi="Arial" w:cs="Arial"/>
          <w:i w:val="0"/>
          <w:iCs w:val="0"/>
        </w:rPr>
        <w:t>et al.</w:t>
      </w:r>
      <w:r w:rsidR="00F911C1" w:rsidRPr="00B526EA">
        <w:rPr>
          <w:rFonts w:ascii="Arial" w:hAnsi="Arial" w:cs="Arial"/>
        </w:rPr>
        <w:t xml:space="preserve">, 2025; Trinh </w:t>
      </w:r>
      <w:r w:rsidR="00F911C1" w:rsidRPr="00B526EA">
        <w:rPr>
          <w:rFonts w:ascii="Arial" w:hAnsi="Arial" w:cs="Arial"/>
          <w:i w:val="0"/>
          <w:iCs w:val="0"/>
        </w:rPr>
        <w:t>et al.</w:t>
      </w:r>
      <w:r w:rsidR="00F911C1" w:rsidRPr="00B526EA">
        <w:rPr>
          <w:rFonts w:ascii="Arial" w:hAnsi="Arial" w:cs="Arial"/>
        </w:rPr>
        <w:t>, 2025; Webster, 2022)</w:t>
      </w:r>
      <w:bookmarkEnd w:id="38"/>
    </w:p>
    <w:tbl>
      <w:tblPr>
        <w:tblStyle w:val="TableGrid"/>
        <w:tblW w:w="0" w:type="auto"/>
        <w:tblLook w:val="04A0" w:firstRow="1" w:lastRow="0" w:firstColumn="1" w:lastColumn="0" w:noHBand="0" w:noVBand="1"/>
      </w:tblPr>
      <w:tblGrid>
        <w:gridCol w:w="1955"/>
        <w:gridCol w:w="3319"/>
        <w:gridCol w:w="3742"/>
      </w:tblGrid>
      <w:tr w:rsidR="0095283D" w:rsidRPr="00B526EA" w14:paraId="6816B7BB" w14:textId="77777777" w:rsidTr="0095283D">
        <w:tc>
          <w:tcPr>
            <w:tcW w:w="0" w:type="auto"/>
            <w:hideMark/>
          </w:tcPr>
          <w:p w14:paraId="1AF6168A" w14:textId="77777777" w:rsidR="0095283D" w:rsidRPr="00B526EA" w:rsidRDefault="0095283D" w:rsidP="00F31E94">
            <w:pPr>
              <w:spacing w:before="240"/>
              <w:jc w:val="both"/>
              <w:rPr>
                <w:rFonts w:ascii="Arial" w:hAnsi="Arial" w:cs="Arial"/>
                <w:b/>
                <w:bCs/>
                <w:szCs w:val="22"/>
              </w:rPr>
            </w:pPr>
            <w:r w:rsidRPr="00B526EA">
              <w:rPr>
                <w:rStyle w:val="Strong"/>
                <w:rFonts w:ascii="Arial" w:eastAsiaTheme="majorEastAsia" w:hAnsi="Arial" w:cs="Arial"/>
                <w:szCs w:val="22"/>
              </w:rPr>
              <w:t>Dimension</w:t>
            </w:r>
          </w:p>
        </w:tc>
        <w:tc>
          <w:tcPr>
            <w:tcW w:w="0" w:type="auto"/>
            <w:hideMark/>
          </w:tcPr>
          <w:p w14:paraId="6DCB6168" w14:textId="77777777" w:rsidR="0095283D" w:rsidRPr="00B526EA" w:rsidRDefault="0095283D" w:rsidP="00F31E94">
            <w:pPr>
              <w:spacing w:before="240"/>
              <w:jc w:val="both"/>
              <w:rPr>
                <w:rFonts w:ascii="Arial" w:hAnsi="Arial" w:cs="Arial"/>
                <w:b/>
                <w:bCs/>
                <w:szCs w:val="22"/>
              </w:rPr>
            </w:pPr>
            <w:r w:rsidRPr="00B526EA">
              <w:rPr>
                <w:rStyle w:val="Strong"/>
                <w:rFonts w:ascii="Arial" w:eastAsiaTheme="majorEastAsia" w:hAnsi="Arial" w:cs="Arial"/>
                <w:szCs w:val="22"/>
              </w:rPr>
              <w:t>Physical Abuse</w:t>
            </w:r>
          </w:p>
        </w:tc>
        <w:tc>
          <w:tcPr>
            <w:tcW w:w="0" w:type="auto"/>
            <w:hideMark/>
          </w:tcPr>
          <w:p w14:paraId="2E64B23E" w14:textId="77777777" w:rsidR="0095283D" w:rsidRPr="00B526EA" w:rsidRDefault="0095283D" w:rsidP="00F31E94">
            <w:pPr>
              <w:spacing w:before="240"/>
              <w:jc w:val="both"/>
              <w:rPr>
                <w:rFonts w:ascii="Arial" w:hAnsi="Arial" w:cs="Arial"/>
                <w:b/>
                <w:bCs/>
                <w:szCs w:val="22"/>
              </w:rPr>
            </w:pPr>
            <w:r w:rsidRPr="00B526EA">
              <w:rPr>
                <w:rStyle w:val="Strong"/>
                <w:rFonts w:ascii="Arial" w:eastAsiaTheme="majorEastAsia" w:hAnsi="Arial" w:cs="Arial"/>
                <w:szCs w:val="22"/>
              </w:rPr>
              <w:t>Parental Separation</w:t>
            </w:r>
          </w:p>
        </w:tc>
      </w:tr>
      <w:tr w:rsidR="0095283D" w:rsidRPr="00B526EA" w14:paraId="285C2230" w14:textId="77777777" w:rsidTr="0095283D">
        <w:tc>
          <w:tcPr>
            <w:tcW w:w="0" w:type="auto"/>
            <w:hideMark/>
          </w:tcPr>
          <w:p w14:paraId="4A937E83"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Core mechanism</w:t>
            </w:r>
          </w:p>
        </w:tc>
        <w:tc>
          <w:tcPr>
            <w:tcW w:w="0" w:type="auto"/>
            <w:hideMark/>
          </w:tcPr>
          <w:p w14:paraId="176951EA"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Direct threat, fear conditioning</w:t>
            </w:r>
          </w:p>
        </w:tc>
        <w:tc>
          <w:tcPr>
            <w:tcW w:w="0" w:type="auto"/>
            <w:hideMark/>
          </w:tcPr>
          <w:p w14:paraId="3E784E2E"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Attachment disruption, instability</w:t>
            </w:r>
          </w:p>
        </w:tc>
      </w:tr>
      <w:tr w:rsidR="0095283D" w:rsidRPr="00B526EA" w14:paraId="6641CDE9" w14:textId="77777777" w:rsidTr="0095283D">
        <w:tc>
          <w:tcPr>
            <w:tcW w:w="0" w:type="auto"/>
            <w:hideMark/>
          </w:tcPr>
          <w:p w14:paraId="71985F5B"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Dominant pathway</w:t>
            </w:r>
          </w:p>
        </w:tc>
        <w:tc>
          <w:tcPr>
            <w:tcW w:w="0" w:type="auto"/>
            <w:hideMark/>
          </w:tcPr>
          <w:p w14:paraId="7D8F10AE"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Hyperarousal, trauma symptoms</w:t>
            </w:r>
          </w:p>
        </w:tc>
        <w:tc>
          <w:tcPr>
            <w:tcW w:w="0" w:type="auto"/>
            <w:hideMark/>
          </w:tcPr>
          <w:p w14:paraId="747FCF54"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Depressive affect, anxiety via stress exposure</w:t>
            </w:r>
          </w:p>
        </w:tc>
      </w:tr>
      <w:tr w:rsidR="0095283D" w:rsidRPr="00B526EA" w14:paraId="5DAE72C8" w14:textId="77777777" w:rsidTr="0095283D">
        <w:tc>
          <w:tcPr>
            <w:tcW w:w="0" w:type="auto"/>
            <w:hideMark/>
          </w:tcPr>
          <w:p w14:paraId="0585625A"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Social modifiers</w:t>
            </w:r>
          </w:p>
        </w:tc>
        <w:tc>
          <w:tcPr>
            <w:tcW w:w="0" w:type="auto"/>
            <w:hideMark/>
          </w:tcPr>
          <w:p w14:paraId="691AD017"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Disclosure barriers, stigma</w:t>
            </w:r>
          </w:p>
        </w:tc>
        <w:tc>
          <w:tcPr>
            <w:tcW w:w="0" w:type="auto"/>
            <w:hideMark/>
          </w:tcPr>
          <w:p w14:paraId="44ADE171"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SES decline, conflict level</w:t>
            </w:r>
          </w:p>
        </w:tc>
      </w:tr>
      <w:tr w:rsidR="0095283D" w:rsidRPr="00B526EA" w14:paraId="47F7D2BF" w14:textId="77777777" w:rsidTr="0095283D">
        <w:tc>
          <w:tcPr>
            <w:tcW w:w="0" w:type="auto"/>
            <w:hideMark/>
          </w:tcPr>
          <w:p w14:paraId="08764E7B"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Implications for care</w:t>
            </w:r>
          </w:p>
        </w:tc>
        <w:tc>
          <w:tcPr>
            <w:tcW w:w="0" w:type="auto"/>
            <w:hideMark/>
          </w:tcPr>
          <w:p w14:paraId="3DAD86C5"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Trauma-focused therapy, safeguarding</w:t>
            </w:r>
          </w:p>
        </w:tc>
        <w:tc>
          <w:tcPr>
            <w:tcW w:w="0" w:type="auto"/>
            <w:hideMark/>
          </w:tcPr>
          <w:p w14:paraId="45181559" w14:textId="77777777" w:rsidR="0095283D" w:rsidRPr="00B526EA" w:rsidRDefault="0095283D" w:rsidP="00F31E94">
            <w:pPr>
              <w:spacing w:before="240"/>
              <w:jc w:val="both"/>
              <w:rPr>
                <w:rFonts w:ascii="Arial" w:hAnsi="Arial" w:cs="Arial"/>
                <w:szCs w:val="22"/>
              </w:rPr>
            </w:pPr>
            <w:r w:rsidRPr="00B526EA">
              <w:rPr>
                <w:rFonts w:ascii="Arial" w:hAnsi="Arial" w:cs="Arial"/>
                <w:szCs w:val="22"/>
              </w:rPr>
              <w:t>Family mediation, socio-economic support</w:t>
            </w:r>
          </w:p>
        </w:tc>
      </w:tr>
    </w:tbl>
    <w:p w14:paraId="473B01C9" w14:textId="77777777" w:rsidR="00E63043" w:rsidRPr="00B526EA" w:rsidRDefault="00E63043" w:rsidP="00F31E94">
      <w:pPr>
        <w:spacing w:before="240"/>
        <w:jc w:val="both"/>
        <w:rPr>
          <w:rFonts w:ascii="Arial" w:hAnsi="Arial" w:cs="Arial"/>
          <w:b/>
          <w:bCs/>
          <w:szCs w:val="22"/>
        </w:rPr>
      </w:pPr>
    </w:p>
    <w:p w14:paraId="3D105159" w14:textId="77777777" w:rsidR="00FF4C49" w:rsidRDefault="00FF4C49" w:rsidP="00F31E94">
      <w:pPr>
        <w:pStyle w:val="NormalWeb"/>
        <w:spacing w:before="240" w:beforeAutospacing="0" w:line="360" w:lineRule="auto"/>
        <w:jc w:val="both"/>
        <w:rPr>
          <w:rFonts w:ascii="Arial" w:hAnsi="Arial" w:cs="Arial"/>
          <w:szCs w:val="22"/>
        </w:rPr>
      </w:pPr>
      <w:r w:rsidRPr="00FF4C49">
        <w:rPr>
          <w:rFonts w:ascii="Arial" w:hAnsi="Arial" w:cs="Arial"/>
          <w:szCs w:val="22"/>
        </w:rPr>
        <w:t>According to Agrawal et al. (2024), young adults who had experienced physical abuse had higher likelihoods of being psychologically distressed but less than those that had experienced sexual abuse or parental mental illness. This subtlety depicts the way that the severity and chronicity are determinants of risk magnitude. Conversely, parental separation tended to have weaker relationships after adjusting for confounders, including the SES (Lacey et al., 2020; Straatmann et al., 2020). But this attenuation can also be in part due to over-adjustment: the elimination of variables that mediate and not confound the relationship (e.g. poverty or parental mental health) (Sun et al., 2025; Trinh et al., 2025; Webster, 2022).</w:t>
      </w:r>
    </w:p>
    <w:p w14:paraId="5EF1847F" w14:textId="77777777" w:rsidR="00DB0C1A" w:rsidRDefault="00DB0C1A" w:rsidP="00F31E94">
      <w:pPr>
        <w:pStyle w:val="NormalWeb"/>
        <w:spacing w:before="240" w:beforeAutospacing="0" w:line="360" w:lineRule="auto"/>
        <w:jc w:val="both"/>
        <w:rPr>
          <w:rFonts w:ascii="Arial" w:hAnsi="Arial" w:cs="Arial"/>
          <w:szCs w:val="22"/>
        </w:rPr>
      </w:pPr>
      <w:r w:rsidRPr="00DB0C1A">
        <w:rPr>
          <w:rFonts w:ascii="Arial" w:hAnsi="Arial" w:cs="Arial"/>
          <w:szCs w:val="22"/>
        </w:rPr>
        <w:t>Farooq et al. (2024, 2025) developed this interpretation on UK longitudinal data. They showed that long-term exposure of the children to mental health issues or family discord in parents, which often follows separation, were predictors of co-occurring depression and self-harm. That is, separation is a detriment mostly due to its chronic psychological and material consequences. Fadeeva et al. (2025) and Bellis et al. (2025), on the other hand, demonstrated that violence and abuse are predictors of long-term depression in adulthood, suggesting longer periods of physiological and affective scarring.</w:t>
      </w:r>
    </w:p>
    <w:p w14:paraId="00CBFE63" w14:textId="0235A46C" w:rsidR="0095283D" w:rsidRPr="00B526EA" w:rsidRDefault="0095283D" w:rsidP="00F31E94">
      <w:pPr>
        <w:pStyle w:val="NormalWeb"/>
        <w:spacing w:before="240" w:beforeAutospacing="0" w:line="360" w:lineRule="auto"/>
        <w:jc w:val="both"/>
        <w:rPr>
          <w:rFonts w:ascii="Arial" w:hAnsi="Arial" w:cs="Arial"/>
          <w:szCs w:val="22"/>
        </w:rPr>
      </w:pPr>
      <w:r w:rsidRPr="00B526EA">
        <w:rPr>
          <w:rFonts w:ascii="Arial" w:hAnsi="Arial" w:cs="Arial"/>
          <w:szCs w:val="22"/>
        </w:rPr>
        <w:t>A further issue is clustering. Lacey et al. (2020) reveal that separation rarely occurs alone</w:t>
      </w:r>
      <w:r w:rsidR="00C66302" w:rsidRPr="00B526EA">
        <w:rPr>
          <w:rFonts w:ascii="Arial" w:hAnsi="Arial" w:cs="Arial"/>
          <w:szCs w:val="22"/>
        </w:rPr>
        <w:t xml:space="preserve">, </w:t>
      </w:r>
      <w:r w:rsidRPr="00B526EA">
        <w:rPr>
          <w:rFonts w:ascii="Arial" w:hAnsi="Arial" w:cs="Arial"/>
          <w:szCs w:val="22"/>
        </w:rPr>
        <w:t>it coexists with parental mental health issues or economic stress. Failure to model these clusters leads to misattribution: separation appears benign when in reality its effects are channelled through co-occurring stressors.</w:t>
      </w:r>
    </w:p>
    <w:p w14:paraId="36BC709F" w14:textId="77777777" w:rsidR="0095283D" w:rsidRPr="00B526EA" w:rsidRDefault="0095283D" w:rsidP="00F31E94">
      <w:pPr>
        <w:spacing w:before="240"/>
        <w:jc w:val="both"/>
        <w:rPr>
          <w:rFonts w:ascii="Arial" w:hAnsi="Arial" w:cs="Arial"/>
          <w:b/>
          <w:bCs/>
          <w:szCs w:val="22"/>
        </w:rPr>
      </w:pPr>
      <w:r w:rsidRPr="00B526EA">
        <w:rPr>
          <w:rFonts w:ascii="Arial" w:hAnsi="Arial" w:cs="Arial"/>
          <w:b/>
          <w:bCs/>
          <w:szCs w:val="22"/>
        </w:rPr>
        <w:t>Policy and UK Context</w:t>
      </w:r>
    </w:p>
    <w:p w14:paraId="76395DE6" w14:textId="5BE9279D" w:rsidR="0095283D" w:rsidRPr="00B526EA" w:rsidRDefault="006C12E0" w:rsidP="006C12E0">
      <w:pPr>
        <w:pStyle w:val="NormalWeb"/>
        <w:spacing w:before="240" w:beforeAutospacing="0" w:line="360" w:lineRule="auto"/>
        <w:jc w:val="both"/>
        <w:rPr>
          <w:rFonts w:ascii="Arial" w:hAnsi="Arial" w:cs="Arial"/>
          <w:szCs w:val="22"/>
        </w:rPr>
      </w:pPr>
      <w:r>
        <w:rPr>
          <w:rFonts w:ascii="Arial" w:hAnsi="Arial" w:cs="Arial"/>
          <w:szCs w:val="22"/>
        </w:rPr>
        <w:t xml:space="preserve">In UK, there are routine evaluation of ACE and trauma informaed practices in primary care and mental health institutions, however, screening tools used there like ACE questionnaire rely on cumulative ACE scores. </w:t>
      </w:r>
      <w:r w:rsidR="0095283D" w:rsidRPr="00B526EA">
        <w:rPr>
          <w:rFonts w:ascii="Arial" w:hAnsi="Arial" w:cs="Arial"/>
          <w:szCs w:val="22"/>
        </w:rPr>
        <w:t>Differential impact evidence challenges this practice: when unlike adversities are tallied together, clinicians receive ambiguous signals</w:t>
      </w:r>
      <w:r w:rsidR="00904251" w:rsidRPr="00B526EA">
        <w:rPr>
          <w:rFonts w:ascii="Arial" w:hAnsi="Arial" w:cs="Arial"/>
          <w:szCs w:val="22"/>
        </w:rPr>
        <w:t xml:space="preserve"> (Quigg, Wallis and Butler, 2018)</w:t>
      </w:r>
      <w:r w:rsidR="0095283D" w:rsidRPr="00B526EA">
        <w:rPr>
          <w:rFonts w:ascii="Arial" w:hAnsi="Arial" w:cs="Arial"/>
          <w:szCs w:val="22"/>
        </w:rPr>
        <w:t>. UK policy frameworks (e.g., NHS England’s 2022 trauma-informed care guidance) advocate holistic screening but provide little guidance on ACE-specific responses</w:t>
      </w:r>
      <w:r w:rsidR="00F3548B" w:rsidRPr="00B526EA">
        <w:rPr>
          <w:rFonts w:ascii="Arial" w:hAnsi="Arial" w:cs="Arial"/>
          <w:szCs w:val="22"/>
        </w:rPr>
        <w:t xml:space="preserve"> (NHS England, 2025)</w:t>
      </w:r>
      <w:r w:rsidR="0095283D" w:rsidRPr="00B526EA">
        <w:rPr>
          <w:rFonts w:ascii="Arial" w:hAnsi="Arial" w:cs="Arial"/>
          <w:szCs w:val="22"/>
        </w:rPr>
        <w:t xml:space="preserve">. </w:t>
      </w:r>
      <w:r>
        <w:rPr>
          <w:rFonts w:ascii="Arial" w:hAnsi="Arial" w:cs="Arial"/>
          <w:szCs w:val="22"/>
        </w:rPr>
        <w:t xml:space="preserve">The studiea argue that </w:t>
      </w:r>
      <w:r w:rsidR="0095283D" w:rsidRPr="00B526EA">
        <w:rPr>
          <w:rFonts w:ascii="Arial" w:hAnsi="Arial" w:cs="Arial"/>
          <w:szCs w:val="22"/>
        </w:rPr>
        <w:t>universal screening without differentiated follow-up risks overburdening systems while under-serving those most affected by threat-based trauma.</w:t>
      </w:r>
    </w:p>
    <w:p w14:paraId="13F9645B" w14:textId="76DCFE71" w:rsidR="0095283D" w:rsidRPr="00B526EA" w:rsidRDefault="003C2E88" w:rsidP="003C2E88">
      <w:pPr>
        <w:pStyle w:val="NormalWeb"/>
        <w:spacing w:before="240" w:beforeAutospacing="0" w:line="360" w:lineRule="auto"/>
        <w:jc w:val="both"/>
        <w:rPr>
          <w:rFonts w:ascii="Arial" w:hAnsi="Arial" w:cs="Arial"/>
          <w:szCs w:val="22"/>
        </w:rPr>
      </w:pPr>
      <w:r>
        <w:rPr>
          <w:rFonts w:ascii="Arial" w:hAnsi="Arial" w:cs="Arial"/>
          <w:szCs w:val="22"/>
        </w:rPr>
        <w:t xml:space="preserve">Moreover, UK Family Law Reforms includes that parental separation in adverse universally. This means that </w:t>
      </w:r>
      <w:r w:rsidRPr="003C2E88">
        <w:rPr>
          <w:rFonts w:ascii="Arial" w:hAnsi="Arial" w:cs="Arial"/>
          <w:szCs w:val="22"/>
        </w:rPr>
        <w:t>UK policies and support programmes often treat parental separation as a negative experience for all children, assuming it automatically causes harm</w:t>
      </w:r>
      <w:r>
        <w:rPr>
          <w:rFonts w:ascii="Arial" w:hAnsi="Arial" w:cs="Arial"/>
          <w:szCs w:val="22"/>
        </w:rPr>
        <w:t xml:space="preserve">. However, literature </w:t>
      </w:r>
      <w:r w:rsidRPr="00B526EA">
        <w:rPr>
          <w:rFonts w:ascii="Arial" w:hAnsi="Arial" w:cs="Arial"/>
          <w:szCs w:val="22"/>
        </w:rPr>
        <w:t>(Ministry of Justice, Levitt and Lammy, 2025)</w:t>
      </w:r>
      <w:r>
        <w:rPr>
          <w:rFonts w:ascii="Arial" w:hAnsi="Arial" w:cs="Arial"/>
          <w:szCs w:val="22"/>
        </w:rPr>
        <w:t xml:space="preserve"> argue that risk is not inherent rather is is contingent. Separation can be considered as protective factor when it reduces conflict, however where it causes conflict, the risk increases. So, trauma informed startegies </w:t>
      </w:r>
      <w:r w:rsidR="0095283D" w:rsidRPr="00B526EA">
        <w:rPr>
          <w:rFonts w:ascii="Arial" w:hAnsi="Arial" w:cs="Arial"/>
          <w:szCs w:val="22"/>
        </w:rPr>
        <w:t>require contextual rather than categorical reasoning.</w:t>
      </w:r>
    </w:p>
    <w:p w14:paraId="618BA06B" w14:textId="77777777" w:rsidR="0095283D" w:rsidRPr="00B526EA" w:rsidRDefault="0095283D" w:rsidP="00F31E94">
      <w:pPr>
        <w:spacing w:before="240"/>
        <w:jc w:val="both"/>
        <w:rPr>
          <w:rFonts w:ascii="Arial" w:hAnsi="Arial" w:cs="Arial"/>
          <w:b/>
          <w:bCs/>
          <w:szCs w:val="22"/>
        </w:rPr>
      </w:pPr>
      <w:r w:rsidRPr="00B526EA">
        <w:rPr>
          <w:rFonts w:ascii="Arial" w:hAnsi="Arial" w:cs="Arial"/>
          <w:b/>
          <w:bCs/>
          <w:szCs w:val="22"/>
        </w:rPr>
        <w:t>Implications for Young Adult Mental Health</w:t>
      </w:r>
    </w:p>
    <w:p w14:paraId="711DE8B8" w14:textId="77777777" w:rsidR="003C2E88" w:rsidRPr="00827925" w:rsidRDefault="003C2E88" w:rsidP="00827925">
      <w:pPr>
        <w:spacing w:before="240"/>
        <w:jc w:val="both"/>
        <w:rPr>
          <w:rStyle w:val="Strong"/>
          <w:rFonts w:ascii="Arial" w:eastAsiaTheme="majorEastAsia" w:hAnsi="Arial" w:cs="Arial"/>
          <w:b w:val="0"/>
          <w:bCs w:val="0"/>
          <w:szCs w:val="22"/>
        </w:rPr>
      </w:pPr>
      <w:r w:rsidRPr="00827925">
        <w:rPr>
          <w:rStyle w:val="Strong"/>
          <w:rFonts w:ascii="Arial" w:eastAsiaTheme="majorEastAsia" w:hAnsi="Arial" w:cs="Arial"/>
          <w:b w:val="0"/>
          <w:bCs w:val="0"/>
          <w:szCs w:val="22"/>
        </w:rPr>
        <w:t>The existence of differentiated mechanisms has positive implications. In the case of physical abuse, specific therapy like EMDR or trauma-focused CBT is compatible with the biological stress model and can handle hyperarousal. To separate, intervention must focus on the domains of stability, relational repair, and socio-economic support because emotional regulation deficits in this case are the result of chronic stress and attachment insecurity, not fear learning (Brock and Kochanska, 2016; Bunting et al., 2023).</w:t>
      </w:r>
    </w:p>
    <w:p w14:paraId="40ABD433" w14:textId="77777777" w:rsidR="003C2E88" w:rsidRPr="00827925" w:rsidRDefault="003C2E88" w:rsidP="00827925">
      <w:pPr>
        <w:spacing w:before="240"/>
        <w:jc w:val="both"/>
        <w:rPr>
          <w:rStyle w:val="Strong"/>
          <w:rFonts w:ascii="Arial" w:eastAsiaTheme="majorEastAsia" w:hAnsi="Arial" w:cs="Arial"/>
          <w:b w:val="0"/>
          <w:bCs w:val="0"/>
          <w:szCs w:val="22"/>
        </w:rPr>
      </w:pPr>
      <w:r w:rsidRPr="00827925">
        <w:rPr>
          <w:rStyle w:val="Strong"/>
          <w:rFonts w:ascii="Arial" w:eastAsiaTheme="majorEastAsia" w:hAnsi="Arial" w:cs="Arial"/>
          <w:b w:val="0"/>
          <w:bCs w:val="0"/>
          <w:szCs w:val="22"/>
        </w:rPr>
        <w:t>In case systems overlook differentiation, negative implications can arise. Normative transitions may be pathologised when separation is confounded with abuse, whereby the service users are concerned. On the other hand, threat-based trauma in young adults can be subjected to generic psychosocial interventions that are insufficient in managing trauma (Bellis et al., 2024).</w:t>
      </w:r>
    </w:p>
    <w:p w14:paraId="41162978" w14:textId="08CD225C" w:rsidR="0095283D" w:rsidRPr="00B526EA" w:rsidRDefault="0095283D" w:rsidP="003C2E88">
      <w:pPr>
        <w:spacing w:before="240"/>
        <w:jc w:val="both"/>
        <w:rPr>
          <w:rFonts w:ascii="Arial" w:hAnsi="Arial" w:cs="Arial"/>
          <w:b/>
          <w:bCs/>
          <w:szCs w:val="22"/>
        </w:rPr>
      </w:pPr>
      <w:r w:rsidRPr="00B526EA">
        <w:rPr>
          <w:rFonts w:ascii="Arial" w:hAnsi="Arial" w:cs="Arial"/>
          <w:b/>
          <w:bCs/>
          <w:szCs w:val="22"/>
        </w:rPr>
        <w:t>Examples from Reviewed Studies</w:t>
      </w:r>
    </w:p>
    <w:p w14:paraId="0A41AAC7" w14:textId="77777777" w:rsidR="0095283D" w:rsidRPr="00B526EA" w:rsidRDefault="0095283D" w:rsidP="00F31E94">
      <w:pPr>
        <w:pStyle w:val="NormalWeb"/>
        <w:spacing w:before="240" w:beforeAutospacing="0" w:line="360" w:lineRule="auto"/>
        <w:jc w:val="both"/>
        <w:rPr>
          <w:rFonts w:ascii="Arial" w:hAnsi="Arial" w:cs="Arial"/>
          <w:szCs w:val="22"/>
        </w:rPr>
      </w:pPr>
      <w:r w:rsidRPr="00B526EA">
        <w:rPr>
          <w:rFonts w:ascii="Arial" w:hAnsi="Arial" w:cs="Arial"/>
          <w:szCs w:val="22"/>
        </w:rPr>
        <w:t>Three studies illustrate the argument.</w:t>
      </w:r>
    </w:p>
    <w:p w14:paraId="14414107" w14:textId="3AA75F64" w:rsidR="0095283D" w:rsidRPr="00B526EA" w:rsidRDefault="0095283D" w:rsidP="00F31E94">
      <w:pPr>
        <w:pStyle w:val="NormalWeb"/>
        <w:numPr>
          <w:ilvl w:val="0"/>
          <w:numId w:val="11"/>
        </w:numPr>
        <w:spacing w:before="240" w:beforeAutospacing="0" w:line="360" w:lineRule="auto"/>
        <w:jc w:val="both"/>
        <w:rPr>
          <w:rFonts w:ascii="Arial" w:hAnsi="Arial" w:cs="Arial"/>
          <w:szCs w:val="22"/>
        </w:rPr>
      </w:pPr>
      <w:r w:rsidRPr="00B526EA">
        <w:rPr>
          <w:rStyle w:val="Strong"/>
          <w:rFonts w:ascii="Arial" w:eastAsiaTheme="majorEastAsia" w:hAnsi="Arial" w:cs="Arial"/>
          <w:szCs w:val="22"/>
        </w:rPr>
        <w:t>Lee, Kim and Terry (2020)</w:t>
      </w:r>
      <w:r w:rsidRPr="00B526EA">
        <w:rPr>
          <w:rFonts w:ascii="Arial" w:hAnsi="Arial" w:cs="Arial"/>
          <w:szCs w:val="22"/>
        </w:rPr>
        <w:t xml:space="preserve"> identified a child maltreatment latent class linked to anxiety, depression, and PTSD, but a household dysfunction class</w:t>
      </w:r>
      <w:r w:rsidR="008672F2" w:rsidRPr="00B526EA">
        <w:rPr>
          <w:rFonts w:ascii="Arial" w:hAnsi="Arial" w:cs="Arial"/>
          <w:szCs w:val="22"/>
        </w:rPr>
        <w:t xml:space="preserve"> </w:t>
      </w:r>
      <w:r w:rsidRPr="00B526EA">
        <w:rPr>
          <w:rFonts w:ascii="Arial" w:hAnsi="Arial" w:cs="Arial"/>
          <w:szCs w:val="22"/>
        </w:rPr>
        <w:t>including parental separation</w:t>
      </w:r>
      <w:r w:rsidR="008672F2" w:rsidRPr="00B526EA">
        <w:rPr>
          <w:rFonts w:ascii="Arial" w:hAnsi="Arial" w:cs="Arial"/>
          <w:szCs w:val="22"/>
        </w:rPr>
        <w:t xml:space="preserve"> </w:t>
      </w:r>
      <w:r w:rsidRPr="00B526EA">
        <w:rPr>
          <w:rFonts w:ascii="Arial" w:hAnsi="Arial" w:cs="Arial"/>
          <w:szCs w:val="22"/>
        </w:rPr>
        <w:t>showed no significant risk after controls. This supports the interpretation that threat-based ACEs produce more consistent psychopathology.</w:t>
      </w:r>
    </w:p>
    <w:p w14:paraId="26686DE1" w14:textId="77777777" w:rsidR="0095283D" w:rsidRPr="00B526EA" w:rsidRDefault="0095283D" w:rsidP="00F31E94">
      <w:pPr>
        <w:pStyle w:val="NormalWeb"/>
        <w:numPr>
          <w:ilvl w:val="0"/>
          <w:numId w:val="11"/>
        </w:numPr>
        <w:spacing w:before="240" w:beforeAutospacing="0" w:line="360" w:lineRule="auto"/>
        <w:jc w:val="both"/>
        <w:rPr>
          <w:rFonts w:ascii="Arial" w:hAnsi="Arial" w:cs="Arial"/>
          <w:szCs w:val="22"/>
        </w:rPr>
      </w:pPr>
      <w:r w:rsidRPr="00B526EA">
        <w:rPr>
          <w:rStyle w:val="Strong"/>
          <w:rFonts w:ascii="Arial" w:eastAsiaTheme="majorEastAsia" w:hAnsi="Arial" w:cs="Arial"/>
          <w:szCs w:val="22"/>
        </w:rPr>
        <w:t>Lacey et al. (2020)</w:t>
      </w:r>
      <w:r w:rsidRPr="00B526EA">
        <w:rPr>
          <w:rFonts w:ascii="Arial" w:hAnsi="Arial" w:cs="Arial"/>
          <w:szCs w:val="22"/>
        </w:rPr>
        <w:t xml:space="preserve"> demonstrated that separation clustered with maternal mental illness and poverty, suggesting risk operates through accumulated disadvantage. This finding clarifies why separation’s effects vary across socio-economic contexts.</w:t>
      </w:r>
    </w:p>
    <w:p w14:paraId="0F4C1D65" w14:textId="77777777" w:rsidR="0095283D" w:rsidRPr="00B526EA" w:rsidRDefault="0095283D" w:rsidP="00F31E94">
      <w:pPr>
        <w:pStyle w:val="NormalWeb"/>
        <w:numPr>
          <w:ilvl w:val="0"/>
          <w:numId w:val="11"/>
        </w:numPr>
        <w:spacing w:before="240" w:beforeAutospacing="0" w:line="360" w:lineRule="auto"/>
        <w:jc w:val="both"/>
        <w:rPr>
          <w:rFonts w:ascii="Arial" w:hAnsi="Arial" w:cs="Arial"/>
          <w:szCs w:val="22"/>
        </w:rPr>
      </w:pPr>
      <w:r w:rsidRPr="00B526EA">
        <w:rPr>
          <w:rStyle w:val="Strong"/>
          <w:rFonts w:ascii="Arial" w:eastAsiaTheme="majorEastAsia" w:hAnsi="Arial" w:cs="Arial"/>
          <w:szCs w:val="22"/>
        </w:rPr>
        <w:t>Farooq et al. (2025)</w:t>
      </w:r>
      <w:r w:rsidRPr="00B526EA">
        <w:rPr>
          <w:rFonts w:ascii="Arial" w:hAnsi="Arial" w:cs="Arial"/>
          <w:szCs w:val="22"/>
        </w:rPr>
        <w:t xml:space="preserve"> showed that persistent parental mental health problems—often co-occurring with separation—predicted adolescent depression and self-harm, indicating that chronic exposure, not a single event, drives harm.</w:t>
      </w:r>
    </w:p>
    <w:p w14:paraId="67728CE0" w14:textId="77777777" w:rsidR="0095283D" w:rsidRPr="00B526EA" w:rsidRDefault="0095283D" w:rsidP="00F31E94">
      <w:pPr>
        <w:spacing w:before="240"/>
        <w:jc w:val="both"/>
        <w:rPr>
          <w:rFonts w:ascii="Arial" w:hAnsi="Arial" w:cs="Arial"/>
          <w:b/>
          <w:bCs/>
          <w:szCs w:val="22"/>
        </w:rPr>
      </w:pPr>
      <w:r w:rsidRPr="00B526EA">
        <w:rPr>
          <w:rFonts w:ascii="Arial" w:hAnsi="Arial" w:cs="Arial"/>
          <w:b/>
          <w:bCs/>
          <w:szCs w:val="22"/>
        </w:rPr>
        <w:t>Connections to Other Themes</w:t>
      </w:r>
    </w:p>
    <w:p w14:paraId="30936C88" w14:textId="358D7110" w:rsidR="0095283D" w:rsidRPr="00B526EA" w:rsidRDefault="00E509B7" w:rsidP="00E509B7">
      <w:pPr>
        <w:pStyle w:val="NormalWeb"/>
        <w:spacing w:before="240" w:beforeAutospacing="0" w:line="360" w:lineRule="auto"/>
        <w:jc w:val="both"/>
        <w:rPr>
          <w:rFonts w:ascii="Arial" w:hAnsi="Arial" w:cs="Arial"/>
          <w:szCs w:val="22"/>
        </w:rPr>
      </w:pPr>
      <w:r>
        <w:rPr>
          <w:rFonts w:ascii="Arial" w:hAnsi="Arial" w:cs="Arial"/>
          <w:szCs w:val="22"/>
        </w:rPr>
        <w:t xml:space="preserve">The themes links to theme 2 which focused on outcome specific startegies like PTSD and self harm. Separating parental separation and physical abuse makes clear why certain symptons like intrusive memories cluster around abuse while differences in relationships are caused by separation. So, it also links to theme 3 examining moderators like gender and SES. As separation risks increase when there is poverty while </w:t>
      </w:r>
      <w:r w:rsidR="0095283D" w:rsidRPr="00B526EA">
        <w:rPr>
          <w:rFonts w:ascii="Arial" w:hAnsi="Arial" w:cs="Arial"/>
          <w:szCs w:val="22"/>
        </w:rPr>
        <w:t xml:space="preserve">abuse-related risk is less socially patterned but more physiologically embedded. </w:t>
      </w:r>
    </w:p>
    <w:p w14:paraId="593CD2B7" w14:textId="794F0328" w:rsidR="007126D6" w:rsidRPr="00B526EA" w:rsidRDefault="007126D6" w:rsidP="00F31E94">
      <w:pPr>
        <w:pStyle w:val="Heading3"/>
        <w:spacing w:before="240"/>
        <w:jc w:val="both"/>
        <w:rPr>
          <w:szCs w:val="22"/>
        </w:rPr>
      </w:pPr>
      <w:bookmarkStart w:id="39" w:name="_Toc220350541"/>
      <w:r w:rsidRPr="00B526EA">
        <w:rPr>
          <w:szCs w:val="22"/>
        </w:rPr>
        <w:t>4</w:t>
      </w:r>
      <w:r w:rsidR="009B3276" w:rsidRPr="00B526EA">
        <w:rPr>
          <w:szCs w:val="22"/>
        </w:rPr>
        <w:t xml:space="preserve">.2.2. </w:t>
      </w:r>
      <w:r w:rsidRPr="00B526EA">
        <w:rPr>
          <w:szCs w:val="22"/>
        </w:rPr>
        <w:t>Theme 2: Outcome-specific patterns and effect size variation across distinct adverse childhood experiences</w:t>
      </w:r>
      <w:bookmarkEnd w:id="39"/>
    </w:p>
    <w:p w14:paraId="1C814214" w14:textId="4ACB9AB2" w:rsidR="007126D6" w:rsidRPr="00B526EA" w:rsidRDefault="007126D6" w:rsidP="00F31E94">
      <w:pPr>
        <w:pStyle w:val="NormalWeb"/>
        <w:spacing w:before="240" w:beforeAutospacing="0" w:line="360" w:lineRule="auto"/>
        <w:jc w:val="both"/>
        <w:rPr>
          <w:rFonts w:ascii="Arial" w:hAnsi="Arial" w:cs="Arial"/>
          <w:szCs w:val="22"/>
        </w:rPr>
      </w:pPr>
      <w:r w:rsidRPr="00B526EA">
        <w:rPr>
          <w:rFonts w:ascii="Arial" w:hAnsi="Arial" w:cs="Arial"/>
          <w:szCs w:val="22"/>
        </w:rPr>
        <w:t>This theme evaluates whether distinct ACE types manifest through distinct mental health outcomes in young adulthood and explains why effect sizes differ across studies. Outcome-specific patterns refer to recurring alignments between adversity and outcome, rather than uniform increases across all outcomes</w:t>
      </w:r>
      <w:r w:rsidR="00E35323" w:rsidRPr="00B526EA">
        <w:rPr>
          <w:rFonts w:ascii="Arial" w:hAnsi="Arial" w:cs="Arial"/>
          <w:szCs w:val="22"/>
        </w:rPr>
        <w:t xml:space="preserve"> (Charuvastra and Cloitre, 2008)</w:t>
      </w:r>
      <w:r w:rsidRPr="00B526EA">
        <w:rPr>
          <w:rFonts w:ascii="Arial" w:hAnsi="Arial" w:cs="Arial"/>
          <w:szCs w:val="22"/>
        </w:rPr>
        <w:t>. Effect size variation refers to changes in magnitude or significance arising from differences in design, measurement, modelling, and the co-occurrence of adversities. Outcome selection is treated as part of the substantive interpretation, because different outcomes test different mechanisms and service needs</w:t>
      </w:r>
      <w:r w:rsidR="00E35323" w:rsidRPr="00B526EA">
        <w:rPr>
          <w:rFonts w:ascii="Arial" w:hAnsi="Arial" w:cs="Arial"/>
          <w:szCs w:val="22"/>
        </w:rPr>
        <w:t xml:space="preserve"> (Evans, Garner and Honig, 2014)</w:t>
      </w:r>
      <w:r w:rsidRPr="00B526EA">
        <w:rPr>
          <w:rFonts w:ascii="Arial" w:hAnsi="Arial" w:cs="Arial"/>
          <w:szCs w:val="22"/>
        </w:rPr>
        <w:t>.</w:t>
      </w:r>
    </w:p>
    <w:p w14:paraId="25D0C445" w14:textId="77777777" w:rsidR="007126D6" w:rsidRPr="00B526EA" w:rsidRDefault="007126D6" w:rsidP="00A20B12">
      <w:pPr>
        <w:rPr>
          <w:b/>
          <w:bCs/>
          <w:szCs w:val="22"/>
        </w:rPr>
      </w:pPr>
      <w:bookmarkStart w:id="40" w:name="_Toc218450679"/>
      <w:r w:rsidRPr="00B526EA">
        <w:rPr>
          <w:b/>
          <w:bCs/>
          <w:szCs w:val="22"/>
        </w:rPr>
        <w:t>Background and context</w:t>
      </w:r>
      <w:bookmarkEnd w:id="40"/>
    </w:p>
    <w:p w14:paraId="55065E16" w14:textId="6480AE39" w:rsidR="007126D6" w:rsidRPr="00B526EA" w:rsidRDefault="007126D6" w:rsidP="00F31E94">
      <w:pPr>
        <w:pStyle w:val="NormalWeb"/>
        <w:spacing w:before="240" w:beforeAutospacing="0" w:line="360" w:lineRule="auto"/>
        <w:jc w:val="both"/>
        <w:rPr>
          <w:rFonts w:ascii="Arial" w:hAnsi="Arial" w:cs="Arial"/>
          <w:szCs w:val="22"/>
        </w:rPr>
      </w:pPr>
      <w:r w:rsidRPr="00B526EA">
        <w:rPr>
          <w:rFonts w:ascii="Arial" w:hAnsi="Arial" w:cs="Arial"/>
          <w:szCs w:val="22"/>
        </w:rPr>
        <w:t>ACE research often privileges cumulative scores and broad outcomes because they support a public-health message, but this can be clinically uninformative. UK services are organised around symptom sets and thresholds: depression and anxiety pathways differ from trauma pathways, and self-harm requires risk management</w:t>
      </w:r>
      <w:r w:rsidR="009F4860" w:rsidRPr="00B526EA">
        <w:rPr>
          <w:rFonts w:ascii="Arial" w:hAnsi="Arial" w:cs="Arial"/>
          <w:szCs w:val="22"/>
        </w:rPr>
        <w:t xml:space="preserve"> (NHS, 2024)</w:t>
      </w:r>
      <w:r w:rsidRPr="00B526EA">
        <w:rPr>
          <w:rFonts w:ascii="Arial" w:hAnsi="Arial" w:cs="Arial"/>
          <w:szCs w:val="22"/>
        </w:rPr>
        <w:t>. When studies report any mental health problem, they obscure whether the most policy-relevant need is trauma treatment, mood intervention, or harm-reduction support. The same exposure can elevate PTSD risk without equally elevating anxiety, depending on mechanism and context</w:t>
      </w:r>
      <w:r w:rsidR="00D554F2" w:rsidRPr="00B526EA">
        <w:rPr>
          <w:rFonts w:ascii="Arial" w:hAnsi="Arial" w:cs="Arial"/>
          <w:szCs w:val="22"/>
        </w:rPr>
        <w:t xml:space="preserve"> (Norman </w:t>
      </w:r>
      <w:r w:rsidR="00D554F2" w:rsidRPr="00B526EA">
        <w:rPr>
          <w:rFonts w:ascii="Arial" w:hAnsi="Arial" w:cs="Arial"/>
          <w:i/>
          <w:iCs/>
          <w:szCs w:val="22"/>
        </w:rPr>
        <w:t>et al.</w:t>
      </w:r>
      <w:r w:rsidR="00D554F2" w:rsidRPr="00B526EA">
        <w:rPr>
          <w:rFonts w:ascii="Arial" w:hAnsi="Arial" w:cs="Arial"/>
          <w:szCs w:val="22"/>
        </w:rPr>
        <w:t>, 2012)</w:t>
      </w:r>
      <w:r w:rsidRPr="00B526EA">
        <w:rPr>
          <w:rFonts w:ascii="Arial" w:hAnsi="Arial" w:cs="Arial"/>
          <w:szCs w:val="22"/>
        </w:rPr>
        <w:t>.</w:t>
      </w:r>
      <w:r w:rsidR="00D554F2" w:rsidRPr="00B526EA">
        <w:rPr>
          <w:rFonts w:ascii="Arial" w:hAnsi="Arial" w:cs="Arial"/>
          <w:szCs w:val="22"/>
        </w:rPr>
        <w:t xml:space="preserve"> </w:t>
      </w:r>
    </w:p>
    <w:p w14:paraId="5D39F1AE" w14:textId="43100D20" w:rsidR="007126D6" w:rsidRPr="00B526EA" w:rsidRDefault="007126D6" w:rsidP="00A20B12">
      <w:pPr>
        <w:rPr>
          <w:b/>
          <w:bCs/>
          <w:szCs w:val="22"/>
        </w:rPr>
      </w:pPr>
      <w:bookmarkStart w:id="41" w:name="_Toc218450681"/>
      <w:r w:rsidRPr="00B526EA">
        <w:rPr>
          <w:b/>
          <w:bCs/>
          <w:szCs w:val="22"/>
        </w:rPr>
        <w:t>Outcome-specific patterns</w:t>
      </w:r>
      <w:bookmarkEnd w:id="41"/>
      <w:r w:rsidRPr="00B526EA">
        <w:rPr>
          <w:b/>
          <w:bCs/>
          <w:szCs w:val="22"/>
        </w:rPr>
        <w:t xml:space="preserve"> </w:t>
      </w:r>
    </w:p>
    <w:p w14:paraId="12F9799A" w14:textId="7D4FEA55" w:rsidR="007126D6" w:rsidRPr="00B526EA" w:rsidRDefault="007126D6" w:rsidP="00F31E94">
      <w:pPr>
        <w:pStyle w:val="NormalWeb"/>
        <w:spacing w:before="240" w:beforeAutospacing="0" w:line="360" w:lineRule="auto"/>
        <w:jc w:val="both"/>
        <w:rPr>
          <w:rFonts w:ascii="Arial" w:hAnsi="Arial" w:cs="Arial"/>
          <w:szCs w:val="22"/>
        </w:rPr>
      </w:pPr>
      <w:r w:rsidRPr="00B526EA">
        <w:rPr>
          <w:rFonts w:ascii="Arial" w:hAnsi="Arial" w:cs="Arial"/>
          <w:szCs w:val="22"/>
        </w:rPr>
        <w:t>Trauma-related outcomes provide the clearest discrimination between adversity profiles. In Add Health, a latent child maltreatment class was associated with PTSD (OR 1.97) and depression (OR 1.56) and anxiety (OR 1.31) relative to low adversity, whereas a household dysfunction class showed no significant differences (Lee, Kim and Terry, 2020). The key inference is not that household dysfunction is benign; it is that heterogeneous dysfunction categories can dilute associations and shift apparent strongest effects toward outcomes more tightly linked to threat. In other words, outcome choice can create the impression that maltreatment is uniquely important simply because PTSD is a more specific readout of threat-related pathways than general distress</w:t>
      </w:r>
      <w:r w:rsidR="00D554F2" w:rsidRPr="00B526EA">
        <w:rPr>
          <w:rFonts w:ascii="Arial" w:hAnsi="Arial" w:cs="Arial"/>
          <w:szCs w:val="22"/>
        </w:rPr>
        <w:t xml:space="preserve"> (Cruz et al., 2022; Evans, Garner and Honig, 2014)</w:t>
      </w:r>
      <w:r w:rsidRPr="00B526EA">
        <w:rPr>
          <w:rFonts w:ascii="Arial" w:hAnsi="Arial" w:cs="Arial"/>
          <w:szCs w:val="22"/>
        </w:rPr>
        <w:t>.</w:t>
      </w:r>
    </w:p>
    <w:p w14:paraId="07BAD72D" w14:textId="1F793BE7" w:rsidR="007126D6" w:rsidRPr="00B526EA" w:rsidRDefault="007126D6" w:rsidP="00F31E94">
      <w:pPr>
        <w:pStyle w:val="NormalWeb"/>
        <w:spacing w:before="240" w:beforeAutospacing="0" w:line="360" w:lineRule="auto"/>
        <w:jc w:val="both"/>
        <w:rPr>
          <w:rFonts w:ascii="Arial" w:hAnsi="Arial" w:cs="Arial"/>
          <w:szCs w:val="22"/>
        </w:rPr>
      </w:pPr>
      <w:r w:rsidRPr="00B526EA">
        <w:rPr>
          <w:rFonts w:ascii="Arial" w:hAnsi="Arial" w:cs="Arial"/>
          <w:szCs w:val="22"/>
        </w:rPr>
        <w:t>UK cohort evidence suggests that comorbidity can be a stronger signal than isolated outcomes because it reduces the likelihood that results reflect transient symptoms or single-measure artefacts. Across three UK cohorts, longer exposure to parental mental health problems increased odds of co-occurring self-harm and depression</w:t>
      </w:r>
      <w:r w:rsidR="008672F2" w:rsidRPr="00B526EA">
        <w:rPr>
          <w:rFonts w:ascii="Arial" w:hAnsi="Arial" w:cs="Arial"/>
          <w:szCs w:val="22"/>
        </w:rPr>
        <w:t xml:space="preserve"> </w:t>
      </w:r>
      <w:r w:rsidRPr="00B526EA">
        <w:rPr>
          <w:rFonts w:ascii="Arial" w:hAnsi="Arial" w:cs="Arial"/>
          <w:szCs w:val="22"/>
        </w:rPr>
        <w:t>and the relative importance of timing versus duration varied across ACE types (Farooq et al., 2024). These findings matter for the abuse–separation comparison because they imply that duration-related family strain can produce combined mood and self-harm outcomes even without direct threat exposure. That undermines simplistic assumptions that only threat ACEs generate severe outcomes; instead, disruption-related ACEs may surface most clearly when outcomes are operationalised as co-occurring difficulties rather than single diagnoses</w:t>
      </w:r>
      <w:r w:rsidR="002D2D4C" w:rsidRPr="00B526EA">
        <w:rPr>
          <w:rFonts w:ascii="Arial" w:hAnsi="Arial" w:cs="Arial"/>
          <w:szCs w:val="22"/>
        </w:rPr>
        <w:t xml:space="preserve"> (Song </w:t>
      </w:r>
      <w:r w:rsidR="002D2D4C" w:rsidRPr="00B526EA">
        <w:rPr>
          <w:rFonts w:ascii="Arial" w:hAnsi="Arial" w:cs="Arial"/>
          <w:i/>
          <w:iCs/>
          <w:szCs w:val="22"/>
        </w:rPr>
        <w:t>et al.</w:t>
      </w:r>
      <w:r w:rsidR="002D2D4C" w:rsidRPr="00B526EA">
        <w:rPr>
          <w:rFonts w:ascii="Arial" w:hAnsi="Arial" w:cs="Arial"/>
          <w:szCs w:val="22"/>
        </w:rPr>
        <w:t xml:space="preserve">, 2024; Straatmann </w:t>
      </w:r>
      <w:r w:rsidR="002D2D4C" w:rsidRPr="00B526EA">
        <w:rPr>
          <w:rFonts w:ascii="Arial" w:hAnsi="Arial" w:cs="Arial"/>
          <w:i/>
          <w:iCs/>
          <w:szCs w:val="22"/>
        </w:rPr>
        <w:t>et al.</w:t>
      </w:r>
      <w:r w:rsidR="002D2D4C" w:rsidRPr="00B526EA">
        <w:rPr>
          <w:rFonts w:ascii="Arial" w:hAnsi="Arial" w:cs="Arial"/>
          <w:szCs w:val="22"/>
        </w:rPr>
        <w:t>, 2020)</w:t>
      </w:r>
      <w:r w:rsidRPr="00B526EA">
        <w:rPr>
          <w:rFonts w:ascii="Arial" w:hAnsi="Arial" w:cs="Arial"/>
          <w:szCs w:val="22"/>
        </w:rPr>
        <w:t>.</w:t>
      </w:r>
    </w:p>
    <w:p w14:paraId="25DD7EBD" w14:textId="3F2952CF" w:rsidR="007126D6" w:rsidRPr="00B526EA" w:rsidRDefault="007126D6" w:rsidP="00F31E94">
      <w:pPr>
        <w:pStyle w:val="NormalWeb"/>
        <w:spacing w:before="240" w:beforeAutospacing="0" w:line="360" w:lineRule="auto"/>
        <w:jc w:val="both"/>
        <w:rPr>
          <w:rFonts w:ascii="Arial" w:hAnsi="Arial" w:cs="Arial"/>
          <w:szCs w:val="22"/>
        </w:rPr>
      </w:pPr>
      <w:r w:rsidRPr="00B526EA">
        <w:rPr>
          <w:rFonts w:ascii="Arial" w:hAnsi="Arial" w:cs="Arial"/>
          <w:szCs w:val="22"/>
        </w:rPr>
        <w:t>Substance use illustrates outcome sensitivity and causal ambiguity. Merrick et al. (2017) report graded associations between ACE scores and alcohol/drug outcomes, yet show that examining individual ACE categories alongside the score changes which exposures appear most influential. Substance use can be an outcome, a mediator, or both; without temporal clarity, effect sizes for substance use can be misinterpreted as direct impacts rather than pathway indicators.</w:t>
      </w:r>
    </w:p>
    <w:p w14:paraId="0C0A8A2E" w14:textId="77777777" w:rsidR="00C02E3C" w:rsidRPr="00B526EA" w:rsidRDefault="00C02E3C" w:rsidP="00F31E94">
      <w:pPr>
        <w:spacing w:before="240" w:after="100" w:afterAutospacing="1"/>
        <w:jc w:val="both"/>
        <w:rPr>
          <w:rFonts w:ascii="Arial" w:hAnsi="Arial" w:cs="Arial"/>
          <w:szCs w:val="22"/>
        </w:rPr>
      </w:pPr>
      <w:r w:rsidRPr="00B526EA">
        <w:rPr>
          <w:rFonts w:ascii="Arial" w:hAnsi="Arial" w:cs="Arial"/>
          <w:szCs w:val="22"/>
        </w:rPr>
        <w:t>The table shows how different mental health outcomes vary in their usefulness for distinguishing ACE-related mechanisms and highlights the main risks of misinterpretation associated with each outcome type.</w:t>
      </w:r>
    </w:p>
    <w:p w14:paraId="50B3018D" w14:textId="10278865" w:rsidR="008672F2" w:rsidRPr="00B526EA" w:rsidRDefault="008672F2" w:rsidP="00F31E94">
      <w:pPr>
        <w:pStyle w:val="Caption"/>
        <w:keepNext/>
        <w:spacing w:before="240" w:line="360" w:lineRule="auto"/>
        <w:jc w:val="both"/>
        <w:rPr>
          <w:rFonts w:ascii="Arial" w:hAnsi="Arial" w:cs="Arial"/>
        </w:rPr>
      </w:pPr>
      <w:bookmarkStart w:id="42" w:name="_Toc219221913"/>
      <w:r w:rsidRPr="00B526EA">
        <w:rPr>
          <w:rFonts w:ascii="Arial" w:hAnsi="Arial" w:cs="Arial"/>
        </w:rPr>
        <w:t xml:space="preserve">Table </w:t>
      </w:r>
      <w:r w:rsidRPr="00B526EA">
        <w:rPr>
          <w:rFonts w:ascii="Arial" w:hAnsi="Arial" w:cs="Arial"/>
        </w:rPr>
        <w:fldChar w:fldCharType="begin"/>
      </w:r>
      <w:r w:rsidRPr="00B526EA">
        <w:rPr>
          <w:rFonts w:ascii="Arial" w:hAnsi="Arial" w:cs="Arial"/>
        </w:rPr>
        <w:instrText xml:space="preserve"> SEQ Table \* ARABIC </w:instrText>
      </w:r>
      <w:r w:rsidRPr="00B526EA">
        <w:rPr>
          <w:rFonts w:ascii="Arial" w:hAnsi="Arial" w:cs="Arial"/>
        </w:rPr>
        <w:fldChar w:fldCharType="separate"/>
      </w:r>
      <w:r w:rsidR="00F451A8" w:rsidRPr="00B526EA">
        <w:rPr>
          <w:rFonts w:ascii="Arial" w:hAnsi="Arial" w:cs="Arial"/>
          <w:noProof/>
        </w:rPr>
        <w:t>4</w:t>
      </w:r>
      <w:r w:rsidRPr="00B526EA">
        <w:rPr>
          <w:rFonts w:ascii="Arial" w:hAnsi="Arial" w:cs="Arial"/>
        </w:rPr>
        <w:fldChar w:fldCharType="end"/>
      </w:r>
      <w:r w:rsidRPr="00B526EA">
        <w:rPr>
          <w:rFonts w:ascii="Arial" w:hAnsi="Arial" w:cs="Arial"/>
        </w:rPr>
        <w:t>: Outcome-specific interpretive value and risks when differentiating adverse childhood experience effects</w:t>
      </w:r>
      <w:r w:rsidR="00FF7D15" w:rsidRPr="00B526EA">
        <w:rPr>
          <w:rFonts w:ascii="Arial" w:hAnsi="Arial" w:cs="Arial"/>
        </w:rPr>
        <w:t xml:space="preserve"> (Song </w:t>
      </w:r>
      <w:r w:rsidR="00FF7D15" w:rsidRPr="00B526EA">
        <w:rPr>
          <w:rFonts w:ascii="Arial" w:hAnsi="Arial" w:cs="Arial"/>
          <w:i w:val="0"/>
          <w:iCs w:val="0"/>
        </w:rPr>
        <w:t>et al.</w:t>
      </w:r>
      <w:r w:rsidR="00FF7D15" w:rsidRPr="00B526EA">
        <w:rPr>
          <w:rFonts w:ascii="Arial" w:hAnsi="Arial" w:cs="Arial"/>
        </w:rPr>
        <w:t xml:space="preserve">, 2024; Straatmann </w:t>
      </w:r>
      <w:r w:rsidR="00FF7D15" w:rsidRPr="00B526EA">
        <w:rPr>
          <w:rFonts w:ascii="Arial" w:hAnsi="Arial" w:cs="Arial"/>
          <w:i w:val="0"/>
          <w:iCs w:val="0"/>
        </w:rPr>
        <w:t>et al.</w:t>
      </w:r>
      <w:r w:rsidR="00FF7D15" w:rsidRPr="00B526EA">
        <w:rPr>
          <w:rFonts w:ascii="Arial" w:hAnsi="Arial" w:cs="Arial"/>
        </w:rPr>
        <w:t>, 2020)</w:t>
      </w:r>
      <w:bookmarkEnd w:id="42"/>
    </w:p>
    <w:tbl>
      <w:tblPr>
        <w:tblStyle w:val="TableGrid"/>
        <w:tblW w:w="0" w:type="auto"/>
        <w:tblLook w:val="04A0" w:firstRow="1" w:lastRow="0" w:firstColumn="1" w:lastColumn="0" w:noHBand="0" w:noVBand="1"/>
      </w:tblPr>
      <w:tblGrid>
        <w:gridCol w:w="2350"/>
        <w:gridCol w:w="3330"/>
        <w:gridCol w:w="3336"/>
      </w:tblGrid>
      <w:tr w:rsidR="007126D6" w:rsidRPr="00B526EA" w14:paraId="3E3325EF" w14:textId="77777777" w:rsidTr="008672F2">
        <w:tc>
          <w:tcPr>
            <w:tcW w:w="0" w:type="auto"/>
            <w:hideMark/>
          </w:tcPr>
          <w:p w14:paraId="56772219" w14:textId="77777777" w:rsidR="007126D6" w:rsidRPr="00B526EA" w:rsidRDefault="007126D6" w:rsidP="00F31E94">
            <w:pPr>
              <w:spacing w:before="240"/>
              <w:jc w:val="both"/>
              <w:rPr>
                <w:rFonts w:ascii="Arial" w:hAnsi="Arial" w:cs="Arial"/>
                <w:b/>
                <w:bCs/>
                <w:szCs w:val="22"/>
              </w:rPr>
            </w:pPr>
            <w:r w:rsidRPr="00B526EA">
              <w:rPr>
                <w:rFonts w:ascii="Arial" w:hAnsi="Arial" w:cs="Arial"/>
                <w:b/>
                <w:bCs/>
                <w:szCs w:val="22"/>
              </w:rPr>
              <w:t>Outcome</w:t>
            </w:r>
          </w:p>
        </w:tc>
        <w:tc>
          <w:tcPr>
            <w:tcW w:w="0" w:type="auto"/>
            <w:hideMark/>
          </w:tcPr>
          <w:p w14:paraId="3363ED9A" w14:textId="77777777" w:rsidR="007126D6" w:rsidRPr="00B526EA" w:rsidRDefault="007126D6" w:rsidP="00F31E94">
            <w:pPr>
              <w:spacing w:before="240"/>
              <w:jc w:val="both"/>
              <w:rPr>
                <w:rFonts w:ascii="Arial" w:hAnsi="Arial" w:cs="Arial"/>
                <w:b/>
                <w:bCs/>
                <w:szCs w:val="22"/>
              </w:rPr>
            </w:pPr>
            <w:r w:rsidRPr="00B526EA">
              <w:rPr>
                <w:rFonts w:ascii="Arial" w:hAnsi="Arial" w:cs="Arial"/>
                <w:b/>
                <w:bCs/>
                <w:szCs w:val="22"/>
              </w:rPr>
              <w:t>Why it helps differentiate ACE effects</w:t>
            </w:r>
          </w:p>
        </w:tc>
        <w:tc>
          <w:tcPr>
            <w:tcW w:w="0" w:type="auto"/>
            <w:hideMark/>
          </w:tcPr>
          <w:p w14:paraId="1B9F0297" w14:textId="77777777" w:rsidR="007126D6" w:rsidRPr="00B526EA" w:rsidRDefault="007126D6" w:rsidP="00F31E94">
            <w:pPr>
              <w:spacing w:before="240"/>
              <w:jc w:val="both"/>
              <w:rPr>
                <w:rFonts w:ascii="Arial" w:hAnsi="Arial" w:cs="Arial"/>
                <w:b/>
                <w:bCs/>
                <w:szCs w:val="22"/>
              </w:rPr>
            </w:pPr>
            <w:r w:rsidRPr="00B526EA">
              <w:rPr>
                <w:rFonts w:ascii="Arial" w:hAnsi="Arial" w:cs="Arial"/>
                <w:b/>
                <w:bCs/>
                <w:szCs w:val="22"/>
              </w:rPr>
              <w:t>Main interpretive risk</w:t>
            </w:r>
          </w:p>
        </w:tc>
      </w:tr>
      <w:tr w:rsidR="007126D6" w:rsidRPr="00B526EA" w14:paraId="07D03654" w14:textId="77777777" w:rsidTr="008672F2">
        <w:tc>
          <w:tcPr>
            <w:tcW w:w="0" w:type="auto"/>
            <w:hideMark/>
          </w:tcPr>
          <w:p w14:paraId="4B431BD0"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PTSD/trauma symptoms</w:t>
            </w:r>
          </w:p>
        </w:tc>
        <w:tc>
          <w:tcPr>
            <w:tcW w:w="0" w:type="auto"/>
            <w:hideMark/>
          </w:tcPr>
          <w:p w14:paraId="688EDA2B"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More specific to threat and hyperarousal pathways</w:t>
            </w:r>
          </w:p>
        </w:tc>
        <w:tc>
          <w:tcPr>
            <w:tcW w:w="0" w:type="auto"/>
            <w:hideMark/>
          </w:tcPr>
          <w:p w14:paraId="4B549B22"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Missed if only general distress is measured</w:t>
            </w:r>
          </w:p>
        </w:tc>
      </w:tr>
      <w:tr w:rsidR="007126D6" w:rsidRPr="00B526EA" w14:paraId="611A4232" w14:textId="77777777" w:rsidTr="008672F2">
        <w:tc>
          <w:tcPr>
            <w:tcW w:w="0" w:type="auto"/>
            <w:hideMark/>
          </w:tcPr>
          <w:p w14:paraId="59C0F939"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Depression/anxiety</w:t>
            </w:r>
          </w:p>
        </w:tc>
        <w:tc>
          <w:tcPr>
            <w:tcW w:w="0" w:type="auto"/>
            <w:hideMark/>
          </w:tcPr>
          <w:p w14:paraId="5B25EF33"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Sensitive to both disruption and threat pathways</w:t>
            </w:r>
          </w:p>
        </w:tc>
        <w:tc>
          <w:tcPr>
            <w:tcW w:w="0" w:type="auto"/>
            <w:hideMark/>
          </w:tcPr>
          <w:p w14:paraId="59565C28"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Over-adjustment for mediators can erase pathways</w:t>
            </w:r>
          </w:p>
        </w:tc>
      </w:tr>
      <w:tr w:rsidR="007126D6" w:rsidRPr="00B526EA" w14:paraId="5B6FF38E" w14:textId="77777777" w:rsidTr="008672F2">
        <w:tc>
          <w:tcPr>
            <w:tcW w:w="0" w:type="auto"/>
            <w:hideMark/>
          </w:tcPr>
          <w:p w14:paraId="476A65EF"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Self-harm</w:t>
            </w:r>
          </w:p>
        </w:tc>
        <w:tc>
          <w:tcPr>
            <w:tcW w:w="0" w:type="auto"/>
            <w:hideMark/>
          </w:tcPr>
          <w:p w14:paraId="57D55FA2"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Captures dysregulation and coping under distress</w:t>
            </w:r>
          </w:p>
        </w:tc>
        <w:tc>
          <w:tcPr>
            <w:tcW w:w="0" w:type="auto"/>
            <w:hideMark/>
          </w:tcPr>
          <w:p w14:paraId="2FC2B394"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Mixing non-suicidal self-injury and attempts</w:t>
            </w:r>
          </w:p>
        </w:tc>
      </w:tr>
      <w:tr w:rsidR="007126D6" w:rsidRPr="00B526EA" w14:paraId="2CC0E409" w14:textId="77777777" w:rsidTr="008672F2">
        <w:tc>
          <w:tcPr>
            <w:tcW w:w="0" w:type="auto"/>
            <w:hideMark/>
          </w:tcPr>
          <w:p w14:paraId="70DF70AA"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Substance use</w:t>
            </w:r>
          </w:p>
        </w:tc>
        <w:tc>
          <w:tcPr>
            <w:tcW w:w="0" w:type="auto"/>
            <w:hideMark/>
          </w:tcPr>
          <w:p w14:paraId="46F2210B"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Captures coping and social-context pathways</w:t>
            </w:r>
          </w:p>
        </w:tc>
        <w:tc>
          <w:tcPr>
            <w:tcW w:w="0" w:type="auto"/>
            <w:hideMark/>
          </w:tcPr>
          <w:p w14:paraId="51EA836E"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Confounding by deprivation and peer context</w:t>
            </w:r>
          </w:p>
        </w:tc>
      </w:tr>
    </w:tbl>
    <w:p w14:paraId="5CBF1FD5" w14:textId="77777777" w:rsidR="00A20B12" w:rsidRPr="00B526EA" w:rsidRDefault="00A20B12" w:rsidP="00A20B12">
      <w:pPr>
        <w:rPr>
          <w:b/>
          <w:bCs/>
          <w:szCs w:val="22"/>
        </w:rPr>
      </w:pPr>
      <w:bookmarkStart w:id="43" w:name="_Toc218450682"/>
    </w:p>
    <w:p w14:paraId="4289C867" w14:textId="299BE579" w:rsidR="00040E10" w:rsidRPr="00B526EA" w:rsidRDefault="00040E10" w:rsidP="00A20B12">
      <w:pPr>
        <w:rPr>
          <w:b/>
          <w:bCs/>
          <w:szCs w:val="22"/>
        </w:rPr>
      </w:pPr>
      <w:r w:rsidRPr="00B526EA">
        <w:rPr>
          <w:b/>
          <w:bCs/>
          <w:szCs w:val="22"/>
        </w:rPr>
        <w:t>Methodological drivers of effect-size variation across ACE studies</w:t>
      </w:r>
      <w:bookmarkEnd w:id="43"/>
    </w:p>
    <w:p w14:paraId="2FE66DA0" w14:textId="66CA667B" w:rsidR="007126D6" w:rsidRPr="00B526EA" w:rsidRDefault="007126D6" w:rsidP="00F31E94">
      <w:pPr>
        <w:pStyle w:val="NormalWeb"/>
        <w:spacing w:before="240" w:beforeAutospacing="0" w:line="360" w:lineRule="auto"/>
        <w:jc w:val="both"/>
        <w:rPr>
          <w:rFonts w:ascii="Arial" w:hAnsi="Arial" w:cs="Arial"/>
          <w:szCs w:val="22"/>
        </w:rPr>
      </w:pPr>
      <w:r w:rsidRPr="00B526EA">
        <w:rPr>
          <w:rFonts w:ascii="Arial" w:hAnsi="Arial" w:cs="Arial"/>
          <w:szCs w:val="22"/>
        </w:rPr>
        <w:t>Effect sizes vary because studies operationalise outcomes differently. Bellis et al. (2025) use adult mental wellbeing (SWEMWBS) and report increased odds of low wellbeing following childhood physical abuse (aOR 1.52), verbal abuse (aOR 1.64), and both (aOR 2.15). Wellbeing measures can detect functional impairment that diagnostic thresholds miss, but they also incorporate current social conditions; effect sizes may therefore reflect life-course embedding of adversity as well as symptoms. The implication is methodological and practical: a larger effect on wellbeing does not automatically mean more psychopathology,</w:t>
      </w:r>
      <w:r w:rsidR="00D77D45" w:rsidRPr="00B526EA">
        <w:rPr>
          <w:rFonts w:ascii="Arial" w:hAnsi="Arial" w:cs="Arial"/>
          <w:szCs w:val="22"/>
        </w:rPr>
        <w:t xml:space="preserve"> </w:t>
      </w:r>
      <w:r w:rsidRPr="00B526EA">
        <w:rPr>
          <w:rFonts w:ascii="Arial" w:hAnsi="Arial" w:cs="Arial"/>
          <w:szCs w:val="22"/>
        </w:rPr>
        <w:t>but it may signal broader functional damage that services still need to address.</w:t>
      </w:r>
    </w:p>
    <w:p w14:paraId="67E5ADD9" w14:textId="48514101" w:rsidR="00F4065F" w:rsidRDefault="00F4065F" w:rsidP="00F31E94">
      <w:pPr>
        <w:spacing w:before="240"/>
        <w:jc w:val="both"/>
        <w:rPr>
          <w:rFonts w:ascii="Arial" w:hAnsi="Arial" w:cs="Arial"/>
          <w:szCs w:val="22"/>
        </w:rPr>
      </w:pPr>
      <w:r w:rsidRPr="00F4065F">
        <w:rPr>
          <w:rFonts w:ascii="Arial" w:hAnsi="Arial" w:cs="Arial"/>
          <w:szCs w:val="22"/>
        </w:rPr>
        <w:t xml:space="preserve">Sample composition and design also introduce shifts in estimates. Self-report exposure and outcome measures may inflate correlations, and current distress may bias retrospective reporting in a large crosssectional student sample, where high ACE exposure was correlated with severe anxiety (OR 3.78 four or more ACEs versus one or fewer) (Zhang et al., 2024). Longitudinal cohorts </w:t>
      </w:r>
      <w:r w:rsidR="006F00A1">
        <w:rPr>
          <w:rFonts w:ascii="Arial" w:hAnsi="Arial" w:cs="Arial"/>
          <w:szCs w:val="22"/>
        </w:rPr>
        <w:t>minimise</w:t>
      </w:r>
      <w:r w:rsidRPr="00F4065F">
        <w:rPr>
          <w:rFonts w:ascii="Arial" w:hAnsi="Arial" w:cs="Arial"/>
          <w:szCs w:val="22"/>
        </w:rPr>
        <w:t xml:space="preserve"> part of recall bias, but selective attrition may dilute associations where greater adversity predicts loss to follow-up, restricting comparability across designs or outcome definitions. Observable variations in effect size between physical abuse and parental separation may thus indicate who survives in the sample and what is measured, rather than a causal strength underlying (Salthouse, 2019).</w:t>
      </w:r>
    </w:p>
    <w:p w14:paraId="2419B322" w14:textId="4AEC39D2" w:rsidR="007126D6" w:rsidRDefault="008D0FA7" w:rsidP="008D0FA7">
      <w:pPr>
        <w:spacing w:before="240"/>
        <w:jc w:val="both"/>
        <w:rPr>
          <w:rFonts w:ascii="Arial" w:hAnsi="Arial" w:cs="Arial"/>
          <w:szCs w:val="22"/>
        </w:rPr>
      </w:pPr>
      <w:r w:rsidRPr="008D0FA7">
        <w:rPr>
          <w:rFonts w:ascii="Arial" w:hAnsi="Arial" w:cs="Arial"/>
          <w:szCs w:val="22"/>
        </w:rPr>
        <w:t>The statistical modelling can influence the magnitude of the identified relationship between ACEs and outcomes since it can reveal or conceal populations that are particularly at risk. Agrawal et al. (2024) discovered that combinations of ACEs are more likely to predict more mental illness and high levels of psychological distress during young adulthood than likewise single ACEs, indicating that the impact of one ACE is often contingent on the presence of other adversities. It implies that ACEs cannot be rated too easily by severity, since effect sizes represent mean outcomes in mixed experiences as opposed to the unwavering seriousness of a single ACE. In addition, effect size differences can be significant. To illustrate, the deprivation adjustment could minimi</w:t>
      </w:r>
      <w:r w:rsidR="006F00A1">
        <w:rPr>
          <w:rFonts w:ascii="Arial" w:hAnsi="Arial" w:cs="Arial"/>
          <w:szCs w:val="22"/>
        </w:rPr>
        <w:t>s</w:t>
      </w:r>
      <w:r w:rsidRPr="008D0FA7">
        <w:rPr>
          <w:rFonts w:ascii="Arial" w:hAnsi="Arial" w:cs="Arial"/>
          <w:szCs w:val="22"/>
        </w:rPr>
        <w:t>e the influence of certain adversities, particularly that of parental separation (Lacey et al., 2020). Practically, exposure should be recogni</w:t>
      </w:r>
      <w:r w:rsidR="006F00A1">
        <w:rPr>
          <w:rFonts w:ascii="Arial" w:hAnsi="Arial" w:cs="Arial"/>
          <w:szCs w:val="22"/>
        </w:rPr>
        <w:t>s</w:t>
      </w:r>
      <w:r w:rsidRPr="008D0FA7">
        <w:rPr>
          <w:rFonts w:ascii="Arial" w:hAnsi="Arial" w:cs="Arial"/>
          <w:szCs w:val="22"/>
        </w:rPr>
        <w:t>ed with screening, symptom and co-occurring adversity evaluated prior to determining the degree of support required.</w:t>
      </w:r>
    </w:p>
    <w:p w14:paraId="201979E8" w14:textId="77777777" w:rsidR="002001D1" w:rsidRPr="00B526EA" w:rsidRDefault="002001D1" w:rsidP="008D0FA7">
      <w:pPr>
        <w:spacing w:before="240"/>
        <w:jc w:val="both"/>
        <w:rPr>
          <w:rFonts w:ascii="Arial" w:hAnsi="Arial" w:cs="Arial"/>
          <w:szCs w:val="22"/>
        </w:rPr>
      </w:pPr>
    </w:p>
    <w:p w14:paraId="08F9E2DE" w14:textId="01366807" w:rsidR="007126D6" w:rsidRPr="00B526EA" w:rsidRDefault="007126D6" w:rsidP="00A20B12">
      <w:pPr>
        <w:rPr>
          <w:b/>
          <w:bCs/>
          <w:szCs w:val="22"/>
        </w:rPr>
      </w:pPr>
      <w:bookmarkStart w:id="44" w:name="_Toc218450683"/>
      <w:r w:rsidRPr="00B526EA">
        <w:rPr>
          <w:b/>
          <w:bCs/>
          <w:szCs w:val="22"/>
        </w:rPr>
        <w:t xml:space="preserve">Implications and </w:t>
      </w:r>
      <w:r w:rsidR="00372432" w:rsidRPr="00B526EA">
        <w:rPr>
          <w:b/>
          <w:bCs/>
          <w:szCs w:val="22"/>
        </w:rPr>
        <w:t xml:space="preserve">Connections </w:t>
      </w:r>
      <w:r w:rsidRPr="00B526EA">
        <w:rPr>
          <w:b/>
          <w:bCs/>
          <w:szCs w:val="22"/>
        </w:rPr>
        <w:t xml:space="preserve">to </w:t>
      </w:r>
      <w:r w:rsidR="00372432" w:rsidRPr="00B526EA">
        <w:rPr>
          <w:b/>
          <w:bCs/>
          <w:szCs w:val="22"/>
        </w:rPr>
        <w:t>Other Themes</w:t>
      </w:r>
      <w:bookmarkEnd w:id="44"/>
    </w:p>
    <w:p w14:paraId="75810502" w14:textId="420E9EFE" w:rsidR="007126D6" w:rsidRPr="00B526EA" w:rsidRDefault="002001D1" w:rsidP="00F31E94">
      <w:pPr>
        <w:pStyle w:val="NormalWeb"/>
        <w:spacing w:before="240" w:beforeAutospacing="0" w:line="360" w:lineRule="auto"/>
        <w:jc w:val="both"/>
        <w:rPr>
          <w:rFonts w:ascii="Arial" w:hAnsi="Arial" w:cs="Arial"/>
          <w:szCs w:val="22"/>
        </w:rPr>
      </w:pPr>
      <w:r w:rsidRPr="002001D1">
        <w:rPr>
          <w:rFonts w:ascii="Arial" w:hAnsi="Arial" w:cs="Arial"/>
          <w:szCs w:val="22"/>
        </w:rPr>
        <w:t>One practical implication here is that the comparison of abuse and separation needs to be anchored to outcomes that plausibly discriminate mechanisms: Physical abuse has stronger associations with PTSD symptoms and emotional dysregulation. This directly answers the research question by indicating that physical abuse exerts a more direct effect on mental health through trauma than separation of parents. In a broader perspective, outcome-sensitive synthesis upholds the practice of trauma-informed care by aligning screening with the plausible pathways, and cautions against inference that a smaller effect corresponds to trivial harm; it may represent an outcome being measured, or modelled, or an outcome itself (Song et al., 2024). Theme 2, which bridges Theme 1 and Theme 3, translates mechanism differences into outcome patterning and demonstrates how moderators can alter which outcomes are measured and when</w:t>
      </w:r>
      <w:r w:rsidR="007126D6" w:rsidRPr="00B526EA">
        <w:rPr>
          <w:rFonts w:ascii="Arial" w:hAnsi="Arial" w:cs="Arial"/>
          <w:szCs w:val="22"/>
        </w:rPr>
        <w:t>.</w:t>
      </w:r>
    </w:p>
    <w:p w14:paraId="393C35C9" w14:textId="60134D34" w:rsidR="007126D6" w:rsidRPr="00B526EA" w:rsidRDefault="007126D6" w:rsidP="00A20B12">
      <w:pPr>
        <w:pStyle w:val="Heading3"/>
        <w:rPr>
          <w:szCs w:val="22"/>
        </w:rPr>
      </w:pPr>
      <w:bookmarkStart w:id="45" w:name="_Toc220350542"/>
      <w:r w:rsidRPr="00B526EA">
        <w:rPr>
          <w:szCs w:val="22"/>
        </w:rPr>
        <w:t>4.</w:t>
      </w:r>
      <w:r w:rsidR="00357237" w:rsidRPr="00B526EA">
        <w:rPr>
          <w:szCs w:val="22"/>
        </w:rPr>
        <w:t xml:space="preserve">2.3. </w:t>
      </w:r>
      <w:r w:rsidRPr="00B526EA">
        <w:rPr>
          <w:szCs w:val="22"/>
        </w:rPr>
        <w:t>Theme 3: Contextual moderators shaping adversity–mental health associations in young adulthood</w:t>
      </w:r>
      <w:bookmarkEnd w:id="45"/>
    </w:p>
    <w:p w14:paraId="03277665" w14:textId="70E53BD6" w:rsidR="007126D6" w:rsidRPr="00B526EA" w:rsidRDefault="00F1115C" w:rsidP="00F1115C">
      <w:pPr>
        <w:spacing w:before="240" w:after="100" w:afterAutospacing="1"/>
        <w:jc w:val="both"/>
        <w:rPr>
          <w:rFonts w:ascii="Arial" w:hAnsi="Arial" w:cs="Arial"/>
          <w:szCs w:val="22"/>
        </w:rPr>
      </w:pPr>
      <w:r>
        <w:rPr>
          <w:rFonts w:ascii="Arial" w:hAnsi="Arial" w:cs="Arial"/>
          <w:szCs w:val="22"/>
        </w:rPr>
        <w:t xml:space="preserve">The themes focuses on the effect of moderators like ethnicity, timing and duration of exposure, socio economic status (SES) and gender affect the relationship between ACE and mentalh health outcomes in young adults. There is a difference between moderators and mediators. Mediators focus on how effect occur which moderator tells when it occurs and for whom. These differences are necessary to understand as unterventions which ignore moderators risk </w:t>
      </w:r>
      <w:r w:rsidR="007126D6" w:rsidRPr="00B526EA">
        <w:rPr>
          <w:rFonts w:ascii="Arial" w:hAnsi="Arial" w:cs="Arial"/>
          <w:szCs w:val="22"/>
        </w:rPr>
        <w:t>overgeneralising findings and misallocating resources</w:t>
      </w:r>
      <w:r w:rsidR="009840A1" w:rsidRPr="00B526EA">
        <w:rPr>
          <w:rFonts w:ascii="Arial" w:hAnsi="Arial" w:cs="Arial"/>
          <w:szCs w:val="22"/>
        </w:rPr>
        <w:t xml:space="preserve"> (MacKinnon and Luecken, 2008)</w:t>
      </w:r>
      <w:r w:rsidR="007126D6" w:rsidRPr="00B526EA">
        <w:rPr>
          <w:rFonts w:ascii="Arial" w:hAnsi="Arial" w:cs="Arial"/>
          <w:szCs w:val="22"/>
        </w:rPr>
        <w:t xml:space="preserve">. </w:t>
      </w:r>
    </w:p>
    <w:p w14:paraId="1BF5AD5A" w14:textId="77777777" w:rsidR="007126D6" w:rsidRPr="00B526EA" w:rsidRDefault="007126D6" w:rsidP="00A20B12">
      <w:pPr>
        <w:rPr>
          <w:b/>
          <w:bCs/>
          <w:szCs w:val="22"/>
        </w:rPr>
      </w:pPr>
      <w:r w:rsidRPr="00B526EA">
        <w:rPr>
          <w:b/>
          <w:bCs/>
          <w:szCs w:val="22"/>
        </w:rPr>
        <w:t>Historical and Contextual Background</w:t>
      </w:r>
    </w:p>
    <w:p w14:paraId="3B081311" w14:textId="2F72DF52" w:rsidR="007126D6" w:rsidRPr="00B526EA" w:rsidRDefault="00185A5B" w:rsidP="00F31E94">
      <w:pPr>
        <w:spacing w:before="240" w:after="100" w:afterAutospacing="1"/>
        <w:jc w:val="both"/>
        <w:rPr>
          <w:rFonts w:ascii="Arial" w:hAnsi="Arial" w:cs="Arial"/>
          <w:szCs w:val="22"/>
        </w:rPr>
      </w:pPr>
      <w:r w:rsidRPr="00185A5B">
        <w:rPr>
          <w:rFonts w:ascii="Arial" w:hAnsi="Arial" w:cs="Arial"/>
          <w:szCs w:val="22"/>
        </w:rPr>
        <w:t>At an early stage, ACE models viewed adversity as unconditionally toxic, quantified mostly by counts. Nevertheless, more recent longitudinal studies, particularly those conducted in the United Kingdom, including ALSPAC and the Millennium Cohort Study (Farooq et al., 2024; Lacey et al., 2020), indicate that context significantly moderates the psychological impact of adversity. ACE outcomes can differ across contrasting effects of co-occurring stressors, social protections, and life-course timing. An example is that in a low-conflict, stable parental separation, stress is relieved, but in poverty and continuous conflict, risk is intensified. Equally, the psychological impact of physical abuse depends on chronicity, support of disclosure, and gendered coping styles</w:t>
      </w:r>
      <w:r>
        <w:rPr>
          <w:rFonts w:ascii="Arial" w:hAnsi="Arial" w:cs="Arial"/>
          <w:szCs w:val="22"/>
        </w:rPr>
        <w:t xml:space="preserve"> </w:t>
      </w:r>
      <w:r w:rsidR="009F7E39" w:rsidRPr="00B526EA">
        <w:rPr>
          <w:rFonts w:ascii="Arial" w:hAnsi="Arial" w:cs="Arial"/>
          <w:szCs w:val="22"/>
        </w:rPr>
        <w:t xml:space="preserve">(Brock and Kochanska, 2016; Karhina </w:t>
      </w:r>
      <w:r w:rsidR="009F7E39" w:rsidRPr="00B526EA">
        <w:rPr>
          <w:rFonts w:ascii="Arial" w:hAnsi="Arial" w:cs="Arial"/>
          <w:i/>
          <w:iCs/>
          <w:szCs w:val="22"/>
        </w:rPr>
        <w:t>et al.</w:t>
      </w:r>
      <w:r w:rsidR="009F7E39" w:rsidRPr="00B526EA">
        <w:rPr>
          <w:rFonts w:ascii="Arial" w:hAnsi="Arial" w:cs="Arial"/>
          <w:szCs w:val="22"/>
        </w:rPr>
        <w:t>, 2023)</w:t>
      </w:r>
      <w:r w:rsidR="007126D6" w:rsidRPr="00B526EA">
        <w:rPr>
          <w:rFonts w:ascii="Arial" w:hAnsi="Arial" w:cs="Arial"/>
          <w:szCs w:val="22"/>
        </w:rPr>
        <w:t>.</w:t>
      </w:r>
    </w:p>
    <w:p w14:paraId="558E20A8" w14:textId="77777777" w:rsidR="007126D6" w:rsidRPr="00B526EA" w:rsidRDefault="007126D6" w:rsidP="00A20B12">
      <w:pPr>
        <w:rPr>
          <w:b/>
          <w:bCs/>
          <w:szCs w:val="22"/>
        </w:rPr>
      </w:pPr>
      <w:r w:rsidRPr="00B526EA">
        <w:rPr>
          <w:b/>
          <w:bCs/>
          <w:szCs w:val="22"/>
        </w:rPr>
        <w:t>Relevance to the Research Question</w:t>
      </w:r>
    </w:p>
    <w:p w14:paraId="2D434DB5" w14:textId="77777777" w:rsidR="00A94279" w:rsidRDefault="00A94279" w:rsidP="0077648B">
      <w:pPr>
        <w:spacing w:before="240"/>
        <w:jc w:val="both"/>
        <w:rPr>
          <w:rFonts w:ascii="Arial" w:hAnsi="Arial" w:cs="Arial"/>
          <w:szCs w:val="22"/>
        </w:rPr>
      </w:pPr>
      <w:r w:rsidRPr="00A94279">
        <w:rPr>
          <w:rFonts w:ascii="Arial" w:hAnsi="Arial" w:cs="Arial"/>
          <w:szCs w:val="22"/>
        </w:rPr>
        <w:t>The physical abuse and parental separation addressed in the dissertation require a contextual analysis as both ACEs are rooted in family, economic, service systems. In the case of physical abuse, contextual moderators (parental mental illness, cultural beliefs regarding discipline, access to support) define whether the experience will result in post-traumatic stress or be minimised and unaddressed (Brock and Kochanska, 2016; Karhina et al., 2023). In the case of separation, SES and conflict exposure determine whether it is a stabilising or destabilising event. Learning these moderators helps to fulfill Objective 3 that indicates the social and developmental circumstances in which adversity predicts poorer outcomes.</w:t>
      </w:r>
    </w:p>
    <w:p w14:paraId="1440FE36" w14:textId="433D99D5" w:rsidR="007126D6" w:rsidRPr="00B526EA" w:rsidRDefault="007126D6" w:rsidP="0077648B">
      <w:pPr>
        <w:spacing w:before="240"/>
        <w:jc w:val="both"/>
        <w:rPr>
          <w:b/>
          <w:bCs/>
          <w:szCs w:val="22"/>
        </w:rPr>
      </w:pPr>
      <w:r w:rsidRPr="00B526EA">
        <w:rPr>
          <w:b/>
          <w:bCs/>
          <w:szCs w:val="22"/>
        </w:rPr>
        <w:t>Socio-economic and Structural Moderators</w:t>
      </w:r>
    </w:p>
    <w:p w14:paraId="5E72D163" w14:textId="77777777" w:rsidR="0077648B" w:rsidRDefault="0077648B" w:rsidP="00F31E94">
      <w:pPr>
        <w:spacing w:before="240" w:after="100" w:afterAutospacing="1"/>
        <w:jc w:val="both"/>
        <w:rPr>
          <w:rFonts w:ascii="Arial" w:hAnsi="Arial" w:cs="Arial"/>
          <w:szCs w:val="22"/>
        </w:rPr>
      </w:pPr>
      <w:r w:rsidRPr="0077648B">
        <w:rPr>
          <w:rFonts w:ascii="Arial" w:hAnsi="Arial" w:cs="Arial"/>
          <w:szCs w:val="22"/>
        </w:rPr>
        <w:t>SES is one of the most reliable moderators. Lacey et al. (2020) demonstrate that poverty is a predictor of high-adversity latent classes that include parental separation and maternal mental health issues, whereas more well-off families are under-represented in them. This observation re-defines separation as not a homogenous exposure but a proxy of structural strain. In parallel, Straatmann et al. (2020) discovered that even post-ACEs only 1319% of socio-economic disparity in adolescent behavioural and cognitive outcomes was clarified by ACEs. The deprivation is, therefore, a precursor and increments of exposure risk and enhances its effects in terms of scarcity of resources and barriers to services.</w:t>
      </w:r>
    </w:p>
    <w:p w14:paraId="6DD485CD" w14:textId="4EC7B4E0" w:rsidR="007126D6" w:rsidRPr="00B526EA" w:rsidRDefault="007126D6" w:rsidP="00F31E94">
      <w:pPr>
        <w:spacing w:before="240" w:after="100" w:afterAutospacing="1"/>
        <w:jc w:val="both"/>
        <w:rPr>
          <w:rFonts w:ascii="Arial" w:hAnsi="Arial" w:cs="Arial"/>
          <w:szCs w:val="22"/>
        </w:rPr>
      </w:pPr>
      <w:r w:rsidRPr="00B526EA">
        <w:rPr>
          <w:rFonts w:ascii="Arial" w:hAnsi="Arial" w:cs="Arial"/>
          <w:szCs w:val="22"/>
        </w:rPr>
        <w:t>SES also moderates through differential access to recovery supports. Young adults from disadvantaged backgrounds encounter longer waiting times, reduced referral continuity, and higher thresholds for specialist care. In this sense, context</w:t>
      </w:r>
      <w:r w:rsidR="00C00E28" w:rsidRPr="00B526EA">
        <w:rPr>
          <w:rFonts w:ascii="Arial" w:hAnsi="Arial" w:cs="Arial"/>
          <w:szCs w:val="22"/>
        </w:rPr>
        <w:t xml:space="preserve"> </w:t>
      </w:r>
      <w:r w:rsidRPr="00B526EA">
        <w:rPr>
          <w:rFonts w:ascii="Arial" w:hAnsi="Arial" w:cs="Arial"/>
          <w:szCs w:val="22"/>
        </w:rPr>
        <w:t>extends beyond family structure to institutional accessibility</w:t>
      </w:r>
      <w:r w:rsidR="00C00E28" w:rsidRPr="00B526EA">
        <w:rPr>
          <w:rFonts w:ascii="Arial" w:hAnsi="Arial" w:cs="Arial"/>
          <w:szCs w:val="22"/>
        </w:rPr>
        <w:t xml:space="preserve"> (Fluck </w:t>
      </w:r>
      <w:r w:rsidR="00C00E28" w:rsidRPr="00B526EA">
        <w:rPr>
          <w:rFonts w:ascii="Arial" w:hAnsi="Arial" w:cs="Arial"/>
          <w:i/>
          <w:iCs/>
          <w:szCs w:val="22"/>
        </w:rPr>
        <w:t>et al.</w:t>
      </w:r>
      <w:r w:rsidR="00C00E28" w:rsidRPr="00B526EA">
        <w:rPr>
          <w:rFonts w:ascii="Arial" w:hAnsi="Arial" w:cs="Arial"/>
          <w:szCs w:val="22"/>
        </w:rPr>
        <w:t>, 2025)</w:t>
      </w:r>
      <w:r w:rsidRPr="00B526EA">
        <w:rPr>
          <w:rFonts w:ascii="Arial" w:hAnsi="Arial" w:cs="Arial"/>
          <w:szCs w:val="22"/>
        </w:rPr>
        <w:t>.</w:t>
      </w:r>
    </w:p>
    <w:p w14:paraId="4A67FCBB" w14:textId="111B1020" w:rsidR="00F451A8" w:rsidRPr="00B526EA" w:rsidRDefault="00F451A8" w:rsidP="00F31E94">
      <w:pPr>
        <w:spacing w:before="240" w:after="100" w:afterAutospacing="1"/>
        <w:jc w:val="both"/>
        <w:rPr>
          <w:rFonts w:ascii="Arial" w:hAnsi="Arial" w:cs="Arial"/>
          <w:szCs w:val="22"/>
        </w:rPr>
      </w:pPr>
      <w:r w:rsidRPr="00B526EA">
        <w:rPr>
          <w:rFonts w:ascii="Arial" w:hAnsi="Arial" w:cs="Arial"/>
          <w:szCs w:val="22"/>
        </w:rPr>
        <w:t>The table summarises poverty, education access, and housing instability can modify ACE-related mental health risk and shows how ignoring these factors can lead to biased causal interpretations.</w:t>
      </w:r>
    </w:p>
    <w:p w14:paraId="795962FF" w14:textId="16DD10FE" w:rsidR="00F451A8" w:rsidRPr="00B526EA" w:rsidRDefault="00F451A8" w:rsidP="00F31E94">
      <w:pPr>
        <w:pStyle w:val="Caption"/>
        <w:keepNext/>
        <w:spacing w:before="240" w:line="360" w:lineRule="auto"/>
        <w:jc w:val="both"/>
        <w:rPr>
          <w:rFonts w:ascii="Arial" w:hAnsi="Arial" w:cs="Arial"/>
        </w:rPr>
      </w:pPr>
      <w:bookmarkStart w:id="46" w:name="_Toc219221914"/>
      <w:r w:rsidRPr="00B526EA">
        <w:rPr>
          <w:rFonts w:ascii="Arial" w:hAnsi="Arial" w:cs="Arial"/>
        </w:rPr>
        <w:t xml:space="preserve">Table </w:t>
      </w:r>
      <w:r w:rsidRPr="00B526EA">
        <w:rPr>
          <w:rFonts w:ascii="Arial" w:hAnsi="Arial" w:cs="Arial"/>
        </w:rPr>
        <w:fldChar w:fldCharType="begin"/>
      </w:r>
      <w:r w:rsidRPr="00B526EA">
        <w:rPr>
          <w:rFonts w:ascii="Arial" w:hAnsi="Arial" w:cs="Arial"/>
        </w:rPr>
        <w:instrText xml:space="preserve"> SEQ Table \* ARABIC </w:instrText>
      </w:r>
      <w:r w:rsidRPr="00B526EA">
        <w:rPr>
          <w:rFonts w:ascii="Arial" w:hAnsi="Arial" w:cs="Arial"/>
        </w:rPr>
        <w:fldChar w:fldCharType="separate"/>
      </w:r>
      <w:r w:rsidRPr="00B526EA">
        <w:rPr>
          <w:rFonts w:ascii="Arial" w:hAnsi="Arial" w:cs="Arial"/>
          <w:noProof/>
        </w:rPr>
        <w:t>5</w:t>
      </w:r>
      <w:r w:rsidRPr="00B526EA">
        <w:rPr>
          <w:rFonts w:ascii="Arial" w:hAnsi="Arial" w:cs="Arial"/>
        </w:rPr>
        <w:fldChar w:fldCharType="end"/>
      </w:r>
      <w:r w:rsidRPr="00B526EA">
        <w:rPr>
          <w:rFonts w:ascii="Arial" w:hAnsi="Arial" w:cs="Arial"/>
        </w:rPr>
        <w:t>: Key structural moderators and potential interpretive distortions in ACE–mental health research</w:t>
      </w:r>
      <w:r w:rsidR="00A9739D" w:rsidRPr="00B526EA">
        <w:rPr>
          <w:rFonts w:ascii="Arial" w:hAnsi="Arial" w:cs="Arial"/>
        </w:rPr>
        <w:t xml:space="preserve"> (Fisher </w:t>
      </w:r>
      <w:r w:rsidR="00A9739D" w:rsidRPr="00B526EA">
        <w:rPr>
          <w:rFonts w:ascii="Arial" w:hAnsi="Arial" w:cs="Arial"/>
          <w:i w:val="0"/>
          <w:iCs w:val="0"/>
        </w:rPr>
        <w:t>et al.</w:t>
      </w:r>
      <w:r w:rsidR="00A9739D" w:rsidRPr="00B526EA">
        <w:rPr>
          <w:rFonts w:ascii="Arial" w:hAnsi="Arial" w:cs="Arial"/>
        </w:rPr>
        <w:t xml:space="preserve">, 2020; Karhina </w:t>
      </w:r>
      <w:r w:rsidR="00A9739D" w:rsidRPr="00B526EA">
        <w:rPr>
          <w:rFonts w:ascii="Arial" w:hAnsi="Arial" w:cs="Arial"/>
          <w:i w:val="0"/>
          <w:iCs w:val="0"/>
        </w:rPr>
        <w:t>et al.</w:t>
      </w:r>
      <w:r w:rsidR="00A9739D" w:rsidRPr="00B526EA">
        <w:rPr>
          <w:rFonts w:ascii="Arial" w:hAnsi="Arial" w:cs="Arial"/>
        </w:rPr>
        <w:t xml:space="preserve">, 2023; Lacey </w:t>
      </w:r>
      <w:r w:rsidR="00A9739D" w:rsidRPr="00B526EA">
        <w:rPr>
          <w:rFonts w:ascii="Arial" w:hAnsi="Arial" w:cs="Arial"/>
          <w:i w:val="0"/>
          <w:iCs w:val="0"/>
        </w:rPr>
        <w:t>et al.</w:t>
      </w:r>
      <w:r w:rsidR="00A9739D" w:rsidRPr="00B526EA">
        <w:rPr>
          <w:rFonts w:ascii="Arial" w:hAnsi="Arial" w:cs="Arial"/>
        </w:rPr>
        <w:t>, 2020)</w:t>
      </w:r>
      <w:bookmarkEnd w:id="46"/>
    </w:p>
    <w:tbl>
      <w:tblPr>
        <w:tblStyle w:val="TableGrid"/>
        <w:tblW w:w="0" w:type="auto"/>
        <w:tblLook w:val="04A0" w:firstRow="1" w:lastRow="0" w:firstColumn="1" w:lastColumn="0" w:noHBand="0" w:noVBand="1"/>
      </w:tblPr>
      <w:tblGrid>
        <w:gridCol w:w="1741"/>
        <w:gridCol w:w="3569"/>
        <w:gridCol w:w="3706"/>
      </w:tblGrid>
      <w:tr w:rsidR="007126D6" w:rsidRPr="00B526EA" w14:paraId="775F98DF" w14:textId="77777777" w:rsidTr="00F451A8">
        <w:tc>
          <w:tcPr>
            <w:tcW w:w="0" w:type="auto"/>
            <w:hideMark/>
          </w:tcPr>
          <w:p w14:paraId="50D3ECB8" w14:textId="77777777" w:rsidR="007126D6" w:rsidRPr="00B526EA" w:rsidRDefault="007126D6" w:rsidP="00F31E94">
            <w:pPr>
              <w:spacing w:before="240"/>
              <w:jc w:val="both"/>
              <w:rPr>
                <w:rFonts w:ascii="Arial" w:hAnsi="Arial" w:cs="Arial"/>
                <w:b/>
                <w:bCs/>
                <w:szCs w:val="22"/>
              </w:rPr>
            </w:pPr>
            <w:r w:rsidRPr="00B526EA">
              <w:rPr>
                <w:rFonts w:ascii="Arial" w:hAnsi="Arial" w:cs="Arial"/>
                <w:b/>
                <w:bCs/>
                <w:szCs w:val="22"/>
              </w:rPr>
              <w:t>Moderator</w:t>
            </w:r>
          </w:p>
        </w:tc>
        <w:tc>
          <w:tcPr>
            <w:tcW w:w="0" w:type="auto"/>
            <w:hideMark/>
          </w:tcPr>
          <w:p w14:paraId="6D2D3558" w14:textId="77777777" w:rsidR="007126D6" w:rsidRPr="00B526EA" w:rsidRDefault="007126D6" w:rsidP="00F31E94">
            <w:pPr>
              <w:spacing w:before="240"/>
              <w:jc w:val="both"/>
              <w:rPr>
                <w:rFonts w:ascii="Arial" w:hAnsi="Arial" w:cs="Arial"/>
                <w:b/>
                <w:bCs/>
                <w:szCs w:val="22"/>
              </w:rPr>
            </w:pPr>
            <w:r w:rsidRPr="00B526EA">
              <w:rPr>
                <w:rFonts w:ascii="Arial" w:hAnsi="Arial" w:cs="Arial"/>
                <w:b/>
                <w:bCs/>
                <w:szCs w:val="22"/>
              </w:rPr>
              <w:t>Mechanism of influence</w:t>
            </w:r>
          </w:p>
        </w:tc>
        <w:tc>
          <w:tcPr>
            <w:tcW w:w="0" w:type="auto"/>
            <w:hideMark/>
          </w:tcPr>
          <w:p w14:paraId="7A645D63" w14:textId="77777777" w:rsidR="007126D6" w:rsidRPr="00B526EA" w:rsidRDefault="007126D6" w:rsidP="00F31E94">
            <w:pPr>
              <w:spacing w:before="240"/>
              <w:jc w:val="both"/>
              <w:rPr>
                <w:rFonts w:ascii="Arial" w:hAnsi="Arial" w:cs="Arial"/>
                <w:b/>
                <w:bCs/>
                <w:szCs w:val="22"/>
              </w:rPr>
            </w:pPr>
            <w:r w:rsidRPr="00B526EA">
              <w:rPr>
                <w:rFonts w:ascii="Arial" w:hAnsi="Arial" w:cs="Arial"/>
                <w:b/>
                <w:bCs/>
                <w:szCs w:val="22"/>
              </w:rPr>
              <w:t>Example of distortion if ignored</w:t>
            </w:r>
          </w:p>
        </w:tc>
      </w:tr>
      <w:tr w:rsidR="007126D6" w:rsidRPr="00B526EA" w14:paraId="561B9CE6" w14:textId="77777777" w:rsidTr="00F451A8">
        <w:tc>
          <w:tcPr>
            <w:tcW w:w="0" w:type="auto"/>
            <w:hideMark/>
          </w:tcPr>
          <w:p w14:paraId="2978913C"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Poverty / low SES</w:t>
            </w:r>
          </w:p>
        </w:tc>
        <w:tc>
          <w:tcPr>
            <w:tcW w:w="0" w:type="auto"/>
            <w:hideMark/>
          </w:tcPr>
          <w:p w14:paraId="116865C5"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Increases exposure clustering, restricts buffers</w:t>
            </w:r>
          </w:p>
        </w:tc>
        <w:tc>
          <w:tcPr>
            <w:tcW w:w="0" w:type="auto"/>
            <w:hideMark/>
          </w:tcPr>
          <w:p w14:paraId="6D14E82B" w14:textId="46CB12CF" w:rsidR="007126D6" w:rsidRPr="00B526EA" w:rsidRDefault="007126D6" w:rsidP="00F31E94">
            <w:pPr>
              <w:spacing w:before="240"/>
              <w:jc w:val="both"/>
              <w:rPr>
                <w:rFonts w:ascii="Arial" w:hAnsi="Arial" w:cs="Arial"/>
                <w:szCs w:val="22"/>
              </w:rPr>
            </w:pPr>
            <w:r w:rsidRPr="00B526EA">
              <w:rPr>
                <w:rFonts w:ascii="Arial" w:hAnsi="Arial" w:cs="Arial"/>
                <w:szCs w:val="22"/>
              </w:rPr>
              <w:t xml:space="preserve">Overestimation of </w:t>
            </w:r>
            <w:r w:rsidR="00F451A8" w:rsidRPr="00B526EA">
              <w:rPr>
                <w:rFonts w:ascii="Arial" w:hAnsi="Arial" w:cs="Arial"/>
                <w:szCs w:val="22"/>
              </w:rPr>
              <w:t xml:space="preserve"> </w:t>
            </w:r>
            <w:r w:rsidRPr="00B526EA">
              <w:rPr>
                <w:rFonts w:ascii="Arial" w:hAnsi="Arial" w:cs="Arial"/>
                <w:szCs w:val="22"/>
              </w:rPr>
              <w:t>family dysfunction as cause</w:t>
            </w:r>
          </w:p>
        </w:tc>
      </w:tr>
      <w:tr w:rsidR="007126D6" w:rsidRPr="00B526EA" w14:paraId="05627CBC" w14:textId="77777777" w:rsidTr="00F451A8">
        <w:tc>
          <w:tcPr>
            <w:tcW w:w="0" w:type="auto"/>
            <w:hideMark/>
          </w:tcPr>
          <w:p w14:paraId="7C5F1751"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Education access</w:t>
            </w:r>
          </w:p>
        </w:tc>
        <w:tc>
          <w:tcPr>
            <w:tcW w:w="0" w:type="auto"/>
            <w:hideMark/>
          </w:tcPr>
          <w:p w14:paraId="670E709D"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Affects coping and help-seeking efficacy</w:t>
            </w:r>
          </w:p>
        </w:tc>
        <w:tc>
          <w:tcPr>
            <w:tcW w:w="0" w:type="auto"/>
            <w:hideMark/>
          </w:tcPr>
          <w:p w14:paraId="30033058"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Underestimation of long-term resilience</w:t>
            </w:r>
          </w:p>
        </w:tc>
      </w:tr>
      <w:tr w:rsidR="007126D6" w:rsidRPr="00B526EA" w14:paraId="309CD929" w14:textId="77777777" w:rsidTr="00F451A8">
        <w:tc>
          <w:tcPr>
            <w:tcW w:w="0" w:type="auto"/>
            <w:hideMark/>
          </w:tcPr>
          <w:p w14:paraId="2E57E6D4"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Housing instability</w:t>
            </w:r>
          </w:p>
        </w:tc>
        <w:tc>
          <w:tcPr>
            <w:tcW w:w="0" w:type="auto"/>
            <w:hideMark/>
          </w:tcPr>
          <w:p w14:paraId="7D3F2522"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Extends stress post-adversity</w:t>
            </w:r>
          </w:p>
        </w:tc>
        <w:tc>
          <w:tcPr>
            <w:tcW w:w="0" w:type="auto"/>
            <w:hideMark/>
          </w:tcPr>
          <w:p w14:paraId="7A808C8C" w14:textId="77777777" w:rsidR="007126D6" w:rsidRPr="00B526EA" w:rsidRDefault="007126D6" w:rsidP="00F31E94">
            <w:pPr>
              <w:spacing w:before="240"/>
              <w:jc w:val="both"/>
              <w:rPr>
                <w:rFonts w:ascii="Arial" w:hAnsi="Arial" w:cs="Arial"/>
                <w:szCs w:val="22"/>
              </w:rPr>
            </w:pPr>
            <w:r w:rsidRPr="00B526EA">
              <w:rPr>
                <w:rFonts w:ascii="Arial" w:hAnsi="Arial" w:cs="Arial"/>
                <w:szCs w:val="22"/>
              </w:rPr>
              <w:t>Misclassification as new adversity episode</w:t>
            </w:r>
          </w:p>
        </w:tc>
      </w:tr>
    </w:tbl>
    <w:p w14:paraId="2066AD3F" w14:textId="6DEEABBE" w:rsidR="007126D6" w:rsidRPr="00B526EA" w:rsidRDefault="007126D6" w:rsidP="00F31E94">
      <w:pPr>
        <w:spacing w:before="240"/>
        <w:jc w:val="both"/>
        <w:rPr>
          <w:rFonts w:ascii="Arial" w:hAnsi="Arial" w:cs="Arial"/>
          <w:szCs w:val="22"/>
        </w:rPr>
      </w:pPr>
    </w:p>
    <w:p w14:paraId="1E111E7C" w14:textId="77777777" w:rsidR="007126D6" w:rsidRPr="00B526EA" w:rsidRDefault="007126D6" w:rsidP="00A20B12">
      <w:pPr>
        <w:rPr>
          <w:b/>
          <w:bCs/>
          <w:szCs w:val="22"/>
        </w:rPr>
      </w:pPr>
      <w:r w:rsidRPr="00B526EA">
        <w:rPr>
          <w:b/>
          <w:bCs/>
          <w:szCs w:val="22"/>
        </w:rPr>
        <w:t>Developmental Timing and Duration</w:t>
      </w:r>
    </w:p>
    <w:p w14:paraId="4637F092" w14:textId="77777777" w:rsidR="00237254" w:rsidRDefault="00237254" w:rsidP="008F1E80">
      <w:pPr>
        <w:spacing w:after="100" w:afterAutospacing="1"/>
        <w:jc w:val="both"/>
        <w:rPr>
          <w:rFonts w:ascii="Arial" w:hAnsi="Arial" w:cs="Arial"/>
          <w:szCs w:val="22"/>
        </w:rPr>
      </w:pPr>
      <w:r w:rsidRPr="00237254">
        <w:rPr>
          <w:rFonts w:ascii="Arial" w:hAnsi="Arial" w:cs="Arial"/>
          <w:szCs w:val="22"/>
        </w:rPr>
        <w:t>Farooq et al. (2024; 2025) showed that associations between ACEs and young-adult outcomes are strongly modified by timing and persistence. The odds of co-occurring self-harm and depression were higher in response to prolonged exposure to parental mental health problems, but not to transient exposure. Early childhood maltreatment yielded long-term depressive symptoms, whereas mid-childhood exposure was predictive of self-harm. This means that misfortune is a developmental magnifier, reshaping regulatory systems at sensitive stages.</w:t>
      </w:r>
    </w:p>
    <w:p w14:paraId="3B2EF791" w14:textId="50A788CD" w:rsidR="007126D6" w:rsidRPr="00B526EA" w:rsidRDefault="007126D6" w:rsidP="008F1E80">
      <w:pPr>
        <w:spacing w:after="100" w:afterAutospacing="1"/>
        <w:jc w:val="both"/>
        <w:rPr>
          <w:rFonts w:ascii="Arial" w:hAnsi="Arial" w:cs="Arial"/>
          <w:szCs w:val="22"/>
        </w:rPr>
      </w:pPr>
      <w:r w:rsidRPr="00B526EA">
        <w:rPr>
          <w:rFonts w:ascii="Arial" w:hAnsi="Arial" w:cs="Arial"/>
          <w:szCs w:val="22"/>
        </w:rPr>
        <w:t>The same principle applies to separation. Early, one-off separations may be less harmful than repeated transitions across caregivers. Long-term instability, rather than the legal event of separation, drives cumulative stress. Thus, interventions targeting parental separation must distinguish between early instability and late conflict resolution; both fit the ACE checklist, but only one predicts persistent distress</w:t>
      </w:r>
      <w:r w:rsidR="00D3564E" w:rsidRPr="00B526EA">
        <w:rPr>
          <w:rFonts w:ascii="Arial" w:hAnsi="Arial" w:cs="Arial"/>
          <w:szCs w:val="22"/>
        </w:rPr>
        <w:t xml:space="preserve"> (Briggs-Gowan </w:t>
      </w:r>
      <w:r w:rsidR="00D3564E" w:rsidRPr="00B526EA">
        <w:rPr>
          <w:rFonts w:ascii="Arial" w:hAnsi="Arial" w:cs="Arial"/>
          <w:i/>
          <w:iCs/>
          <w:szCs w:val="22"/>
        </w:rPr>
        <w:t>et al.</w:t>
      </w:r>
      <w:r w:rsidR="00D3564E" w:rsidRPr="00B526EA">
        <w:rPr>
          <w:rFonts w:ascii="Arial" w:hAnsi="Arial" w:cs="Arial"/>
          <w:szCs w:val="22"/>
        </w:rPr>
        <w:t>, 2019)</w:t>
      </w:r>
      <w:r w:rsidRPr="00B526EA">
        <w:rPr>
          <w:rFonts w:ascii="Arial" w:hAnsi="Arial" w:cs="Arial"/>
          <w:szCs w:val="22"/>
        </w:rPr>
        <w:t>.</w:t>
      </w:r>
    </w:p>
    <w:p w14:paraId="7FEC54BF" w14:textId="77777777" w:rsidR="007126D6" w:rsidRDefault="007126D6" w:rsidP="008F1E80">
      <w:pPr>
        <w:jc w:val="both"/>
        <w:rPr>
          <w:b/>
          <w:bCs/>
          <w:szCs w:val="22"/>
        </w:rPr>
      </w:pPr>
      <w:r w:rsidRPr="00B526EA">
        <w:rPr>
          <w:b/>
          <w:bCs/>
          <w:szCs w:val="22"/>
        </w:rPr>
        <w:t>Co-occurrence and Intersectionality</w:t>
      </w:r>
    </w:p>
    <w:p w14:paraId="2B7C354A" w14:textId="33E38CA8" w:rsidR="008F1E80" w:rsidRPr="008F1E80" w:rsidRDefault="008F1E80" w:rsidP="008F1E80">
      <w:pPr>
        <w:jc w:val="both"/>
        <w:rPr>
          <w:szCs w:val="22"/>
        </w:rPr>
      </w:pPr>
      <w:r w:rsidRPr="008F1E80">
        <w:rPr>
          <w:szCs w:val="22"/>
        </w:rPr>
        <w:t>Adversities rarely occur in isolation. Agrawal et al. (2024) observed that a combination of parental mental illness and sexual abuse predicted greater mental illness risk than either ACE. Lacey et al. (2020) found that separation, parental mental health, and poverty were overlapping clusters, which is evidence that co-occurrence is not a random event but patterned structurally. In young adulthood, such intersectional clustering further increases vulnerability in mutually reinforcing ways: economic stress compromises emotion regulation, leading to increased reactivity to interpersonal conflict, which perpetuates distress cycles.</w:t>
      </w:r>
    </w:p>
    <w:p w14:paraId="40E15DC0" w14:textId="57152236" w:rsidR="008F1E80" w:rsidRPr="008F1E80" w:rsidRDefault="008F1E80" w:rsidP="0043627B">
      <w:pPr>
        <w:spacing w:after="240"/>
        <w:jc w:val="both"/>
        <w:rPr>
          <w:szCs w:val="22"/>
        </w:rPr>
      </w:pPr>
      <w:r w:rsidRPr="008F1E80">
        <w:rPr>
          <w:szCs w:val="22"/>
        </w:rPr>
        <w:t>In addition, gender and ethnicity overlap with exposure types. The reviewed studies did not contain specific intersectional analysis, but related UK evidence indicates that young women tend to internalise stress by being depressed and self-harming, but young men exhibit the externalising or avoidance behaviours (BBC, 2016). This facilitates models of differential vulnerability: the identical ACE can have different manifestations across gendered emotion socialisation and cultural expectations of help-seeking.</w:t>
      </w:r>
    </w:p>
    <w:p w14:paraId="74BD54BD" w14:textId="77777777" w:rsidR="007126D6" w:rsidRPr="00B526EA" w:rsidRDefault="007126D6" w:rsidP="0043627B">
      <w:pPr>
        <w:spacing w:after="240"/>
        <w:jc w:val="both"/>
        <w:rPr>
          <w:b/>
          <w:bCs/>
          <w:szCs w:val="22"/>
        </w:rPr>
      </w:pPr>
      <w:r w:rsidRPr="00B526EA">
        <w:rPr>
          <w:b/>
          <w:bCs/>
          <w:szCs w:val="22"/>
        </w:rPr>
        <w:t>Theoretical Frameworks and Policy Relevance</w:t>
      </w:r>
    </w:p>
    <w:p w14:paraId="1E68DAFC" w14:textId="5F47DB88" w:rsidR="007126D6" w:rsidRPr="00B526EA" w:rsidRDefault="007126D6" w:rsidP="0043627B">
      <w:pPr>
        <w:spacing w:after="240"/>
        <w:jc w:val="both"/>
        <w:rPr>
          <w:rFonts w:ascii="Arial" w:hAnsi="Arial" w:cs="Arial"/>
          <w:szCs w:val="22"/>
        </w:rPr>
      </w:pPr>
      <w:r w:rsidRPr="00B526EA">
        <w:rPr>
          <w:rFonts w:ascii="Arial" w:hAnsi="Arial" w:cs="Arial"/>
          <w:szCs w:val="22"/>
        </w:rPr>
        <w:t xml:space="preserve">Two frameworks underpin contextual moderation: </w:t>
      </w:r>
      <w:r w:rsidRPr="00B526EA">
        <w:rPr>
          <w:rFonts w:ascii="Arial" w:hAnsi="Arial" w:cs="Arial"/>
          <w:b/>
          <w:bCs/>
          <w:szCs w:val="22"/>
        </w:rPr>
        <w:t>life-course developmental psychopathology</w:t>
      </w:r>
      <w:r w:rsidRPr="00B526EA">
        <w:rPr>
          <w:rFonts w:ascii="Arial" w:hAnsi="Arial" w:cs="Arial"/>
          <w:szCs w:val="22"/>
        </w:rPr>
        <w:t xml:space="preserve"> and </w:t>
      </w:r>
      <w:r w:rsidRPr="00B526EA">
        <w:rPr>
          <w:rFonts w:ascii="Arial" w:hAnsi="Arial" w:cs="Arial"/>
          <w:b/>
          <w:bCs/>
          <w:szCs w:val="22"/>
        </w:rPr>
        <w:t>ecological systems theory</w:t>
      </w:r>
      <w:r w:rsidRPr="00B526EA">
        <w:rPr>
          <w:rFonts w:ascii="Arial" w:hAnsi="Arial" w:cs="Arial"/>
          <w:szCs w:val="22"/>
        </w:rPr>
        <w:t>. The former conceptualises ACE impacts as unfolding through developmental stages, where timing and persistence matter more than exposure count (Farooq et al., 2025</w:t>
      </w:r>
      <w:r w:rsidR="00397913" w:rsidRPr="00B526EA">
        <w:rPr>
          <w:rFonts w:ascii="Arial" w:hAnsi="Arial" w:cs="Arial"/>
          <w:szCs w:val="22"/>
        </w:rPr>
        <w:t>; Maughan and Collishaw, 2015</w:t>
      </w:r>
      <w:r w:rsidRPr="00B526EA">
        <w:rPr>
          <w:rFonts w:ascii="Arial" w:hAnsi="Arial" w:cs="Arial"/>
          <w:szCs w:val="22"/>
        </w:rPr>
        <w:t xml:space="preserve">). The latter </w:t>
      </w:r>
      <w:r w:rsidR="001933B3" w:rsidRPr="00B526EA">
        <w:rPr>
          <w:rFonts w:ascii="Arial" w:hAnsi="Arial" w:cs="Arial"/>
          <w:szCs w:val="22"/>
        </w:rPr>
        <w:t>(Bronfenbrenner and Morris, 1998)</w:t>
      </w:r>
      <w:r w:rsidRPr="00B526EA">
        <w:rPr>
          <w:rFonts w:ascii="Arial" w:hAnsi="Arial" w:cs="Arial"/>
          <w:szCs w:val="22"/>
        </w:rPr>
        <w:t xml:space="preserve"> situates the child within nested systems</w:t>
      </w:r>
      <w:r w:rsidR="001933B3" w:rsidRPr="00B526EA">
        <w:rPr>
          <w:rFonts w:ascii="Arial" w:hAnsi="Arial" w:cs="Arial"/>
          <w:szCs w:val="22"/>
        </w:rPr>
        <w:t xml:space="preserve"> like </w:t>
      </w:r>
      <w:r w:rsidRPr="00B526EA">
        <w:rPr>
          <w:rFonts w:ascii="Arial" w:hAnsi="Arial" w:cs="Arial"/>
          <w:szCs w:val="22"/>
        </w:rPr>
        <w:t>family, community, policy</w:t>
      </w:r>
      <w:r w:rsidR="001933B3" w:rsidRPr="00B526EA">
        <w:rPr>
          <w:rFonts w:ascii="Arial" w:hAnsi="Arial" w:cs="Arial"/>
          <w:szCs w:val="22"/>
        </w:rPr>
        <w:t xml:space="preserve"> </w:t>
      </w:r>
      <w:r w:rsidRPr="00B526EA">
        <w:rPr>
          <w:rFonts w:ascii="Arial" w:hAnsi="Arial" w:cs="Arial"/>
          <w:szCs w:val="22"/>
        </w:rPr>
        <w:t>that interact dynamically. These frameworks converge on the idea that resilience or vulnerability is co-produced by environment, not intrinsic to the individual.</w:t>
      </w:r>
    </w:p>
    <w:p w14:paraId="434668CA" w14:textId="77777777" w:rsidR="00477BC7" w:rsidRPr="00B526EA" w:rsidRDefault="00477BC7" w:rsidP="002C220F">
      <w:pPr>
        <w:keepNext/>
        <w:spacing w:before="240" w:after="100" w:afterAutospacing="1"/>
        <w:jc w:val="center"/>
        <w:rPr>
          <w:rFonts w:ascii="Arial" w:hAnsi="Arial" w:cs="Arial"/>
          <w:szCs w:val="22"/>
        </w:rPr>
      </w:pPr>
      <w:r w:rsidRPr="00B526EA">
        <w:rPr>
          <w:rFonts w:ascii="Arial" w:hAnsi="Arial" w:cs="Arial"/>
          <w:szCs w:val="22"/>
        </w:rPr>
        <w:fldChar w:fldCharType="begin"/>
      </w:r>
      <w:r w:rsidRPr="00B526EA">
        <w:rPr>
          <w:rFonts w:ascii="Arial" w:hAnsi="Arial" w:cs="Arial"/>
          <w:szCs w:val="22"/>
        </w:rPr>
        <w:instrText xml:space="preserve"> INCLUDEPICTURE "https://www.simplypsychology.org/wp-content/uploads/Bronfenbrenner-Ecological-Systems-Theory.jpeg" \* MERGEFORMATINET </w:instrText>
      </w:r>
      <w:r w:rsidRPr="00B526EA">
        <w:rPr>
          <w:rFonts w:ascii="Arial" w:hAnsi="Arial" w:cs="Arial"/>
          <w:szCs w:val="22"/>
        </w:rPr>
        <w:fldChar w:fldCharType="separate"/>
      </w:r>
      <w:r w:rsidRPr="00B526EA">
        <w:rPr>
          <w:rFonts w:ascii="Arial" w:hAnsi="Arial" w:cs="Arial"/>
          <w:noProof/>
          <w:szCs w:val="22"/>
        </w:rPr>
        <w:drawing>
          <wp:inline distT="0" distB="0" distL="0" distR="0" wp14:anchorId="56C47691" wp14:editId="65EB1780">
            <wp:extent cx="3568173" cy="3568173"/>
            <wp:effectExtent l="0" t="0" r="635" b="635"/>
            <wp:docPr id="1017222659" name="Picture 1"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ronfenbrenner's Ecological Systems Theor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78782" cy="3578782"/>
                    </a:xfrm>
                    <a:prstGeom prst="rect">
                      <a:avLst/>
                    </a:prstGeom>
                    <a:noFill/>
                    <a:ln>
                      <a:noFill/>
                    </a:ln>
                  </pic:spPr>
                </pic:pic>
              </a:graphicData>
            </a:graphic>
          </wp:inline>
        </w:drawing>
      </w:r>
      <w:r w:rsidRPr="00B526EA">
        <w:rPr>
          <w:rFonts w:ascii="Arial" w:hAnsi="Arial" w:cs="Arial"/>
          <w:szCs w:val="22"/>
        </w:rPr>
        <w:fldChar w:fldCharType="end"/>
      </w:r>
    </w:p>
    <w:p w14:paraId="07EDDB78" w14:textId="448AA945" w:rsidR="00477BC7" w:rsidRPr="00B526EA" w:rsidRDefault="00477BC7" w:rsidP="002C220F">
      <w:pPr>
        <w:pStyle w:val="Caption"/>
        <w:spacing w:before="240" w:line="360" w:lineRule="auto"/>
        <w:jc w:val="center"/>
        <w:rPr>
          <w:rFonts w:ascii="Arial" w:hAnsi="Arial" w:cs="Arial"/>
        </w:rPr>
      </w:pPr>
      <w:bookmarkStart w:id="47" w:name="_Toc224468220"/>
      <w:r w:rsidRPr="00B526EA">
        <w:rPr>
          <w:rFonts w:ascii="Arial" w:hAnsi="Arial" w:cs="Arial"/>
        </w:rPr>
        <w:t xml:space="preserve">Figure </w:t>
      </w:r>
      <w:r w:rsidRPr="00B526EA">
        <w:rPr>
          <w:rFonts w:ascii="Arial" w:hAnsi="Arial" w:cs="Arial"/>
        </w:rPr>
        <w:fldChar w:fldCharType="begin"/>
      </w:r>
      <w:r w:rsidRPr="00B526EA">
        <w:rPr>
          <w:rFonts w:ascii="Arial" w:hAnsi="Arial" w:cs="Arial"/>
        </w:rPr>
        <w:instrText xml:space="preserve"> SEQ Figure \* ARABIC </w:instrText>
      </w:r>
      <w:r w:rsidRPr="00B526EA">
        <w:rPr>
          <w:rFonts w:ascii="Arial" w:hAnsi="Arial" w:cs="Arial"/>
        </w:rPr>
        <w:fldChar w:fldCharType="separate"/>
      </w:r>
      <w:r w:rsidR="00EF03D7">
        <w:rPr>
          <w:rFonts w:ascii="Arial" w:hAnsi="Arial" w:cs="Arial"/>
          <w:noProof/>
        </w:rPr>
        <w:t>4</w:t>
      </w:r>
      <w:r w:rsidRPr="00B526EA">
        <w:rPr>
          <w:rFonts w:ascii="Arial" w:hAnsi="Arial" w:cs="Arial"/>
        </w:rPr>
        <w:fldChar w:fldCharType="end"/>
      </w:r>
      <w:r w:rsidRPr="00B526EA">
        <w:rPr>
          <w:rFonts w:ascii="Arial" w:hAnsi="Arial" w:cs="Arial"/>
        </w:rPr>
        <w:t>: Bronfenbrenner’s Ecological Systems Theory</w:t>
      </w:r>
      <w:r w:rsidR="00690147" w:rsidRPr="00B526EA">
        <w:rPr>
          <w:rFonts w:ascii="Arial" w:hAnsi="Arial" w:cs="Arial"/>
        </w:rPr>
        <w:t xml:space="preserve"> (Guy-Evans, 2025)</w:t>
      </w:r>
      <w:bookmarkEnd w:id="47"/>
    </w:p>
    <w:p w14:paraId="6DCA2961" w14:textId="3B8F1F31" w:rsidR="007126D6" w:rsidRPr="00B526EA" w:rsidRDefault="0043627B" w:rsidP="00F31E94">
      <w:pPr>
        <w:spacing w:before="240" w:after="100" w:afterAutospacing="1"/>
        <w:jc w:val="both"/>
        <w:rPr>
          <w:rFonts w:ascii="Arial" w:hAnsi="Arial" w:cs="Arial"/>
          <w:szCs w:val="22"/>
        </w:rPr>
      </w:pPr>
      <w:r w:rsidRPr="0043627B">
        <w:rPr>
          <w:rFonts w:ascii="Arial" w:hAnsi="Arial" w:cs="Arial"/>
          <w:szCs w:val="22"/>
        </w:rPr>
        <w:t>UK trauma-informed policy does so in part by providing guidance that promotes contextual assessment, but practice continues to be based on checklists extensively. The NHS trauma-informed framework (2022) focuses on safety and collaboration without providing much guidance on socio-economic or structural moderators. Conversely, Nordic prevention models mentioned above in the dissertation correlate ACE alleviation with social protection and early family support and produce fewer symptomatology persistence in young adults (Moberg et al., 2025). This cross-national comparison highlights the importance of macro-policy contexts in moderating the effects of ACE as even individual coping</w:t>
      </w:r>
      <w:r w:rsidR="007126D6" w:rsidRPr="00B526EA">
        <w:rPr>
          <w:rFonts w:ascii="Arial" w:hAnsi="Arial" w:cs="Arial"/>
          <w:szCs w:val="22"/>
        </w:rPr>
        <w:t>.</w:t>
      </w:r>
    </w:p>
    <w:p w14:paraId="7FA25111" w14:textId="77777777" w:rsidR="007126D6" w:rsidRPr="00B526EA" w:rsidRDefault="007126D6" w:rsidP="00A20B12">
      <w:pPr>
        <w:rPr>
          <w:b/>
          <w:bCs/>
          <w:szCs w:val="22"/>
        </w:rPr>
      </w:pPr>
      <w:r w:rsidRPr="00B526EA">
        <w:rPr>
          <w:b/>
          <w:bCs/>
          <w:szCs w:val="22"/>
        </w:rPr>
        <w:t>Implications for Research and Practice</w:t>
      </w:r>
    </w:p>
    <w:p w14:paraId="110CE97F" w14:textId="5C2CAF26" w:rsidR="007126D6" w:rsidRPr="00B526EA" w:rsidRDefault="007126D6" w:rsidP="00F31E94">
      <w:pPr>
        <w:spacing w:before="240" w:after="100" w:afterAutospacing="1"/>
        <w:jc w:val="both"/>
        <w:rPr>
          <w:rFonts w:ascii="Arial" w:hAnsi="Arial" w:cs="Arial"/>
          <w:szCs w:val="22"/>
        </w:rPr>
      </w:pPr>
      <w:r w:rsidRPr="00B526EA">
        <w:rPr>
          <w:rFonts w:ascii="Arial" w:hAnsi="Arial" w:cs="Arial"/>
          <w:b/>
          <w:bCs/>
          <w:szCs w:val="22"/>
        </w:rPr>
        <w:t>Positive implications</w:t>
      </w:r>
      <w:r w:rsidRPr="00B526EA">
        <w:rPr>
          <w:rFonts w:ascii="Arial" w:hAnsi="Arial" w:cs="Arial"/>
          <w:szCs w:val="22"/>
        </w:rPr>
        <w:t xml:space="preserve"> include the recognition that risk is modifiable. If poverty, timing, and support access moderate outcomes, interventions can target these levers rather than accepting ACE effects as fixed. Early, sustained support for children experiencing separation or abuse could weaken long-term trajectories of self-harm and depression</w:t>
      </w:r>
      <w:r w:rsidR="0009726F" w:rsidRPr="00B526EA">
        <w:rPr>
          <w:rFonts w:ascii="Arial" w:hAnsi="Arial" w:cs="Arial"/>
          <w:szCs w:val="22"/>
        </w:rPr>
        <w:t xml:space="preserve"> (Norman </w:t>
      </w:r>
      <w:r w:rsidR="0009726F" w:rsidRPr="00B526EA">
        <w:rPr>
          <w:rFonts w:ascii="Arial" w:hAnsi="Arial" w:cs="Arial"/>
          <w:i/>
          <w:iCs/>
          <w:szCs w:val="22"/>
        </w:rPr>
        <w:t>et al.</w:t>
      </w:r>
      <w:r w:rsidR="0009726F" w:rsidRPr="00B526EA">
        <w:rPr>
          <w:rFonts w:ascii="Arial" w:hAnsi="Arial" w:cs="Arial"/>
          <w:szCs w:val="22"/>
        </w:rPr>
        <w:t xml:space="preserve">, 2012; Saunders </w:t>
      </w:r>
      <w:r w:rsidR="0009726F" w:rsidRPr="00B526EA">
        <w:rPr>
          <w:rFonts w:ascii="Arial" w:hAnsi="Arial" w:cs="Arial"/>
          <w:i/>
          <w:iCs/>
          <w:szCs w:val="22"/>
        </w:rPr>
        <w:t>et al.</w:t>
      </w:r>
      <w:r w:rsidR="0009726F" w:rsidRPr="00B526EA">
        <w:rPr>
          <w:rFonts w:ascii="Arial" w:hAnsi="Arial" w:cs="Arial"/>
          <w:szCs w:val="22"/>
        </w:rPr>
        <w:t>, 2023)</w:t>
      </w:r>
      <w:r w:rsidRPr="00B526EA">
        <w:rPr>
          <w:rFonts w:ascii="Arial" w:hAnsi="Arial" w:cs="Arial"/>
          <w:szCs w:val="22"/>
        </w:rPr>
        <w:t>.</w:t>
      </w:r>
    </w:p>
    <w:p w14:paraId="6F332615" w14:textId="73819FD3" w:rsidR="007126D6" w:rsidRPr="00B526EA" w:rsidRDefault="007126D6" w:rsidP="00F31E94">
      <w:pPr>
        <w:spacing w:before="240" w:after="100" w:afterAutospacing="1"/>
        <w:jc w:val="both"/>
        <w:rPr>
          <w:rFonts w:ascii="Arial" w:hAnsi="Arial" w:cs="Arial"/>
          <w:szCs w:val="22"/>
        </w:rPr>
      </w:pPr>
      <w:r w:rsidRPr="00B526EA">
        <w:rPr>
          <w:rFonts w:ascii="Arial" w:hAnsi="Arial" w:cs="Arial"/>
          <w:b/>
          <w:bCs/>
          <w:szCs w:val="22"/>
        </w:rPr>
        <w:t>Negative implications</w:t>
      </w:r>
      <w:r w:rsidRPr="00B526EA">
        <w:rPr>
          <w:rFonts w:ascii="Arial" w:hAnsi="Arial" w:cs="Arial"/>
          <w:szCs w:val="22"/>
        </w:rPr>
        <w:t xml:space="preserve"> arise when moderation is ignored. Studies that statistically control for SES and conflict under the assumption of confounding may erase the very mechanisms practitioners must address</w:t>
      </w:r>
      <w:r w:rsidR="00A273C6" w:rsidRPr="00B526EA">
        <w:rPr>
          <w:rFonts w:ascii="Arial" w:hAnsi="Arial" w:cs="Arial"/>
          <w:szCs w:val="22"/>
        </w:rPr>
        <w:t xml:space="preserve"> (Farooq </w:t>
      </w:r>
      <w:r w:rsidR="00A273C6" w:rsidRPr="00B526EA">
        <w:rPr>
          <w:rFonts w:ascii="Arial" w:hAnsi="Arial" w:cs="Arial"/>
          <w:i/>
          <w:iCs/>
          <w:szCs w:val="22"/>
        </w:rPr>
        <w:t>et al.</w:t>
      </w:r>
      <w:r w:rsidR="00A273C6" w:rsidRPr="00B526EA">
        <w:rPr>
          <w:rFonts w:ascii="Arial" w:hAnsi="Arial" w:cs="Arial"/>
          <w:szCs w:val="22"/>
        </w:rPr>
        <w:t>, 2024)</w:t>
      </w:r>
      <w:r w:rsidRPr="00B526EA">
        <w:rPr>
          <w:rFonts w:ascii="Arial" w:hAnsi="Arial" w:cs="Arial"/>
          <w:szCs w:val="22"/>
        </w:rPr>
        <w:t>. Similarly, universal trauma screening without contextual follow-up risks identifying distress without capacity to act on it. In policy design, failing to incorporate intersectional moderators can perpetuate inequality by applying the same model to groups with different barriers and cultural interpretations of trauma</w:t>
      </w:r>
      <w:r w:rsidR="00A273C6" w:rsidRPr="00B526EA">
        <w:rPr>
          <w:rFonts w:ascii="Arial" w:hAnsi="Arial" w:cs="Arial"/>
          <w:szCs w:val="22"/>
        </w:rPr>
        <w:t xml:space="preserve"> (Cruz </w:t>
      </w:r>
      <w:r w:rsidR="00A273C6" w:rsidRPr="00B526EA">
        <w:rPr>
          <w:rFonts w:ascii="Arial" w:hAnsi="Arial" w:cs="Arial"/>
          <w:i/>
          <w:iCs/>
          <w:szCs w:val="22"/>
        </w:rPr>
        <w:t>et al.</w:t>
      </w:r>
      <w:r w:rsidR="00A273C6" w:rsidRPr="00B526EA">
        <w:rPr>
          <w:rFonts w:ascii="Arial" w:hAnsi="Arial" w:cs="Arial"/>
          <w:szCs w:val="22"/>
        </w:rPr>
        <w:t>, 2022)</w:t>
      </w:r>
      <w:r w:rsidRPr="00B526EA">
        <w:rPr>
          <w:rFonts w:ascii="Arial" w:hAnsi="Arial" w:cs="Arial"/>
          <w:szCs w:val="22"/>
        </w:rPr>
        <w:t>.</w:t>
      </w:r>
    </w:p>
    <w:p w14:paraId="0598BEC6" w14:textId="77777777" w:rsidR="007126D6" w:rsidRPr="00B526EA" w:rsidRDefault="007126D6" w:rsidP="00A20B12">
      <w:pPr>
        <w:rPr>
          <w:b/>
          <w:bCs/>
          <w:szCs w:val="22"/>
        </w:rPr>
      </w:pPr>
      <w:r w:rsidRPr="00B526EA">
        <w:rPr>
          <w:b/>
          <w:bCs/>
          <w:szCs w:val="22"/>
        </w:rPr>
        <w:t>Connections to Other Themes</w:t>
      </w:r>
    </w:p>
    <w:p w14:paraId="4FDB6E06" w14:textId="66BB64D7" w:rsidR="007126D6" w:rsidRPr="00B526EA" w:rsidRDefault="00837B26" w:rsidP="00C363E8">
      <w:pPr>
        <w:spacing w:before="240" w:after="100" w:afterAutospacing="1"/>
        <w:jc w:val="both"/>
        <w:rPr>
          <w:rFonts w:ascii="Arial" w:hAnsi="Arial" w:cs="Arial"/>
          <w:szCs w:val="22"/>
        </w:rPr>
      </w:pPr>
      <w:r w:rsidRPr="00837B26">
        <w:rPr>
          <w:rFonts w:ascii="Arial" w:hAnsi="Arial" w:cs="Arial"/>
          <w:szCs w:val="22"/>
        </w:rPr>
        <w:t>Theme 3 and Theme 1 relate, in that contextual change may in part mediate differences in the strength of position of both physical abuse and parental separation: abuse is tend to be assessed at similar levels, whereas separation is wrapped by socio-economic variation. It is linked to Theme 2 because it describes the cause of effect size variations: situational moderators such as poverty, timing, support rework the patterns of the outcomes found across the studies</w:t>
      </w:r>
      <w:r w:rsidR="007126D6" w:rsidRPr="00B526EA">
        <w:rPr>
          <w:rFonts w:ascii="Arial" w:hAnsi="Arial" w:cs="Arial"/>
          <w:szCs w:val="22"/>
        </w:rPr>
        <w:t xml:space="preserve">. </w:t>
      </w:r>
    </w:p>
    <w:p w14:paraId="61153B08" w14:textId="56AE3E09" w:rsidR="00B72C1D" w:rsidRPr="00B526EA" w:rsidRDefault="00B72C1D" w:rsidP="00F31E94">
      <w:pPr>
        <w:pStyle w:val="Heading2"/>
        <w:spacing w:before="240"/>
        <w:jc w:val="both"/>
        <w:rPr>
          <w:rFonts w:ascii="Arial" w:hAnsi="Arial" w:cs="Arial"/>
          <w:sz w:val="22"/>
          <w:szCs w:val="22"/>
        </w:rPr>
      </w:pPr>
      <w:bookmarkStart w:id="48" w:name="_Toc220350543"/>
      <w:r w:rsidRPr="00B526EA">
        <w:rPr>
          <w:rFonts w:ascii="Arial" w:hAnsi="Arial" w:cs="Arial"/>
          <w:sz w:val="22"/>
          <w:szCs w:val="22"/>
        </w:rPr>
        <w:t>4.</w:t>
      </w:r>
      <w:r w:rsidR="00A20B12" w:rsidRPr="00B526EA">
        <w:rPr>
          <w:rFonts w:ascii="Arial" w:hAnsi="Arial" w:cs="Arial"/>
          <w:sz w:val="22"/>
          <w:szCs w:val="22"/>
        </w:rPr>
        <w:t>3.</w:t>
      </w:r>
      <w:r w:rsidRPr="00B526EA">
        <w:rPr>
          <w:rFonts w:ascii="Arial" w:hAnsi="Arial" w:cs="Arial"/>
          <w:sz w:val="22"/>
          <w:szCs w:val="22"/>
        </w:rPr>
        <w:t xml:space="preserve"> Chapter Conclusion</w:t>
      </w:r>
      <w:bookmarkEnd w:id="48"/>
      <w:r w:rsidRPr="00B526EA">
        <w:rPr>
          <w:rFonts w:ascii="Arial" w:hAnsi="Arial" w:cs="Arial"/>
          <w:sz w:val="22"/>
          <w:szCs w:val="22"/>
        </w:rPr>
        <w:t xml:space="preserve"> </w:t>
      </w:r>
    </w:p>
    <w:p w14:paraId="0686900E" w14:textId="42263692" w:rsidR="00B72C1D" w:rsidRPr="00B526EA" w:rsidRDefault="00680377" w:rsidP="00F31E94">
      <w:pPr>
        <w:spacing w:before="240"/>
        <w:jc w:val="both"/>
        <w:rPr>
          <w:szCs w:val="22"/>
        </w:rPr>
      </w:pPr>
      <w:r w:rsidRPr="00680377">
        <w:rPr>
          <w:szCs w:val="22"/>
        </w:rPr>
        <w:t>The chapter summarised the evidence of the literature reviewed to assess the association between the particular Adverse Childhood Experiences (ACEs) and mental health outcomes, specifically focusing on physical abuse and parental separation. This analysis indicated that these ACEs are not interchangeable exposures: they are likely to have different pathways of operation and are related to different mental health signals when outcomes and study designs are considered critically. Physical abuse was consistently more in keeping with threat-based processes and more general impairments in mental wellbeing across the evidence base, whereas parental separation demonstrated more conditional relationships, which differed by stressors and instability. The chapter also demonstrated that conclusions are highly influenced by outcome choice. Results varied with measures of depression and anxiety, trauma symptoms, self-harm, substance use or overall wellbeing and effect sizes varied with exposure measures, covariate control, and whether adversity was measured as individual items, clusters, or combinations</w:t>
      </w:r>
      <w:r w:rsidR="00B72C1D" w:rsidRPr="00B526EA">
        <w:rPr>
          <w:szCs w:val="22"/>
        </w:rPr>
        <w:t>. Finally, the chapter highlighted that contextual moderators</w:t>
      </w:r>
      <w:r w:rsidR="00C363E8">
        <w:rPr>
          <w:szCs w:val="22"/>
        </w:rPr>
        <w:t xml:space="preserve"> </w:t>
      </w:r>
      <w:r w:rsidR="00B72C1D" w:rsidRPr="00B526EA">
        <w:rPr>
          <w:szCs w:val="22"/>
        </w:rPr>
        <w:t>particularly socio-economic disadvantage, timing and duration of exposure, co-occurring adversities, and access to supportive services</w:t>
      </w:r>
      <w:r w:rsidR="00C363E8">
        <w:rPr>
          <w:szCs w:val="22"/>
        </w:rPr>
        <w:t xml:space="preserve"> </w:t>
      </w:r>
      <w:r w:rsidR="00B72C1D" w:rsidRPr="00B526EA">
        <w:rPr>
          <w:szCs w:val="22"/>
        </w:rPr>
        <w:t>substantially influence observed associations and therefore must be considered when translating evidence into practice.</w:t>
      </w:r>
    </w:p>
    <w:p w14:paraId="73511D02" w14:textId="23DA6A05" w:rsidR="00B72C1D" w:rsidRPr="00B526EA" w:rsidRDefault="00B72C1D" w:rsidP="00F31E94">
      <w:pPr>
        <w:spacing w:before="240"/>
        <w:jc w:val="both"/>
        <w:rPr>
          <w:szCs w:val="22"/>
        </w:rPr>
      </w:pPr>
      <w:r w:rsidRPr="00B526EA">
        <w:rPr>
          <w:szCs w:val="22"/>
        </w:rPr>
        <w:t>Chapter 5 will draw together these findings to evaluate the strengths and limitations of the evidence base and of this dissertation’s approach, and will present practice-focused recommendations and research priorities for trauma-informed screening and support for young adults in the UK.</w:t>
      </w:r>
    </w:p>
    <w:p w14:paraId="1B277AB3" w14:textId="77777777" w:rsidR="00996C1C" w:rsidRDefault="00996C1C" w:rsidP="00F31E94">
      <w:pPr>
        <w:spacing w:before="240"/>
        <w:jc w:val="both"/>
        <w:rPr>
          <w:rFonts w:ascii="Arial" w:hAnsi="Arial" w:cs="Arial"/>
          <w:szCs w:val="22"/>
        </w:rPr>
      </w:pPr>
    </w:p>
    <w:p w14:paraId="5AA108BC" w14:textId="77777777" w:rsidR="007F0BBA" w:rsidRDefault="007F0BBA" w:rsidP="00F31E94">
      <w:pPr>
        <w:spacing w:before="240"/>
        <w:jc w:val="both"/>
        <w:rPr>
          <w:rFonts w:ascii="Arial" w:hAnsi="Arial" w:cs="Arial"/>
          <w:szCs w:val="22"/>
        </w:rPr>
      </w:pPr>
    </w:p>
    <w:p w14:paraId="14231BA8" w14:textId="77777777" w:rsidR="007F0BBA" w:rsidRDefault="007F0BBA" w:rsidP="00F31E94">
      <w:pPr>
        <w:spacing w:before="240"/>
        <w:jc w:val="both"/>
        <w:rPr>
          <w:rFonts w:ascii="Arial" w:hAnsi="Arial" w:cs="Arial"/>
          <w:szCs w:val="22"/>
        </w:rPr>
      </w:pPr>
    </w:p>
    <w:p w14:paraId="2E243385" w14:textId="77777777" w:rsidR="007F0BBA" w:rsidRDefault="007F0BBA" w:rsidP="00F31E94">
      <w:pPr>
        <w:spacing w:before="240"/>
        <w:jc w:val="both"/>
        <w:rPr>
          <w:rFonts w:ascii="Arial" w:hAnsi="Arial" w:cs="Arial"/>
          <w:szCs w:val="22"/>
        </w:rPr>
      </w:pPr>
    </w:p>
    <w:p w14:paraId="4B54DE24" w14:textId="77777777" w:rsidR="007F0BBA" w:rsidRDefault="007F0BBA" w:rsidP="00F31E94">
      <w:pPr>
        <w:spacing w:before="240"/>
        <w:jc w:val="both"/>
        <w:rPr>
          <w:rFonts w:ascii="Arial" w:hAnsi="Arial" w:cs="Arial"/>
          <w:szCs w:val="22"/>
        </w:rPr>
      </w:pPr>
    </w:p>
    <w:p w14:paraId="7D0C6941" w14:textId="77777777" w:rsidR="007F0BBA" w:rsidRDefault="007F0BBA" w:rsidP="00F31E94">
      <w:pPr>
        <w:spacing w:before="240"/>
        <w:jc w:val="both"/>
        <w:rPr>
          <w:rFonts w:ascii="Arial" w:hAnsi="Arial" w:cs="Arial"/>
          <w:szCs w:val="22"/>
        </w:rPr>
      </w:pPr>
    </w:p>
    <w:p w14:paraId="33127829" w14:textId="77777777" w:rsidR="007F0BBA" w:rsidRDefault="007F0BBA" w:rsidP="00F31E94">
      <w:pPr>
        <w:spacing w:before="240"/>
        <w:jc w:val="both"/>
        <w:rPr>
          <w:rFonts w:ascii="Arial" w:hAnsi="Arial" w:cs="Arial"/>
          <w:szCs w:val="22"/>
        </w:rPr>
      </w:pPr>
    </w:p>
    <w:p w14:paraId="79B8E994" w14:textId="77777777" w:rsidR="007F0BBA" w:rsidRDefault="007F0BBA" w:rsidP="00F31E94">
      <w:pPr>
        <w:spacing w:before="240"/>
        <w:jc w:val="both"/>
        <w:rPr>
          <w:rFonts w:ascii="Arial" w:hAnsi="Arial" w:cs="Arial"/>
          <w:szCs w:val="22"/>
        </w:rPr>
      </w:pPr>
    </w:p>
    <w:p w14:paraId="257180AB" w14:textId="77777777" w:rsidR="007F0BBA" w:rsidRDefault="007F0BBA" w:rsidP="00F31E94">
      <w:pPr>
        <w:spacing w:before="240"/>
        <w:jc w:val="both"/>
        <w:rPr>
          <w:rFonts w:ascii="Arial" w:hAnsi="Arial" w:cs="Arial"/>
          <w:szCs w:val="22"/>
        </w:rPr>
      </w:pPr>
    </w:p>
    <w:p w14:paraId="009E9AF5" w14:textId="77777777" w:rsidR="007F0BBA" w:rsidRDefault="007F0BBA" w:rsidP="00F31E94">
      <w:pPr>
        <w:spacing w:before="240"/>
        <w:jc w:val="both"/>
        <w:rPr>
          <w:rFonts w:ascii="Arial" w:hAnsi="Arial" w:cs="Arial"/>
          <w:szCs w:val="22"/>
        </w:rPr>
      </w:pPr>
    </w:p>
    <w:p w14:paraId="3A681648" w14:textId="77777777" w:rsidR="007F0BBA" w:rsidRPr="00B526EA" w:rsidRDefault="007F0BBA" w:rsidP="00F31E94">
      <w:pPr>
        <w:spacing w:before="240"/>
        <w:jc w:val="both"/>
        <w:rPr>
          <w:rFonts w:ascii="Arial" w:hAnsi="Arial" w:cs="Arial"/>
          <w:szCs w:val="22"/>
        </w:rPr>
      </w:pPr>
    </w:p>
    <w:p w14:paraId="59E7959C" w14:textId="5B68CBB7" w:rsidR="00F96FFF" w:rsidRPr="00B526EA" w:rsidRDefault="00F96FFF" w:rsidP="00B526EA">
      <w:pPr>
        <w:pStyle w:val="Heading1"/>
      </w:pPr>
      <w:bookmarkStart w:id="49" w:name="_Toc220350544"/>
      <w:r w:rsidRPr="00B526EA">
        <w:t>CHAPTER 5 – Conclusion and Recommendations</w:t>
      </w:r>
      <w:bookmarkEnd w:id="49"/>
    </w:p>
    <w:p w14:paraId="37FCFEBD" w14:textId="395B9D5C" w:rsidR="00F96FFF" w:rsidRPr="00B526EA" w:rsidRDefault="00F96FFF" w:rsidP="00F31E94">
      <w:pPr>
        <w:pStyle w:val="Heading2"/>
        <w:spacing w:before="240"/>
        <w:jc w:val="both"/>
        <w:rPr>
          <w:rFonts w:ascii="Arial" w:hAnsi="Arial" w:cs="Arial"/>
          <w:sz w:val="22"/>
          <w:szCs w:val="22"/>
        </w:rPr>
      </w:pPr>
      <w:bookmarkStart w:id="50" w:name="_Toc220350545"/>
      <w:r w:rsidRPr="00B526EA">
        <w:rPr>
          <w:rFonts w:ascii="Arial" w:hAnsi="Arial" w:cs="Arial"/>
          <w:sz w:val="22"/>
          <w:szCs w:val="22"/>
        </w:rPr>
        <w:t>5.1</w:t>
      </w:r>
      <w:r w:rsidR="00D81304" w:rsidRPr="00B526EA">
        <w:rPr>
          <w:rFonts w:ascii="Arial" w:hAnsi="Arial" w:cs="Arial"/>
          <w:sz w:val="22"/>
          <w:szCs w:val="22"/>
        </w:rPr>
        <w:t>.</w:t>
      </w:r>
      <w:r w:rsidRPr="00B526EA">
        <w:rPr>
          <w:rFonts w:ascii="Arial" w:hAnsi="Arial" w:cs="Arial"/>
          <w:sz w:val="22"/>
          <w:szCs w:val="22"/>
        </w:rPr>
        <w:t xml:space="preserve"> Overall Conclusion</w:t>
      </w:r>
      <w:bookmarkEnd w:id="50"/>
    </w:p>
    <w:p w14:paraId="7FC56EC0" w14:textId="70ED83F5" w:rsidR="00F96FFF" w:rsidRPr="00B526EA" w:rsidRDefault="00F96FFF" w:rsidP="00F31E94">
      <w:pPr>
        <w:pStyle w:val="NormalWeb"/>
        <w:spacing w:before="240" w:beforeAutospacing="0" w:line="360" w:lineRule="auto"/>
        <w:jc w:val="both"/>
        <w:rPr>
          <w:rFonts w:ascii="Arial" w:hAnsi="Arial" w:cs="Arial"/>
          <w:szCs w:val="22"/>
        </w:rPr>
      </w:pPr>
      <w:r w:rsidRPr="00B526EA">
        <w:rPr>
          <w:rFonts w:ascii="Arial" w:hAnsi="Arial" w:cs="Arial"/>
          <w:szCs w:val="22"/>
        </w:rPr>
        <w:t>This dissertation examined whether two specific Adverse Childhood Experiences</w:t>
      </w:r>
      <w:r w:rsidR="00C363E8">
        <w:rPr>
          <w:rFonts w:ascii="Arial" w:hAnsi="Arial" w:cs="Arial"/>
          <w:szCs w:val="22"/>
        </w:rPr>
        <w:t xml:space="preserve">: </w:t>
      </w:r>
      <w:r w:rsidRPr="00B526EA">
        <w:rPr>
          <w:rFonts w:ascii="Arial" w:hAnsi="Arial" w:cs="Arial"/>
          <w:szCs w:val="22"/>
        </w:rPr>
        <w:t>physical abuse and parental separation</w:t>
      </w:r>
      <w:r w:rsidR="00C363E8">
        <w:rPr>
          <w:rFonts w:ascii="Arial" w:hAnsi="Arial" w:cs="Arial"/>
          <w:szCs w:val="22"/>
        </w:rPr>
        <w:t xml:space="preserve"> </w:t>
      </w:r>
      <w:r w:rsidRPr="00B526EA">
        <w:rPr>
          <w:rFonts w:ascii="Arial" w:hAnsi="Arial" w:cs="Arial"/>
          <w:szCs w:val="22"/>
        </w:rPr>
        <w:t xml:space="preserve">differentially affect mental health outcomes in young adults aged </w:t>
      </w:r>
      <w:r w:rsidR="00A91B00" w:rsidRPr="00B526EA">
        <w:rPr>
          <w:rFonts w:ascii="Arial" w:hAnsi="Arial" w:cs="Arial"/>
          <w:szCs w:val="22"/>
        </w:rPr>
        <w:t>15-30</w:t>
      </w:r>
      <w:r w:rsidRPr="00B526EA">
        <w:rPr>
          <w:rFonts w:ascii="Arial" w:hAnsi="Arial" w:cs="Arial"/>
          <w:szCs w:val="22"/>
        </w:rPr>
        <w:t>, with a focus on implications for trauma-informed screening and care. Chapter 1 established the rationale for disaggregating ACE types rather than relying on cumulative scores and set clear objectives focused on outcomes and moderators. Chapter 2 situated the topic within relevant theoretical perspectives and the UK service and policy context, highlighting why young adulthood is a key developmental period for symptom emergence and service contact. Chapter 3 described the systematic search, validation, and thematic analysis procedures used to identify and synthesise relevant evidence. Chapter 4 presented the findings, showing that physical abuse and parental separation are not equivalent exposures: physical abuse aligns more consistently with threat-based pathways and broader impairment, whereas parental separation shows more conditional associations shaped by context and co-occurring stressors. Outcome selection and modelling choices also influenced effect sizes and conclusions, and moderators such as socio-economic disadvantage, timing and duration of adversity, and service access were central to interpreting risk patterns.</w:t>
      </w:r>
    </w:p>
    <w:p w14:paraId="512344D7" w14:textId="2C285972" w:rsidR="00F96FFF" w:rsidRPr="00B526EA" w:rsidRDefault="00F96FFF" w:rsidP="00F31E94">
      <w:pPr>
        <w:pStyle w:val="NormalWeb"/>
        <w:spacing w:before="240" w:beforeAutospacing="0" w:line="360" w:lineRule="auto"/>
        <w:jc w:val="both"/>
        <w:rPr>
          <w:rFonts w:ascii="Arial" w:hAnsi="Arial" w:cs="Arial"/>
          <w:szCs w:val="22"/>
        </w:rPr>
      </w:pPr>
      <w:r w:rsidRPr="00B526EA">
        <w:rPr>
          <w:rFonts w:ascii="Arial" w:hAnsi="Arial" w:cs="Arial"/>
          <w:szCs w:val="22"/>
        </w:rPr>
        <w:t>Overall, the research aim was met by demonstrating that differentiated ACE enquiry is more informative for practice than cumulative scoring. The objectives were addressed through comparative synthesis of mechanisms and outcomes, and through analysis of contextual conditions shaping associations.</w:t>
      </w:r>
    </w:p>
    <w:p w14:paraId="5114CDF6" w14:textId="423AEA24" w:rsidR="00F96FFF" w:rsidRPr="00B526EA" w:rsidRDefault="00F96FFF" w:rsidP="00F31E94">
      <w:pPr>
        <w:pStyle w:val="Heading2"/>
        <w:spacing w:before="240"/>
        <w:jc w:val="both"/>
        <w:rPr>
          <w:rFonts w:ascii="Arial" w:hAnsi="Arial" w:cs="Arial"/>
          <w:sz w:val="22"/>
          <w:szCs w:val="22"/>
        </w:rPr>
      </w:pPr>
      <w:bookmarkStart w:id="51" w:name="_Toc220350546"/>
      <w:r w:rsidRPr="00B526EA">
        <w:rPr>
          <w:rFonts w:ascii="Arial" w:hAnsi="Arial" w:cs="Arial"/>
          <w:sz w:val="22"/>
          <w:szCs w:val="22"/>
        </w:rPr>
        <w:t>5.2</w:t>
      </w:r>
      <w:r w:rsidR="00D81304" w:rsidRPr="00B526EA">
        <w:rPr>
          <w:rFonts w:ascii="Arial" w:hAnsi="Arial" w:cs="Arial"/>
          <w:sz w:val="22"/>
          <w:szCs w:val="22"/>
        </w:rPr>
        <w:t>.</w:t>
      </w:r>
      <w:r w:rsidRPr="00B526EA">
        <w:rPr>
          <w:rFonts w:ascii="Arial" w:hAnsi="Arial" w:cs="Arial"/>
          <w:sz w:val="22"/>
          <w:szCs w:val="22"/>
        </w:rPr>
        <w:t xml:space="preserve"> Recommendations</w:t>
      </w:r>
      <w:bookmarkEnd w:id="51"/>
      <w:r w:rsidRPr="00B526EA">
        <w:rPr>
          <w:rFonts w:ascii="Arial" w:hAnsi="Arial" w:cs="Arial"/>
          <w:sz w:val="22"/>
          <w:szCs w:val="22"/>
        </w:rPr>
        <w:t xml:space="preserve"> </w:t>
      </w:r>
    </w:p>
    <w:p w14:paraId="309EDB93" w14:textId="77777777" w:rsidR="00D81304" w:rsidRPr="00B526EA" w:rsidRDefault="00F96FFF" w:rsidP="00F31E94">
      <w:pPr>
        <w:pStyle w:val="Heading3"/>
        <w:spacing w:before="240"/>
        <w:jc w:val="both"/>
        <w:rPr>
          <w:rFonts w:ascii="Arial" w:hAnsi="Arial" w:cs="Arial"/>
          <w:szCs w:val="22"/>
        </w:rPr>
      </w:pPr>
      <w:bookmarkStart w:id="52" w:name="_Toc220350547"/>
      <w:r w:rsidRPr="00B526EA">
        <w:rPr>
          <w:rFonts w:ascii="Arial" w:hAnsi="Arial" w:cs="Arial"/>
          <w:szCs w:val="22"/>
        </w:rPr>
        <w:t>5.2.1</w:t>
      </w:r>
      <w:r w:rsidR="00D81304" w:rsidRPr="00B526EA">
        <w:rPr>
          <w:rFonts w:ascii="Arial" w:hAnsi="Arial" w:cs="Arial"/>
          <w:szCs w:val="22"/>
        </w:rPr>
        <w:t>.</w:t>
      </w:r>
      <w:r w:rsidRPr="00B526EA">
        <w:rPr>
          <w:rFonts w:ascii="Arial" w:hAnsi="Arial" w:cs="Arial"/>
          <w:szCs w:val="22"/>
        </w:rPr>
        <w:t xml:space="preserve"> Recommendation 1: </w:t>
      </w:r>
      <w:r w:rsidR="00D81304" w:rsidRPr="00B526EA">
        <w:rPr>
          <w:rFonts w:ascii="Arial" w:hAnsi="Arial" w:cs="Arial"/>
          <w:szCs w:val="22"/>
        </w:rPr>
        <w:t>Adopt ACE-type–specific and context-sensitive screening in young-adult services</w:t>
      </w:r>
      <w:bookmarkEnd w:id="52"/>
    </w:p>
    <w:p w14:paraId="5643E42E" w14:textId="48280268" w:rsidR="00F96FFF" w:rsidRPr="00B526EA" w:rsidRDefault="007F0BBA" w:rsidP="007F0BBA">
      <w:pPr>
        <w:pStyle w:val="NormalWeb"/>
        <w:spacing w:before="240" w:beforeAutospacing="0" w:line="360" w:lineRule="auto"/>
        <w:jc w:val="both"/>
        <w:rPr>
          <w:rFonts w:ascii="Arial" w:hAnsi="Arial" w:cs="Arial"/>
          <w:szCs w:val="22"/>
        </w:rPr>
      </w:pPr>
      <w:r w:rsidRPr="007F0BBA">
        <w:rPr>
          <w:rFonts w:ascii="Arial" w:hAnsi="Arial" w:cs="Arial"/>
          <w:szCs w:val="22"/>
        </w:rPr>
        <w:t>The technique should switch to counting ACEs to asking specific questions that differentiate between physical maltreatment and parental divorce and directly evaluate the key contextual modifiers. Practically, this entails brief, formatted prompts in primary care, NHS Talking Therapies, university wellbeing, and community services that (a) determine the ACE type and (b) seizing mechanism-relevant context. In the case of physical abuse, the prompts encompass severity/chronicity and current safety or persistent violence (Cruz et al., 2022). In the case of parental separation, the following prompts should be included: conflict exposure, disruption of housing/education, and financial strain. This method is feasible in that it does not entail protracted screens; it involves rephrasing current intake queries into mechanism-conscious inquiry</w:t>
      </w:r>
      <w:r>
        <w:rPr>
          <w:rFonts w:ascii="Arial" w:hAnsi="Arial" w:cs="Arial"/>
          <w:szCs w:val="22"/>
        </w:rPr>
        <w:t xml:space="preserve"> </w:t>
      </w:r>
      <w:r w:rsidR="00CE7CF5" w:rsidRPr="00B526EA">
        <w:rPr>
          <w:rFonts w:ascii="Arial" w:hAnsi="Arial" w:cs="Arial"/>
          <w:szCs w:val="22"/>
        </w:rPr>
        <w:t xml:space="preserve">(Fadeeva </w:t>
      </w:r>
      <w:r w:rsidR="00CE7CF5" w:rsidRPr="00B526EA">
        <w:rPr>
          <w:rFonts w:ascii="Arial" w:hAnsi="Arial" w:cs="Arial"/>
          <w:i/>
          <w:iCs/>
          <w:szCs w:val="22"/>
        </w:rPr>
        <w:t>et al.</w:t>
      </w:r>
      <w:r w:rsidR="00CE7CF5" w:rsidRPr="00B526EA">
        <w:rPr>
          <w:rFonts w:ascii="Arial" w:hAnsi="Arial" w:cs="Arial"/>
          <w:szCs w:val="22"/>
        </w:rPr>
        <w:t>, 2025)</w:t>
      </w:r>
      <w:r w:rsidR="00F96FFF" w:rsidRPr="00B526EA">
        <w:rPr>
          <w:rFonts w:ascii="Arial" w:hAnsi="Arial" w:cs="Arial"/>
          <w:szCs w:val="22"/>
        </w:rPr>
        <w:t>.</w:t>
      </w:r>
    </w:p>
    <w:p w14:paraId="0595AF07" w14:textId="48E0EA2F" w:rsidR="00F96FFF" w:rsidRPr="00B526EA" w:rsidRDefault="00883946" w:rsidP="00F31E94">
      <w:pPr>
        <w:pStyle w:val="NormalWeb"/>
        <w:spacing w:before="240" w:beforeAutospacing="0" w:line="360" w:lineRule="auto"/>
        <w:jc w:val="both"/>
        <w:rPr>
          <w:rFonts w:ascii="Arial" w:hAnsi="Arial" w:cs="Arial"/>
          <w:szCs w:val="22"/>
        </w:rPr>
      </w:pPr>
      <w:r w:rsidRPr="00883946">
        <w:rPr>
          <w:rFonts w:ascii="Arial" w:hAnsi="Arial" w:cs="Arial"/>
          <w:szCs w:val="22"/>
        </w:rPr>
        <w:t>Clinician time pressure, staff discomfort, and concerns about exposing trauma without resources are barriers. They can be addressed by incorporating cues into existing triage templates, short scripts congruent with trauma-informed values, and providing clear decision-making routes (Lester, Khatwa and Sutcliffe, 2020). A second obstacle is the lack of uniformity in documentation between services. An interim remedy includes standardised text and small data fields capable of travelling within referral processes to decrease disclosure repetition. This suggestion is consistent with the dissertation result that separation effects are commonly conditional and abuse effects are sensitive to severity and co-occurrence; context prompts decrease misclassification and enhance the fit between reported adversity and correct support</w:t>
      </w:r>
      <w:r>
        <w:rPr>
          <w:rFonts w:ascii="Arial" w:hAnsi="Arial" w:cs="Arial"/>
          <w:szCs w:val="22"/>
        </w:rPr>
        <w:t xml:space="preserve"> </w:t>
      </w:r>
      <w:r w:rsidR="00CE7CF5" w:rsidRPr="00B526EA">
        <w:rPr>
          <w:rFonts w:ascii="Arial" w:hAnsi="Arial" w:cs="Arial"/>
          <w:szCs w:val="22"/>
        </w:rPr>
        <w:t>(Maughan and Collishaw, 2015)</w:t>
      </w:r>
      <w:r w:rsidR="00F96FFF" w:rsidRPr="00B526EA">
        <w:rPr>
          <w:rFonts w:ascii="Arial" w:hAnsi="Arial" w:cs="Arial"/>
          <w:szCs w:val="22"/>
        </w:rPr>
        <w:t>.</w:t>
      </w:r>
    </w:p>
    <w:p w14:paraId="34093345" w14:textId="1A0D9BC2" w:rsidR="00D81304" w:rsidRPr="00B526EA" w:rsidRDefault="00F96FFF" w:rsidP="00F31E94">
      <w:pPr>
        <w:pStyle w:val="Heading3"/>
        <w:spacing w:before="240"/>
        <w:jc w:val="both"/>
        <w:rPr>
          <w:rFonts w:ascii="Arial" w:hAnsi="Arial" w:cs="Arial"/>
          <w:szCs w:val="22"/>
        </w:rPr>
      </w:pPr>
      <w:bookmarkStart w:id="53" w:name="_Toc220350548"/>
      <w:r w:rsidRPr="00B526EA">
        <w:rPr>
          <w:rFonts w:ascii="Arial" w:hAnsi="Arial" w:cs="Arial"/>
          <w:szCs w:val="22"/>
        </w:rPr>
        <w:t>5.2.2</w:t>
      </w:r>
      <w:r w:rsidR="00D81304" w:rsidRPr="00B526EA">
        <w:rPr>
          <w:rFonts w:ascii="Arial" w:hAnsi="Arial" w:cs="Arial"/>
          <w:szCs w:val="22"/>
        </w:rPr>
        <w:t>.</w:t>
      </w:r>
      <w:r w:rsidRPr="00B526EA">
        <w:rPr>
          <w:rFonts w:ascii="Arial" w:hAnsi="Arial" w:cs="Arial"/>
          <w:szCs w:val="22"/>
        </w:rPr>
        <w:t xml:space="preserve"> Recommendation 2: </w:t>
      </w:r>
      <w:r w:rsidR="00D81304" w:rsidRPr="00B526EA">
        <w:rPr>
          <w:rStyle w:val="Strong"/>
          <w:rFonts w:ascii="Arial" w:hAnsi="Arial" w:cs="Arial"/>
          <w:b/>
          <w:bCs w:val="0"/>
          <w:szCs w:val="22"/>
        </w:rPr>
        <w:t>Develop differentiated referral pathways aligned with risk and outcome profiles</w:t>
      </w:r>
      <w:bookmarkEnd w:id="53"/>
    </w:p>
    <w:p w14:paraId="4EBA1776" w14:textId="77777777" w:rsidR="00991224" w:rsidRDefault="00991224" w:rsidP="00F31E94">
      <w:pPr>
        <w:pStyle w:val="NormalWeb"/>
        <w:spacing w:before="240" w:beforeAutospacing="0" w:line="360" w:lineRule="auto"/>
        <w:jc w:val="both"/>
        <w:rPr>
          <w:rFonts w:ascii="Arial" w:hAnsi="Arial" w:cs="Arial"/>
          <w:szCs w:val="22"/>
        </w:rPr>
      </w:pPr>
      <w:r w:rsidRPr="00991224">
        <w:rPr>
          <w:rFonts w:ascii="Arial" w:hAnsi="Arial" w:cs="Arial"/>
          <w:szCs w:val="22"/>
        </w:rPr>
        <w:t>It should be accompanied with differentiated enquiry and transparent referral paths, otherwise, the screening will deteriorate to being ethically loose. The services must invoke stepped pathways that are consistent with probable result profiles and risk domains. Routes should prioritise trauma-oriented evaluation, safety planning, and prompt access to trauma-informed psychological interventions and protect against escalation where necessary where histories of physical abuse are reported and there are symptoms of trauma or risk of self-harm (Austin and Cowles, 2025). In cases where parental separation becomes the main ACE and distress is connected to instability or material strain, the pathways should be based on psychological support and the practical ones, such as benefits/housing advice, family support, and conflict/relationship resources. The most important practice change is to put psychosocial support as an element of the mental health pathway and not an additional service since the synthesis of the dissertation demonstrates that the risk associated with separation is in most cases mediated by structural stressors (Lacey et al., 2014).</w:t>
      </w:r>
    </w:p>
    <w:p w14:paraId="18154D68" w14:textId="23364981" w:rsidR="00F96FFF" w:rsidRPr="00B526EA" w:rsidRDefault="00657824" w:rsidP="00F31E94">
      <w:pPr>
        <w:pStyle w:val="NormalWeb"/>
        <w:spacing w:before="240" w:beforeAutospacing="0" w:line="360" w:lineRule="auto"/>
        <w:jc w:val="both"/>
        <w:rPr>
          <w:rFonts w:ascii="Arial" w:hAnsi="Arial" w:cs="Arial"/>
          <w:szCs w:val="22"/>
        </w:rPr>
      </w:pPr>
      <w:r w:rsidRPr="00657824">
        <w:rPr>
          <w:rFonts w:ascii="Arial" w:hAnsi="Arial" w:cs="Arial"/>
          <w:szCs w:val="22"/>
        </w:rPr>
        <w:t>Obstacles entail lengthy waiting lists, inconsistency across Integrated Care Systems, and inadequacy of mingled health and social support service providers. They can be overcome by locally agreed referral menu, co-location or warm handover where feasible, and better signposting alliances with voluntary and community sector organisations (Lee, Kim and Terry, 2020). Workforce needs to identify signs of trauma as opposed to general distress is another barrier. It can be addressed by brief training aimed at identifying trauma presentation, self-harm risk, and indicators of contextual stress instead of comprehensive specialist training. This recommendation is a viable option, as it is based on available stepped-care models; it extends them by rendering pathway choice sensitive to ACE type and context</w:t>
      </w:r>
      <w:r>
        <w:rPr>
          <w:rFonts w:ascii="Arial" w:hAnsi="Arial" w:cs="Arial"/>
          <w:szCs w:val="22"/>
        </w:rPr>
        <w:t xml:space="preserve"> </w:t>
      </w:r>
      <w:r w:rsidR="00CE7CF5" w:rsidRPr="00B526EA">
        <w:rPr>
          <w:rFonts w:ascii="Arial" w:hAnsi="Arial" w:cs="Arial"/>
          <w:szCs w:val="22"/>
        </w:rPr>
        <w:t>(Kerman et al., 2022)</w:t>
      </w:r>
      <w:r w:rsidR="00F96FFF" w:rsidRPr="00B526EA">
        <w:rPr>
          <w:rFonts w:ascii="Arial" w:hAnsi="Arial" w:cs="Arial"/>
          <w:szCs w:val="22"/>
        </w:rPr>
        <w:t>.</w:t>
      </w:r>
    </w:p>
    <w:p w14:paraId="04475F09" w14:textId="2C7C3AAE" w:rsidR="00F96FFF" w:rsidRPr="00B526EA" w:rsidRDefault="00F96FFF" w:rsidP="00F31E94">
      <w:pPr>
        <w:pStyle w:val="Heading3"/>
        <w:spacing w:before="240"/>
        <w:jc w:val="both"/>
        <w:rPr>
          <w:rFonts w:ascii="Arial" w:hAnsi="Arial" w:cs="Arial"/>
          <w:szCs w:val="22"/>
        </w:rPr>
      </w:pPr>
      <w:bookmarkStart w:id="54" w:name="_Toc220350549"/>
      <w:r w:rsidRPr="00B526EA">
        <w:rPr>
          <w:rFonts w:ascii="Arial" w:hAnsi="Arial" w:cs="Arial"/>
          <w:szCs w:val="22"/>
        </w:rPr>
        <w:t xml:space="preserve">5.2.3 Recommendation 3: </w:t>
      </w:r>
      <w:r w:rsidR="00D81304" w:rsidRPr="00B526EA">
        <w:rPr>
          <w:rFonts w:ascii="Arial" w:hAnsi="Arial" w:cs="Arial"/>
          <w:szCs w:val="22"/>
        </w:rPr>
        <w:t>Strengthen equity and continuity of support for young adults exposed to adversity</w:t>
      </w:r>
      <w:bookmarkEnd w:id="54"/>
    </w:p>
    <w:p w14:paraId="41157DFD" w14:textId="7C8DCB56" w:rsidR="00F96FFF" w:rsidRPr="00B526EA" w:rsidRDefault="003E241E" w:rsidP="00F31E94">
      <w:pPr>
        <w:pStyle w:val="NormalWeb"/>
        <w:spacing w:before="240" w:beforeAutospacing="0" w:line="360" w:lineRule="auto"/>
        <w:jc w:val="both"/>
        <w:rPr>
          <w:rFonts w:ascii="Arial" w:hAnsi="Arial" w:cs="Arial"/>
          <w:szCs w:val="22"/>
        </w:rPr>
      </w:pPr>
      <w:r w:rsidRPr="003E241E">
        <w:rPr>
          <w:rFonts w:ascii="Arial" w:hAnsi="Arial" w:cs="Arial"/>
          <w:szCs w:val="22"/>
        </w:rPr>
        <w:t>Referring to the evidence that poverty and co-occurring stressors coincide with adversities like parental separation, one practical suggestion is to focus on equity-centered interventions that enhance the concentration of exposure and increase continuity of care in disadvantaged young adults (Moledina et al., 2021). Servicewise, it involves proactive follow-up among young adults who report adversity disclosure and report housing instability, financial strain, or frequent service transitions. Continuity must be considered as an intervention factor: consistent practitioner relations, regular check-ins and less handover loss at the child-adult service boundary. Simple modifications like named workers, organi</w:t>
      </w:r>
      <w:r w:rsidR="0094029E">
        <w:rPr>
          <w:rFonts w:ascii="Arial" w:hAnsi="Arial" w:cs="Arial"/>
          <w:szCs w:val="22"/>
        </w:rPr>
        <w:t>s</w:t>
      </w:r>
      <w:r w:rsidRPr="003E241E">
        <w:rPr>
          <w:rFonts w:ascii="Arial" w:hAnsi="Arial" w:cs="Arial"/>
          <w:szCs w:val="22"/>
        </w:rPr>
        <w:t>ed follow-up messages, and planned transitions of those at high risk can facilitate this, instead of incidental crisis contact</w:t>
      </w:r>
      <w:r>
        <w:rPr>
          <w:rFonts w:ascii="Arial" w:hAnsi="Arial" w:cs="Arial"/>
          <w:szCs w:val="22"/>
        </w:rPr>
        <w:t xml:space="preserve"> </w:t>
      </w:r>
      <w:r w:rsidR="007C29FA" w:rsidRPr="00B526EA">
        <w:rPr>
          <w:rFonts w:ascii="Arial" w:hAnsi="Arial" w:cs="Arial"/>
          <w:szCs w:val="22"/>
        </w:rPr>
        <w:t>(O’Hara et al., 2019)</w:t>
      </w:r>
      <w:r w:rsidR="00F96FFF" w:rsidRPr="00B526EA">
        <w:rPr>
          <w:rFonts w:ascii="Arial" w:hAnsi="Arial" w:cs="Arial"/>
          <w:szCs w:val="22"/>
        </w:rPr>
        <w:t>.</w:t>
      </w:r>
    </w:p>
    <w:p w14:paraId="708F22B5" w14:textId="44D54D63" w:rsidR="00F96FFF" w:rsidRPr="00B526EA" w:rsidRDefault="00FC7191" w:rsidP="00F31E94">
      <w:pPr>
        <w:pStyle w:val="NormalWeb"/>
        <w:spacing w:before="240" w:beforeAutospacing="0" w:line="360" w:lineRule="auto"/>
        <w:jc w:val="both"/>
        <w:rPr>
          <w:rFonts w:ascii="Arial" w:hAnsi="Arial" w:cs="Arial"/>
          <w:szCs w:val="22"/>
        </w:rPr>
      </w:pPr>
      <w:r w:rsidRPr="00FC7191">
        <w:rPr>
          <w:rFonts w:ascii="Arial" w:hAnsi="Arial" w:cs="Arial"/>
          <w:szCs w:val="22"/>
        </w:rPr>
        <w:t>Obstructors are stretched services and high employee turnover which deter continuity. Suggested mitigation measures are prioritising continuity due to the greatest-risk populations (screened with the context prompts in Recommendation 1), incorporating the voluntary sector ability to provide follow-up services, and low-intensity follow-up (brief calls and digital check-ins) to maintain contact between appointments (Riley, 2020). Stigma and low help-seeking of certain groups are another main barrier. Culturally sensitive communication and flexible access points can help to reduce this especially in community and university environments. This is in direct response to the dissertation-based conclusion that context determines results: structural stressor-focused interventions and enhancing continuity buttresses result, lessening dropout, and enabling earlier intervention before symptoms become entrenched in young adulthood</w:t>
      </w:r>
      <w:r>
        <w:rPr>
          <w:rFonts w:ascii="Arial" w:hAnsi="Arial" w:cs="Arial"/>
          <w:szCs w:val="22"/>
        </w:rPr>
        <w:t xml:space="preserve"> </w:t>
      </w:r>
      <w:r w:rsidR="00DE655D" w:rsidRPr="00B526EA">
        <w:rPr>
          <w:rFonts w:ascii="Arial" w:hAnsi="Arial" w:cs="Arial"/>
          <w:szCs w:val="22"/>
        </w:rPr>
        <w:t>(Shchaslyvyi, Antonenko and Telegeev, 2024; Smyth and McSherry, 2024)</w:t>
      </w:r>
      <w:r w:rsidR="00F96FFF" w:rsidRPr="00B526EA">
        <w:rPr>
          <w:rFonts w:ascii="Arial" w:hAnsi="Arial" w:cs="Arial"/>
          <w:szCs w:val="22"/>
        </w:rPr>
        <w:t>.</w:t>
      </w:r>
    </w:p>
    <w:p w14:paraId="3FD07C5B" w14:textId="2EACC406" w:rsidR="00B72C1D" w:rsidRDefault="00ED238B" w:rsidP="00ED238B">
      <w:pPr>
        <w:pStyle w:val="Heading2"/>
      </w:pPr>
      <w:r>
        <w:t>5.3. Limitations</w:t>
      </w:r>
    </w:p>
    <w:p w14:paraId="65A74F5A" w14:textId="3C4273C1" w:rsidR="00ED238B" w:rsidRDefault="00ED238B" w:rsidP="00EA020D">
      <w:pPr>
        <w:jc w:val="both"/>
      </w:pPr>
      <w:r w:rsidRPr="00ED238B">
        <w:t>The research is solely founded on secondary research and therefore its conclusions are limited to the quality, scope, and consistency of the available literature instead of direct data gathering with participants. Moreover, variations in the study design, the definitions of ACE, outcome measures, and sample characteristics could have restricted comparability among the included studies. Lastly, the dissertation deals with young adults in the UK, but some of the evidence available was extrapolated into broader or related contexts, which can influence the generali</w:t>
      </w:r>
      <w:r w:rsidR="0094029E">
        <w:t>sa</w:t>
      </w:r>
      <w:r w:rsidRPr="00ED238B">
        <w:t>bility of all results.</w:t>
      </w:r>
    </w:p>
    <w:p w14:paraId="640FA3B1" w14:textId="3D732E46" w:rsidR="00432105" w:rsidRDefault="00432105" w:rsidP="00432105">
      <w:pPr>
        <w:pStyle w:val="Heading2"/>
      </w:pPr>
      <w:r>
        <w:t>5.4. Future Research</w:t>
      </w:r>
    </w:p>
    <w:p w14:paraId="00600A18" w14:textId="571430CE" w:rsidR="00432105" w:rsidRDefault="00432105" w:rsidP="000D64F4">
      <w:pPr>
        <w:jc w:val="both"/>
      </w:pPr>
      <w:r w:rsidRPr="00432105">
        <w:t>Further studies should investigate the interaction of combinations of ACEs, not individual types or cumulative scores, since the presence of multiple adversities may raise disparate mental health risks. Further longitudinal research in the UK, tracking young people into adulthood, would also build knowledge on how physical abuse and parental separation affect mental health outcomes in later life. Moreover, future studies might emphasi</w:t>
      </w:r>
      <w:r w:rsidR="0094029E">
        <w:t>s</w:t>
      </w:r>
      <w:r w:rsidRPr="00432105">
        <w:t>e how contextual variables, including poverty, use of services, and family conflict, impact long-term outcomes of various ACEs.</w:t>
      </w:r>
    </w:p>
    <w:p w14:paraId="6A4F006A" w14:textId="77777777" w:rsidR="000D64F4" w:rsidRDefault="000D64F4" w:rsidP="000D64F4">
      <w:pPr>
        <w:jc w:val="both"/>
      </w:pPr>
    </w:p>
    <w:p w14:paraId="481B0164" w14:textId="77777777" w:rsidR="000D64F4" w:rsidRDefault="000D64F4" w:rsidP="000D64F4">
      <w:pPr>
        <w:jc w:val="both"/>
      </w:pPr>
    </w:p>
    <w:p w14:paraId="4441CA80" w14:textId="77777777" w:rsidR="000D64F4" w:rsidRDefault="000D64F4" w:rsidP="000D64F4">
      <w:pPr>
        <w:jc w:val="both"/>
      </w:pPr>
    </w:p>
    <w:p w14:paraId="33522D92" w14:textId="77777777" w:rsidR="000D64F4" w:rsidRDefault="000D64F4" w:rsidP="000D64F4">
      <w:pPr>
        <w:jc w:val="both"/>
      </w:pPr>
    </w:p>
    <w:p w14:paraId="782527BF" w14:textId="77777777" w:rsidR="000D64F4" w:rsidRDefault="000D64F4" w:rsidP="000D64F4">
      <w:pPr>
        <w:jc w:val="both"/>
      </w:pPr>
    </w:p>
    <w:p w14:paraId="33A7DECA" w14:textId="77777777" w:rsidR="000D64F4" w:rsidRDefault="000D64F4" w:rsidP="000D64F4">
      <w:pPr>
        <w:jc w:val="both"/>
      </w:pPr>
    </w:p>
    <w:p w14:paraId="135350D4" w14:textId="77777777" w:rsidR="000D64F4" w:rsidRDefault="000D64F4" w:rsidP="000D64F4">
      <w:pPr>
        <w:jc w:val="both"/>
      </w:pPr>
    </w:p>
    <w:p w14:paraId="147D88F3" w14:textId="77777777" w:rsidR="000D64F4" w:rsidRDefault="000D64F4" w:rsidP="000D64F4">
      <w:pPr>
        <w:jc w:val="both"/>
      </w:pPr>
    </w:p>
    <w:p w14:paraId="09B87D1C" w14:textId="77777777" w:rsidR="000D64F4" w:rsidRDefault="000D64F4" w:rsidP="000D64F4">
      <w:pPr>
        <w:jc w:val="both"/>
      </w:pPr>
    </w:p>
    <w:p w14:paraId="45C2589C" w14:textId="77777777" w:rsidR="000D64F4" w:rsidRDefault="000D64F4" w:rsidP="000D64F4">
      <w:pPr>
        <w:jc w:val="both"/>
      </w:pPr>
    </w:p>
    <w:p w14:paraId="659D5FC5" w14:textId="77777777" w:rsidR="000D64F4" w:rsidRDefault="000D64F4" w:rsidP="000D64F4">
      <w:pPr>
        <w:jc w:val="both"/>
      </w:pPr>
    </w:p>
    <w:p w14:paraId="65A13ED5" w14:textId="77777777" w:rsidR="000D64F4" w:rsidRDefault="000D64F4" w:rsidP="000D64F4">
      <w:pPr>
        <w:jc w:val="both"/>
      </w:pPr>
    </w:p>
    <w:p w14:paraId="258A14B4" w14:textId="77777777" w:rsidR="000D64F4" w:rsidRDefault="000D64F4" w:rsidP="000D64F4">
      <w:pPr>
        <w:jc w:val="both"/>
      </w:pPr>
    </w:p>
    <w:p w14:paraId="14559B78" w14:textId="77777777" w:rsidR="000D64F4" w:rsidRDefault="000D64F4" w:rsidP="000D64F4">
      <w:pPr>
        <w:jc w:val="both"/>
      </w:pPr>
    </w:p>
    <w:p w14:paraId="2E975F32" w14:textId="77777777" w:rsidR="000D64F4" w:rsidRDefault="000D64F4" w:rsidP="000D64F4">
      <w:pPr>
        <w:jc w:val="both"/>
      </w:pPr>
    </w:p>
    <w:p w14:paraId="65797CCC" w14:textId="77777777" w:rsidR="000D64F4" w:rsidRDefault="000D64F4" w:rsidP="000D64F4">
      <w:pPr>
        <w:jc w:val="both"/>
      </w:pPr>
    </w:p>
    <w:p w14:paraId="792EA2A4" w14:textId="77777777" w:rsidR="000D64F4" w:rsidRDefault="000D64F4" w:rsidP="000D64F4">
      <w:pPr>
        <w:jc w:val="both"/>
      </w:pPr>
    </w:p>
    <w:p w14:paraId="10D05F03" w14:textId="77777777" w:rsidR="000D64F4" w:rsidRDefault="000D64F4" w:rsidP="000D64F4">
      <w:pPr>
        <w:jc w:val="both"/>
      </w:pPr>
    </w:p>
    <w:p w14:paraId="6A1BE285" w14:textId="77777777" w:rsidR="000D64F4" w:rsidRDefault="000D64F4" w:rsidP="000D64F4">
      <w:pPr>
        <w:jc w:val="both"/>
      </w:pPr>
    </w:p>
    <w:p w14:paraId="488F1663" w14:textId="77777777" w:rsidR="000D64F4" w:rsidRDefault="000D64F4" w:rsidP="000D64F4">
      <w:pPr>
        <w:jc w:val="both"/>
      </w:pPr>
    </w:p>
    <w:p w14:paraId="0BE16021" w14:textId="77777777" w:rsidR="000D64F4" w:rsidRDefault="000D64F4" w:rsidP="000D64F4">
      <w:pPr>
        <w:jc w:val="both"/>
      </w:pPr>
    </w:p>
    <w:p w14:paraId="209033A1" w14:textId="77777777" w:rsidR="000D64F4" w:rsidRDefault="000D64F4" w:rsidP="000D64F4">
      <w:pPr>
        <w:jc w:val="both"/>
      </w:pPr>
    </w:p>
    <w:p w14:paraId="6344E074" w14:textId="77777777" w:rsidR="000D64F4" w:rsidRDefault="000D64F4" w:rsidP="000D64F4">
      <w:pPr>
        <w:jc w:val="both"/>
      </w:pPr>
    </w:p>
    <w:p w14:paraId="117342FA" w14:textId="77777777" w:rsidR="000D64F4" w:rsidRPr="00432105" w:rsidRDefault="000D64F4" w:rsidP="000D64F4">
      <w:pPr>
        <w:jc w:val="both"/>
      </w:pPr>
    </w:p>
    <w:p w14:paraId="2C6F9061" w14:textId="2FB0CDF7" w:rsidR="002E37D2" w:rsidRPr="00B526EA" w:rsidRDefault="001D6007" w:rsidP="00B526EA">
      <w:pPr>
        <w:pStyle w:val="Heading1"/>
      </w:pPr>
      <w:bookmarkStart w:id="55" w:name="_Toc220350550"/>
      <w:r w:rsidRPr="00B526EA">
        <w:t>References</w:t>
      </w:r>
      <w:bookmarkEnd w:id="55"/>
    </w:p>
    <w:p w14:paraId="18EF9860"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Agrawal, J. </w:t>
      </w:r>
      <w:r w:rsidRPr="00B526EA">
        <w:rPr>
          <w:rFonts w:ascii="Arial" w:hAnsi="Arial" w:cs="Arial"/>
          <w:i/>
          <w:iCs/>
          <w:szCs w:val="22"/>
        </w:rPr>
        <w:t>et al.</w:t>
      </w:r>
      <w:r w:rsidRPr="00B526EA">
        <w:rPr>
          <w:rFonts w:ascii="Arial" w:hAnsi="Arial" w:cs="Arial"/>
          <w:szCs w:val="22"/>
        </w:rPr>
        <w:t xml:space="preserve"> (2024) ‘Young Adult Mental Health Problem Incidence Varies by Specific Combinations of Adverse Childhood Experiences’, </w:t>
      </w:r>
      <w:r w:rsidRPr="00B526EA">
        <w:rPr>
          <w:rFonts w:ascii="Arial" w:hAnsi="Arial" w:cs="Arial"/>
          <w:i/>
          <w:iCs/>
          <w:szCs w:val="22"/>
        </w:rPr>
        <w:t>Adversity and Resilience Science</w:t>
      </w:r>
      <w:r w:rsidRPr="00B526EA">
        <w:rPr>
          <w:rFonts w:ascii="Arial" w:hAnsi="Arial" w:cs="Arial"/>
          <w:szCs w:val="22"/>
        </w:rPr>
        <w:t>, 6(1), pp. 19–32. Available at: https://doi.org/10.1007/s42844-024-00140-5.</w:t>
      </w:r>
    </w:p>
    <w:p w14:paraId="3AB55C10"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Arnett, J.J., Žukauskienė, R. and Sugimura, K. (2014) ‘The new life stage of emerging adulthood at ages 18–29 years: implications for mental health’, </w:t>
      </w:r>
      <w:r w:rsidRPr="00B526EA">
        <w:rPr>
          <w:rFonts w:ascii="Arial" w:hAnsi="Arial" w:cs="Arial"/>
          <w:i/>
          <w:iCs/>
          <w:szCs w:val="22"/>
        </w:rPr>
        <w:t>The Lancet Psychiatry</w:t>
      </w:r>
      <w:r w:rsidRPr="00B526EA">
        <w:rPr>
          <w:rFonts w:ascii="Arial" w:hAnsi="Arial" w:cs="Arial"/>
          <w:szCs w:val="22"/>
        </w:rPr>
        <w:t>, 1(7), pp. 569–576. Available at: https://doi.org/10.1016/s2215-0366(14)00080-7.</w:t>
      </w:r>
    </w:p>
    <w:p w14:paraId="5A99ACB3"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Austin, A. and Cowles, M. (2025) ‘Trauma-focused cognitive behavioural therapy (TF-CBT) for domestic abuse with an individual at risk of ongoing threat of further harm; a single case experimental design’, </w:t>
      </w:r>
      <w:r w:rsidRPr="00B526EA">
        <w:rPr>
          <w:rFonts w:ascii="Arial" w:hAnsi="Arial" w:cs="Arial"/>
          <w:i/>
          <w:iCs/>
          <w:szCs w:val="22"/>
        </w:rPr>
        <w:t>The Cognitive Behaviour Therapist</w:t>
      </w:r>
      <w:r w:rsidRPr="00B526EA">
        <w:rPr>
          <w:rFonts w:ascii="Arial" w:hAnsi="Arial" w:cs="Arial"/>
          <w:szCs w:val="22"/>
        </w:rPr>
        <w:t>, 18. Available at: https://doi.org/10.1017/s1754470x25100172.</w:t>
      </w:r>
    </w:p>
    <w:p w14:paraId="54833587"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Barnes, A.J. </w:t>
      </w:r>
      <w:r w:rsidRPr="00B526EA">
        <w:rPr>
          <w:rFonts w:ascii="Arial" w:hAnsi="Arial" w:cs="Arial"/>
          <w:i/>
          <w:iCs/>
          <w:szCs w:val="22"/>
        </w:rPr>
        <w:t>et al.</w:t>
      </w:r>
      <w:r w:rsidRPr="00B526EA">
        <w:rPr>
          <w:rFonts w:ascii="Arial" w:hAnsi="Arial" w:cs="Arial"/>
          <w:szCs w:val="22"/>
        </w:rPr>
        <w:t xml:space="preserve"> (2020) ‘Identifying adverse childhood experiences in pediatrics to prevent chronic health conditions’, </w:t>
      </w:r>
      <w:r w:rsidRPr="00B526EA">
        <w:rPr>
          <w:rFonts w:ascii="Arial" w:hAnsi="Arial" w:cs="Arial"/>
          <w:i/>
          <w:iCs/>
          <w:szCs w:val="22"/>
        </w:rPr>
        <w:t>Pediatric Research</w:t>
      </w:r>
      <w:r w:rsidRPr="00B526EA">
        <w:rPr>
          <w:rFonts w:ascii="Arial" w:hAnsi="Arial" w:cs="Arial"/>
          <w:szCs w:val="22"/>
        </w:rPr>
        <w:t>, 87(2), pp. 362–370. Available at: https://doi.org/10.1038/s41390-019-0613-3.</w:t>
      </w:r>
    </w:p>
    <w:p w14:paraId="48A96877"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BBC (2016) ‘Young women “highest mental health risk”’, </w:t>
      </w:r>
      <w:r w:rsidRPr="00B526EA">
        <w:rPr>
          <w:rFonts w:ascii="Arial" w:hAnsi="Arial" w:cs="Arial"/>
          <w:i/>
          <w:iCs/>
          <w:szCs w:val="22"/>
        </w:rPr>
        <w:t>BBC News</w:t>
      </w:r>
      <w:r w:rsidRPr="00B526EA">
        <w:rPr>
          <w:rFonts w:ascii="Arial" w:hAnsi="Arial" w:cs="Arial"/>
          <w:szCs w:val="22"/>
        </w:rPr>
        <w:t>, 29 September. Available at: https://www.bbc.com/news/entertainment-arts-37504679 (Accessed: 4 January 2026).</w:t>
      </w:r>
    </w:p>
    <w:p w14:paraId="261970B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Bellis, M.A. </w:t>
      </w:r>
      <w:r w:rsidRPr="00B526EA">
        <w:rPr>
          <w:rFonts w:ascii="Arial" w:hAnsi="Arial" w:cs="Arial"/>
          <w:i/>
          <w:iCs/>
          <w:szCs w:val="22"/>
        </w:rPr>
        <w:t>et al.</w:t>
      </w:r>
      <w:r w:rsidRPr="00B526EA">
        <w:rPr>
          <w:rFonts w:ascii="Arial" w:hAnsi="Arial" w:cs="Arial"/>
          <w:szCs w:val="22"/>
        </w:rPr>
        <w:t xml:space="preserve"> (2024) ‘Associations between adverse childhood experiences and trust in health and other information from public services, professionals and wider sources: national cross sectional survey’, </w:t>
      </w:r>
      <w:r w:rsidRPr="00B526EA">
        <w:rPr>
          <w:rFonts w:ascii="Arial" w:hAnsi="Arial" w:cs="Arial"/>
          <w:i/>
          <w:iCs/>
          <w:szCs w:val="22"/>
        </w:rPr>
        <w:t>BMJ Public Health</w:t>
      </w:r>
      <w:r w:rsidRPr="00B526EA">
        <w:rPr>
          <w:rFonts w:ascii="Arial" w:hAnsi="Arial" w:cs="Arial"/>
          <w:szCs w:val="22"/>
        </w:rPr>
        <w:t>, 2(1), pp. e000868–e000868. Available at: https://doi.org/10.1136/bmjph-2023-000868.</w:t>
      </w:r>
    </w:p>
    <w:p w14:paraId="39056A3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Bellis, M.A. </w:t>
      </w:r>
      <w:r w:rsidRPr="00B526EA">
        <w:rPr>
          <w:rFonts w:ascii="Arial" w:hAnsi="Arial" w:cs="Arial"/>
          <w:i/>
          <w:iCs/>
          <w:szCs w:val="22"/>
        </w:rPr>
        <w:t>et al.</w:t>
      </w:r>
      <w:r w:rsidRPr="00B526EA">
        <w:rPr>
          <w:rFonts w:ascii="Arial" w:hAnsi="Arial" w:cs="Arial"/>
          <w:szCs w:val="22"/>
        </w:rPr>
        <w:t xml:space="preserve"> (2025) ‘Comparative relationships between physical and verbal abuse of children, life course mental well-being and trends in exposure: a multi-study secondary analysis of cross-sectional surveys in England and Wales’, </w:t>
      </w:r>
      <w:r w:rsidRPr="00B526EA">
        <w:rPr>
          <w:rFonts w:ascii="Arial" w:hAnsi="Arial" w:cs="Arial"/>
          <w:i/>
          <w:iCs/>
          <w:szCs w:val="22"/>
        </w:rPr>
        <w:t>BMJ Open</w:t>
      </w:r>
      <w:r w:rsidRPr="00B526EA">
        <w:rPr>
          <w:rFonts w:ascii="Arial" w:hAnsi="Arial" w:cs="Arial"/>
          <w:szCs w:val="22"/>
        </w:rPr>
        <w:t>, 15(8), p. e098412. Available at: https://doi.org/10.1136/bmjopen-2024-098412.</w:t>
      </w:r>
    </w:p>
    <w:p w14:paraId="1FC82B4D"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Bispo, J.B. </w:t>
      </w:r>
      <w:r w:rsidRPr="00B526EA">
        <w:rPr>
          <w:rFonts w:ascii="Arial" w:hAnsi="Arial" w:cs="Arial"/>
          <w:i/>
          <w:iCs/>
          <w:szCs w:val="22"/>
        </w:rPr>
        <w:t>et al.</w:t>
      </w:r>
      <w:r w:rsidRPr="00B526EA">
        <w:rPr>
          <w:rFonts w:ascii="Arial" w:hAnsi="Arial" w:cs="Arial"/>
          <w:szCs w:val="22"/>
        </w:rPr>
        <w:t xml:space="preserve"> (2024) ‘Government Housing Assistance and Cancer Screening Among Adults With Low Income’, </w:t>
      </w:r>
      <w:r w:rsidRPr="00B526EA">
        <w:rPr>
          <w:rFonts w:ascii="Arial" w:hAnsi="Arial" w:cs="Arial"/>
          <w:i/>
          <w:iCs/>
          <w:szCs w:val="22"/>
        </w:rPr>
        <w:t>American Journal of Preventive Medicine</w:t>
      </w:r>
      <w:r w:rsidRPr="00B526EA">
        <w:rPr>
          <w:rFonts w:ascii="Arial" w:hAnsi="Arial" w:cs="Arial"/>
          <w:szCs w:val="22"/>
        </w:rPr>
        <w:t>, 66(2), pp. 205–215. Available at: https://doi.org/10.1016/j.amepre.2023.10.005.</w:t>
      </w:r>
    </w:p>
    <w:p w14:paraId="5D31FDB7"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Bowlby, J., Ainsworth, M. and Bretherton, I. (1992) ‘THE ORIGINS OF ATTACHMENT THEORY: JOHN BOWLBY AND MARY AINSWORTH’, </w:t>
      </w:r>
      <w:r w:rsidRPr="00B526EA">
        <w:rPr>
          <w:rFonts w:ascii="Arial" w:hAnsi="Arial" w:cs="Arial"/>
          <w:i/>
          <w:iCs/>
          <w:szCs w:val="22"/>
        </w:rPr>
        <w:t>Developmental Psychology</w:t>
      </w:r>
      <w:r w:rsidRPr="00B526EA">
        <w:rPr>
          <w:rFonts w:ascii="Arial" w:hAnsi="Arial" w:cs="Arial"/>
          <w:szCs w:val="22"/>
        </w:rPr>
        <w:t>, 28, pp. 759–775.</w:t>
      </w:r>
    </w:p>
    <w:p w14:paraId="61DF4007"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Bramer, W.M. </w:t>
      </w:r>
      <w:r w:rsidRPr="00B526EA">
        <w:rPr>
          <w:rFonts w:ascii="Arial" w:hAnsi="Arial" w:cs="Arial"/>
          <w:i/>
          <w:iCs/>
          <w:szCs w:val="22"/>
        </w:rPr>
        <w:t>et al.</w:t>
      </w:r>
      <w:r w:rsidRPr="00B526EA">
        <w:rPr>
          <w:rFonts w:ascii="Arial" w:hAnsi="Arial" w:cs="Arial"/>
          <w:szCs w:val="22"/>
        </w:rPr>
        <w:t xml:space="preserve"> (2017) ‘Optimal Database Combinations for Literature Searches in Systematic reviews: a Prospective Exploratory Study’, </w:t>
      </w:r>
      <w:r w:rsidRPr="00B526EA">
        <w:rPr>
          <w:rFonts w:ascii="Arial" w:hAnsi="Arial" w:cs="Arial"/>
          <w:i/>
          <w:iCs/>
          <w:szCs w:val="22"/>
        </w:rPr>
        <w:t>Systematic Reviews</w:t>
      </w:r>
      <w:r w:rsidRPr="00B526EA">
        <w:rPr>
          <w:rFonts w:ascii="Arial" w:hAnsi="Arial" w:cs="Arial"/>
          <w:szCs w:val="22"/>
        </w:rPr>
        <w:t>, 6(1), p. 245. Available at: https://doi.org/10.1186/s13643-017-0644-y.</w:t>
      </w:r>
    </w:p>
    <w:p w14:paraId="4CA8319F"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Braun, V. and Clarke, V. (2006) ‘Using Thematic Analysis in Psychology’, </w:t>
      </w:r>
      <w:r w:rsidRPr="00B526EA">
        <w:rPr>
          <w:rFonts w:ascii="Arial" w:hAnsi="Arial" w:cs="Arial"/>
          <w:i/>
          <w:iCs/>
          <w:szCs w:val="22"/>
        </w:rPr>
        <w:t>Qualitative Research in Psychology</w:t>
      </w:r>
      <w:r w:rsidRPr="00B526EA">
        <w:rPr>
          <w:rFonts w:ascii="Arial" w:hAnsi="Arial" w:cs="Arial"/>
          <w:szCs w:val="22"/>
        </w:rPr>
        <w:t>, 3(2), pp. 77–101. Available at: https://doi.org/10.1191/1478088706qp063oa.</w:t>
      </w:r>
    </w:p>
    <w:p w14:paraId="6B847BDF"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Briggs-Gowan, M.J. </w:t>
      </w:r>
      <w:r w:rsidRPr="00B526EA">
        <w:rPr>
          <w:rFonts w:ascii="Arial" w:hAnsi="Arial" w:cs="Arial"/>
          <w:i/>
          <w:iCs/>
          <w:szCs w:val="22"/>
        </w:rPr>
        <w:t>et al.</w:t>
      </w:r>
      <w:r w:rsidRPr="00B526EA">
        <w:rPr>
          <w:rFonts w:ascii="Arial" w:hAnsi="Arial" w:cs="Arial"/>
          <w:szCs w:val="22"/>
        </w:rPr>
        <w:t xml:space="preserve"> (2019) ‘Adverse impact of multiple separations or loss of primary caregivers on young children’, </w:t>
      </w:r>
      <w:r w:rsidRPr="00B526EA">
        <w:rPr>
          <w:rFonts w:ascii="Arial" w:hAnsi="Arial" w:cs="Arial"/>
          <w:i/>
          <w:iCs/>
          <w:szCs w:val="22"/>
        </w:rPr>
        <w:t>European Journal of Psychotraumatology</w:t>
      </w:r>
      <w:r w:rsidRPr="00B526EA">
        <w:rPr>
          <w:rFonts w:ascii="Arial" w:hAnsi="Arial" w:cs="Arial"/>
          <w:szCs w:val="22"/>
        </w:rPr>
        <w:t>, 10(1), p. 1646965. Available at: https://doi.org/10.1080/20008198.2019.1646965.</w:t>
      </w:r>
    </w:p>
    <w:p w14:paraId="5491156B"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Brock, R.L. and Kochanska, G. (2016) ‘Interparental conflict, children’s security with parents, and long-term risk of internalizing problems: A longitudinal study from ages 2 to 10’, </w:t>
      </w:r>
      <w:r w:rsidRPr="00B526EA">
        <w:rPr>
          <w:rFonts w:ascii="Arial" w:hAnsi="Arial" w:cs="Arial"/>
          <w:i/>
          <w:iCs/>
          <w:szCs w:val="22"/>
        </w:rPr>
        <w:t>Development and Psychopathology</w:t>
      </w:r>
      <w:r w:rsidRPr="00B526EA">
        <w:rPr>
          <w:rFonts w:ascii="Arial" w:hAnsi="Arial" w:cs="Arial"/>
          <w:szCs w:val="22"/>
        </w:rPr>
        <w:t>, 28(1), pp. 45–54. Available at: https://doi.org/10.1017/s0954579415000279.</w:t>
      </w:r>
    </w:p>
    <w:p w14:paraId="5CEF8A01"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Bronfenbrenner and Morris (1998) ‘The ecology of developmental processes.’, in </w:t>
      </w:r>
      <w:r w:rsidRPr="00B526EA">
        <w:rPr>
          <w:rFonts w:ascii="Arial" w:hAnsi="Arial" w:cs="Arial"/>
          <w:i/>
          <w:iCs/>
          <w:szCs w:val="22"/>
        </w:rPr>
        <w:t xml:space="preserve">Handbook of child psychology: Theoretical models of human development </w:t>
      </w:r>
      <w:r w:rsidRPr="00B526EA">
        <w:rPr>
          <w:rFonts w:ascii="Arial" w:hAnsi="Arial" w:cs="Arial"/>
          <w:szCs w:val="22"/>
        </w:rPr>
        <w:t>. John Wiley &amp; Sons, Inc.., pp. 993–1028.</w:t>
      </w:r>
    </w:p>
    <w:p w14:paraId="6C8E23EC"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Brzozowska, A. and Grabowski, J. (2025) ‘Hyperarousal, Dissociation, Emotion Dysregulation and Re-Experiencing—Towards Understanding Molecular Aspects of PTSD Symptoms’, </w:t>
      </w:r>
      <w:r w:rsidRPr="00B526EA">
        <w:rPr>
          <w:rFonts w:ascii="Arial" w:hAnsi="Arial" w:cs="Arial"/>
          <w:i/>
          <w:iCs/>
          <w:szCs w:val="22"/>
        </w:rPr>
        <w:t>International Journal of Molecular Sciences</w:t>
      </w:r>
      <w:r w:rsidRPr="00B526EA">
        <w:rPr>
          <w:rFonts w:ascii="Arial" w:hAnsi="Arial" w:cs="Arial"/>
          <w:szCs w:val="22"/>
        </w:rPr>
        <w:t>, 26(11), p. 5216. Available at: https://doi.org/10.3390/ijms26115216.</w:t>
      </w:r>
    </w:p>
    <w:p w14:paraId="24051397"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Bunting, L. </w:t>
      </w:r>
      <w:r w:rsidRPr="00B526EA">
        <w:rPr>
          <w:rFonts w:ascii="Arial" w:hAnsi="Arial" w:cs="Arial"/>
          <w:i/>
          <w:iCs/>
          <w:szCs w:val="22"/>
        </w:rPr>
        <w:t>et al.</w:t>
      </w:r>
      <w:r w:rsidRPr="00B526EA">
        <w:rPr>
          <w:rFonts w:ascii="Arial" w:hAnsi="Arial" w:cs="Arial"/>
          <w:szCs w:val="22"/>
        </w:rPr>
        <w:t xml:space="preserve"> (2023) ‘The influence of adverse and positive childhood experiences on young people’s mental health and experiences of self-harm and suicidal ideation’, </w:t>
      </w:r>
      <w:r w:rsidRPr="00B526EA">
        <w:rPr>
          <w:rFonts w:ascii="Arial" w:hAnsi="Arial" w:cs="Arial"/>
          <w:i/>
          <w:iCs/>
          <w:szCs w:val="22"/>
        </w:rPr>
        <w:t>Child Abuse &amp; Neglect</w:t>
      </w:r>
      <w:r w:rsidRPr="00B526EA">
        <w:rPr>
          <w:rFonts w:ascii="Arial" w:hAnsi="Arial" w:cs="Arial"/>
          <w:szCs w:val="22"/>
        </w:rPr>
        <w:t>, 140, p. 106159. Available at: https://doi.org/10.1016/j.chiabu.2023.106159.</w:t>
      </w:r>
    </w:p>
    <w:p w14:paraId="71CD4F42"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Cassidy, J., Jones, J.D. and Shaver, P.R. (2013) ‘Contributions of Attachment Theory and research: a Framework for Future research, translation, and Policy’, </w:t>
      </w:r>
      <w:r w:rsidRPr="00B526EA">
        <w:rPr>
          <w:rFonts w:ascii="Arial" w:hAnsi="Arial" w:cs="Arial"/>
          <w:i/>
          <w:iCs/>
          <w:szCs w:val="22"/>
        </w:rPr>
        <w:t>Development and Psychopathology</w:t>
      </w:r>
      <w:r w:rsidRPr="00B526EA">
        <w:rPr>
          <w:rFonts w:ascii="Arial" w:hAnsi="Arial" w:cs="Arial"/>
          <w:szCs w:val="22"/>
        </w:rPr>
        <w:t>, 25(4pt2), pp. 1415–1434. Available at: https://doi.org/10.1017/s0954579413000692.</w:t>
      </w:r>
    </w:p>
    <w:p w14:paraId="6C669B26"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Centers for Disease Control and Prevention (2024) </w:t>
      </w:r>
      <w:r w:rsidRPr="00B526EA">
        <w:rPr>
          <w:rFonts w:ascii="Arial" w:hAnsi="Arial" w:cs="Arial"/>
          <w:i/>
          <w:iCs/>
          <w:szCs w:val="22"/>
        </w:rPr>
        <w:t>About Child Abuse and Neglect</w:t>
      </w:r>
      <w:r w:rsidRPr="00B526EA">
        <w:rPr>
          <w:rFonts w:ascii="Arial" w:hAnsi="Arial" w:cs="Arial"/>
          <w:szCs w:val="22"/>
        </w:rPr>
        <w:t xml:space="preserve">, </w:t>
      </w:r>
      <w:r w:rsidRPr="00B526EA">
        <w:rPr>
          <w:rFonts w:ascii="Arial" w:hAnsi="Arial" w:cs="Arial"/>
          <w:i/>
          <w:iCs/>
          <w:szCs w:val="22"/>
        </w:rPr>
        <w:t>Child Abuse and Neglect Prevention</w:t>
      </w:r>
      <w:r w:rsidRPr="00B526EA">
        <w:rPr>
          <w:rFonts w:ascii="Arial" w:hAnsi="Arial" w:cs="Arial"/>
          <w:szCs w:val="22"/>
        </w:rPr>
        <w:t>. Available at: https://www.cdc.gov/child-abuse-neglect/about/index.html (Accessed: 29 October 2025).</w:t>
      </w:r>
    </w:p>
    <w:p w14:paraId="375AEA88"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Charuvastra, A. and Cloitre, M. (2008) ‘Social Bonds and Posttraumatic Stress Disorder’, </w:t>
      </w:r>
      <w:r w:rsidRPr="00B526EA">
        <w:rPr>
          <w:rFonts w:ascii="Arial" w:hAnsi="Arial" w:cs="Arial"/>
          <w:i/>
          <w:iCs/>
          <w:szCs w:val="22"/>
        </w:rPr>
        <w:t>Annual Review of Psychology</w:t>
      </w:r>
      <w:r w:rsidRPr="00B526EA">
        <w:rPr>
          <w:rFonts w:ascii="Arial" w:hAnsi="Arial" w:cs="Arial"/>
          <w:szCs w:val="22"/>
        </w:rPr>
        <w:t>, 59(1), pp. 301–328. Available at: https://doi.org/10.1146/annurev.psych.58.110405.085650.</w:t>
      </w:r>
    </w:p>
    <w:p w14:paraId="35E42246"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Connelly, R. and Platt, L. (2014) ‘Cohort Profile: UK Millennium Cohort Study (MCS)’, </w:t>
      </w:r>
      <w:r w:rsidRPr="00B526EA">
        <w:rPr>
          <w:rFonts w:ascii="Arial" w:hAnsi="Arial" w:cs="Arial"/>
          <w:i/>
          <w:iCs/>
          <w:szCs w:val="22"/>
        </w:rPr>
        <w:t>International Journal of Epidemiology</w:t>
      </w:r>
      <w:r w:rsidRPr="00B526EA">
        <w:rPr>
          <w:rFonts w:ascii="Arial" w:hAnsi="Arial" w:cs="Arial"/>
          <w:szCs w:val="22"/>
        </w:rPr>
        <w:t>, 43(6), pp. 1719–1725. Available at: https://doi.org/10.1093/ije/dyu001.</w:t>
      </w:r>
    </w:p>
    <w:p w14:paraId="0C039A1F"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Cruz, D. </w:t>
      </w:r>
      <w:r w:rsidRPr="00B526EA">
        <w:rPr>
          <w:rFonts w:ascii="Arial" w:hAnsi="Arial" w:cs="Arial"/>
          <w:i/>
          <w:iCs/>
          <w:szCs w:val="22"/>
        </w:rPr>
        <w:t>et al.</w:t>
      </w:r>
      <w:r w:rsidRPr="00B526EA">
        <w:rPr>
          <w:rFonts w:ascii="Arial" w:hAnsi="Arial" w:cs="Arial"/>
          <w:szCs w:val="22"/>
        </w:rPr>
        <w:t xml:space="preserve"> (2022) ‘Developmental trauma: Conceptual framework, associated risks and comorbidities, and evaluation and treatment’, </w:t>
      </w:r>
      <w:r w:rsidRPr="00B526EA">
        <w:rPr>
          <w:rFonts w:ascii="Arial" w:hAnsi="Arial" w:cs="Arial"/>
          <w:i/>
          <w:iCs/>
          <w:szCs w:val="22"/>
        </w:rPr>
        <w:t>Frontiers in Psychiatry</w:t>
      </w:r>
      <w:r w:rsidRPr="00B526EA">
        <w:rPr>
          <w:rFonts w:ascii="Arial" w:hAnsi="Arial" w:cs="Arial"/>
          <w:szCs w:val="22"/>
        </w:rPr>
        <w:t>, 13(1), pp. 1–14. Available at: https://doi.org/10.3389/fpsyt.2022.800687.</w:t>
      </w:r>
    </w:p>
    <w:p w14:paraId="013C3DB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D’Onofrio, B. and Emery, R. (2019) ‘Parental Divorce or Separation and children’s Mental Health’, </w:t>
      </w:r>
      <w:r w:rsidRPr="00B526EA">
        <w:rPr>
          <w:rFonts w:ascii="Arial" w:hAnsi="Arial" w:cs="Arial"/>
          <w:i/>
          <w:iCs/>
          <w:szCs w:val="22"/>
        </w:rPr>
        <w:t>World Psychiatry</w:t>
      </w:r>
      <w:r w:rsidRPr="00B526EA">
        <w:rPr>
          <w:rFonts w:ascii="Arial" w:hAnsi="Arial" w:cs="Arial"/>
          <w:szCs w:val="22"/>
        </w:rPr>
        <w:t>, 18(1), pp. 100–101. Available at: https://doi.org/10.1002/wps.20590.</w:t>
      </w:r>
    </w:p>
    <w:p w14:paraId="7F17DCD5"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Evans, R., Garner, P. and Honig, A.S. (2014) ‘Prevention of violence, abuse and neglect in early childhood: a review of the literature on research, policy and practice’, </w:t>
      </w:r>
      <w:r w:rsidRPr="00B526EA">
        <w:rPr>
          <w:rFonts w:ascii="Arial" w:hAnsi="Arial" w:cs="Arial"/>
          <w:i/>
          <w:iCs/>
          <w:szCs w:val="22"/>
        </w:rPr>
        <w:t>Early Child Development and Care</w:t>
      </w:r>
      <w:r w:rsidRPr="00B526EA">
        <w:rPr>
          <w:rFonts w:ascii="Arial" w:hAnsi="Arial" w:cs="Arial"/>
          <w:szCs w:val="22"/>
        </w:rPr>
        <w:t>, 184(9-10), pp. 1295–1335. Available at: https://doi.org/10.1080/03004430.2014.910327.</w:t>
      </w:r>
    </w:p>
    <w:p w14:paraId="517FCB4B"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Fadeeva, A. </w:t>
      </w:r>
      <w:r w:rsidRPr="00B526EA">
        <w:rPr>
          <w:rFonts w:ascii="Arial" w:hAnsi="Arial" w:cs="Arial"/>
          <w:i/>
          <w:iCs/>
          <w:szCs w:val="22"/>
        </w:rPr>
        <w:t>et al.</w:t>
      </w:r>
      <w:r w:rsidRPr="00B526EA">
        <w:rPr>
          <w:rFonts w:ascii="Arial" w:hAnsi="Arial" w:cs="Arial"/>
          <w:szCs w:val="22"/>
        </w:rPr>
        <w:t xml:space="preserve"> (2025) ‘Violence across the life course and physical and mental health trajectories in later life: a 13-year population-based cohort study in England’, </w:t>
      </w:r>
      <w:r w:rsidRPr="00B526EA">
        <w:rPr>
          <w:rFonts w:ascii="Arial" w:hAnsi="Arial" w:cs="Arial"/>
          <w:i/>
          <w:iCs/>
          <w:szCs w:val="22"/>
        </w:rPr>
        <w:t>The lancet. Healthy longevity</w:t>
      </w:r>
      <w:r w:rsidRPr="00B526EA">
        <w:rPr>
          <w:rFonts w:ascii="Arial" w:hAnsi="Arial" w:cs="Arial"/>
          <w:szCs w:val="22"/>
        </w:rPr>
        <w:t>, 6(7), p. 100738. Available at: https://doi.org/10.1016/j.lanhl.2025.100738.</w:t>
      </w:r>
    </w:p>
    <w:p w14:paraId="2EA6E17A"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Farooq, B. </w:t>
      </w:r>
      <w:r w:rsidRPr="00B526EA">
        <w:rPr>
          <w:rFonts w:ascii="Arial" w:hAnsi="Arial" w:cs="Arial"/>
          <w:i/>
          <w:iCs/>
          <w:szCs w:val="22"/>
        </w:rPr>
        <w:t>et al.</w:t>
      </w:r>
      <w:r w:rsidRPr="00B526EA">
        <w:rPr>
          <w:rFonts w:ascii="Arial" w:hAnsi="Arial" w:cs="Arial"/>
          <w:szCs w:val="22"/>
        </w:rPr>
        <w:t xml:space="preserve"> (2024) ‘The relationship between type, timing and duration of exposure to adverse childhood experiences and adolescent self-harm and depression: findings from three UK prospective population-based cohorts’, </w:t>
      </w:r>
      <w:r w:rsidRPr="00B526EA">
        <w:rPr>
          <w:rFonts w:ascii="Arial" w:hAnsi="Arial" w:cs="Arial"/>
          <w:i/>
          <w:iCs/>
          <w:szCs w:val="22"/>
        </w:rPr>
        <w:t>Journal of child psychology and psychiatry and allied disciplines</w:t>
      </w:r>
      <w:r w:rsidRPr="00B526EA">
        <w:rPr>
          <w:rFonts w:ascii="Arial" w:hAnsi="Arial" w:cs="Arial"/>
          <w:szCs w:val="22"/>
        </w:rPr>
        <w:t>, 65(10). Available at: https://doi.org/10.1111/jcpp.13986.</w:t>
      </w:r>
    </w:p>
    <w:p w14:paraId="5324C801"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Farooq, B. </w:t>
      </w:r>
      <w:r w:rsidRPr="00B526EA">
        <w:rPr>
          <w:rFonts w:ascii="Arial" w:hAnsi="Arial" w:cs="Arial"/>
          <w:i/>
          <w:iCs/>
          <w:szCs w:val="22"/>
        </w:rPr>
        <w:t>et al.</w:t>
      </w:r>
      <w:r w:rsidRPr="00B526EA">
        <w:rPr>
          <w:rFonts w:ascii="Arial" w:hAnsi="Arial" w:cs="Arial"/>
          <w:szCs w:val="22"/>
        </w:rPr>
        <w:t xml:space="preserve"> (2025) ‘The association between longitudinal patterns of adverse childhood experiences, and self-harm and depression in adolescence and early adulthood: findings from the Avon longitudinal study of parents and children’, </w:t>
      </w:r>
      <w:r w:rsidRPr="00B526EA">
        <w:rPr>
          <w:rFonts w:ascii="Arial" w:hAnsi="Arial" w:cs="Arial"/>
          <w:i/>
          <w:iCs/>
          <w:szCs w:val="22"/>
        </w:rPr>
        <w:t>European Child &amp; Adolescent Psychiatry</w:t>
      </w:r>
      <w:r w:rsidRPr="00B526EA">
        <w:rPr>
          <w:rFonts w:ascii="Arial" w:hAnsi="Arial" w:cs="Arial"/>
          <w:szCs w:val="22"/>
        </w:rPr>
        <w:t>, 34, pp. 3587–3599. Available at: https://doi.org/10.1007/s00787-025-02781-y.</w:t>
      </w:r>
    </w:p>
    <w:p w14:paraId="4519C187"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Felitti, V.J. </w:t>
      </w:r>
      <w:r w:rsidRPr="00B526EA">
        <w:rPr>
          <w:rFonts w:ascii="Arial" w:hAnsi="Arial" w:cs="Arial"/>
          <w:i/>
          <w:iCs/>
          <w:szCs w:val="22"/>
        </w:rPr>
        <w:t>et al.</w:t>
      </w:r>
      <w:r w:rsidRPr="00B526EA">
        <w:rPr>
          <w:rFonts w:ascii="Arial" w:hAnsi="Arial" w:cs="Arial"/>
          <w:szCs w:val="22"/>
        </w:rPr>
        <w:t xml:space="preserve"> (1998) ‘Relationship of childhood abuse and household dysfunction to many of the leading causes of death in adults’, </w:t>
      </w:r>
      <w:r w:rsidRPr="00B526EA">
        <w:rPr>
          <w:rFonts w:ascii="Arial" w:hAnsi="Arial" w:cs="Arial"/>
          <w:i/>
          <w:iCs/>
          <w:szCs w:val="22"/>
        </w:rPr>
        <w:t>American Journal of Preventive Medicine</w:t>
      </w:r>
      <w:r w:rsidRPr="00B526EA">
        <w:rPr>
          <w:rFonts w:ascii="Arial" w:hAnsi="Arial" w:cs="Arial"/>
          <w:szCs w:val="22"/>
        </w:rPr>
        <w:t>, 14(4), pp. 245–258. Available at: https://doi.org/10.1016/S0749-3797(98)00017-8.</w:t>
      </w:r>
    </w:p>
    <w:p w14:paraId="082238DB"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Fisher, C.A. </w:t>
      </w:r>
      <w:r w:rsidRPr="00B526EA">
        <w:rPr>
          <w:rFonts w:ascii="Arial" w:hAnsi="Arial" w:cs="Arial"/>
          <w:i/>
          <w:iCs/>
          <w:szCs w:val="22"/>
        </w:rPr>
        <w:t>et al.</w:t>
      </w:r>
      <w:r w:rsidRPr="00B526EA">
        <w:rPr>
          <w:rFonts w:ascii="Arial" w:hAnsi="Arial" w:cs="Arial"/>
          <w:szCs w:val="22"/>
        </w:rPr>
        <w:t xml:space="preserve"> (2020) ‘Family violence screening and disclosure in a large metropolitan hospital: A health service users’ survey’, </w:t>
      </w:r>
      <w:r w:rsidRPr="00B526EA">
        <w:rPr>
          <w:rFonts w:ascii="Arial" w:hAnsi="Arial" w:cs="Arial"/>
          <w:i/>
          <w:iCs/>
          <w:szCs w:val="22"/>
        </w:rPr>
        <w:t>Women’s Health</w:t>
      </w:r>
      <w:r w:rsidRPr="00B526EA">
        <w:rPr>
          <w:rFonts w:ascii="Arial" w:hAnsi="Arial" w:cs="Arial"/>
          <w:szCs w:val="22"/>
        </w:rPr>
        <w:t>, 16, p. 174550652095228. Available at: https://doi.org/10.1177/1745506520952285.</w:t>
      </w:r>
    </w:p>
    <w:p w14:paraId="23EBD0C0"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Fluck, D. </w:t>
      </w:r>
      <w:r w:rsidRPr="00B526EA">
        <w:rPr>
          <w:rFonts w:ascii="Arial" w:hAnsi="Arial" w:cs="Arial"/>
          <w:i/>
          <w:iCs/>
          <w:szCs w:val="22"/>
        </w:rPr>
        <w:t>et al.</w:t>
      </w:r>
      <w:r w:rsidRPr="00B526EA">
        <w:rPr>
          <w:rFonts w:ascii="Arial" w:hAnsi="Arial" w:cs="Arial"/>
          <w:szCs w:val="22"/>
        </w:rPr>
        <w:t xml:space="preserve"> (2025) ‘Health Status And Delays In Referral-To-Treatment Waiting Times for Elective Admissions of Adults From Deprived Areas And Ethnic Minority Backgrounds: A Study of Healthcare Inequalities’, </w:t>
      </w:r>
      <w:r w:rsidRPr="00B526EA">
        <w:rPr>
          <w:rFonts w:ascii="Arial" w:hAnsi="Arial" w:cs="Arial"/>
          <w:i/>
          <w:iCs/>
          <w:szCs w:val="22"/>
        </w:rPr>
        <w:t>Journal of racial and ethnic health disparities</w:t>
      </w:r>
      <w:r w:rsidRPr="00B526EA">
        <w:rPr>
          <w:rFonts w:ascii="Arial" w:hAnsi="Arial" w:cs="Arial"/>
          <w:szCs w:val="22"/>
        </w:rPr>
        <w:t xml:space="preserve"> [Preprint]. Available at: https://doi.org/10.1007/s40615-025-02515-5.</w:t>
      </w:r>
    </w:p>
    <w:p w14:paraId="28B40927"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Garrison-Desany, H.M. </w:t>
      </w:r>
      <w:r w:rsidRPr="00B526EA">
        <w:rPr>
          <w:rFonts w:ascii="Arial" w:hAnsi="Arial" w:cs="Arial"/>
          <w:i/>
          <w:iCs/>
          <w:szCs w:val="22"/>
        </w:rPr>
        <w:t>et al.</w:t>
      </w:r>
      <w:r w:rsidRPr="00B526EA">
        <w:rPr>
          <w:rFonts w:ascii="Arial" w:hAnsi="Arial" w:cs="Arial"/>
          <w:szCs w:val="22"/>
        </w:rPr>
        <w:t xml:space="preserve"> (2024) ‘Post-traumatic stress and future substance use outcomes: leveraging antecedent factors to stratify risk’, </w:t>
      </w:r>
      <w:r w:rsidRPr="00B526EA">
        <w:rPr>
          <w:rFonts w:ascii="Arial" w:hAnsi="Arial" w:cs="Arial"/>
          <w:i/>
          <w:iCs/>
          <w:szCs w:val="22"/>
        </w:rPr>
        <w:t>Frontiers in Psychiatry</w:t>
      </w:r>
      <w:r w:rsidRPr="00B526EA">
        <w:rPr>
          <w:rFonts w:ascii="Arial" w:hAnsi="Arial" w:cs="Arial"/>
          <w:szCs w:val="22"/>
        </w:rPr>
        <w:t>, 15. Available at: https://doi.org/10.3389/fpsyt.2024.1249382.</w:t>
      </w:r>
    </w:p>
    <w:p w14:paraId="1DCFE7E0"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Gov UK (2025) </w:t>
      </w:r>
      <w:r w:rsidRPr="00B526EA">
        <w:rPr>
          <w:rFonts w:ascii="Arial" w:hAnsi="Arial" w:cs="Arial"/>
          <w:i/>
          <w:iCs/>
          <w:szCs w:val="22"/>
        </w:rPr>
        <w:t>Working Together to Safeguard Children</w:t>
      </w:r>
      <w:r w:rsidRPr="00B526EA">
        <w:rPr>
          <w:rFonts w:ascii="Arial" w:hAnsi="Arial" w:cs="Arial"/>
          <w:szCs w:val="22"/>
        </w:rPr>
        <w:t xml:space="preserve">, </w:t>
      </w:r>
      <w:r w:rsidRPr="00B526EA">
        <w:rPr>
          <w:rFonts w:ascii="Arial" w:hAnsi="Arial" w:cs="Arial"/>
          <w:i/>
          <w:iCs/>
          <w:szCs w:val="22"/>
        </w:rPr>
        <w:t>GOV.UK</w:t>
      </w:r>
      <w:r w:rsidRPr="00B526EA">
        <w:rPr>
          <w:rFonts w:ascii="Arial" w:hAnsi="Arial" w:cs="Arial"/>
          <w:szCs w:val="22"/>
        </w:rPr>
        <w:t>. Available at: https://www.gov.uk/government/publications/working-together-to-safeguard-children--2 (Accessed: 29 October 2025).</w:t>
      </w:r>
    </w:p>
    <w:p w14:paraId="4BFF3386"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Gov Wales (2024) </w:t>
      </w:r>
      <w:r w:rsidRPr="00B526EA">
        <w:rPr>
          <w:rFonts w:ascii="Arial" w:hAnsi="Arial" w:cs="Arial"/>
          <w:i/>
          <w:iCs/>
          <w:szCs w:val="22"/>
        </w:rPr>
        <w:t>Impact of counselling services for children and young people | GOV.WALES</w:t>
      </w:r>
      <w:r w:rsidRPr="00B526EA">
        <w:rPr>
          <w:rFonts w:ascii="Arial" w:hAnsi="Arial" w:cs="Arial"/>
          <w:szCs w:val="22"/>
        </w:rPr>
        <w:t xml:space="preserve">, </w:t>
      </w:r>
      <w:r w:rsidRPr="00B526EA">
        <w:rPr>
          <w:rFonts w:ascii="Arial" w:hAnsi="Arial" w:cs="Arial"/>
          <w:i/>
          <w:iCs/>
          <w:szCs w:val="22"/>
        </w:rPr>
        <w:t>GOV.WALES</w:t>
      </w:r>
      <w:r w:rsidRPr="00B526EA">
        <w:rPr>
          <w:rFonts w:ascii="Arial" w:hAnsi="Arial" w:cs="Arial"/>
          <w:szCs w:val="22"/>
        </w:rPr>
        <w:t>. Available at: https://www.gov.wales/impact-counselling-services-children-and-young-people (Accessed: 29 October 2025).</w:t>
      </w:r>
    </w:p>
    <w:p w14:paraId="18686988"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Gupta, S. </w:t>
      </w:r>
      <w:r w:rsidRPr="00B526EA">
        <w:rPr>
          <w:rFonts w:ascii="Arial" w:hAnsi="Arial" w:cs="Arial"/>
          <w:i/>
          <w:iCs/>
          <w:szCs w:val="22"/>
        </w:rPr>
        <w:t>et al.</w:t>
      </w:r>
      <w:r w:rsidRPr="00B526EA">
        <w:rPr>
          <w:rFonts w:ascii="Arial" w:hAnsi="Arial" w:cs="Arial"/>
          <w:szCs w:val="22"/>
        </w:rPr>
        <w:t xml:space="preserve"> (2018) ‘Systematic Review of the Literature: Best Practices’, </w:t>
      </w:r>
      <w:r w:rsidRPr="00B526EA">
        <w:rPr>
          <w:rFonts w:ascii="Arial" w:hAnsi="Arial" w:cs="Arial"/>
          <w:i/>
          <w:iCs/>
          <w:szCs w:val="22"/>
        </w:rPr>
        <w:t>Academic Radiology</w:t>
      </w:r>
      <w:r w:rsidRPr="00B526EA">
        <w:rPr>
          <w:rFonts w:ascii="Arial" w:hAnsi="Arial" w:cs="Arial"/>
          <w:szCs w:val="22"/>
        </w:rPr>
        <w:t>, 25(11), pp. 1481–1490. Available at: https://doi.org/10.1016/j.acra.2018.04.025.</w:t>
      </w:r>
    </w:p>
    <w:p w14:paraId="78A555AD"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Guy-Evans, O. (2025) </w:t>
      </w:r>
      <w:r w:rsidRPr="00B526EA">
        <w:rPr>
          <w:rFonts w:ascii="Arial" w:hAnsi="Arial" w:cs="Arial"/>
          <w:i/>
          <w:iCs/>
          <w:szCs w:val="22"/>
        </w:rPr>
        <w:t>Bronfenbrenner’s Ecological Systems Theory</w:t>
      </w:r>
      <w:r w:rsidRPr="00B526EA">
        <w:rPr>
          <w:rFonts w:ascii="Arial" w:hAnsi="Arial" w:cs="Arial"/>
          <w:szCs w:val="22"/>
        </w:rPr>
        <w:t xml:space="preserve">, </w:t>
      </w:r>
      <w:r w:rsidRPr="00B526EA">
        <w:rPr>
          <w:rFonts w:ascii="Arial" w:hAnsi="Arial" w:cs="Arial"/>
          <w:i/>
          <w:iCs/>
          <w:szCs w:val="22"/>
        </w:rPr>
        <w:t>Simply Psychology</w:t>
      </w:r>
      <w:r w:rsidRPr="00B526EA">
        <w:rPr>
          <w:rFonts w:ascii="Arial" w:hAnsi="Arial" w:cs="Arial"/>
          <w:szCs w:val="22"/>
        </w:rPr>
        <w:t>. Available at: https://www.simplypsychology.org/Bronfenbrenner.html (Accessed: 4 January 2026).</w:t>
      </w:r>
    </w:p>
    <w:p w14:paraId="79D4D4CA"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Hawes, D.J. and Allen, J.L. (2023) ‘A Developmental Psychopathology Perspective on Adverse Childhood Experiences (ACEs): Introduction to the Special Issue’, </w:t>
      </w:r>
      <w:r w:rsidRPr="00B526EA">
        <w:rPr>
          <w:rFonts w:ascii="Arial" w:hAnsi="Arial" w:cs="Arial"/>
          <w:i/>
          <w:iCs/>
          <w:szCs w:val="22"/>
        </w:rPr>
        <w:t>Research on Child and Adolescent Psychopathology</w:t>
      </w:r>
      <w:r w:rsidRPr="00B526EA">
        <w:rPr>
          <w:rFonts w:ascii="Arial" w:hAnsi="Arial" w:cs="Arial"/>
          <w:szCs w:val="22"/>
        </w:rPr>
        <w:t>, 51(12). Available at: https://doi.org/10.1007/s10802-023-01100-w.</w:t>
      </w:r>
    </w:p>
    <w:p w14:paraId="74F44ED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HM Government (2023) </w:t>
      </w:r>
      <w:r w:rsidRPr="00B526EA">
        <w:rPr>
          <w:rFonts w:ascii="Arial" w:hAnsi="Arial" w:cs="Arial"/>
          <w:i/>
          <w:iCs/>
          <w:szCs w:val="22"/>
        </w:rPr>
        <w:t>Working Together to Safeguard Children 2023</w:t>
      </w:r>
      <w:r w:rsidRPr="00B526EA">
        <w:rPr>
          <w:rFonts w:ascii="Arial" w:hAnsi="Arial" w:cs="Arial"/>
          <w:szCs w:val="22"/>
        </w:rPr>
        <w:t>. Available at: https://assets.publishing.service.gov.uk/media/6849a7b67cba25f610c7db3f/Working_together_to_safeguard_children_2023_-_statutory_guidance.pdf (Accessed: 29 October 2025).</w:t>
      </w:r>
    </w:p>
    <w:p w14:paraId="5B81082F"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Kalidas, A.J. (2021) ‘The Effectiveness of CRAAP Test in Evaluating Credibility of Sources’, </w:t>
      </w:r>
      <w:r w:rsidRPr="00B526EA">
        <w:rPr>
          <w:rFonts w:ascii="Arial" w:hAnsi="Arial" w:cs="Arial"/>
          <w:i/>
          <w:iCs/>
          <w:szCs w:val="22"/>
        </w:rPr>
        <w:t>International Journal of TESOL &amp; Education</w:t>
      </w:r>
      <w:r w:rsidRPr="00B526EA">
        <w:rPr>
          <w:rFonts w:ascii="Arial" w:hAnsi="Arial" w:cs="Arial"/>
          <w:szCs w:val="22"/>
        </w:rPr>
        <w:t>, 1(2), pp. 1–14.</w:t>
      </w:r>
    </w:p>
    <w:p w14:paraId="0023E5F2"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Karhina, K. </w:t>
      </w:r>
      <w:r w:rsidRPr="00B526EA">
        <w:rPr>
          <w:rFonts w:ascii="Arial" w:hAnsi="Arial" w:cs="Arial"/>
          <w:i/>
          <w:iCs/>
          <w:szCs w:val="22"/>
        </w:rPr>
        <w:t>et al.</w:t>
      </w:r>
      <w:r w:rsidRPr="00B526EA">
        <w:rPr>
          <w:rFonts w:ascii="Arial" w:hAnsi="Arial" w:cs="Arial"/>
          <w:szCs w:val="22"/>
        </w:rPr>
        <w:t xml:space="preserve"> (2023) ‘Parental separation, negative life events and mental health problems in adolescence’, </w:t>
      </w:r>
      <w:r w:rsidRPr="00B526EA">
        <w:rPr>
          <w:rFonts w:ascii="Arial" w:hAnsi="Arial" w:cs="Arial"/>
          <w:i/>
          <w:iCs/>
          <w:szCs w:val="22"/>
        </w:rPr>
        <w:t>BMC Public Health</w:t>
      </w:r>
      <w:r w:rsidRPr="00B526EA">
        <w:rPr>
          <w:rFonts w:ascii="Arial" w:hAnsi="Arial" w:cs="Arial"/>
          <w:szCs w:val="22"/>
        </w:rPr>
        <w:t>, 23(1). Available at: https://doi.org/10.1186/s12889-023-17307-x.</w:t>
      </w:r>
    </w:p>
    <w:p w14:paraId="7C39137B"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Kerman, N. </w:t>
      </w:r>
      <w:r w:rsidRPr="00B526EA">
        <w:rPr>
          <w:rFonts w:ascii="Arial" w:hAnsi="Arial" w:cs="Arial"/>
          <w:i/>
          <w:iCs/>
          <w:szCs w:val="22"/>
        </w:rPr>
        <w:t>et al.</w:t>
      </w:r>
      <w:r w:rsidRPr="00B526EA">
        <w:rPr>
          <w:rFonts w:ascii="Arial" w:hAnsi="Arial" w:cs="Arial"/>
          <w:szCs w:val="22"/>
        </w:rPr>
        <w:t xml:space="preserve"> (2022) ‘“Systems trauma”: A qualitative study of work-related distress among service providers to people experiencing homelessness in Canada’, </w:t>
      </w:r>
      <w:r w:rsidRPr="00B526EA">
        <w:rPr>
          <w:rFonts w:ascii="Arial" w:hAnsi="Arial" w:cs="Arial"/>
          <w:i/>
          <w:iCs/>
          <w:szCs w:val="22"/>
        </w:rPr>
        <w:t>SSM - Mental Health</w:t>
      </w:r>
      <w:r w:rsidRPr="00B526EA">
        <w:rPr>
          <w:rFonts w:ascii="Arial" w:hAnsi="Arial" w:cs="Arial"/>
          <w:szCs w:val="22"/>
        </w:rPr>
        <w:t>, 2, p. 100163. Available at: https://doi.org/10.1016/j.ssmmh.2022.100163.</w:t>
      </w:r>
    </w:p>
    <w:p w14:paraId="34AD5A16"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Lacey, R.E. </w:t>
      </w:r>
      <w:r w:rsidRPr="00B526EA">
        <w:rPr>
          <w:rFonts w:ascii="Arial" w:hAnsi="Arial" w:cs="Arial"/>
          <w:i/>
          <w:iCs/>
          <w:szCs w:val="22"/>
        </w:rPr>
        <w:t>et al.</w:t>
      </w:r>
      <w:r w:rsidRPr="00B526EA">
        <w:rPr>
          <w:rFonts w:ascii="Arial" w:hAnsi="Arial" w:cs="Arial"/>
          <w:szCs w:val="22"/>
        </w:rPr>
        <w:t xml:space="preserve"> (2014) ‘Parental separation and adult psychological distress: an investigation of material and relational mechanisms’, </w:t>
      </w:r>
      <w:r w:rsidRPr="00B526EA">
        <w:rPr>
          <w:rFonts w:ascii="Arial" w:hAnsi="Arial" w:cs="Arial"/>
          <w:i/>
          <w:iCs/>
          <w:szCs w:val="22"/>
        </w:rPr>
        <w:t>BMC Public Health</w:t>
      </w:r>
      <w:r w:rsidRPr="00B526EA">
        <w:rPr>
          <w:rFonts w:ascii="Arial" w:hAnsi="Arial" w:cs="Arial"/>
          <w:szCs w:val="22"/>
        </w:rPr>
        <w:t>, 14(1). Available at: https://doi.org/10.1186/1471-2458-14-272.</w:t>
      </w:r>
    </w:p>
    <w:p w14:paraId="7965BE3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Lacey, R.E. </w:t>
      </w:r>
      <w:r w:rsidRPr="00B526EA">
        <w:rPr>
          <w:rFonts w:ascii="Arial" w:hAnsi="Arial" w:cs="Arial"/>
          <w:i/>
          <w:iCs/>
          <w:szCs w:val="22"/>
        </w:rPr>
        <w:t>et al.</w:t>
      </w:r>
      <w:r w:rsidRPr="00B526EA">
        <w:rPr>
          <w:rFonts w:ascii="Arial" w:hAnsi="Arial" w:cs="Arial"/>
          <w:szCs w:val="22"/>
        </w:rPr>
        <w:t xml:space="preserve"> (2020) ‘The Clustering of Adverse Childhood Experiences in the Avon Longitudinal Study of Parents and Children: Are Gender and Poverty Important?’, </w:t>
      </w:r>
      <w:r w:rsidRPr="00B526EA">
        <w:rPr>
          <w:rFonts w:ascii="Arial" w:hAnsi="Arial" w:cs="Arial"/>
          <w:i/>
          <w:iCs/>
          <w:szCs w:val="22"/>
        </w:rPr>
        <w:t>Journal of Interpersonal Violence</w:t>
      </w:r>
      <w:r w:rsidRPr="00B526EA">
        <w:rPr>
          <w:rFonts w:ascii="Arial" w:hAnsi="Arial" w:cs="Arial"/>
          <w:szCs w:val="22"/>
        </w:rPr>
        <w:t>, 37(5-6), p. 088626052093509. Available at: https://doi.org/10.1177/0886260520935096.</w:t>
      </w:r>
    </w:p>
    <w:p w14:paraId="4F3EC448"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Lame, G. (2019) ‘Systematic Literature Reviews: an Introduction’, </w:t>
      </w:r>
      <w:r w:rsidRPr="00B526EA">
        <w:rPr>
          <w:rFonts w:ascii="Arial" w:hAnsi="Arial" w:cs="Arial"/>
          <w:i/>
          <w:iCs/>
          <w:szCs w:val="22"/>
        </w:rPr>
        <w:t>Proceedings of the Design Society: International Conference on Engineering Design</w:t>
      </w:r>
      <w:r w:rsidRPr="00B526EA">
        <w:rPr>
          <w:rFonts w:ascii="Arial" w:hAnsi="Arial" w:cs="Arial"/>
          <w:szCs w:val="22"/>
        </w:rPr>
        <w:t>, 1(1), pp. 1633–1642. Available at: https://doi.org/10.1017/dsi.2019.169.</w:t>
      </w:r>
    </w:p>
    <w:p w14:paraId="35FCCD82"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Lee, H., Kim, Y. and Terry, J. (2020) ‘Adverse childhood experiences (ACEs) on mental disorders in young adulthood: Latent classes and community violence exposure’, </w:t>
      </w:r>
      <w:r w:rsidRPr="00B526EA">
        <w:rPr>
          <w:rFonts w:ascii="Arial" w:hAnsi="Arial" w:cs="Arial"/>
          <w:i/>
          <w:iCs/>
          <w:szCs w:val="22"/>
        </w:rPr>
        <w:t>Preventive Medicine</w:t>
      </w:r>
      <w:r w:rsidRPr="00B526EA">
        <w:rPr>
          <w:rFonts w:ascii="Arial" w:hAnsi="Arial" w:cs="Arial"/>
          <w:szCs w:val="22"/>
        </w:rPr>
        <w:t>, 134, p. 106039. Available at: https://doi.org/10.1016/j.ypmed.2020.106039.</w:t>
      </w:r>
    </w:p>
    <w:p w14:paraId="3E64B56A"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Lester, S., Khatwa, M. and Sutcliffe, K. (2020) ‘Service needs of young people affected by adverse childhood experiences (ACEs): a systematic review of UK qualitative evidence’, </w:t>
      </w:r>
      <w:r w:rsidRPr="00B526EA">
        <w:rPr>
          <w:rFonts w:ascii="Arial" w:hAnsi="Arial" w:cs="Arial"/>
          <w:i/>
          <w:iCs/>
          <w:szCs w:val="22"/>
        </w:rPr>
        <w:t>Children and Youth Services Review</w:t>
      </w:r>
      <w:r w:rsidRPr="00B526EA">
        <w:rPr>
          <w:rFonts w:ascii="Arial" w:hAnsi="Arial" w:cs="Arial"/>
          <w:szCs w:val="22"/>
        </w:rPr>
        <w:t>, 118(105429), p. 105429. Available at: https://doi.org/10.1016/j.childyouth.2020.105429.</w:t>
      </w:r>
    </w:p>
    <w:p w14:paraId="38907E66"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Lucente, M. and Guidi, J. (2023) ‘Allostatic Load in Children and Adolescents: A Systematic Review’, </w:t>
      </w:r>
      <w:r w:rsidRPr="00B526EA">
        <w:rPr>
          <w:rFonts w:ascii="Arial" w:hAnsi="Arial" w:cs="Arial"/>
          <w:i/>
          <w:iCs/>
          <w:szCs w:val="22"/>
        </w:rPr>
        <w:t>Psychotherapy and Psychosomatics</w:t>
      </w:r>
      <w:r w:rsidRPr="00B526EA">
        <w:rPr>
          <w:rFonts w:ascii="Arial" w:hAnsi="Arial" w:cs="Arial"/>
          <w:szCs w:val="22"/>
        </w:rPr>
        <w:t>, 92(5), pp. 1–9. Available at: https://doi.org/10.1159/000533424.</w:t>
      </w:r>
    </w:p>
    <w:p w14:paraId="1A4DCF32"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MacCarthy, D. </w:t>
      </w:r>
      <w:r w:rsidRPr="00B526EA">
        <w:rPr>
          <w:rFonts w:ascii="Arial" w:hAnsi="Arial" w:cs="Arial"/>
          <w:i/>
          <w:iCs/>
          <w:szCs w:val="22"/>
        </w:rPr>
        <w:t>et al.</w:t>
      </w:r>
      <w:r w:rsidRPr="00B526EA">
        <w:rPr>
          <w:rFonts w:ascii="Arial" w:hAnsi="Arial" w:cs="Arial"/>
          <w:szCs w:val="22"/>
        </w:rPr>
        <w:t xml:space="preserve"> (2012) ‘Improving primary care in British Columbia, Canada: evaluation of a peer-to-peer continuing education program for family physicians’, </w:t>
      </w:r>
      <w:r w:rsidRPr="00B526EA">
        <w:rPr>
          <w:rFonts w:ascii="Arial" w:hAnsi="Arial" w:cs="Arial"/>
          <w:i/>
          <w:iCs/>
          <w:szCs w:val="22"/>
        </w:rPr>
        <w:t>BMC Medical Education</w:t>
      </w:r>
      <w:r w:rsidRPr="00B526EA">
        <w:rPr>
          <w:rFonts w:ascii="Arial" w:hAnsi="Arial" w:cs="Arial"/>
          <w:szCs w:val="22"/>
        </w:rPr>
        <w:t>, 12(1). Available at: https://doi.org/10.1186/1472-6920-12-110.</w:t>
      </w:r>
    </w:p>
    <w:p w14:paraId="36127739"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MacKinnon, D.P. and Luecken, L.J. (2008) ‘How and for whom? Mediation and moderation in health psychology.’, </w:t>
      </w:r>
      <w:r w:rsidRPr="00B526EA">
        <w:rPr>
          <w:rFonts w:ascii="Arial" w:hAnsi="Arial" w:cs="Arial"/>
          <w:i/>
          <w:iCs/>
          <w:szCs w:val="22"/>
        </w:rPr>
        <w:t>Health Psychology</w:t>
      </w:r>
      <w:r w:rsidRPr="00B526EA">
        <w:rPr>
          <w:rFonts w:ascii="Arial" w:hAnsi="Arial" w:cs="Arial"/>
          <w:szCs w:val="22"/>
        </w:rPr>
        <w:t>, 27(2, Suppl), pp. S99–S100. Available at: https://doi.org/10.1037/0278-6133.27.2(suppl.).s99.</w:t>
      </w:r>
    </w:p>
    <w:p w14:paraId="7D74992C"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Maughan, B. and Collishaw, S. (2015) ‘Development and psychopathology: a life course perspective’, </w:t>
      </w:r>
      <w:r w:rsidRPr="00B526EA">
        <w:rPr>
          <w:rFonts w:ascii="Arial" w:hAnsi="Arial" w:cs="Arial"/>
          <w:i/>
          <w:iCs/>
          <w:szCs w:val="22"/>
        </w:rPr>
        <w:t>Rutter’s Child and Adolescent Psychiatry</w:t>
      </w:r>
      <w:r w:rsidRPr="00B526EA">
        <w:rPr>
          <w:rFonts w:ascii="Arial" w:hAnsi="Arial" w:cs="Arial"/>
          <w:szCs w:val="22"/>
        </w:rPr>
        <w:t>, pp. 1–16. Available at: https://doi.org/10.1002/9781118381953.ch1.</w:t>
      </w:r>
    </w:p>
    <w:p w14:paraId="7D253A85"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McEwen, B. (1998) ‘Stress, Adaptation, and Disease: Allostasis and Allostatic Load’, </w:t>
      </w:r>
      <w:r w:rsidRPr="00B526EA">
        <w:rPr>
          <w:rFonts w:ascii="Arial" w:hAnsi="Arial" w:cs="Arial"/>
          <w:i/>
          <w:iCs/>
          <w:szCs w:val="22"/>
        </w:rPr>
        <w:t>Annals of the New York Academy of Sciences</w:t>
      </w:r>
      <w:r w:rsidRPr="00B526EA">
        <w:rPr>
          <w:rFonts w:ascii="Arial" w:hAnsi="Arial" w:cs="Arial"/>
          <w:szCs w:val="22"/>
        </w:rPr>
        <w:t>, 840(1), pp. 33–44. Available at: https://doi.org/10.1111/j.1749-6632.1998.tb09546.x.</w:t>
      </w:r>
    </w:p>
    <w:p w14:paraId="1843052B"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McLaughlin, K., Sheridan, M. and Lambert, H. (2014) ‘Childhood adversity and neural development: Deprivation and threat as distinct dimensions of early experience’, </w:t>
      </w:r>
      <w:r w:rsidRPr="00B526EA">
        <w:rPr>
          <w:rFonts w:ascii="Arial" w:hAnsi="Arial" w:cs="Arial"/>
          <w:i/>
          <w:iCs/>
          <w:szCs w:val="22"/>
        </w:rPr>
        <w:t>Neuroscience &amp; Biobehavioral Reviews</w:t>
      </w:r>
      <w:r w:rsidRPr="00B526EA">
        <w:rPr>
          <w:rFonts w:ascii="Arial" w:hAnsi="Arial" w:cs="Arial"/>
          <w:szCs w:val="22"/>
        </w:rPr>
        <w:t>, 47(47), pp. 578–591. Available at: https://doi.org/10.1016/j.neubiorev.2014.10.012.</w:t>
      </w:r>
    </w:p>
    <w:p w14:paraId="5E29F80B"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Merrick, M.T. </w:t>
      </w:r>
      <w:r w:rsidRPr="00B526EA">
        <w:rPr>
          <w:rFonts w:ascii="Arial" w:hAnsi="Arial" w:cs="Arial"/>
          <w:i/>
          <w:iCs/>
          <w:szCs w:val="22"/>
        </w:rPr>
        <w:t>et al.</w:t>
      </w:r>
      <w:r w:rsidRPr="00B526EA">
        <w:rPr>
          <w:rFonts w:ascii="Arial" w:hAnsi="Arial" w:cs="Arial"/>
          <w:szCs w:val="22"/>
        </w:rPr>
        <w:t xml:space="preserve"> (2017) ‘Unpacking the Impact of Adverse Childhood Experiences on Adult Mental Health’, </w:t>
      </w:r>
      <w:r w:rsidRPr="00B526EA">
        <w:rPr>
          <w:rFonts w:ascii="Arial" w:hAnsi="Arial" w:cs="Arial"/>
          <w:i/>
          <w:iCs/>
          <w:szCs w:val="22"/>
        </w:rPr>
        <w:t>Child Abuse &amp; Neglect</w:t>
      </w:r>
      <w:r w:rsidRPr="00B526EA">
        <w:rPr>
          <w:rFonts w:ascii="Arial" w:hAnsi="Arial" w:cs="Arial"/>
          <w:szCs w:val="22"/>
        </w:rPr>
        <w:t>, 69(1), pp. 10–19. Available at: https://doi.org/10.1016/j.chiabu.2017.03.016.</w:t>
      </w:r>
    </w:p>
    <w:p w14:paraId="0B1DAB65"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Ministry of Justice, Levitt, B. and Lammy, H.D. (2025) </w:t>
      </w:r>
      <w:r w:rsidRPr="00B526EA">
        <w:rPr>
          <w:rFonts w:ascii="Arial" w:hAnsi="Arial" w:cs="Arial"/>
          <w:i/>
          <w:iCs/>
          <w:szCs w:val="22"/>
        </w:rPr>
        <w:t>Government action to protect children from abusive parents</w:t>
      </w:r>
      <w:r w:rsidRPr="00B526EA">
        <w:rPr>
          <w:rFonts w:ascii="Arial" w:hAnsi="Arial" w:cs="Arial"/>
          <w:szCs w:val="22"/>
        </w:rPr>
        <w:t xml:space="preserve">, </w:t>
      </w:r>
      <w:r w:rsidRPr="00B526EA">
        <w:rPr>
          <w:rFonts w:ascii="Arial" w:hAnsi="Arial" w:cs="Arial"/>
          <w:i/>
          <w:iCs/>
          <w:szCs w:val="22"/>
        </w:rPr>
        <w:t>GOV.UK</w:t>
      </w:r>
      <w:r w:rsidRPr="00B526EA">
        <w:rPr>
          <w:rFonts w:ascii="Arial" w:hAnsi="Arial" w:cs="Arial"/>
          <w:szCs w:val="22"/>
        </w:rPr>
        <w:t>. Available at: https://www.gov.uk/government/news/government-action-to-protect-children-from-abusive-parents (Accessed: 4 January 2026).</w:t>
      </w:r>
    </w:p>
    <w:p w14:paraId="0C44FCAA"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Moberg, M. </w:t>
      </w:r>
      <w:r w:rsidRPr="00B526EA">
        <w:rPr>
          <w:rFonts w:ascii="Arial" w:hAnsi="Arial" w:cs="Arial"/>
          <w:i/>
          <w:iCs/>
          <w:szCs w:val="22"/>
        </w:rPr>
        <w:t>et al.</w:t>
      </w:r>
      <w:r w:rsidRPr="00B526EA">
        <w:rPr>
          <w:rFonts w:ascii="Arial" w:hAnsi="Arial" w:cs="Arial"/>
          <w:szCs w:val="22"/>
        </w:rPr>
        <w:t xml:space="preserve"> (2025) ‘School nurses’ perceptions and experiences of delivering a universal health-promotion program targeting both children and parents in the Swedish primary school context’, </w:t>
      </w:r>
      <w:r w:rsidRPr="00B526EA">
        <w:rPr>
          <w:rFonts w:ascii="Arial" w:hAnsi="Arial" w:cs="Arial"/>
          <w:i/>
          <w:iCs/>
          <w:szCs w:val="22"/>
        </w:rPr>
        <w:t>BMC Nursing</w:t>
      </w:r>
      <w:r w:rsidRPr="00B526EA">
        <w:rPr>
          <w:rFonts w:ascii="Arial" w:hAnsi="Arial" w:cs="Arial"/>
          <w:szCs w:val="22"/>
        </w:rPr>
        <w:t>, 24(1). Available at: https://doi.org/10.1186/s12912-025-03806-2.</w:t>
      </w:r>
    </w:p>
    <w:p w14:paraId="4D9DB75C"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Moledina, A. </w:t>
      </w:r>
      <w:r w:rsidRPr="00B526EA">
        <w:rPr>
          <w:rFonts w:ascii="Arial" w:hAnsi="Arial" w:cs="Arial"/>
          <w:i/>
          <w:iCs/>
          <w:szCs w:val="22"/>
        </w:rPr>
        <w:t>et al.</w:t>
      </w:r>
      <w:r w:rsidRPr="00B526EA">
        <w:rPr>
          <w:rFonts w:ascii="Arial" w:hAnsi="Arial" w:cs="Arial"/>
          <w:szCs w:val="22"/>
        </w:rPr>
        <w:t xml:space="preserve"> (2021) ‘A comprehensive review of prioritised interventions to improve the health and wellbeing of persons with lived experience of homelessness’, </w:t>
      </w:r>
      <w:r w:rsidRPr="00B526EA">
        <w:rPr>
          <w:rFonts w:ascii="Arial" w:hAnsi="Arial" w:cs="Arial"/>
          <w:i/>
          <w:iCs/>
          <w:szCs w:val="22"/>
        </w:rPr>
        <w:t>Campbell Systematic Reviews</w:t>
      </w:r>
      <w:r w:rsidRPr="00B526EA">
        <w:rPr>
          <w:rFonts w:ascii="Arial" w:hAnsi="Arial" w:cs="Arial"/>
          <w:szCs w:val="22"/>
        </w:rPr>
        <w:t>, 17(2), p. e1154. Available at: https://doi.org/10.1002/cl2.1154.</w:t>
      </w:r>
    </w:p>
    <w:p w14:paraId="369027B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NHS (2024) </w:t>
      </w:r>
      <w:r w:rsidRPr="00B526EA">
        <w:rPr>
          <w:rFonts w:ascii="Arial" w:hAnsi="Arial" w:cs="Arial"/>
          <w:i/>
          <w:iCs/>
          <w:szCs w:val="22"/>
        </w:rPr>
        <w:t>NHS Talking Therapies for anxiety and depression Manual (Formerly known as Improving Access to Psychological Therapies)</w:t>
      </w:r>
      <w:r w:rsidRPr="00B526EA">
        <w:rPr>
          <w:rFonts w:ascii="Arial" w:hAnsi="Arial" w:cs="Arial"/>
          <w:szCs w:val="22"/>
        </w:rPr>
        <w:t>. Available at: https://www.england.nhs.uk/wp-content/uploads/2018/06/nhs-talking-therapies-manual-v7.1-updated.pdf (Accessed: 4 January 2026).</w:t>
      </w:r>
    </w:p>
    <w:p w14:paraId="534FF1B7"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NHS England (2023) </w:t>
      </w:r>
      <w:r w:rsidRPr="00B526EA">
        <w:rPr>
          <w:rFonts w:ascii="Arial" w:hAnsi="Arial" w:cs="Arial"/>
          <w:i/>
          <w:iCs/>
          <w:szCs w:val="22"/>
        </w:rPr>
        <w:t>NHS talking therapies, for anxiety and depression</w:t>
      </w:r>
      <w:r w:rsidRPr="00B526EA">
        <w:rPr>
          <w:rFonts w:ascii="Arial" w:hAnsi="Arial" w:cs="Arial"/>
          <w:szCs w:val="22"/>
        </w:rPr>
        <w:t xml:space="preserve">, </w:t>
      </w:r>
      <w:r w:rsidRPr="00B526EA">
        <w:rPr>
          <w:rFonts w:ascii="Arial" w:hAnsi="Arial" w:cs="Arial"/>
          <w:i/>
          <w:iCs/>
          <w:szCs w:val="22"/>
        </w:rPr>
        <w:t>www.england.nhs.uk</w:t>
      </w:r>
      <w:r w:rsidRPr="00B526EA">
        <w:rPr>
          <w:rFonts w:ascii="Arial" w:hAnsi="Arial" w:cs="Arial"/>
          <w:szCs w:val="22"/>
        </w:rPr>
        <w:t>. Available at: https://www.england.nhs.uk/mental-health/adults/nhs-talking-therapies/ (Accessed: 29 October 2025).</w:t>
      </w:r>
    </w:p>
    <w:p w14:paraId="3CF8E4B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NHS England (2025) </w:t>
      </w:r>
      <w:r w:rsidRPr="00B526EA">
        <w:rPr>
          <w:rFonts w:ascii="Arial" w:hAnsi="Arial" w:cs="Arial"/>
          <w:i/>
          <w:iCs/>
          <w:szCs w:val="22"/>
        </w:rPr>
        <w:t>NHS England» Trauma-informed and harm-aware inpatient care</w:t>
      </w:r>
      <w:r w:rsidRPr="00B526EA">
        <w:rPr>
          <w:rFonts w:ascii="Arial" w:hAnsi="Arial" w:cs="Arial"/>
          <w:szCs w:val="22"/>
        </w:rPr>
        <w:t xml:space="preserve">, </w:t>
      </w:r>
      <w:r w:rsidRPr="00B526EA">
        <w:rPr>
          <w:rFonts w:ascii="Arial" w:hAnsi="Arial" w:cs="Arial"/>
          <w:i/>
          <w:iCs/>
          <w:szCs w:val="22"/>
        </w:rPr>
        <w:t>England.nhs.uk</w:t>
      </w:r>
      <w:r w:rsidRPr="00B526EA">
        <w:rPr>
          <w:rFonts w:ascii="Arial" w:hAnsi="Arial" w:cs="Arial"/>
          <w:szCs w:val="22"/>
        </w:rPr>
        <w:t>. Available at: https://www.england.nhs.uk/long-read/trauma-informed-harm-aware-inpatient-care/ (Accessed: 4 January 2026).</w:t>
      </w:r>
    </w:p>
    <w:p w14:paraId="336AA475"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NICE (2022) </w:t>
      </w:r>
      <w:r w:rsidRPr="00B526EA">
        <w:rPr>
          <w:rFonts w:ascii="Arial" w:hAnsi="Arial" w:cs="Arial"/>
          <w:i/>
          <w:iCs/>
          <w:szCs w:val="22"/>
        </w:rPr>
        <w:t>Overview | Self-harm: Assessment, Management and Preventing Recurrence | Guidance | NICE</w:t>
      </w:r>
      <w:r w:rsidRPr="00B526EA">
        <w:rPr>
          <w:rFonts w:ascii="Arial" w:hAnsi="Arial" w:cs="Arial"/>
          <w:szCs w:val="22"/>
        </w:rPr>
        <w:t xml:space="preserve">, </w:t>
      </w:r>
      <w:r w:rsidRPr="00B526EA">
        <w:rPr>
          <w:rFonts w:ascii="Arial" w:hAnsi="Arial" w:cs="Arial"/>
          <w:i/>
          <w:iCs/>
          <w:szCs w:val="22"/>
        </w:rPr>
        <w:t>www.nice.org.uk</w:t>
      </w:r>
      <w:r w:rsidRPr="00B526EA">
        <w:rPr>
          <w:rFonts w:ascii="Arial" w:hAnsi="Arial" w:cs="Arial"/>
          <w:szCs w:val="22"/>
        </w:rPr>
        <w:t>. National Institute for Health and Care Excellence. Available at: https://www.nice.org.uk/guidance/NG225 (Accessed: 29 October 2025).</w:t>
      </w:r>
    </w:p>
    <w:p w14:paraId="1D33F8E5"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Norman, R.E. </w:t>
      </w:r>
      <w:r w:rsidRPr="00B526EA">
        <w:rPr>
          <w:rFonts w:ascii="Arial" w:hAnsi="Arial" w:cs="Arial"/>
          <w:i/>
          <w:iCs/>
          <w:szCs w:val="22"/>
        </w:rPr>
        <w:t>et al.</w:t>
      </w:r>
      <w:r w:rsidRPr="00B526EA">
        <w:rPr>
          <w:rFonts w:ascii="Arial" w:hAnsi="Arial" w:cs="Arial"/>
          <w:szCs w:val="22"/>
        </w:rPr>
        <w:t xml:space="preserve"> (2012) ‘The Long-Term Health Consequences of Child Physical Abuse, Emotional Abuse, and Neglect: a Systematic Review and Meta-Analysis’, </w:t>
      </w:r>
      <w:r w:rsidRPr="00B526EA">
        <w:rPr>
          <w:rFonts w:ascii="Arial" w:hAnsi="Arial" w:cs="Arial"/>
          <w:i/>
          <w:iCs/>
          <w:szCs w:val="22"/>
        </w:rPr>
        <w:t>PLoS Medicine</w:t>
      </w:r>
      <w:r w:rsidRPr="00B526EA">
        <w:rPr>
          <w:rFonts w:ascii="Arial" w:hAnsi="Arial" w:cs="Arial"/>
          <w:szCs w:val="22"/>
        </w:rPr>
        <w:t>. Edited by M. Tomlinson, 9(11), p. e1001349. Available at: https://doi.org/10.1371/journal.pmed.1001349.</w:t>
      </w:r>
    </w:p>
    <w:p w14:paraId="6DE01B3E"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O’Hara, K.L. </w:t>
      </w:r>
      <w:r w:rsidRPr="00B526EA">
        <w:rPr>
          <w:rFonts w:ascii="Arial" w:hAnsi="Arial" w:cs="Arial"/>
          <w:i/>
          <w:iCs/>
          <w:szCs w:val="22"/>
        </w:rPr>
        <w:t>et al.</w:t>
      </w:r>
      <w:r w:rsidRPr="00B526EA">
        <w:rPr>
          <w:rFonts w:ascii="Arial" w:hAnsi="Arial" w:cs="Arial"/>
          <w:szCs w:val="22"/>
        </w:rPr>
        <w:t xml:space="preserve"> (2019) ‘Coping in context: The effects of long-term relations between interparental conflict and coping on the development of child psychopathology following parental divorce’, </w:t>
      </w:r>
      <w:r w:rsidRPr="00B526EA">
        <w:rPr>
          <w:rFonts w:ascii="Arial" w:hAnsi="Arial" w:cs="Arial"/>
          <w:i/>
          <w:iCs/>
          <w:szCs w:val="22"/>
        </w:rPr>
        <w:t>Development and Psychopathology</w:t>
      </w:r>
      <w:r w:rsidRPr="00B526EA">
        <w:rPr>
          <w:rFonts w:ascii="Arial" w:hAnsi="Arial" w:cs="Arial"/>
          <w:szCs w:val="22"/>
        </w:rPr>
        <w:t>, 31(5), pp. 1695–1713. Available at: https://doi.org/10.1017/s0954579419000981.</w:t>
      </w:r>
    </w:p>
    <w:p w14:paraId="49820040"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Palmtag, E.-L. (2022) ‘Like ripples on a pond: The long-term consequences of parental separation and conflicts in childhood on adult children’s self-rated health’, </w:t>
      </w:r>
      <w:r w:rsidRPr="00B526EA">
        <w:rPr>
          <w:rFonts w:ascii="Arial" w:hAnsi="Arial" w:cs="Arial"/>
          <w:i/>
          <w:iCs/>
          <w:szCs w:val="22"/>
        </w:rPr>
        <w:t>SSM - Population Health</w:t>
      </w:r>
      <w:r w:rsidRPr="00B526EA">
        <w:rPr>
          <w:rFonts w:ascii="Arial" w:hAnsi="Arial" w:cs="Arial"/>
          <w:szCs w:val="22"/>
        </w:rPr>
        <w:t>, 18, p. 101100. Available at: https://doi.org/10.1016/j.ssmph.2022.101100.</w:t>
      </w:r>
    </w:p>
    <w:p w14:paraId="1B50724A"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Quigg, Z., Wallis, S. and Butler, N. (2018) </w:t>
      </w:r>
      <w:r w:rsidRPr="00B526EA">
        <w:rPr>
          <w:rFonts w:ascii="Arial" w:hAnsi="Arial" w:cs="Arial"/>
          <w:i/>
          <w:iCs/>
          <w:szCs w:val="22"/>
        </w:rPr>
        <w:t>Routine Enquiry about Adverse Childhood Experiences Implementation Pack Pilot Evaluation (final report)</w:t>
      </w:r>
      <w:r w:rsidRPr="00B526EA">
        <w:rPr>
          <w:rFonts w:ascii="Arial" w:hAnsi="Arial" w:cs="Arial"/>
          <w:szCs w:val="22"/>
        </w:rPr>
        <w:t>. Available at: https://assets.publishing.service.gov.uk/media/5b0fe34be5274a18f42a8b0a/REACh-implementation-pack-pilot-evaluation-final-report.pdf (Accessed: 4 January 2026).</w:t>
      </w:r>
    </w:p>
    <w:p w14:paraId="783D4EF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Riley, A.R. (2020) ‘Advancing the study of health inequality: Fundamental causes as systems of exposure’, </w:t>
      </w:r>
      <w:r w:rsidRPr="00B526EA">
        <w:rPr>
          <w:rFonts w:ascii="Arial" w:hAnsi="Arial" w:cs="Arial"/>
          <w:i/>
          <w:iCs/>
          <w:szCs w:val="22"/>
        </w:rPr>
        <w:t>SSM - Population Health</w:t>
      </w:r>
      <w:r w:rsidRPr="00B526EA">
        <w:rPr>
          <w:rFonts w:ascii="Arial" w:hAnsi="Arial" w:cs="Arial"/>
          <w:szCs w:val="22"/>
        </w:rPr>
        <w:t>, 10, p. 100555. Available at: https://doi.org/10.1016/j.ssmph.2020.100555.</w:t>
      </w:r>
    </w:p>
    <w:p w14:paraId="630AF12E"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Salthouse, T.A. (2019) ‘Attrition in Longitudinal Data is Primarily Selective with Respect to Level Rather than Rate of Change’, </w:t>
      </w:r>
      <w:r w:rsidRPr="00B526EA">
        <w:rPr>
          <w:rFonts w:ascii="Arial" w:hAnsi="Arial" w:cs="Arial"/>
          <w:i/>
          <w:iCs/>
          <w:szCs w:val="22"/>
        </w:rPr>
        <w:t>Journal of the International Neuropsychological Society</w:t>
      </w:r>
      <w:r w:rsidRPr="00B526EA">
        <w:rPr>
          <w:rFonts w:ascii="Arial" w:hAnsi="Arial" w:cs="Arial"/>
          <w:szCs w:val="22"/>
        </w:rPr>
        <w:t>, 25(6), pp. 618–623. Available at: https://doi.org/10.1017/s135561771900016x.</w:t>
      </w:r>
    </w:p>
    <w:p w14:paraId="35D36C5F"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Saunders, K.R.K. </w:t>
      </w:r>
      <w:r w:rsidRPr="00B526EA">
        <w:rPr>
          <w:rFonts w:ascii="Arial" w:hAnsi="Arial" w:cs="Arial"/>
          <w:i/>
          <w:iCs/>
          <w:szCs w:val="22"/>
        </w:rPr>
        <w:t>et al.</w:t>
      </w:r>
      <w:r w:rsidRPr="00B526EA">
        <w:rPr>
          <w:rFonts w:ascii="Arial" w:hAnsi="Arial" w:cs="Arial"/>
          <w:szCs w:val="22"/>
        </w:rPr>
        <w:t xml:space="preserve"> (2023) ‘A Scoping Review of Trauma Informed Approaches in acute, crisis, emergency, and Residential Mental Health Care’, </w:t>
      </w:r>
      <w:r w:rsidRPr="00B526EA">
        <w:rPr>
          <w:rFonts w:ascii="Arial" w:hAnsi="Arial" w:cs="Arial"/>
          <w:i/>
          <w:iCs/>
          <w:szCs w:val="22"/>
        </w:rPr>
        <w:t>BMC Psychiatry</w:t>
      </w:r>
      <w:r w:rsidRPr="00B526EA">
        <w:rPr>
          <w:rFonts w:ascii="Arial" w:hAnsi="Arial" w:cs="Arial"/>
          <w:szCs w:val="22"/>
        </w:rPr>
        <w:t>, 23(1). Available at: https://doi.org/10.1186/s12888-023-05016-z.</w:t>
      </w:r>
    </w:p>
    <w:p w14:paraId="0AF13941"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Shchaslyvyi, A.Y., Antonenko, S.V. and Telegeev, G.D. (2024) ‘Comprehensive Review of Chronic Stress Pathways and the Efficacy of Behavioral Stress Reduction Programs (BSRPs) in Managing Diseases’, </w:t>
      </w:r>
      <w:r w:rsidRPr="00B526EA">
        <w:rPr>
          <w:rFonts w:ascii="Arial" w:hAnsi="Arial" w:cs="Arial"/>
          <w:i/>
          <w:iCs/>
          <w:szCs w:val="22"/>
        </w:rPr>
        <w:t>International Journal of Environmental Research and Public Health</w:t>
      </w:r>
      <w:r w:rsidRPr="00B526EA">
        <w:rPr>
          <w:rFonts w:ascii="Arial" w:hAnsi="Arial" w:cs="Arial"/>
          <w:szCs w:val="22"/>
        </w:rPr>
        <w:t>, 21(8), pp. 1077–1077. Available at: https://doi.org/10.3390/ijerph21081077.</w:t>
      </w:r>
    </w:p>
    <w:p w14:paraId="632E23B1"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Smyth, R. and McSherry, D. (2024) ‘ACE Enquiry in Primary care: A Qualitative Exploration of the Perspective of General Practitioners in Northern Ireland’, </w:t>
      </w:r>
      <w:r w:rsidRPr="00B526EA">
        <w:rPr>
          <w:rFonts w:ascii="Arial" w:hAnsi="Arial" w:cs="Arial"/>
          <w:i/>
          <w:iCs/>
          <w:szCs w:val="22"/>
        </w:rPr>
        <w:t>Journal of Child &amp; Adolescent Trauma</w:t>
      </w:r>
      <w:r w:rsidRPr="00B526EA">
        <w:rPr>
          <w:rFonts w:ascii="Arial" w:hAnsi="Arial" w:cs="Arial"/>
          <w:szCs w:val="22"/>
        </w:rPr>
        <w:t>, 18(1), pp. 57–70. Available at: https://doi.org/10.1007/s40653-024-00660-3.</w:t>
      </w:r>
    </w:p>
    <w:p w14:paraId="7C1C162A"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Song, W. </w:t>
      </w:r>
      <w:r w:rsidRPr="00B526EA">
        <w:rPr>
          <w:rFonts w:ascii="Arial" w:hAnsi="Arial" w:cs="Arial"/>
          <w:i/>
          <w:iCs/>
          <w:szCs w:val="22"/>
        </w:rPr>
        <w:t>et al.</w:t>
      </w:r>
      <w:r w:rsidRPr="00B526EA">
        <w:rPr>
          <w:rFonts w:ascii="Arial" w:hAnsi="Arial" w:cs="Arial"/>
          <w:szCs w:val="22"/>
        </w:rPr>
        <w:t xml:space="preserve"> (2024) ‘Adverse Childhood Experiences and Health Outcomes Among Transition-Age Autistic Youth’, </w:t>
      </w:r>
      <w:r w:rsidRPr="00B526EA">
        <w:rPr>
          <w:rFonts w:ascii="Arial" w:hAnsi="Arial" w:cs="Arial"/>
          <w:i/>
          <w:iCs/>
          <w:szCs w:val="22"/>
        </w:rPr>
        <w:t>Journal of Autism and Developmental Disorders</w:t>
      </w:r>
      <w:r w:rsidRPr="00B526EA">
        <w:rPr>
          <w:rFonts w:ascii="Arial" w:hAnsi="Arial" w:cs="Arial"/>
          <w:szCs w:val="22"/>
        </w:rPr>
        <w:t>, 55(8), pp. 2844–2857. Available at: https://doi.org/10.1007/s10803-024-06401-7.</w:t>
      </w:r>
    </w:p>
    <w:p w14:paraId="5C8B336E"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Stewart, E. </w:t>
      </w:r>
      <w:r w:rsidRPr="00B526EA">
        <w:rPr>
          <w:rFonts w:ascii="Arial" w:hAnsi="Arial" w:cs="Arial"/>
          <w:i/>
          <w:iCs/>
          <w:szCs w:val="22"/>
        </w:rPr>
        <w:t>et al.</w:t>
      </w:r>
      <w:r w:rsidRPr="00B526EA">
        <w:rPr>
          <w:rFonts w:ascii="Arial" w:hAnsi="Arial" w:cs="Arial"/>
          <w:szCs w:val="22"/>
        </w:rPr>
        <w:t xml:space="preserve"> (2022) ‘Transforming primary care in Scotland: a critical policy analysis’, </w:t>
      </w:r>
      <w:r w:rsidRPr="00B526EA">
        <w:rPr>
          <w:rFonts w:ascii="Arial" w:hAnsi="Arial" w:cs="Arial"/>
          <w:i/>
          <w:iCs/>
          <w:szCs w:val="22"/>
        </w:rPr>
        <w:t>British Journal of General Practice</w:t>
      </w:r>
      <w:r w:rsidRPr="00B526EA">
        <w:rPr>
          <w:rFonts w:ascii="Arial" w:hAnsi="Arial" w:cs="Arial"/>
          <w:szCs w:val="22"/>
        </w:rPr>
        <w:t>, 72(719), pp. 292–294. Available at: https://doi.org/10.3399/bjgp22x719765.</w:t>
      </w:r>
    </w:p>
    <w:p w14:paraId="6340EBA2"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Straatmann, V.S. </w:t>
      </w:r>
      <w:r w:rsidRPr="00B526EA">
        <w:rPr>
          <w:rFonts w:ascii="Arial" w:hAnsi="Arial" w:cs="Arial"/>
          <w:i/>
          <w:iCs/>
          <w:szCs w:val="22"/>
        </w:rPr>
        <w:t>et al.</w:t>
      </w:r>
      <w:r w:rsidRPr="00B526EA">
        <w:rPr>
          <w:rFonts w:ascii="Arial" w:hAnsi="Arial" w:cs="Arial"/>
          <w:szCs w:val="22"/>
        </w:rPr>
        <w:t xml:space="preserve"> (2020) ‘How do early-life adverse childhood experiences mediate the relationship between childhood socioeconomic conditions and adolescent health outcomes in the UK?’, </w:t>
      </w:r>
      <w:r w:rsidRPr="00B526EA">
        <w:rPr>
          <w:rFonts w:ascii="Arial" w:hAnsi="Arial" w:cs="Arial"/>
          <w:i/>
          <w:iCs/>
          <w:szCs w:val="22"/>
        </w:rPr>
        <w:t>Journal of Epidemiology and Community Health</w:t>
      </w:r>
      <w:r w:rsidRPr="00B526EA">
        <w:rPr>
          <w:rFonts w:ascii="Arial" w:hAnsi="Arial" w:cs="Arial"/>
          <w:szCs w:val="22"/>
        </w:rPr>
        <w:t>, 74(11), p. jech-2020-213817. Available at: https://doi.org/10.1136/jech-2020-213817.</w:t>
      </w:r>
    </w:p>
    <w:p w14:paraId="4C9C9C8A"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Sun, J. </w:t>
      </w:r>
      <w:r w:rsidRPr="00B526EA">
        <w:rPr>
          <w:rFonts w:ascii="Arial" w:hAnsi="Arial" w:cs="Arial"/>
          <w:i/>
          <w:iCs/>
          <w:szCs w:val="22"/>
        </w:rPr>
        <w:t>et al.</w:t>
      </w:r>
      <w:r w:rsidRPr="00B526EA">
        <w:rPr>
          <w:rFonts w:ascii="Arial" w:hAnsi="Arial" w:cs="Arial"/>
          <w:szCs w:val="22"/>
        </w:rPr>
        <w:t xml:space="preserve"> (2025) ‘Assessing the role of parent-child conflict and closeness in children’s depression: insights from a meta-analysis’, </w:t>
      </w:r>
      <w:r w:rsidRPr="00B526EA">
        <w:rPr>
          <w:rFonts w:ascii="Arial" w:hAnsi="Arial" w:cs="Arial"/>
          <w:i/>
          <w:iCs/>
          <w:szCs w:val="22"/>
        </w:rPr>
        <w:t>Child and Adolescent Psychiatry and Mental Health</w:t>
      </w:r>
      <w:r w:rsidRPr="00B526EA">
        <w:rPr>
          <w:rFonts w:ascii="Arial" w:hAnsi="Arial" w:cs="Arial"/>
          <w:szCs w:val="22"/>
        </w:rPr>
        <w:t>, 19(1). Available at: https://doi.org/10.1186/s13034-025-00955-9.</w:t>
      </w:r>
    </w:p>
    <w:p w14:paraId="2F2E292F"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Tang, A. </w:t>
      </w:r>
      <w:r w:rsidRPr="00B526EA">
        <w:rPr>
          <w:rFonts w:ascii="Arial" w:hAnsi="Arial" w:cs="Arial"/>
          <w:i/>
          <w:iCs/>
          <w:szCs w:val="22"/>
        </w:rPr>
        <w:t>et al.</w:t>
      </w:r>
      <w:r w:rsidRPr="00B526EA">
        <w:rPr>
          <w:rFonts w:ascii="Arial" w:hAnsi="Arial" w:cs="Arial"/>
          <w:szCs w:val="22"/>
        </w:rPr>
        <w:t xml:space="preserve"> (2023) ‘Parent-child separation and cardiometabolic outcomes and risk factors in adulthood: A systematic review’, </w:t>
      </w:r>
      <w:r w:rsidRPr="00B526EA">
        <w:rPr>
          <w:rFonts w:ascii="Arial" w:hAnsi="Arial" w:cs="Arial"/>
          <w:i/>
          <w:iCs/>
          <w:szCs w:val="22"/>
        </w:rPr>
        <w:t>Psychoneuroendocrinology</w:t>
      </w:r>
      <w:r w:rsidRPr="00B526EA">
        <w:rPr>
          <w:rFonts w:ascii="Arial" w:hAnsi="Arial" w:cs="Arial"/>
          <w:szCs w:val="22"/>
        </w:rPr>
        <w:t>, 152, pp. 106084–106084. Available at: https://doi.org/10.1016/j.psyneuen.2023.106084.</w:t>
      </w:r>
    </w:p>
    <w:p w14:paraId="18EEBBC1"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Thomson, L. (2024) ‘Barriers and Enablers of Integrated Care in the UK: a Rapid Evidence Review of Review Articles and Grey Literature 2018–2022’, </w:t>
      </w:r>
      <w:r w:rsidRPr="00B526EA">
        <w:rPr>
          <w:rFonts w:ascii="Arial" w:hAnsi="Arial" w:cs="Arial"/>
          <w:i/>
          <w:iCs/>
          <w:szCs w:val="22"/>
        </w:rPr>
        <w:t>Frontiers in Public Health</w:t>
      </w:r>
      <w:r w:rsidRPr="00B526EA">
        <w:rPr>
          <w:rFonts w:ascii="Arial" w:hAnsi="Arial" w:cs="Arial"/>
          <w:szCs w:val="22"/>
        </w:rPr>
        <w:t>, 11(1). Available at: https://doi.org/10.3389/fpubh.2023.1286479.</w:t>
      </w:r>
    </w:p>
    <w:p w14:paraId="19A5A020"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Trinh, H.H. </w:t>
      </w:r>
      <w:r w:rsidRPr="00B526EA">
        <w:rPr>
          <w:rFonts w:ascii="Arial" w:hAnsi="Arial" w:cs="Arial"/>
          <w:i/>
          <w:iCs/>
          <w:szCs w:val="22"/>
        </w:rPr>
        <w:t>et al.</w:t>
      </w:r>
      <w:r w:rsidRPr="00B526EA">
        <w:rPr>
          <w:rFonts w:ascii="Arial" w:hAnsi="Arial" w:cs="Arial"/>
          <w:szCs w:val="22"/>
        </w:rPr>
        <w:t xml:space="preserve"> (2025) ‘Impacts of Adverse Childhood Experiences on Mental Health and Satisfaction With Life in First-Year College Students: Results From a Cross-Sectional Study in Vietnam’, </w:t>
      </w:r>
      <w:r w:rsidRPr="00B526EA">
        <w:rPr>
          <w:rFonts w:ascii="Arial" w:hAnsi="Arial" w:cs="Arial"/>
          <w:i/>
          <w:iCs/>
          <w:szCs w:val="22"/>
        </w:rPr>
        <w:t>Psychiatry Investigation</w:t>
      </w:r>
      <w:r w:rsidRPr="00B526EA">
        <w:rPr>
          <w:rFonts w:ascii="Arial" w:hAnsi="Arial" w:cs="Arial"/>
          <w:szCs w:val="22"/>
        </w:rPr>
        <w:t>, 22(8), pp. 939–948. Available at: https://doi.org/10.30773/pi.2025.0068.</w:t>
      </w:r>
    </w:p>
    <w:p w14:paraId="01FCAA45"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Ungar, M. (2018) ‘The differential impact of social services on young people’s resilience’, </w:t>
      </w:r>
      <w:r w:rsidRPr="00B526EA">
        <w:rPr>
          <w:rFonts w:ascii="Arial" w:hAnsi="Arial" w:cs="Arial"/>
          <w:i/>
          <w:iCs/>
          <w:szCs w:val="22"/>
        </w:rPr>
        <w:t>Child Abuse &amp; Neglect</w:t>
      </w:r>
      <w:r w:rsidRPr="00B526EA">
        <w:rPr>
          <w:rFonts w:ascii="Arial" w:hAnsi="Arial" w:cs="Arial"/>
          <w:szCs w:val="22"/>
        </w:rPr>
        <w:t>, 78, pp. 4–12. Available at: https://doi.org/10.1016/j.chiabu.2017.09.024.</w:t>
      </w:r>
    </w:p>
    <w:p w14:paraId="551CC6D9"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Viglione, C. </w:t>
      </w:r>
      <w:r w:rsidRPr="00B526EA">
        <w:rPr>
          <w:rFonts w:ascii="Arial" w:hAnsi="Arial" w:cs="Arial"/>
          <w:i/>
          <w:iCs/>
          <w:szCs w:val="22"/>
        </w:rPr>
        <w:t>et al.</w:t>
      </w:r>
      <w:r w:rsidRPr="00B526EA">
        <w:rPr>
          <w:rFonts w:ascii="Arial" w:hAnsi="Arial" w:cs="Arial"/>
          <w:szCs w:val="22"/>
        </w:rPr>
        <w:t xml:space="preserve"> (2025) ‘The California adverse childhood experiences screening roll-out: a survey study of ACEs screening implementation in primary care’, </w:t>
      </w:r>
      <w:r w:rsidRPr="00B526EA">
        <w:rPr>
          <w:rFonts w:ascii="Arial" w:hAnsi="Arial" w:cs="Arial"/>
          <w:i/>
          <w:iCs/>
          <w:szCs w:val="22"/>
        </w:rPr>
        <w:t>Frontiers in Public Health</w:t>
      </w:r>
      <w:r w:rsidRPr="00B526EA">
        <w:rPr>
          <w:rFonts w:ascii="Arial" w:hAnsi="Arial" w:cs="Arial"/>
          <w:szCs w:val="22"/>
        </w:rPr>
        <w:t>, 13. Available at: https://doi.org/10.3389/fpubh.2025.1446555.</w:t>
      </w:r>
    </w:p>
    <w:p w14:paraId="4C054C00"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Wassell, E.D. (2014) ‘THE INFLUENCE OF FAMILY CARE LEAVE POLICY ON THE LONG-TERM WELLBEING OUTCOMES OF CHILDREN (PhD Dissertation)’, </w:t>
      </w:r>
      <w:r w:rsidRPr="00B526EA">
        <w:rPr>
          <w:rFonts w:ascii="Arial" w:hAnsi="Arial" w:cs="Arial"/>
          <w:i/>
          <w:iCs/>
          <w:szCs w:val="22"/>
        </w:rPr>
        <w:t>PhD in Educational Leadership, Research, and PolicyAdvisor: Corinne Harmon</w:t>
      </w:r>
      <w:r w:rsidRPr="00B526EA">
        <w:rPr>
          <w:rFonts w:ascii="Arial" w:hAnsi="Arial" w:cs="Arial"/>
          <w:szCs w:val="22"/>
        </w:rPr>
        <w:t xml:space="preserve"> [Preprint].</w:t>
      </w:r>
    </w:p>
    <w:p w14:paraId="02416C5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Webster, E. (2022) ‘The Impact of Adverse Childhood Experiences on Health and Development in Young Children’, </w:t>
      </w:r>
      <w:r w:rsidRPr="00B526EA">
        <w:rPr>
          <w:rFonts w:ascii="Arial" w:hAnsi="Arial" w:cs="Arial"/>
          <w:i/>
          <w:iCs/>
          <w:szCs w:val="22"/>
        </w:rPr>
        <w:t>Global Pediatric Health</w:t>
      </w:r>
      <w:r w:rsidRPr="00B526EA">
        <w:rPr>
          <w:rFonts w:ascii="Arial" w:hAnsi="Arial" w:cs="Arial"/>
          <w:szCs w:val="22"/>
        </w:rPr>
        <w:t>, 9(9). Available at: https://doi.org/10.1177/2333794X221078708.</w:t>
      </w:r>
    </w:p>
    <w:p w14:paraId="22E57B34"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Zarse, E.M. </w:t>
      </w:r>
      <w:r w:rsidRPr="00B526EA">
        <w:rPr>
          <w:rFonts w:ascii="Arial" w:hAnsi="Arial" w:cs="Arial"/>
          <w:i/>
          <w:iCs/>
          <w:szCs w:val="22"/>
        </w:rPr>
        <w:t>et al.</w:t>
      </w:r>
      <w:r w:rsidRPr="00B526EA">
        <w:rPr>
          <w:rFonts w:ascii="Arial" w:hAnsi="Arial" w:cs="Arial"/>
          <w:szCs w:val="22"/>
        </w:rPr>
        <w:t xml:space="preserve"> (2019) ‘The adverse childhood experiences questionnaire: two decades of research on childhood trauma as a primary cause of adult mental illness, addiction, and medical diseases’, </w:t>
      </w:r>
      <w:r w:rsidRPr="00B526EA">
        <w:rPr>
          <w:rFonts w:ascii="Arial" w:hAnsi="Arial" w:cs="Arial"/>
          <w:i/>
          <w:iCs/>
          <w:szCs w:val="22"/>
        </w:rPr>
        <w:t>Cogent Medicine</w:t>
      </w:r>
      <w:r w:rsidRPr="00B526EA">
        <w:rPr>
          <w:rFonts w:ascii="Arial" w:hAnsi="Arial" w:cs="Arial"/>
          <w:szCs w:val="22"/>
        </w:rPr>
        <w:t>. Edited by U. Schumacher, 6(1). Available at: https://doi.org/10.1080/2331205x.2019.1581447.</w:t>
      </w:r>
    </w:p>
    <w:p w14:paraId="58B44592" w14:textId="77777777" w:rsidR="001D6007" w:rsidRPr="00B526EA" w:rsidRDefault="001D6007" w:rsidP="00F31E94">
      <w:pPr>
        <w:pStyle w:val="NormalWeb"/>
        <w:spacing w:before="240" w:beforeAutospacing="0" w:after="240" w:afterAutospacing="0" w:line="360" w:lineRule="auto"/>
        <w:jc w:val="both"/>
        <w:rPr>
          <w:rFonts w:ascii="Arial" w:hAnsi="Arial" w:cs="Arial"/>
          <w:szCs w:val="22"/>
        </w:rPr>
      </w:pPr>
      <w:r w:rsidRPr="00B526EA">
        <w:rPr>
          <w:rFonts w:ascii="Arial" w:hAnsi="Arial" w:cs="Arial"/>
          <w:szCs w:val="22"/>
        </w:rPr>
        <w:t xml:space="preserve">Zhang, Z. </w:t>
      </w:r>
      <w:r w:rsidRPr="00B526EA">
        <w:rPr>
          <w:rFonts w:ascii="Arial" w:hAnsi="Arial" w:cs="Arial"/>
          <w:i/>
          <w:iCs/>
          <w:szCs w:val="22"/>
        </w:rPr>
        <w:t>et al.</w:t>
      </w:r>
      <w:r w:rsidRPr="00B526EA">
        <w:rPr>
          <w:rFonts w:ascii="Arial" w:hAnsi="Arial" w:cs="Arial"/>
          <w:szCs w:val="22"/>
        </w:rPr>
        <w:t xml:space="preserve"> (2024) ‘Adverse childhood experiences and subsequent physical and mental health among young adults: results from six universities in China’, </w:t>
      </w:r>
      <w:r w:rsidRPr="00B526EA">
        <w:rPr>
          <w:rFonts w:ascii="Arial" w:hAnsi="Arial" w:cs="Arial"/>
          <w:i/>
          <w:iCs/>
          <w:szCs w:val="22"/>
        </w:rPr>
        <w:t>Psychiatry research</w:t>
      </w:r>
      <w:r w:rsidRPr="00B526EA">
        <w:rPr>
          <w:rFonts w:ascii="Arial" w:hAnsi="Arial" w:cs="Arial"/>
          <w:szCs w:val="22"/>
        </w:rPr>
        <w:t>, 335, pp. 115832–115832. Available at: https://doi.org/10.1016/j.psychres.2024.115832.</w:t>
      </w:r>
    </w:p>
    <w:p w14:paraId="37F279E5" w14:textId="77777777" w:rsidR="001D6007" w:rsidRDefault="001D6007" w:rsidP="00F31E94">
      <w:pPr>
        <w:spacing w:before="240"/>
        <w:jc w:val="both"/>
        <w:rPr>
          <w:szCs w:val="22"/>
        </w:rPr>
      </w:pPr>
    </w:p>
    <w:p w14:paraId="55587D43" w14:textId="77777777" w:rsidR="00B526EA" w:rsidRDefault="00B526EA" w:rsidP="00F31E94">
      <w:pPr>
        <w:spacing w:before="240"/>
        <w:jc w:val="both"/>
        <w:rPr>
          <w:szCs w:val="22"/>
        </w:rPr>
      </w:pPr>
    </w:p>
    <w:p w14:paraId="73897DAA" w14:textId="77777777" w:rsidR="00B526EA" w:rsidRDefault="00B526EA" w:rsidP="00F31E94">
      <w:pPr>
        <w:spacing w:before="240"/>
        <w:jc w:val="both"/>
        <w:rPr>
          <w:szCs w:val="22"/>
        </w:rPr>
      </w:pPr>
    </w:p>
    <w:p w14:paraId="4D806E11" w14:textId="77777777" w:rsidR="00B526EA" w:rsidRDefault="00B526EA" w:rsidP="00F31E94">
      <w:pPr>
        <w:spacing w:before="240"/>
        <w:jc w:val="both"/>
        <w:rPr>
          <w:szCs w:val="22"/>
        </w:rPr>
      </w:pPr>
    </w:p>
    <w:p w14:paraId="018CC032" w14:textId="77777777" w:rsidR="00B526EA" w:rsidRPr="00B526EA" w:rsidRDefault="00B526EA" w:rsidP="00F31E94">
      <w:pPr>
        <w:spacing w:before="240"/>
        <w:jc w:val="both"/>
        <w:rPr>
          <w:szCs w:val="22"/>
        </w:rPr>
      </w:pPr>
    </w:p>
    <w:p w14:paraId="4247B0E9" w14:textId="7FBF6C5E" w:rsidR="002E37D2" w:rsidRPr="00B526EA" w:rsidRDefault="002E37D2" w:rsidP="00B526EA">
      <w:pPr>
        <w:pStyle w:val="Heading1"/>
      </w:pPr>
      <w:bookmarkStart w:id="56" w:name="_Toc220350551"/>
      <w:r w:rsidRPr="00B526EA">
        <w:t>Appendix</w:t>
      </w:r>
      <w:bookmarkEnd w:id="56"/>
    </w:p>
    <w:p w14:paraId="2E036F72" w14:textId="52B4787F" w:rsidR="002E37D2" w:rsidRPr="00B526EA" w:rsidRDefault="002E37D2" w:rsidP="00F31E94">
      <w:pPr>
        <w:pStyle w:val="Heading2"/>
        <w:spacing w:before="240"/>
        <w:jc w:val="both"/>
        <w:rPr>
          <w:rFonts w:ascii="Arial" w:hAnsi="Arial" w:cs="Arial"/>
          <w:sz w:val="22"/>
          <w:szCs w:val="22"/>
        </w:rPr>
      </w:pPr>
      <w:bookmarkStart w:id="57" w:name="_Toc220350552"/>
      <w:r w:rsidRPr="00B526EA">
        <w:rPr>
          <w:rFonts w:ascii="Arial" w:hAnsi="Arial" w:cs="Arial"/>
          <w:sz w:val="22"/>
          <w:szCs w:val="22"/>
        </w:rPr>
        <w:t>Appendix A: Source Tracking Table</w:t>
      </w:r>
      <w:bookmarkEnd w:id="57"/>
    </w:p>
    <w:tbl>
      <w:tblPr>
        <w:tblStyle w:val="TableGrid"/>
        <w:tblW w:w="0" w:type="auto"/>
        <w:tblLook w:val="04A0" w:firstRow="1" w:lastRow="0" w:firstColumn="1" w:lastColumn="0" w:noHBand="0" w:noVBand="1"/>
      </w:tblPr>
      <w:tblGrid>
        <w:gridCol w:w="818"/>
        <w:gridCol w:w="1271"/>
        <w:gridCol w:w="1565"/>
        <w:gridCol w:w="2925"/>
        <w:gridCol w:w="2437"/>
      </w:tblGrid>
      <w:tr w:rsidR="00CF4631" w:rsidRPr="00B526EA" w14:paraId="5FA5ADB7" w14:textId="77777777" w:rsidTr="004C3E7C">
        <w:tc>
          <w:tcPr>
            <w:tcW w:w="0" w:type="auto"/>
            <w:hideMark/>
          </w:tcPr>
          <w:p w14:paraId="4D8DF88E" w14:textId="07B1209B" w:rsidR="004C3E7C" w:rsidRPr="00B526EA" w:rsidRDefault="004C3E7C" w:rsidP="00F31E94">
            <w:pPr>
              <w:spacing w:before="240"/>
              <w:jc w:val="both"/>
              <w:rPr>
                <w:rFonts w:ascii="Arial" w:hAnsi="Arial" w:cs="Arial"/>
                <w:b/>
                <w:bCs/>
                <w:szCs w:val="22"/>
              </w:rPr>
            </w:pPr>
            <w:r w:rsidRPr="00B526EA">
              <w:rPr>
                <w:rFonts w:ascii="Arial" w:hAnsi="Arial" w:cs="Arial"/>
                <w:b/>
                <w:bCs/>
                <w:szCs w:val="22"/>
              </w:rPr>
              <w:t>Save</w:t>
            </w:r>
            <w:r w:rsidR="00F373A3" w:rsidRPr="00B526EA">
              <w:rPr>
                <w:rFonts w:ascii="Arial" w:hAnsi="Arial" w:cs="Arial"/>
                <w:b/>
                <w:bCs/>
                <w:szCs w:val="22"/>
              </w:rPr>
              <w:t>d</w:t>
            </w:r>
          </w:p>
        </w:tc>
        <w:tc>
          <w:tcPr>
            <w:tcW w:w="0" w:type="auto"/>
            <w:hideMark/>
          </w:tcPr>
          <w:p w14:paraId="5A852FAF" w14:textId="77777777" w:rsidR="004C3E7C" w:rsidRPr="00B526EA" w:rsidRDefault="004C3E7C" w:rsidP="00F31E94">
            <w:pPr>
              <w:spacing w:before="240"/>
              <w:jc w:val="both"/>
              <w:rPr>
                <w:rFonts w:ascii="Arial" w:hAnsi="Arial" w:cs="Arial"/>
                <w:b/>
                <w:bCs/>
                <w:szCs w:val="22"/>
              </w:rPr>
            </w:pPr>
            <w:r w:rsidRPr="00B526EA">
              <w:rPr>
                <w:rFonts w:ascii="Arial" w:hAnsi="Arial" w:cs="Arial"/>
                <w:b/>
                <w:bCs/>
                <w:szCs w:val="22"/>
              </w:rPr>
              <w:t>Author &amp; Year</w:t>
            </w:r>
          </w:p>
        </w:tc>
        <w:tc>
          <w:tcPr>
            <w:tcW w:w="0" w:type="auto"/>
            <w:hideMark/>
          </w:tcPr>
          <w:p w14:paraId="42832D15" w14:textId="77777777" w:rsidR="004C3E7C" w:rsidRPr="00B526EA" w:rsidRDefault="004C3E7C" w:rsidP="00F31E94">
            <w:pPr>
              <w:spacing w:before="240"/>
              <w:jc w:val="both"/>
              <w:rPr>
                <w:rFonts w:ascii="Arial" w:hAnsi="Arial" w:cs="Arial"/>
                <w:b/>
                <w:bCs/>
                <w:szCs w:val="22"/>
              </w:rPr>
            </w:pPr>
            <w:r w:rsidRPr="00B526EA">
              <w:rPr>
                <w:rFonts w:ascii="Arial" w:hAnsi="Arial" w:cs="Arial"/>
                <w:b/>
                <w:bCs/>
                <w:szCs w:val="22"/>
              </w:rPr>
              <w:t>Title</w:t>
            </w:r>
          </w:p>
        </w:tc>
        <w:tc>
          <w:tcPr>
            <w:tcW w:w="0" w:type="auto"/>
            <w:hideMark/>
          </w:tcPr>
          <w:p w14:paraId="3D6556AC" w14:textId="0DB3D65E" w:rsidR="004C3E7C" w:rsidRPr="00B526EA" w:rsidRDefault="004C3E7C" w:rsidP="00F31E94">
            <w:pPr>
              <w:spacing w:before="240"/>
              <w:jc w:val="both"/>
              <w:rPr>
                <w:rFonts w:ascii="Arial" w:hAnsi="Arial" w:cs="Arial"/>
                <w:b/>
                <w:bCs/>
                <w:szCs w:val="22"/>
              </w:rPr>
            </w:pPr>
            <w:r w:rsidRPr="00B526EA">
              <w:rPr>
                <w:rFonts w:ascii="Arial" w:hAnsi="Arial" w:cs="Arial"/>
                <w:b/>
                <w:bCs/>
                <w:szCs w:val="22"/>
              </w:rPr>
              <w:t xml:space="preserve">Summary </w:t>
            </w:r>
          </w:p>
        </w:tc>
        <w:tc>
          <w:tcPr>
            <w:tcW w:w="0" w:type="auto"/>
            <w:hideMark/>
          </w:tcPr>
          <w:p w14:paraId="73BAC85E" w14:textId="6B1ADA51" w:rsidR="004C3E7C" w:rsidRPr="00B526EA" w:rsidRDefault="004C3E7C" w:rsidP="00F31E94">
            <w:pPr>
              <w:spacing w:before="240"/>
              <w:jc w:val="both"/>
              <w:rPr>
                <w:rFonts w:ascii="Arial" w:hAnsi="Arial" w:cs="Arial"/>
                <w:b/>
                <w:bCs/>
                <w:szCs w:val="22"/>
              </w:rPr>
            </w:pPr>
            <w:r w:rsidRPr="00B526EA">
              <w:rPr>
                <w:rFonts w:ascii="Arial" w:hAnsi="Arial" w:cs="Arial"/>
                <w:b/>
                <w:bCs/>
                <w:szCs w:val="22"/>
              </w:rPr>
              <w:t>CRAAP Notes</w:t>
            </w:r>
          </w:p>
        </w:tc>
      </w:tr>
      <w:tr w:rsidR="00CF4631" w:rsidRPr="00B526EA" w14:paraId="451BC98B" w14:textId="77777777" w:rsidTr="004C3E7C">
        <w:tc>
          <w:tcPr>
            <w:tcW w:w="0" w:type="auto"/>
            <w:hideMark/>
          </w:tcPr>
          <w:p w14:paraId="72063126"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72987FAE"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Agrawal et al. (2024)</w:t>
            </w:r>
          </w:p>
        </w:tc>
        <w:tc>
          <w:tcPr>
            <w:tcW w:w="0" w:type="auto"/>
            <w:hideMark/>
          </w:tcPr>
          <w:p w14:paraId="5F67203C"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Young Adult Mental Health Problem Incidence Varies by Specific Combinations of Adverse Childhood Experiences</w:t>
            </w:r>
          </w:p>
        </w:tc>
        <w:tc>
          <w:tcPr>
            <w:tcW w:w="0" w:type="auto"/>
            <w:hideMark/>
          </w:tcPr>
          <w:p w14:paraId="124C788A"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Longitudinal US young-adult sample (18–28) tests individual ACEs and pairwise combinations predicting mental illness diagnosis and severe distress; risks vary markedly by ACE type/combination, with physical abuse showing comparatively low risk in this dataset.</w:t>
            </w:r>
          </w:p>
        </w:tc>
        <w:tc>
          <w:tcPr>
            <w:tcW w:w="0" w:type="auto"/>
            <w:hideMark/>
          </w:tcPr>
          <w:p w14:paraId="1AB8F856"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2024 (high). R: Strong for ACE-type specificity + young-adult outcomes; not UK. A: Peer-reviewed journal. Acu: Clear regression methods; limitations include context transferability. P: Research to refine ACE risk assessment.</w:t>
            </w:r>
          </w:p>
        </w:tc>
      </w:tr>
      <w:tr w:rsidR="00CF4631" w:rsidRPr="00B526EA" w14:paraId="6E194F82" w14:textId="77777777" w:rsidTr="004C3E7C">
        <w:tc>
          <w:tcPr>
            <w:tcW w:w="0" w:type="auto"/>
            <w:hideMark/>
          </w:tcPr>
          <w:p w14:paraId="560FAC37"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324EA833"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Zhang et al. (2024)</w:t>
            </w:r>
          </w:p>
        </w:tc>
        <w:tc>
          <w:tcPr>
            <w:tcW w:w="0" w:type="auto"/>
            <w:hideMark/>
          </w:tcPr>
          <w:p w14:paraId="0E978DCA"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Adverse childhood experiences and subsequent physical and mental health among young adults: results from six universities in China</w:t>
            </w:r>
          </w:p>
        </w:tc>
        <w:tc>
          <w:tcPr>
            <w:tcW w:w="0" w:type="auto"/>
            <w:hideMark/>
          </w:tcPr>
          <w:p w14:paraId="67272904"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Cross-sectional survey of 18,723 Chinese university students shows high ACE prevalence and dose–response associations with severe anxiety and some diagnoses; focuses mainly on cumulative ACE exposure.</w:t>
            </w:r>
          </w:p>
        </w:tc>
        <w:tc>
          <w:tcPr>
            <w:tcW w:w="0" w:type="auto"/>
            <w:hideMark/>
          </w:tcPr>
          <w:p w14:paraId="645D65DA"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2024 (high). R: Young-adult mental health, but non-UK and cumulative focus (limited for your ACE-type comparison). A: Peer-reviewed (Psychiatry Research). Acu: Large sample; self-report and cross-sectional limits causality. P: Research on ACE burden and health risks.</w:t>
            </w:r>
          </w:p>
        </w:tc>
      </w:tr>
      <w:tr w:rsidR="00CF4631" w:rsidRPr="00B526EA" w14:paraId="1E6CD3A4" w14:textId="77777777" w:rsidTr="004C3E7C">
        <w:tc>
          <w:tcPr>
            <w:tcW w:w="0" w:type="auto"/>
            <w:hideMark/>
          </w:tcPr>
          <w:p w14:paraId="5C0C1CF8"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57C041C4"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Lee, Kim and Terry (2020)</w:t>
            </w:r>
          </w:p>
        </w:tc>
        <w:tc>
          <w:tcPr>
            <w:tcW w:w="0" w:type="auto"/>
            <w:hideMark/>
          </w:tcPr>
          <w:p w14:paraId="05A7D6B8"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Adverse childhood experiences (ACEs) on mental disorders in young adulthood: Latent classes and community violence exposure</w:t>
            </w:r>
          </w:p>
        </w:tc>
        <w:tc>
          <w:tcPr>
            <w:tcW w:w="0" w:type="auto"/>
            <w:hideMark/>
          </w:tcPr>
          <w:p w14:paraId="12E51482"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Uses Add Health data to derive ACE latent classes; “child maltreatment” class shows higher odds of depression, anxiety and PTSD in adulthood than low-adversity class, supporting differential mental disorder risk by ACE exposure patterns.</w:t>
            </w:r>
          </w:p>
        </w:tc>
        <w:tc>
          <w:tcPr>
            <w:tcW w:w="0" w:type="auto"/>
            <w:hideMark/>
          </w:tcPr>
          <w:p w14:paraId="79507386"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2020 (adequate). R: Strong for young-adult outcomes and ACE-type patterning; not UK. A: Peer-reviewed (Preventive Medicine). Acu: Robust LCA + regression; observational limits remain. P: Research to distinguish ACE exposure profiles.</w:t>
            </w:r>
          </w:p>
        </w:tc>
      </w:tr>
      <w:tr w:rsidR="00CF4631" w:rsidRPr="00B526EA" w14:paraId="5101D33B" w14:textId="77777777" w:rsidTr="004C3E7C">
        <w:tc>
          <w:tcPr>
            <w:tcW w:w="0" w:type="auto"/>
            <w:hideMark/>
          </w:tcPr>
          <w:p w14:paraId="50000D13"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2D026B38"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Farooq et al. (2024)</w:t>
            </w:r>
          </w:p>
        </w:tc>
        <w:tc>
          <w:tcPr>
            <w:tcW w:w="0" w:type="auto"/>
            <w:hideMark/>
          </w:tcPr>
          <w:p w14:paraId="50D80A9A"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Type, timing and duration of exposure to ACEs and adolescent self-harm and depression: three UK cohorts</w:t>
            </w:r>
          </w:p>
        </w:tc>
        <w:tc>
          <w:tcPr>
            <w:tcW w:w="0" w:type="auto"/>
            <w:hideMark/>
          </w:tcPr>
          <w:p w14:paraId="0B1B85D3"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UK prospective cohorts (ALSPAC, MCS, E-Risk) show many ACEs relate to co-occurring self-harm and depression; timing and duration effects differ by ACE type across cohorts.</w:t>
            </w:r>
          </w:p>
        </w:tc>
        <w:tc>
          <w:tcPr>
            <w:tcW w:w="0" w:type="auto"/>
            <w:hideMark/>
          </w:tcPr>
          <w:p w14:paraId="39E994E4"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2024 (high). R: Highly relevant UK longitudinal evidence on ACE type and timing (though outcomes in adolescence). A: Peer-reviewed (JCPP). Acu: Strong design and modelling; outcome age slightly younger than your main band. P: Research informing prevention and timing-sensitive support.</w:t>
            </w:r>
          </w:p>
        </w:tc>
      </w:tr>
      <w:tr w:rsidR="00CF4631" w:rsidRPr="00B526EA" w14:paraId="574F66B9" w14:textId="77777777" w:rsidTr="004C3E7C">
        <w:tc>
          <w:tcPr>
            <w:tcW w:w="0" w:type="auto"/>
            <w:hideMark/>
          </w:tcPr>
          <w:p w14:paraId="4E11678F"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0CBEACB9"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Bunting et al. (2023)</w:t>
            </w:r>
          </w:p>
        </w:tc>
        <w:tc>
          <w:tcPr>
            <w:tcW w:w="0" w:type="auto"/>
            <w:hideMark/>
          </w:tcPr>
          <w:p w14:paraId="09F4EB89"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Influence of adverse and positive childhood experiences on mental health, self-harm and suicidal ideation</w:t>
            </w:r>
          </w:p>
        </w:tc>
        <w:tc>
          <w:tcPr>
            <w:tcW w:w="0" w:type="auto"/>
            <w:hideMark/>
          </w:tcPr>
          <w:p w14:paraId="13FC8E56"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Northern Ireland survey tests ACEs and positive childhood experiences (PCEs) against mood/anxiety disorders, self-harm and suicidal ideation; ACE count increases risk while PCEs reduce risk, with limited moderation.</w:t>
            </w:r>
          </w:p>
        </w:tc>
        <w:tc>
          <w:tcPr>
            <w:tcW w:w="0" w:type="auto"/>
            <w:hideMark/>
          </w:tcPr>
          <w:p w14:paraId="5AED291F"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2023 (high). R: UK-relevant, mental health/self-harm; adolescent sample (11–19) and cumulative focus. A: Peer-reviewed (Child Abuse &amp; Neglect). Acu: Clear regression; cross-sectional limits. P: Research on prevention/resilience factors.</w:t>
            </w:r>
          </w:p>
        </w:tc>
      </w:tr>
      <w:tr w:rsidR="00CF4631" w:rsidRPr="00B526EA" w14:paraId="41413431" w14:textId="77777777" w:rsidTr="004C3E7C">
        <w:tc>
          <w:tcPr>
            <w:tcW w:w="0" w:type="auto"/>
            <w:hideMark/>
          </w:tcPr>
          <w:p w14:paraId="1C24A698"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4517D176"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Farooq et al. (2025)</w:t>
            </w:r>
          </w:p>
        </w:tc>
        <w:tc>
          <w:tcPr>
            <w:tcW w:w="0" w:type="auto"/>
            <w:hideMark/>
          </w:tcPr>
          <w:p w14:paraId="3DCB7735"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Longitudinal ACE patterns and self-harm and depression in adolescence and early adulthood (ALSPAC)</w:t>
            </w:r>
          </w:p>
        </w:tc>
        <w:tc>
          <w:tcPr>
            <w:tcW w:w="0" w:type="auto"/>
            <w:hideMark/>
          </w:tcPr>
          <w:p w14:paraId="41A8EFD7"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ALSPAC latent classes of ACE co-occurrence across development predict self-harm and depression at 16 and into early adulthood (23–24); persistent parental mental health problems and abuse-related classes show elevated risk.</w:t>
            </w:r>
          </w:p>
        </w:tc>
        <w:tc>
          <w:tcPr>
            <w:tcW w:w="0" w:type="auto"/>
            <w:hideMark/>
          </w:tcPr>
          <w:p w14:paraId="0905DECE"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2025 (high). R: Very relevant UK cohort with early adult outcomes; focuses on patterns more than your two specific ACEs. A: Peer-reviewed (European Child &amp; Adolescent Psychiatry). Acu: Strong longitudinal approach; class-based exposure may limit ACE-specific inference. P: Research to inform multi-component prevention.</w:t>
            </w:r>
          </w:p>
        </w:tc>
      </w:tr>
      <w:tr w:rsidR="00CF4631" w:rsidRPr="00B526EA" w14:paraId="190D3F91" w14:textId="77777777" w:rsidTr="004C3E7C">
        <w:tc>
          <w:tcPr>
            <w:tcW w:w="0" w:type="auto"/>
            <w:hideMark/>
          </w:tcPr>
          <w:p w14:paraId="7D7C0DD8"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1B2C13B4"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Merrick et al. (2017)</w:t>
            </w:r>
          </w:p>
        </w:tc>
        <w:tc>
          <w:tcPr>
            <w:tcW w:w="0" w:type="auto"/>
            <w:hideMark/>
          </w:tcPr>
          <w:p w14:paraId="04FC9A04"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Unpacking the Impact of ACEs on Adult Mental Health</w:t>
            </w:r>
          </w:p>
        </w:tc>
        <w:tc>
          <w:tcPr>
            <w:tcW w:w="0" w:type="auto"/>
            <w:hideMark/>
          </w:tcPr>
          <w:p w14:paraId="69AD32B7"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Analyses expanded ACE score and individual ACE categories in the ACE Study, showing dose–response across outcomes and value of examining individual ACEs alongside cumulative scores.</w:t>
            </w:r>
          </w:p>
        </w:tc>
        <w:tc>
          <w:tcPr>
            <w:tcW w:w="0" w:type="auto"/>
            <w:hideMark/>
          </w:tcPr>
          <w:p w14:paraId="347F7737"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2017 (acceptable). R: Supports “ACE types vs ACE count” rationale; not UK and broad adult sample. A: Peer-reviewed (Child Abuse &amp; Neglect). Acu: Clear modelling; generalisability limits. P: Research for prevention and measurement refinement.</w:t>
            </w:r>
          </w:p>
        </w:tc>
      </w:tr>
      <w:tr w:rsidR="00CF4631" w:rsidRPr="00B526EA" w14:paraId="40AFD70F" w14:textId="77777777" w:rsidTr="004C3E7C">
        <w:tc>
          <w:tcPr>
            <w:tcW w:w="0" w:type="auto"/>
            <w:hideMark/>
          </w:tcPr>
          <w:p w14:paraId="2C4C5533"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076D4FDC"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Lacey et al. (2020)</w:t>
            </w:r>
          </w:p>
        </w:tc>
        <w:tc>
          <w:tcPr>
            <w:tcW w:w="0" w:type="auto"/>
            <w:hideMark/>
          </w:tcPr>
          <w:p w14:paraId="079D6598"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Clustering of ACEs in ALSPAC: are gender and poverty important?</w:t>
            </w:r>
          </w:p>
        </w:tc>
        <w:tc>
          <w:tcPr>
            <w:tcW w:w="0" w:type="auto"/>
            <w:hideMark/>
          </w:tcPr>
          <w:p w14:paraId="3C4F3450"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UK ALSPAC latent classes show patterned clustering (including classes involving parental separation and an abuse/mental health cluster) and strong links between poverty and ACE clusters; gender differences minimal.</w:t>
            </w:r>
          </w:p>
        </w:tc>
        <w:tc>
          <w:tcPr>
            <w:tcW w:w="0" w:type="auto"/>
            <w:hideMark/>
          </w:tcPr>
          <w:p w14:paraId="4596AE77"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2020 (adequate). R: Highly relevant for UK context, separation clustering and SES moderation; outcomes not primary mental health outcomes here. A: Peer-reviewed (Journal of Interpersonal Violence). Acu: Strong LCA; focuses on clustering predictors rather than outcomes. P: Research to inform targeted intervention via ACE patterns.</w:t>
            </w:r>
          </w:p>
        </w:tc>
      </w:tr>
      <w:tr w:rsidR="00CF4631" w:rsidRPr="00B526EA" w14:paraId="5950AA1E" w14:textId="77777777" w:rsidTr="004C3E7C">
        <w:tc>
          <w:tcPr>
            <w:tcW w:w="0" w:type="auto"/>
            <w:hideMark/>
          </w:tcPr>
          <w:p w14:paraId="34DA2D65"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310C5874"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Lester, Khatwa and Sutcliffe (2020)</w:t>
            </w:r>
          </w:p>
        </w:tc>
        <w:tc>
          <w:tcPr>
            <w:tcW w:w="0" w:type="auto"/>
            <w:hideMark/>
          </w:tcPr>
          <w:p w14:paraId="41AA2F09"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Service needs of young people affected by ACEs: UK qualitative systematic review</w:t>
            </w:r>
          </w:p>
        </w:tc>
        <w:tc>
          <w:tcPr>
            <w:tcW w:w="0" w:type="auto"/>
            <w:hideMark/>
          </w:tcPr>
          <w:p w14:paraId="38DB3E64"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Synthesises UK qualitative evidence on service needs: young people value stable, continuous, empathetic support and practical help; highlights importance of relational continuity and wider social factors.</w:t>
            </w:r>
          </w:p>
        </w:tc>
        <w:tc>
          <w:tcPr>
            <w:tcW w:w="0" w:type="auto"/>
            <w:hideMark/>
          </w:tcPr>
          <w:p w14:paraId="4DF55F2A"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2020 (adequate). R: Strong for practice implications and trauma-informed service design; not ACE-type comparative outcomes. A: Peer-reviewed systematic review. Acu: Transparent methods and appraisal; qualitative scope. P: Research to inform UK service responses to ACEs.</w:t>
            </w:r>
          </w:p>
        </w:tc>
      </w:tr>
      <w:tr w:rsidR="00CF4631" w:rsidRPr="00B526EA" w14:paraId="297506DC" w14:textId="77777777" w:rsidTr="004C3E7C">
        <w:tc>
          <w:tcPr>
            <w:tcW w:w="0" w:type="auto"/>
            <w:hideMark/>
          </w:tcPr>
          <w:p w14:paraId="069B3544"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0B57288E"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Straatmann et al. (2020)</w:t>
            </w:r>
          </w:p>
        </w:tc>
        <w:tc>
          <w:tcPr>
            <w:tcW w:w="0" w:type="auto"/>
            <w:hideMark/>
          </w:tcPr>
          <w:p w14:paraId="29BB8191"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How do early-life ACEs mediate links between socioeconomic conditions and adolescent health outcomes in the UK?</w:t>
            </w:r>
          </w:p>
        </w:tc>
        <w:tc>
          <w:tcPr>
            <w:tcW w:w="0" w:type="auto"/>
            <w:hideMark/>
          </w:tcPr>
          <w:p w14:paraId="19665113"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UK MCS mediation analysis shows ACEs partly explain socioeconomic inequalities in adolescent behavioural/cognitive/physical outcomes; includes parental divorce and maltreatment among mediating ACEs.</w:t>
            </w:r>
          </w:p>
        </w:tc>
        <w:tc>
          <w:tcPr>
            <w:tcW w:w="0" w:type="auto"/>
            <w:hideMark/>
          </w:tcPr>
          <w:p w14:paraId="0540FEA1"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2020 (adequate). R: UK evidence for SES→ACEs→outcomes pathways; outcomes at 14 and not focused on your young-adult mental health set. A: Peer-reviewed (JECH). Acu: Strong analytic approach; outcome scope differs. P: Research on mechanisms behind health inequalities.</w:t>
            </w:r>
          </w:p>
        </w:tc>
      </w:tr>
      <w:tr w:rsidR="00CF4631" w:rsidRPr="00B526EA" w14:paraId="1502D9FC" w14:textId="77777777" w:rsidTr="004C3E7C">
        <w:tc>
          <w:tcPr>
            <w:tcW w:w="0" w:type="auto"/>
            <w:hideMark/>
          </w:tcPr>
          <w:p w14:paraId="0994EB62"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3116D0B1"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Fadeeva et al. (2025)</w:t>
            </w:r>
          </w:p>
        </w:tc>
        <w:tc>
          <w:tcPr>
            <w:tcW w:w="0" w:type="auto"/>
            <w:hideMark/>
          </w:tcPr>
          <w:p w14:paraId="5350D1B8"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Violence across the life course and health trajectories in later life: cohort study in England</w:t>
            </w:r>
          </w:p>
        </w:tc>
        <w:tc>
          <w:tcPr>
            <w:tcW w:w="0" w:type="auto"/>
            <w:hideMark/>
          </w:tcPr>
          <w:p w14:paraId="5E8A5B41"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English longitudinal cohort links childhood parental physical abuse and later-life violence exposure to persistent disadvantages in depressive symptoms and long-standing illness across older age.</w:t>
            </w:r>
          </w:p>
        </w:tc>
        <w:tc>
          <w:tcPr>
            <w:tcW w:w="0" w:type="auto"/>
            <w:hideMark/>
          </w:tcPr>
          <w:p w14:paraId="7CDBBD87"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2025 (high). R: Strong UK evidence on long-term consequences of childhood physical abuse; outcome age is later life (not 18–29). A: Peer-reviewed (Lancet Healthy Longevity). Acu: Robust longitudinal modelling; relevance mainly for life-course framing. P: Research on sustained health disparities and prevention.</w:t>
            </w:r>
          </w:p>
        </w:tc>
      </w:tr>
      <w:tr w:rsidR="00CF4631" w:rsidRPr="00B526EA" w14:paraId="6B751720" w14:textId="77777777" w:rsidTr="004C3E7C">
        <w:tc>
          <w:tcPr>
            <w:tcW w:w="0" w:type="auto"/>
            <w:hideMark/>
          </w:tcPr>
          <w:p w14:paraId="29714847"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Yes</w:t>
            </w:r>
          </w:p>
        </w:tc>
        <w:tc>
          <w:tcPr>
            <w:tcW w:w="0" w:type="auto"/>
            <w:hideMark/>
          </w:tcPr>
          <w:p w14:paraId="79EE9A51"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Bellis et al. (2025)</w:t>
            </w:r>
          </w:p>
        </w:tc>
        <w:tc>
          <w:tcPr>
            <w:tcW w:w="0" w:type="auto"/>
            <w:hideMark/>
          </w:tcPr>
          <w:p w14:paraId="51A2FD0D"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Comparative relationships between child physical/verbal abuse and life course mental well-being (England and Wales)</w:t>
            </w:r>
          </w:p>
        </w:tc>
        <w:tc>
          <w:tcPr>
            <w:tcW w:w="0" w:type="auto"/>
            <w:hideMark/>
          </w:tcPr>
          <w:p w14:paraId="74D2BDA7"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Multi-survey secondary analysis finds childhood physical and verbal abuse are each associated with low adult mental wellbeing; combined exposure compounds risk, and trends suggest physical abuse has declined in younger cohorts.</w:t>
            </w:r>
          </w:p>
        </w:tc>
        <w:tc>
          <w:tcPr>
            <w:tcW w:w="0" w:type="auto"/>
            <w:hideMark/>
          </w:tcPr>
          <w:p w14:paraId="53C29904" w14:textId="77777777" w:rsidR="004C3E7C" w:rsidRPr="00B526EA" w:rsidRDefault="004C3E7C" w:rsidP="00F31E94">
            <w:pPr>
              <w:spacing w:before="240"/>
              <w:jc w:val="both"/>
              <w:rPr>
                <w:rFonts w:ascii="Arial" w:hAnsi="Arial" w:cs="Arial"/>
                <w:szCs w:val="22"/>
              </w:rPr>
            </w:pPr>
            <w:r w:rsidRPr="00B526EA">
              <w:rPr>
                <w:rFonts w:ascii="Arial" w:hAnsi="Arial" w:cs="Arial"/>
                <w:szCs w:val="22"/>
              </w:rPr>
              <w:t>C: 2025 (high). R: Highly relevant UK evidence for physical abuse and adult mental wellbeing; not specific to 18–29. A: Peer-reviewed (BMJ Open). Acu: Large pooled samples; cross-sectional and retrospective exposure limits. P: Research informing prevention and abuse policy.</w:t>
            </w:r>
          </w:p>
        </w:tc>
      </w:tr>
    </w:tbl>
    <w:p w14:paraId="6814FF5B" w14:textId="77777777" w:rsidR="002E37D2" w:rsidRDefault="002E37D2" w:rsidP="00F31E94">
      <w:pPr>
        <w:spacing w:before="240"/>
        <w:jc w:val="both"/>
        <w:rPr>
          <w:rFonts w:ascii="Arial" w:hAnsi="Arial" w:cs="Arial"/>
          <w:szCs w:val="22"/>
        </w:rPr>
      </w:pPr>
    </w:p>
    <w:p w14:paraId="615C0E3B" w14:textId="1397DC52" w:rsidR="00FE2728" w:rsidRDefault="00FE2728" w:rsidP="00FE2728">
      <w:pPr>
        <w:pStyle w:val="Heading2"/>
        <w:rPr>
          <w:sz w:val="22"/>
          <w:szCs w:val="22"/>
        </w:rPr>
      </w:pPr>
      <w:bookmarkStart w:id="58" w:name="_Toc220350553"/>
      <w:r w:rsidRPr="00FE2728">
        <w:rPr>
          <w:sz w:val="22"/>
          <w:szCs w:val="22"/>
        </w:rPr>
        <w:t>Appendix B: Detailed Study Table</w:t>
      </w:r>
      <w:bookmarkEnd w:id="58"/>
    </w:p>
    <w:tbl>
      <w:tblPr>
        <w:tblStyle w:val="TableGrid"/>
        <w:tblW w:w="0" w:type="auto"/>
        <w:tblLook w:val="04A0" w:firstRow="1" w:lastRow="0" w:firstColumn="1" w:lastColumn="0" w:noHBand="0" w:noVBand="1"/>
      </w:tblPr>
      <w:tblGrid>
        <w:gridCol w:w="861"/>
        <w:gridCol w:w="1143"/>
        <w:gridCol w:w="984"/>
        <w:gridCol w:w="1143"/>
        <w:gridCol w:w="1344"/>
        <w:gridCol w:w="1268"/>
        <w:gridCol w:w="1067"/>
        <w:gridCol w:w="1206"/>
      </w:tblGrid>
      <w:tr w:rsidR="0063481C" w:rsidRPr="0063481C" w14:paraId="2F1E6DB9" w14:textId="77777777" w:rsidTr="0063481C">
        <w:tc>
          <w:tcPr>
            <w:tcW w:w="0" w:type="auto"/>
            <w:hideMark/>
          </w:tcPr>
          <w:p w14:paraId="292FCA82" w14:textId="77777777" w:rsidR="0063481C" w:rsidRPr="0063481C" w:rsidRDefault="0063481C" w:rsidP="0063481C">
            <w:pPr>
              <w:rPr>
                <w:rFonts w:cstheme="minorBidi"/>
                <w:b/>
                <w:bCs/>
                <w:szCs w:val="22"/>
              </w:rPr>
            </w:pPr>
            <w:r w:rsidRPr="0063481C">
              <w:rPr>
                <w:rFonts w:cstheme="minorBidi"/>
                <w:b/>
                <w:bCs/>
                <w:szCs w:val="22"/>
              </w:rPr>
              <w:t>Author &amp; Year</w:t>
            </w:r>
          </w:p>
        </w:tc>
        <w:tc>
          <w:tcPr>
            <w:tcW w:w="0" w:type="auto"/>
            <w:hideMark/>
          </w:tcPr>
          <w:p w14:paraId="2978B14C" w14:textId="77777777" w:rsidR="0063481C" w:rsidRPr="0063481C" w:rsidRDefault="0063481C" w:rsidP="0063481C">
            <w:pPr>
              <w:rPr>
                <w:rFonts w:cstheme="minorBidi"/>
                <w:b/>
                <w:bCs/>
                <w:szCs w:val="22"/>
              </w:rPr>
            </w:pPr>
            <w:r w:rsidRPr="0063481C">
              <w:rPr>
                <w:rFonts w:cstheme="minorBidi"/>
                <w:b/>
                <w:bCs/>
                <w:szCs w:val="22"/>
              </w:rPr>
              <w:t>Article Title</w:t>
            </w:r>
          </w:p>
        </w:tc>
        <w:tc>
          <w:tcPr>
            <w:tcW w:w="0" w:type="auto"/>
            <w:hideMark/>
          </w:tcPr>
          <w:p w14:paraId="163682CF" w14:textId="77777777" w:rsidR="0063481C" w:rsidRPr="0063481C" w:rsidRDefault="0063481C" w:rsidP="0063481C">
            <w:pPr>
              <w:rPr>
                <w:rFonts w:cstheme="minorBidi"/>
                <w:b/>
                <w:bCs/>
                <w:szCs w:val="22"/>
              </w:rPr>
            </w:pPr>
            <w:r w:rsidRPr="0063481C">
              <w:rPr>
                <w:rFonts w:cstheme="minorBidi"/>
                <w:b/>
                <w:bCs/>
                <w:szCs w:val="22"/>
              </w:rPr>
              <w:t>Type of Study</w:t>
            </w:r>
          </w:p>
        </w:tc>
        <w:tc>
          <w:tcPr>
            <w:tcW w:w="0" w:type="auto"/>
            <w:hideMark/>
          </w:tcPr>
          <w:p w14:paraId="4444FCA4" w14:textId="77777777" w:rsidR="0063481C" w:rsidRPr="0063481C" w:rsidRDefault="0063481C" w:rsidP="0063481C">
            <w:pPr>
              <w:rPr>
                <w:rFonts w:cstheme="minorBidi"/>
                <w:b/>
                <w:bCs/>
                <w:szCs w:val="22"/>
              </w:rPr>
            </w:pPr>
            <w:r w:rsidRPr="0063481C">
              <w:rPr>
                <w:rFonts w:cstheme="minorBidi"/>
                <w:b/>
                <w:bCs/>
                <w:szCs w:val="22"/>
              </w:rPr>
              <w:t>Research Method &amp; Sample Size</w:t>
            </w:r>
          </w:p>
        </w:tc>
        <w:tc>
          <w:tcPr>
            <w:tcW w:w="0" w:type="auto"/>
            <w:hideMark/>
          </w:tcPr>
          <w:p w14:paraId="259CF752" w14:textId="77777777" w:rsidR="0063481C" w:rsidRPr="0063481C" w:rsidRDefault="0063481C" w:rsidP="0063481C">
            <w:pPr>
              <w:rPr>
                <w:rFonts w:cstheme="minorBidi"/>
                <w:b/>
                <w:bCs/>
                <w:szCs w:val="22"/>
              </w:rPr>
            </w:pPr>
            <w:r w:rsidRPr="0063481C">
              <w:rPr>
                <w:rFonts w:cstheme="minorBidi"/>
                <w:b/>
                <w:bCs/>
                <w:szCs w:val="22"/>
              </w:rPr>
              <w:t>Strengths &amp; Limitations (code words)</w:t>
            </w:r>
          </w:p>
        </w:tc>
        <w:tc>
          <w:tcPr>
            <w:tcW w:w="0" w:type="auto"/>
            <w:hideMark/>
          </w:tcPr>
          <w:p w14:paraId="11C8D32B" w14:textId="77777777" w:rsidR="0063481C" w:rsidRPr="0063481C" w:rsidRDefault="0063481C" w:rsidP="0063481C">
            <w:pPr>
              <w:rPr>
                <w:rFonts w:cstheme="minorBidi"/>
                <w:b/>
                <w:bCs/>
                <w:szCs w:val="22"/>
              </w:rPr>
            </w:pPr>
            <w:r w:rsidRPr="0063481C">
              <w:rPr>
                <w:rFonts w:cstheme="minorBidi"/>
                <w:b/>
                <w:bCs/>
                <w:szCs w:val="22"/>
              </w:rPr>
              <w:t>Main Findings</w:t>
            </w:r>
          </w:p>
        </w:tc>
        <w:tc>
          <w:tcPr>
            <w:tcW w:w="0" w:type="auto"/>
            <w:hideMark/>
          </w:tcPr>
          <w:p w14:paraId="6059CBF2" w14:textId="77777777" w:rsidR="0063481C" w:rsidRPr="0063481C" w:rsidRDefault="0063481C" w:rsidP="0063481C">
            <w:pPr>
              <w:rPr>
                <w:rFonts w:cstheme="minorBidi"/>
                <w:b/>
                <w:bCs/>
                <w:szCs w:val="22"/>
              </w:rPr>
            </w:pPr>
            <w:r w:rsidRPr="0063481C">
              <w:rPr>
                <w:rFonts w:cstheme="minorBidi"/>
                <w:b/>
                <w:bCs/>
                <w:szCs w:val="22"/>
              </w:rPr>
              <w:t>Keywords &amp; Codes</w:t>
            </w:r>
          </w:p>
        </w:tc>
        <w:tc>
          <w:tcPr>
            <w:tcW w:w="0" w:type="auto"/>
            <w:hideMark/>
          </w:tcPr>
          <w:p w14:paraId="6FF1ED03" w14:textId="77777777" w:rsidR="0063481C" w:rsidRPr="0063481C" w:rsidRDefault="0063481C" w:rsidP="0063481C">
            <w:pPr>
              <w:rPr>
                <w:rFonts w:cstheme="minorBidi"/>
                <w:b/>
                <w:bCs/>
                <w:szCs w:val="22"/>
              </w:rPr>
            </w:pPr>
            <w:r w:rsidRPr="0063481C">
              <w:rPr>
                <w:rFonts w:cstheme="minorBidi"/>
                <w:b/>
                <w:bCs/>
                <w:szCs w:val="22"/>
              </w:rPr>
              <w:t>Notes &amp; Comments</w:t>
            </w:r>
          </w:p>
        </w:tc>
      </w:tr>
      <w:tr w:rsidR="0063481C" w:rsidRPr="0063481C" w14:paraId="37DD6121" w14:textId="77777777" w:rsidTr="0063481C">
        <w:tc>
          <w:tcPr>
            <w:tcW w:w="0" w:type="auto"/>
            <w:hideMark/>
          </w:tcPr>
          <w:p w14:paraId="3D641FC2" w14:textId="77777777" w:rsidR="0063481C" w:rsidRPr="0063481C" w:rsidRDefault="0063481C" w:rsidP="0063481C">
            <w:pPr>
              <w:rPr>
                <w:rFonts w:cstheme="minorBidi"/>
                <w:szCs w:val="22"/>
              </w:rPr>
            </w:pPr>
            <w:r w:rsidRPr="0063481C">
              <w:rPr>
                <w:rFonts w:cstheme="minorBidi"/>
                <w:szCs w:val="22"/>
              </w:rPr>
              <w:t>Agrawal et al., 2024</w:t>
            </w:r>
          </w:p>
        </w:tc>
        <w:tc>
          <w:tcPr>
            <w:tcW w:w="0" w:type="auto"/>
            <w:hideMark/>
          </w:tcPr>
          <w:p w14:paraId="45232F3E" w14:textId="77777777" w:rsidR="0063481C" w:rsidRPr="0063481C" w:rsidRDefault="0063481C" w:rsidP="0063481C">
            <w:pPr>
              <w:rPr>
                <w:rFonts w:cstheme="minorBidi"/>
                <w:szCs w:val="22"/>
              </w:rPr>
            </w:pPr>
            <w:r w:rsidRPr="0063481C">
              <w:rPr>
                <w:rFonts w:cstheme="minorBidi"/>
                <w:szCs w:val="22"/>
              </w:rPr>
              <w:t>Young Adult Mental Health Problem Incidence Varies by Specific Combinations of ACEs</w:t>
            </w:r>
          </w:p>
        </w:tc>
        <w:tc>
          <w:tcPr>
            <w:tcW w:w="0" w:type="auto"/>
            <w:hideMark/>
          </w:tcPr>
          <w:p w14:paraId="71D82839" w14:textId="77777777" w:rsidR="0063481C" w:rsidRPr="0063481C" w:rsidRDefault="0063481C" w:rsidP="0063481C">
            <w:pPr>
              <w:rPr>
                <w:rFonts w:cstheme="minorBidi"/>
                <w:szCs w:val="22"/>
              </w:rPr>
            </w:pPr>
            <w:r w:rsidRPr="0063481C">
              <w:rPr>
                <w:rFonts w:cstheme="minorBidi"/>
                <w:szCs w:val="22"/>
              </w:rPr>
              <w:t>Longitudinal cohort analysis</w:t>
            </w:r>
          </w:p>
        </w:tc>
        <w:tc>
          <w:tcPr>
            <w:tcW w:w="0" w:type="auto"/>
            <w:hideMark/>
          </w:tcPr>
          <w:p w14:paraId="0C8C1696" w14:textId="77777777" w:rsidR="0063481C" w:rsidRPr="0063481C" w:rsidRDefault="0063481C" w:rsidP="0063481C">
            <w:pPr>
              <w:rPr>
                <w:rFonts w:cstheme="minorBidi"/>
                <w:szCs w:val="22"/>
              </w:rPr>
            </w:pPr>
            <w:r w:rsidRPr="0063481C">
              <w:rPr>
                <w:rFonts w:cstheme="minorBidi"/>
                <w:szCs w:val="22"/>
              </w:rPr>
              <w:t>PSID Transition to Adulthood Supplement (2007–2017); logistic regression; n=1,832 (18–28)</w:t>
            </w:r>
          </w:p>
        </w:tc>
        <w:tc>
          <w:tcPr>
            <w:tcW w:w="0" w:type="auto"/>
            <w:hideMark/>
          </w:tcPr>
          <w:p w14:paraId="754B1FFA" w14:textId="77777777" w:rsidR="0063481C" w:rsidRPr="0063481C" w:rsidRDefault="0063481C" w:rsidP="0063481C">
            <w:pPr>
              <w:rPr>
                <w:rFonts w:cstheme="minorBidi"/>
                <w:szCs w:val="22"/>
              </w:rPr>
            </w:pPr>
            <w:r w:rsidRPr="0063481C">
              <w:rPr>
                <w:rFonts w:cstheme="minorBidi"/>
                <w:szCs w:val="22"/>
              </w:rPr>
              <w:t>STR: longitudinal; combination analysis; national data LIM: self-report; residual confounding</w:t>
            </w:r>
          </w:p>
        </w:tc>
        <w:tc>
          <w:tcPr>
            <w:tcW w:w="0" w:type="auto"/>
            <w:hideMark/>
          </w:tcPr>
          <w:p w14:paraId="5E16AF75" w14:textId="77777777" w:rsidR="0063481C" w:rsidRPr="0063481C" w:rsidRDefault="0063481C" w:rsidP="0063481C">
            <w:pPr>
              <w:rPr>
                <w:rFonts w:cstheme="minorBidi"/>
                <w:szCs w:val="22"/>
              </w:rPr>
            </w:pPr>
            <w:r w:rsidRPr="0063481C">
              <w:rPr>
                <w:rFonts w:cstheme="minorBidi"/>
                <w:szCs w:val="22"/>
              </w:rPr>
              <w:t>Parental mental illness and sexual abuse showed highest risk; high-risk pairs included parental mental illness + sexual abuse / emotional neglect; some ACEs showed lower risk</w:t>
            </w:r>
          </w:p>
        </w:tc>
        <w:tc>
          <w:tcPr>
            <w:tcW w:w="0" w:type="auto"/>
            <w:hideMark/>
          </w:tcPr>
          <w:p w14:paraId="2755FC17" w14:textId="77777777" w:rsidR="0063481C" w:rsidRPr="0063481C" w:rsidRDefault="0063481C" w:rsidP="0063481C">
            <w:pPr>
              <w:rPr>
                <w:rFonts w:cstheme="minorBidi"/>
                <w:szCs w:val="22"/>
              </w:rPr>
            </w:pPr>
            <w:r w:rsidRPr="0063481C">
              <w:rPr>
                <w:rFonts w:cstheme="minorBidi"/>
                <w:szCs w:val="22"/>
              </w:rPr>
              <w:t>ACE combinations; mental illness diagnosis; distress; codes: “ACE synergy”, “parental MH”, “sexual abuse”, “risk ranking”</w:t>
            </w:r>
          </w:p>
        </w:tc>
        <w:tc>
          <w:tcPr>
            <w:tcW w:w="0" w:type="auto"/>
            <w:hideMark/>
          </w:tcPr>
          <w:p w14:paraId="28B4B701" w14:textId="77777777" w:rsidR="0063481C" w:rsidRPr="0063481C" w:rsidRDefault="0063481C" w:rsidP="0063481C">
            <w:pPr>
              <w:rPr>
                <w:rFonts w:cstheme="minorBidi"/>
                <w:szCs w:val="22"/>
              </w:rPr>
            </w:pPr>
            <w:r w:rsidRPr="0063481C">
              <w:rPr>
                <w:rFonts w:cstheme="minorBidi"/>
                <w:szCs w:val="22"/>
              </w:rPr>
              <w:t>Useful to argue ACE counts hide which ACEs drive risk (Agrawal et al., 2024).</w:t>
            </w:r>
          </w:p>
        </w:tc>
      </w:tr>
      <w:tr w:rsidR="0063481C" w:rsidRPr="0063481C" w14:paraId="047D3EFF" w14:textId="77777777" w:rsidTr="0063481C">
        <w:tc>
          <w:tcPr>
            <w:tcW w:w="0" w:type="auto"/>
            <w:hideMark/>
          </w:tcPr>
          <w:p w14:paraId="42E3F891" w14:textId="77777777" w:rsidR="0063481C" w:rsidRPr="0063481C" w:rsidRDefault="0063481C" w:rsidP="0063481C">
            <w:pPr>
              <w:rPr>
                <w:rFonts w:cstheme="minorBidi"/>
                <w:szCs w:val="22"/>
              </w:rPr>
            </w:pPr>
            <w:r w:rsidRPr="0063481C">
              <w:rPr>
                <w:rFonts w:cstheme="minorBidi"/>
                <w:szCs w:val="22"/>
              </w:rPr>
              <w:t>Zhang et al., 2024</w:t>
            </w:r>
          </w:p>
        </w:tc>
        <w:tc>
          <w:tcPr>
            <w:tcW w:w="0" w:type="auto"/>
            <w:hideMark/>
          </w:tcPr>
          <w:p w14:paraId="3EC3BAC0" w14:textId="77777777" w:rsidR="0063481C" w:rsidRPr="0063481C" w:rsidRDefault="0063481C" w:rsidP="0063481C">
            <w:pPr>
              <w:rPr>
                <w:rFonts w:cstheme="minorBidi"/>
                <w:szCs w:val="22"/>
              </w:rPr>
            </w:pPr>
            <w:r w:rsidRPr="0063481C">
              <w:rPr>
                <w:rFonts w:cstheme="minorBidi"/>
                <w:szCs w:val="22"/>
              </w:rPr>
              <w:t>ACEs and subsequent physical and mental health among young adults (China)</w:t>
            </w:r>
          </w:p>
        </w:tc>
        <w:tc>
          <w:tcPr>
            <w:tcW w:w="0" w:type="auto"/>
            <w:hideMark/>
          </w:tcPr>
          <w:p w14:paraId="75E03D0D" w14:textId="77777777" w:rsidR="0063481C" w:rsidRPr="0063481C" w:rsidRDefault="0063481C" w:rsidP="0063481C">
            <w:pPr>
              <w:rPr>
                <w:rFonts w:cstheme="minorBidi"/>
                <w:szCs w:val="22"/>
              </w:rPr>
            </w:pPr>
            <w:r w:rsidRPr="0063481C">
              <w:rPr>
                <w:rFonts w:cstheme="minorBidi"/>
                <w:szCs w:val="22"/>
              </w:rPr>
              <w:t>Cross-sectional survey</w:t>
            </w:r>
          </w:p>
        </w:tc>
        <w:tc>
          <w:tcPr>
            <w:tcW w:w="0" w:type="auto"/>
            <w:hideMark/>
          </w:tcPr>
          <w:p w14:paraId="36930BBE" w14:textId="77777777" w:rsidR="0063481C" w:rsidRPr="0063481C" w:rsidRDefault="0063481C" w:rsidP="0063481C">
            <w:pPr>
              <w:rPr>
                <w:rFonts w:cstheme="minorBidi"/>
                <w:szCs w:val="22"/>
              </w:rPr>
            </w:pPr>
            <w:r w:rsidRPr="0063481C">
              <w:rPr>
                <w:rFonts w:cstheme="minorBidi"/>
                <w:szCs w:val="22"/>
              </w:rPr>
              <w:t>University sample; self-rated health + diagnoses + GAD-7; n=18,723</w:t>
            </w:r>
          </w:p>
        </w:tc>
        <w:tc>
          <w:tcPr>
            <w:tcW w:w="0" w:type="auto"/>
            <w:hideMark/>
          </w:tcPr>
          <w:p w14:paraId="423640C7" w14:textId="77777777" w:rsidR="0063481C" w:rsidRPr="0063481C" w:rsidRDefault="0063481C" w:rsidP="0063481C">
            <w:pPr>
              <w:rPr>
                <w:rFonts w:cstheme="minorBidi"/>
                <w:szCs w:val="22"/>
              </w:rPr>
            </w:pPr>
            <w:r w:rsidRPr="0063481C">
              <w:rPr>
                <w:rFonts w:cstheme="minorBidi"/>
                <w:szCs w:val="22"/>
              </w:rPr>
              <w:t>STR: large sample; multi-outcome LIM: cross-sectional; context-specific; self-report</w:t>
            </w:r>
          </w:p>
        </w:tc>
        <w:tc>
          <w:tcPr>
            <w:tcW w:w="0" w:type="auto"/>
            <w:hideMark/>
          </w:tcPr>
          <w:p w14:paraId="365FFA72" w14:textId="77777777" w:rsidR="0063481C" w:rsidRPr="0063481C" w:rsidRDefault="0063481C" w:rsidP="0063481C">
            <w:pPr>
              <w:rPr>
                <w:rFonts w:cstheme="minorBidi"/>
                <w:szCs w:val="22"/>
              </w:rPr>
            </w:pPr>
            <w:r w:rsidRPr="0063481C">
              <w:rPr>
                <w:rFonts w:cstheme="minorBidi"/>
                <w:szCs w:val="22"/>
              </w:rPr>
              <w:t>82.6% had ≥1 ACE; ≥4 ACEs linked to higher odds of cardiometabolic disease/fractures and severe anxiety; also higher odds of serious mental disorders</w:t>
            </w:r>
          </w:p>
        </w:tc>
        <w:tc>
          <w:tcPr>
            <w:tcW w:w="0" w:type="auto"/>
            <w:hideMark/>
          </w:tcPr>
          <w:p w14:paraId="1B17AD53" w14:textId="77777777" w:rsidR="0063481C" w:rsidRPr="0063481C" w:rsidRDefault="0063481C" w:rsidP="0063481C">
            <w:pPr>
              <w:rPr>
                <w:rFonts w:cstheme="minorBidi"/>
                <w:szCs w:val="22"/>
              </w:rPr>
            </w:pPr>
            <w:r w:rsidRPr="0063481C">
              <w:rPr>
                <w:rFonts w:cstheme="minorBidi"/>
                <w:szCs w:val="22"/>
              </w:rPr>
              <w:t>ACE dose; anxiety; physical health; codes: “dose–response”, “high ACE load”, “GAD-7”, “comorbidity”</w:t>
            </w:r>
          </w:p>
        </w:tc>
        <w:tc>
          <w:tcPr>
            <w:tcW w:w="0" w:type="auto"/>
            <w:hideMark/>
          </w:tcPr>
          <w:p w14:paraId="76610EAF" w14:textId="77777777" w:rsidR="0063481C" w:rsidRPr="0063481C" w:rsidRDefault="0063481C" w:rsidP="0063481C">
            <w:pPr>
              <w:rPr>
                <w:rFonts w:cstheme="minorBidi"/>
                <w:szCs w:val="22"/>
              </w:rPr>
            </w:pPr>
            <w:r w:rsidRPr="0063481C">
              <w:rPr>
                <w:rFonts w:cstheme="minorBidi"/>
                <w:szCs w:val="22"/>
              </w:rPr>
              <w:t>Strong on cumulative risk, weaker for causality due to design (Zhang et al., 2024).</w:t>
            </w:r>
          </w:p>
        </w:tc>
      </w:tr>
      <w:tr w:rsidR="0063481C" w:rsidRPr="0063481C" w14:paraId="0216263F" w14:textId="77777777" w:rsidTr="0063481C">
        <w:tc>
          <w:tcPr>
            <w:tcW w:w="0" w:type="auto"/>
            <w:hideMark/>
          </w:tcPr>
          <w:p w14:paraId="53E67402" w14:textId="765AAC1D" w:rsidR="0063481C" w:rsidRPr="0063481C" w:rsidRDefault="0063481C" w:rsidP="0063481C">
            <w:pPr>
              <w:rPr>
                <w:rFonts w:cstheme="minorBidi"/>
                <w:szCs w:val="22"/>
              </w:rPr>
            </w:pPr>
            <w:r w:rsidRPr="0063481C">
              <w:rPr>
                <w:rFonts w:cstheme="minorBidi"/>
                <w:szCs w:val="22"/>
              </w:rPr>
              <w:t xml:space="preserve">Lee, Kim </w:t>
            </w:r>
            <w:r w:rsidR="00ED014A">
              <w:rPr>
                <w:rFonts w:cstheme="minorBidi"/>
                <w:szCs w:val="22"/>
              </w:rPr>
              <w:t>and</w:t>
            </w:r>
            <w:r w:rsidRPr="0063481C">
              <w:rPr>
                <w:rFonts w:cstheme="minorBidi"/>
                <w:szCs w:val="22"/>
              </w:rPr>
              <w:t xml:space="preserve"> Terry, 2020</w:t>
            </w:r>
          </w:p>
        </w:tc>
        <w:tc>
          <w:tcPr>
            <w:tcW w:w="0" w:type="auto"/>
            <w:hideMark/>
          </w:tcPr>
          <w:p w14:paraId="4AFD537B" w14:textId="77777777" w:rsidR="0063481C" w:rsidRPr="0063481C" w:rsidRDefault="0063481C" w:rsidP="0063481C">
            <w:pPr>
              <w:rPr>
                <w:rFonts w:cstheme="minorBidi"/>
                <w:szCs w:val="22"/>
              </w:rPr>
            </w:pPr>
            <w:r w:rsidRPr="0063481C">
              <w:rPr>
                <w:rFonts w:cstheme="minorBidi"/>
                <w:szCs w:val="22"/>
              </w:rPr>
              <w:t>ACEs on mental disorders in young adulthood: latent classes + community violence</w:t>
            </w:r>
          </w:p>
        </w:tc>
        <w:tc>
          <w:tcPr>
            <w:tcW w:w="0" w:type="auto"/>
            <w:hideMark/>
          </w:tcPr>
          <w:p w14:paraId="73787EF4" w14:textId="77777777" w:rsidR="0063481C" w:rsidRPr="0063481C" w:rsidRDefault="0063481C" w:rsidP="0063481C">
            <w:pPr>
              <w:rPr>
                <w:rFonts w:cstheme="minorBidi"/>
                <w:szCs w:val="22"/>
              </w:rPr>
            </w:pPr>
            <w:r w:rsidRPr="0063481C">
              <w:rPr>
                <w:rFonts w:cstheme="minorBidi"/>
                <w:szCs w:val="22"/>
              </w:rPr>
              <w:t>Latent class + observational</w:t>
            </w:r>
          </w:p>
        </w:tc>
        <w:tc>
          <w:tcPr>
            <w:tcW w:w="0" w:type="auto"/>
            <w:hideMark/>
          </w:tcPr>
          <w:p w14:paraId="70AB5EB5" w14:textId="77777777" w:rsidR="0063481C" w:rsidRPr="0063481C" w:rsidRDefault="0063481C" w:rsidP="0063481C">
            <w:pPr>
              <w:rPr>
                <w:rFonts w:cstheme="minorBidi"/>
                <w:szCs w:val="22"/>
              </w:rPr>
            </w:pPr>
            <w:r w:rsidRPr="0063481C">
              <w:rPr>
                <w:rFonts w:cstheme="minorBidi"/>
                <w:szCs w:val="22"/>
              </w:rPr>
              <w:t>Add Health; LCA + logistic regression; class proportions reported</w:t>
            </w:r>
          </w:p>
        </w:tc>
        <w:tc>
          <w:tcPr>
            <w:tcW w:w="0" w:type="auto"/>
            <w:hideMark/>
          </w:tcPr>
          <w:p w14:paraId="795D408F" w14:textId="77777777" w:rsidR="0063481C" w:rsidRPr="0063481C" w:rsidRDefault="0063481C" w:rsidP="0063481C">
            <w:pPr>
              <w:rPr>
                <w:rFonts w:cstheme="minorBidi"/>
                <w:szCs w:val="22"/>
              </w:rPr>
            </w:pPr>
            <w:r w:rsidRPr="0063481C">
              <w:rPr>
                <w:rFonts w:cstheme="minorBidi"/>
                <w:szCs w:val="22"/>
              </w:rPr>
              <w:t>STR: pattern-based (LCA); includes community violence LIM: classification error; observational</w:t>
            </w:r>
          </w:p>
        </w:tc>
        <w:tc>
          <w:tcPr>
            <w:tcW w:w="0" w:type="auto"/>
            <w:hideMark/>
          </w:tcPr>
          <w:p w14:paraId="0982A311" w14:textId="77777777" w:rsidR="0063481C" w:rsidRPr="0063481C" w:rsidRDefault="0063481C" w:rsidP="0063481C">
            <w:pPr>
              <w:rPr>
                <w:rFonts w:cstheme="minorBidi"/>
                <w:szCs w:val="22"/>
              </w:rPr>
            </w:pPr>
            <w:r w:rsidRPr="0063481C">
              <w:rPr>
                <w:rFonts w:cstheme="minorBidi"/>
                <w:szCs w:val="22"/>
              </w:rPr>
              <w:t>Maltreatment class associated with higher depression, anxiety, PTSD; community violence class linked strongly to PTSD; household dysfunction class not significant vs low adversity</w:t>
            </w:r>
          </w:p>
        </w:tc>
        <w:tc>
          <w:tcPr>
            <w:tcW w:w="0" w:type="auto"/>
            <w:hideMark/>
          </w:tcPr>
          <w:p w14:paraId="73B6730D" w14:textId="77777777" w:rsidR="0063481C" w:rsidRPr="0063481C" w:rsidRDefault="0063481C" w:rsidP="0063481C">
            <w:pPr>
              <w:rPr>
                <w:rFonts w:cstheme="minorBidi"/>
                <w:szCs w:val="22"/>
              </w:rPr>
            </w:pPr>
            <w:r w:rsidRPr="0063481C">
              <w:rPr>
                <w:rFonts w:cstheme="minorBidi"/>
                <w:szCs w:val="22"/>
              </w:rPr>
              <w:t>ACE classes; PTSD; community violence; codes: “ACE typologies”, “maltreatment pathway”, “PTSD risk”</w:t>
            </w:r>
          </w:p>
        </w:tc>
        <w:tc>
          <w:tcPr>
            <w:tcW w:w="0" w:type="auto"/>
            <w:hideMark/>
          </w:tcPr>
          <w:p w14:paraId="3968BC8C" w14:textId="77777777" w:rsidR="0063481C" w:rsidRPr="0063481C" w:rsidRDefault="0063481C" w:rsidP="0063481C">
            <w:pPr>
              <w:rPr>
                <w:rFonts w:cstheme="minorBidi"/>
                <w:szCs w:val="22"/>
              </w:rPr>
            </w:pPr>
            <w:r w:rsidRPr="0063481C">
              <w:rPr>
                <w:rFonts w:cstheme="minorBidi"/>
                <w:szCs w:val="22"/>
              </w:rPr>
              <w:t>Good for sub-coding “type matters” and “community violence” exposure (Lee et al., 2020).</w:t>
            </w:r>
          </w:p>
        </w:tc>
      </w:tr>
      <w:tr w:rsidR="0063481C" w:rsidRPr="0063481C" w14:paraId="16B31EAE" w14:textId="77777777" w:rsidTr="0063481C">
        <w:tc>
          <w:tcPr>
            <w:tcW w:w="0" w:type="auto"/>
            <w:hideMark/>
          </w:tcPr>
          <w:p w14:paraId="26C5FB22" w14:textId="77777777" w:rsidR="0063481C" w:rsidRPr="0063481C" w:rsidRDefault="0063481C" w:rsidP="0063481C">
            <w:pPr>
              <w:rPr>
                <w:rFonts w:cstheme="minorBidi"/>
                <w:szCs w:val="22"/>
              </w:rPr>
            </w:pPr>
            <w:r w:rsidRPr="0063481C">
              <w:rPr>
                <w:rFonts w:cstheme="minorBidi"/>
                <w:szCs w:val="22"/>
              </w:rPr>
              <w:t>Farooq et al., 2024</w:t>
            </w:r>
          </w:p>
        </w:tc>
        <w:tc>
          <w:tcPr>
            <w:tcW w:w="0" w:type="auto"/>
            <w:hideMark/>
          </w:tcPr>
          <w:p w14:paraId="143FFC55" w14:textId="77777777" w:rsidR="0063481C" w:rsidRPr="0063481C" w:rsidRDefault="0063481C" w:rsidP="0063481C">
            <w:pPr>
              <w:rPr>
                <w:rFonts w:cstheme="minorBidi"/>
                <w:szCs w:val="22"/>
              </w:rPr>
            </w:pPr>
            <w:r w:rsidRPr="0063481C">
              <w:rPr>
                <w:rFonts w:cstheme="minorBidi"/>
                <w:szCs w:val="22"/>
              </w:rPr>
              <w:t>Type, timing, duration of ACEs and adolescent self-harm + depression (UK cohorts)</w:t>
            </w:r>
          </w:p>
        </w:tc>
        <w:tc>
          <w:tcPr>
            <w:tcW w:w="0" w:type="auto"/>
            <w:hideMark/>
          </w:tcPr>
          <w:p w14:paraId="75BFFD1A" w14:textId="77777777" w:rsidR="0063481C" w:rsidRPr="0063481C" w:rsidRDefault="0063481C" w:rsidP="0063481C">
            <w:pPr>
              <w:rPr>
                <w:rFonts w:cstheme="minorBidi"/>
                <w:szCs w:val="22"/>
              </w:rPr>
            </w:pPr>
            <w:r w:rsidRPr="0063481C">
              <w:rPr>
                <w:rFonts w:cstheme="minorBidi"/>
                <w:szCs w:val="22"/>
              </w:rPr>
              <w:t>Prospective cohort (UK)</w:t>
            </w:r>
          </w:p>
        </w:tc>
        <w:tc>
          <w:tcPr>
            <w:tcW w:w="0" w:type="auto"/>
            <w:hideMark/>
          </w:tcPr>
          <w:p w14:paraId="615DBF6F" w14:textId="77777777" w:rsidR="0063481C" w:rsidRPr="0063481C" w:rsidRDefault="0063481C" w:rsidP="0063481C">
            <w:pPr>
              <w:rPr>
                <w:rFonts w:cstheme="minorBidi"/>
                <w:szCs w:val="22"/>
              </w:rPr>
            </w:pPr>
            <w:r w:rsidRPr="0063481C">
              <w:rPr>
                <w:rFonts w:cstheme="minorBidi"/>
                <w:szCs w:val="22"/>
              </w:rPr>
              <w:t>ALSPAC, MCS, E-Risk; life course modelling + multinomial regression; &gt;22,000</w:t>
            </w:r>
          </w:p>
        </w:tc>
        <w:tc>
          <w:tcPr>
            <w:tcW w:w="0" w:type="auto"/>
            <w:hideMark/>
          </w:tcPr>
          <w:p w14:paraId="6486023A" w14:textId="77777777" w:rsidR="0063481C" w:rsidRPr="0063481C" w:rsidRDefault="0063481C" w:rsidP="0063481C">
            <w:pPr>
              <w:rPr>
                <w:rFonts w:cstheme="minorBidi"/>
                <w:szCs w:val="22"/>
              </w:rPr>
            </w:pPr>
            <w:r w:rsidRPr="0063481C">
              <w:rPr>
                <w:rFonts w:cstheme="minorBidi"/>
                <w:szCs w:val="22"/>
              </w:rPr>
              <w:t>STR: UK cohorts; timing/duration focus; replication across cohorts LIM: measurement differences across cohorts; attrition</w:t>
            </w:r>
          </w:p>
        </w:tc>
        <w:tc>
          <w:tcPr>
            <w:tcW w:w="0" w:type="auto"/>
            <w:hideMark/>
          </w:tcPr>
          <w:p w14:paraId="04106369" w14:textId="77777777" w:rsidR="0063481C" w:rsidRPr="0063481C" w:rsidRDefault="0063481C" w:rsidP="0063481C">
            <w:pPr>
              <w:rPr>
                <w:rFonts w:cstheme="minorBidi"/>
                <w:szCs w:val="22"/>
              </w:rPr>
            </w:pPr>
            <w:r w:rsidRPr="0063481C">
              <w:rPr>
                <w:rFonts w:cstheme="minorBidi"/>
                <w:szCs w:val="22"/>
              </w:rPr>
              <w:t>Many ACEs linked to co-occurring self-harm+depression; timing vs duration effects vary by ACE; longer exposure to parental MH problems strongly linked to co-occurrence</w:t>
            </w:r>
          </w:p>
        </w:tc>
        <w:tc>
          <w:tcPr>
            <w:tcW w:w="0" w:type="auto"/>
            <w:hideMark/>
          </w:tcPr>
          <w:p w14:paraId="03C25BAF" w14:textId="77777777" w:rsidR="0063481C" w:rsidRPr="0063481C" w:rsidRDefault="0063481C" w:rsidP="0063481C">
            <w:pPr>
              <w:rPr>
                <w:rFonts w:cstheme="minorBidi"/>
                <w:szCs w:val="22"/>
              </w:rPr>
            </w:pPr>
            <w:r w:rsidRPr="0063481C">
              <w:rPr>
                <w:rFonts w:cstheme="minorBidi"/>
                <w:szCs w:val="22"/>
              </w:rPr>
              <w:t>life course; timing; duration; self-harm; depression; codes: “critical period”, “accumulation”, “parental MH duration”</w:t>
            </w:r>
          </w:p>
        </w:tc>
        <w:tc>
          <w:tcPr>
            <w:tcW w:w="0" w:type="auto"/>
            <w:hideMark/>
          </w:tcPr>
          <w:p w14:paraId="52440650" w14:textId="77777777" w:rsidR="0063481C" w:rsidRPr="0063481C" w:rsidRDefault="0063481C" w:rsidP="0063481C">
            <w:pPr>
              <w:rPr>
                <w:rFonts w:cstheme="minorBidi"/>
                <w:szCs w:val="22"/>
              </w:rPr>
            </w:pPr>
            <w:r w:rsidRPr="0063481C">
              <w:rPr>
                <w:rFonts w:cstheme="minorBidi"/>
                <w:szCs w:val="22"/>
              </w:rPr>
              <w:t>Strong evidence for “when” and “how long” exposures matter (Farooq et al., 2024).</w:t>
            </w:r>
          </w:p>
        </w:tc>
      </w:tr>
      <w:tr w:rsidR="0063481C" w:rsidRPr="0063481C" w14:paraId="0B0D652B" w14:textId="77777777" w:rsidTr="0063481C">
        <w:tc>
          <w:tcPr>
            <w:tcW w:w="0" w:type="auto"/>
            <w:hideMark/>
          </w:tcPr>
          <w:p w14:paraId="70ACB719" w14:textId="77777777" w:rsidR="0063481C" w:rsidRPr="0063481C" w:rsidRDefault="0063481C" w:rsidP="0063481C">
            <w:pPr>
              <w:rPr>
                <w:rFonts w:cstheme="minorBidi"/>
                <w:szCs w:val="22"/>
              </w:rPr>
            </w:pPr>
            <w:r w:rsidRPr="0063481C">
              <w:rPr>
                <w:rFonts w:cstheme="minorBidi"/>
                <w:szCs w:val="22"/>
              </w:rPr>
              <w:t>Bunting et al., 2023</w:t>
            </w:r>
          </w:p>
        </w:tc>
        <w:tc>
          <w:tcPr>
            <w:tcW w:w="0" w:type="auto"/>
            <w:hideMark/>
          </w:tcPr>
          <w:p w14:paraId="2CF93BA2" w14:textId="77777777" w:rsidR="0063481C" w:rsidRPr="0063481C" w:rsidRDefault="0063481C" w:rsidP="0063481C">
            <w:pPr>
              <w:rPr>
                <w:rFonts w:cstheme="minorBidi"/>
                <w:szCs w:val="22"/>
              </w:rPr>
            </w:pPr>
            <w:r w:rsidRPr="0063481C">
              <w:rPr>
                <w:rFonts w:cstheme="minorBidi"/>
                <w:szCs w:val="22"/>
              </w:rPr>
              <w:t>Adverse and positive childhood experiences, mental health, self-harm, suicidal ideation (NI)</w:t>
            </w:r>
          </w:p>
        </w:tc>
        <w:tc>
          <w:tcPr>
            <w:tcW w:w="0" w:type="auto"/>
            <w:hideMark/>
          </w:tcPr>
          <w:p w14:paraId="707191F0" w14:textId="77777777" w:rsidR="0063481C" w:rsidRPr="0063481C" w:rsidRDefault="0063481C" w:rsidP="0063481C">
            <w:pPr>
              <w:rPr>
                <w:rFonts w:cstheme="minorBidi"/>
                <w:szCs w:val="22"/>
              </w:rPr>
            </w:pPr>
            <w:r w:rsidRPr="0063481C">
              <w:rPr>
                <w:rFonts w:cstheme="minorBidi"/>
                <w:szCs w:val="22"/>
              </w:rPr>
              <w:t>Cross-sectional (survey)</w:t>
            </w:r>
          </w:p>
        </w:tc>
        <w:tc>
          <w:tcPr>
            <w:tcW w:w="0" w:type="auto"/>
            <w:hideMark/>
          </w:tcPr>
          <w:p w14:paraId="4FF88718" w14:textId="77777777" w:rsidR="0063481C" w:rsidRPr="0063481C" w:rsidRDefault="0063481C" w:rsidP="0063481C">
            <w:pPr>
              <w:rPr>
                <w:rFonts w:cstheme="minorBidi"/>
                <w:szCs w:val="22"/>
              </w:rPr>
            </w:pPr>
            <w:r w:rsidRPr="0063481C">
              <w:rPr>
                <w:rFonts w:cstheme="minorBidi"/>
                <w:szCs w:val="22"/>
              </w:rPr>
              <w:t>NI Youth Wellbeing Survey; logistic regression; n=1,299 (11–19)</w:t>
            </w:r>
          </w:p>
        </w:tc>
        <w:tc>
          <w:tcPr>
            <w:tcW w:w="0" w:type="auto"/>
            <w:hideMark/>
          </w:tcPr>
          <w:p w14:paraId="0C637492" w14:textId="77777777" w:rsidR="0063481C" w:rsidRPr="0063481C" w:rsidRDefault="0063481C" w:rsidP="0063481C">
            <w:pPr>
              <w:rPr>
                <w:rFonts w:cstheme="minorBidi"/>
                <w:szCs w:val="22"/>
              </w:rPr>
            </w:pPr>
            <w:r w:rsidRPr="0063481C">
              <w:rPr>
                <w:rFonts w:cstheme="minorBidi"/>
                <w:szCs w:val="22"/>
              </w:rPr>
              <w:t>STR: includes PCEs; population survey LIM: cross-sectional; no moderation found may reflect measurement</w:t>
            </w:r>
          </w:p>
        </w:tc>
        <w:tc>
          <w:tcPr>
            <w:tcW w:w="0" w:type="auto"/>
            <w:hideMark/>
          </w:tcPr>
          <w:p w14:paraId="5E7BB823" w14:textId="77777777" w:rsidR="0063481C" w:rsidRPr="0063481C" w:rsidRDefault="0063481C" w:rsidP="0063481C">
            <w:pPr>
              <w:rPr>
                <w:rFonts w:cstheme="minorBidi"/>
                <w:szCs w:val="22"/>
              </w:rPr>
            </w:pPr>
            <w:r w:rsidRPr="0063481C">
              <w:rPr>
                <w:rFonts w:cstheme="minorBidi"/>
                <w:szCs w:val="22"/>
              </w:rPr>
              <w:t>ACEs increase risk of mood/anxiety disorders, self-harm, suicidal ideation; PCEs independently reduce risk; no buffering (no moderation)</w:t>
            </w:r>
          </w:p>
        </w:tc>
        <w:tc>
          <w:tcPr>
            <w:tcW w:w="0" w:type="auto"/>
            <w:hideMark/>
          </w:tcPr>
          <w:p w14:paraId="4B541245" w14:textId="77777777" w:rsidR="0063481C" w:rsidRPr="0063481C" w:rsidRDefault="0063481C" w:rsidP="0063481C">
            <w:pPr>
              <w:rPr>
                <w:rFonts w:cstheme="minorBidi"/>
                <w:szCs w:val="22"/>
              </w:rPr>
            </w:pPr>
            <w:r w:rsidRPr="0063481C">
              <w:rPr>
                <w:rFonts w:cstheme="minorBidi"/>
                <w:szCs w:val="22"/>
              </w:rPr>
              <w:t>ACEs; PCEs; resilience; suicide ideation; codes: “independent protection”, “no moderation”, “risk gradient”</w:t>
            </w:r>
          </w:p>
        </w:tc>
        <w:tc>
          <w:tcPr>
            <w:tcW w:w="0" w:type="auto"/>
            <w:hideMark/>
          </w:tcPr>
          <w:p w14:paraId="734DCF0F" w14:textId="77777777" w:rsidR="0063481C" w:rsidRPr="0063481C" w:rsidRDefault="0063481C" w:rsidP="0063481C">
            <w:pPr>
              <w:rPr>
                <w:rFonts w:cstheme="minorBidi"/>
                <w:szCs w:val="22"/>
              </w:rPr>
            </w:pPr>
            <w:r w:rsidRPr="0063481C">
              <w:rPr>
                <w:rFonts w:cstheme="minorBidi"/>
                <w:szCs w:val="22"/>
              </w:rPr>
              <w:t>Helpful to discuss protective experiences as separate pathway (Bunting et al., 2023).</w:t>
            </w:r>
          </w:p>
        </w:tc>
      </w:tr>
      <w:tr w:rsidR="0063481C" w:rsidRPr="0063481C" w14:paraId="0B009872" w14:textId="77777777" w:rsidTr="0063481C">
        <w:tc>
          <w:tcPr>
            <w:tcW w:w="0" w:type="auto"/>
            <w:hideMark/>
          </w:tcPr>
          <w:p w14:paraId="1BEED9B2" w14:textId="77777777" w:rsidR="0063481C" w:rsidRPr="0063481C" w:rsidRDefault="0063481C" w:rsidP="0063481C">
            <w:pPr>
              <w:rPr>
                <w:rFonts w:cstheme="minorBidi"/>
                <w:szCs w:val="22"/>
              </w:rPr>
            </w:pPr>
            <w:r w:rsidRPr="0063481C">
              <w:rPr>
                <w:rFonts w:cstheme="minorBidi"/>
                <w:szCs w:val="22"/>
              </w:rPr>
              <w:t>Farooq et al., 2025</w:t>
            </w:r>
          </w:p>
        </w:tc>
        <w:tc>
          <w:tcPr>
            <w:tcW w:w="0" w:type="auto"/>
            <w:hideMark/>
          </w:tcPr>
          <w:p w14:paraId="3522488C" w14:textId="77777777" w:rsidR="0063481C" w:rsidRPr="0063481C" w:rsidRDefault="0063481C" w:rsidP="0063481C">
            <w:pPr>
              <w:rPr>
                <w:rFonts w:cstheme="minorBidi"/>
                <w:szCs w:val="22"/>
              </w:rPr>
            </w:pPr>
            <w:r w:rsidRPr="0063481C">
              <w:rPr>
                <w:rFonts w:cstheme="minorBidi"/>
                <w:szCs w:val="22"/>
              </w:rPr>
              <w:t>Longitudinal patterns of ACEs and self-harm/depression (ALSPAC)</w:t>
            </w:r>
          </w:p>
        </w:tc>
        <w:tc>
          <w:tcPr>
            <w:tcW w:w="0" w:type="auto"/>
            <w:hideMark/>
          </w:tcPr>
          <w:p w14:paraId="7F45F640" w14:textId="77777777" w:rsidR="0063481C" w:rsidRPr="0063481C" w:rsidRDefault="0063481C" w:rsidP="0063481C">
            <w:pPr>
              <w:rPr>
                <w:rFonts w:cstheme="minorBidi"/>
                <w:szCs w:val="22"/>
              </w:rPr>
            </w:pPr>
            <w:r w:rsidRPr="0063481C">
              <w:rPr>
                <w:rFonts w:cstheme="minorBidi"/>
                <w:szCs w:val="22"/>
              </w:rPr>
              <w:t>Prospective cohort (UK)</w:t>
            </w:r>
          </w:p>
        </w:tc>
        <w:tc>
          <w:tcPr>
            <w:tcW w:w="0" w:type="auto"/>
            <w:hideMark/>
          </w:tcPr>
          <w:p w14:paraId="3A04FBD2" w14:textId="77777777" w:rsidR="0063481C" w:rsidRPr="0063481C" w:rsidRDefault="0063481C" w:rsidP="0063481C">
            <w:pPr>
              <w:rPr>
                <w:rFonts w:cstheme="minorBidi"/>
                <w:szCs w:val="22"/>
              </w:rPr>
            </w:pPr>
            <w:r w:rsidRPr="0063481C">
              <w:rPr>
                <w:rFonts w:cstheme="minorBidi"/>
                <w:szCs w:val="22"/>
              </w:rPr>
              <w:t>ALSPAC; latent classes over time + logistic regression; n=8,859</w:t>
            </w:r>
          </w:p>
        </w:tc>
        <w:tc>
          <w:tcPr>
            <w:tcW w:w="0" w:type="auto"/>
            <w:hideMark/>
          </w:tcPr>
          <w:p w14:paraId="6C3D89D1" w14:textId="77777777" w:rsidR="0063481C" w:rsidRPr="0063481C" w:rsidRDefault="0063481C" w:rsidP="0063481C">
            <w:pPr>
              <w:rPr>
                <w:rFonts w:cstheme="minorBidi"/>
                <w:szCs w:val="22"/>
              </w:rPr>
            </w:pPr>
            <w:r w:rsidRPr="0063481C">
              <w:rPr>
                <w:rFonts w:cstheme="minorBidi"/>
                <w:szCs w:val="22"/>
              </w:rPr>
              <w:t>STR: long follow-up; patterning over time; UK data LIM: class derivation assumptions; missingness/attrition</w:t>
            </w:r>
          </w:p>
        </w:tc>
        <w:tc>
          <w:tcPr>
            <w:tcW w:w="0" w:type="auto"/>
            <w:hideMark/>
          </w:tcPr>
          <w:p w14:paraId="0FDD11A9" w14:textId="77777777" w:rsidR="0063481C" w:rsidRPr="0063481C" w:rsidRDefault="0063481C" w:rsidP="0063481C">
            <w:pPr>
              <w:rPr>
                <w:rFonts w:cstheme="minorBidi"/>
                <w:szCs w:val="22"/>
              </w:rPr>
            </w:pPr>
            <w:r w:rsidRPr="0063481C">
              <w:rPr>
                <w:rFonts w:cstheme="minorBidi"/>
                <w:szCs w:val="22"/>
              </w:rPr>
              <w:t>Multiple ACE-pattern classes linked to adolescent self-harm and depression; persistent parental MH problems predict self-harm into adulthood; early abuse+parental MH strongly predicts depression and co-occurrence</w:t>
            </w:r>
          </w:p>
        </w:tc>
        <w:tc>
          <w:tcPr>
            <w:tcW w:w="0" w:type="auto"/>
            <w:hideMark/>
          </w:tcPr>
          <w:p w14:paraId="2EFB481A" w14:textId="77777777" w:rsidR="0063481C" w:rsidRPr="0063481C" w:rsidRDefault="0063481C" w:rsidP="0063481C">
            <w:pPr>
              <w:rPr>
                <w:rFonts w:cstheme="minorBidi"/>
                <w:szCs w:val="22"/>
              </w:rPr>
            </w:pPr>
            <w:r w:rsidRPr="0063481C">
              <w:rPr>
                <w:rFonts w:cstheme="minorBidi"/>
                <w:szCs w:val="22"/>
              </w:rPr>
              <w:t>ACE trajectories; latent classes; persistence; codes: “persistent exposure”, “trajectory risk”, “co-occurrence”</w:t>
            </w:r>
          </w:p>
        </w:tc>
        <w:tc>
          <w:tcPr>
            <w:tcW w:w="0" w:type="auto"/>
            <w:hideMark/>
          </w:tcPr>
          <w:p w14:paraId="7909E0C3" w14:textId="77777777" w:rsidR="0063481C" w:rsidRPr="0063481C" w:rsidRDefault="0063481C" w:rsidP="0063481C">
            <w:pPr>
              <w:rPr>
                <w:rFonts w:cstheme="minorBidi"/>
                <w:szCs w:val="22"/>
              </w:rPr>
            </w:pPr>
            <w:r w:rsidRPr="0063481C">
              <w:rPr>
                <w:rFonts w:cstheme="minorBidi"/>
                <w:szCs w:val="22"/>
              </w:rPr>
              <w:t>Strong for “persistence drives later outcomes” argument (Farooq et al., 2025).</w:t>
            </w:r>
          </w:p>
        </w:tc>
      </w:tr>
      <w:tr w:rsidR="0063481C" w:rsidRPr="0063481C" w14:paraId="291B0811" w14:textId="77777777" w:rsidTr="0063481C">
        <w:tc>
          <w:tcPr>
            <w:tcW w:w="0" w:type="auto"/>
            <w:hideMark/>
          </w:tcPr>
          <w:p w14:paraId="30E50DC7" w14:textId="77777777" w:rsidR="0063481C" w:rsidRPr="0063481C" w:rsidRDefault="0063481C" w:rsidP="0063481C">
            <w:pPr>
              <w:rPr>
                <w:rFonts w:cstheme="minorBidi"/>
                <w:szCs w:val="22"/>
              </w:rPr>
            </w:pPr>
            <w:r w:rsidRPr="0063481C">
              <w:rPr>
                <w:rFonts w:cstheme="minorBidi"/>
                <w:szCs w:val="22"/>
              </w:rPr>
              <w:t>Merrick et al., 2017</w:t>
            </w:r>
          </w:p>
        </w:tc>
        <w:tc>
          <w:tcPr>
            <w:tcW w:w="0" w:type="auto"/>
            <w:hideMark/>
          </w:tcPr>
          <w:p w14:paraId="5E4E6641" w14:textId="77777777" w:rsidR="0063481C" w:rsidRPr="0063481C" w:rsidRDefault="0063481C" w:rsidP="0063481C">
            <w:pPr>
              <w:rPr>
                <w:rFonts w:cstheme="minorBidi"/>
                <w:szCs w:val="22"/>
              </w:rPr>
            </w:pPr>
            <w:r w:rsidRPr="0063481C">
              <w:rPr>
                <w:rFonts w:cstheme="minorBidi"/>
                <w:szCs w:val="22"/>
              </w:rPr>
              <w:t>Unpacking the Impact of ACEs on Adult Mental Health</w:t>
            </w:r>
          </w:p>
        </w:tc>
        <w:tc>
          <w:tcPr>
            <w:tcW w:w="0" w:type="auto"/>
            <w:hideMark/>
          </w:tcPr>
          <w:p w14:paraId="00B5B916" w14:textId="77777777" w:rsidR="0063481C" w:rsidRPr="0063481C" w:rsidRDefault="0063481C" w:rsidP="0063481C">
            <w:pPr>
              <w:rPr>
                <w:rFonts w:cstheme="minorBidi"/>
                <w:szCs w:val="22"/>
              </w:rPr>
            </w:pPr>
            <w:r w:rsidRPr="0063481C">
              <w:rPr>
                <w:rFonts w:cstheme="minorBidi"/>
                <w:szCs w:val="22"/>
              </w:rPr>
              <w:t>Observational (adult cohort)</w:t>
            </w:r>
          </w:p>
        </w:tc>
        <w:tc>
          <w:tcPr>
            <w:tcW w:w="0" w:type="auto"/>
            <w:hideMark/>
          </w:tcPr>
          <w:p w14:paraId="568A42EE" w14:textId="77777777" w:rsidR="0063481C" w:rsidRPr="0063481C" w:rsidRDefault="0063481C" w:rsidP="0063481C">
            <w:pPr>
              <w:rPr>
                <w:rFonts w:cstheme="minorBidi"/>
                <w:szCs w:val="22"/>
              </w:rPr>
            </w:pPr>
            <w:r w:rsidRPr="0063481C">
              <w:rPr>
                <w:rFonts w:cstheme="minorBidi"/>
                <w:szCs w:val="22"/>
              </w:rPr>
              <w:t>CDC–Kaiser ACE Study Wave II; logistic regression; n=7,465 adults</w:t>
            </w:r>
          </w:p>
        </w:tc>
        <w:tc>
          <w:tcPr>
            <w:tcW w:w="0" w:type="auto"/>
            <w:hideMark/>
          </w:tcPr>
          <w:p w14:paraId="1136784F" w14:textId="77777777" w:rsidR="0063481C" w:rsidRPr="0063481C" w:rsidRDefault="0063481C" w:rsidP="0063481C">
            <w:pPr>
              <w:rPr>
                <w:rFonts w:cstheme="minorBidi"/>
                <w:szCs w:val="22"/>
              </w:rPr>
            </w:pPr>
            <w:r w:rsidRPr="0063481C">
              <w:rPr>
                <w:rFonts w:cstheme="minorBidi"/>
                <w:szCs w:val="22"/>
              </w:rPr>
              <w:t>STR: classic ACE dataset; examines individual ACEs + cumulative LIM: cohort representativeness limits; retrospective ACE report</w:t>
            </w:r>
          </w:p>
        </w:tc>
        <w:tc>
          <w:tcPr>
            <w:tcW w:w="0" w:type="auto"/>
            <w:hideMark/>
          </w:tcPr>
          <w:p w14:paraId="71B23774" w14:textId="77777777" w:rsidR="0063481C" w:rsidRPr="0063481C" w:rsidRDefault="0063481C" w:rsidP="0063481C">
            <w:pPr>
              <w:rPr>
                <w:rFonts w:cstheme="minorBidi"/>
                <w:szCs w:val="22"/>
              </w:rPr>
            </w:pPr>
            <w:r w:rsidRPr="0063481C">
              <w:rPr>
                <w:rFonts w:cstheme="minorBidi"/>
                <w:szCs w:val="22"/>
              </w:rPr>
              <w:t>Graded dose–response between ACE score and adult mental/behavioural outcomes; spanking associated with multiple outcomes in adjusted models</w:t>
            </w:r>
          </w:p>
        </w:tc>
        <w:tc>
          <w:tcPr>
            <w:tcW w:w="0" w:type="auto"/>
            <w:hideMark/>
          </w:tcPr>
          <w:p w14:paraId="5D06454A" w14:textId="77777777" w:rsidR="0063481C" w:rsidRPr="0063481C" w:rsidRDefault="0063481C" w:rsidP="0063481C">
            <w:pPr>
              <w:rPr>
                <w:rFonts w:cstheme="minorBidi"/>
                <w:szCs w:val="22"/>
              </w:rPr>
            </w:pPr>
            <w:r w:rsidRPr="0063481C">
              <w:rPr>
                <w:rFonts w:cstheme="minorBidi"/>
                <w:szCs w:val="22"/>
              </w:rPr>
              <w:t>ACE score; depression; suicide attempt; substance use; codes: “dose–response”, “expanded ACE”, “spanking”</w:t>
            </w:r>
          </w:p>
        </w:tc>
        <w:tc>
          <w:tcPr>
            <w:tcW w:w="0" w:type="auto"/>
            <w:hideMark/>
          </w:tcPr>
          <w:p w14:paraId="549D1427" w14:textId="77777777" w:rsidR="0063481C" w:rsidRPr="0063481C" w:rsidRDefault="0063481C" w:rsidP="0063481C">
            <w:pPr>
              <w:rPr>
                <w:rFonts w:cstheme="minorBidi"/>
                <w:szCs w:val="22"/>
              </w:rPr>
            </w:pPr>
            <w:r w:rsidRPr="0063481C">
              <w:rPr>
                <w:rFonts w:cstheme="minorBidi"/>
                <w:szCs w:val="22"/>
              </w:rPr>
              <w:t>Good for background on cumulative models and critique of ACE scoring (Merrick et al., 2017).</w:t>
            </w:r>
          </w:p>
        </w:tc>
      </w:tr>
      <w:tr w:rsidR="0063481C" w:rsidRPr="0063481C" w14:paraId="09DB223B" w14:textId="77777777" w:rsidTr="0063481C">
        <w:tc>
          <w:tcPr>
            <w:tcW w:w="0" w:type="auto"/>
            <w:hideMark/>
          </w:tcPr>
          <w:p w14:paraId="0D113D3C" w14:textId="77777777" w:rsidR="0063481C" w:rsidRPr="0063481C" w:rsidRDefault="0063481C" w:rsidP="0063481C">
            <w:pPr>
              <w:rPr>
                <w:rFonts w:cstheme="minorBidi"/>
                <w:szCs w:val="22"/>
              </w:rPr>
            </w:pPr>
            <w:r w:rsidRPr="0063481C">
              <w:rPr>
                <w:rFonts w:cstheme="minorBidi"/>
                <w:szCs w:val="22"/>
              </w:rPr>
              <w:t>Lacey et al., 2020</w:t>
            </w:r>
          </w:p>
        </w:tc>
        <w:tc>
          <w:tcPr>
            <w:tcW w:w="0" w:type="auto"/>
            <w:hideMark/>
          </w:tcPr>
          <w:p w14:paraId="6966DE17" w14:textId="77777777" w:rsidR="0063481C" w:rsidRPr="0063481C" w:rsidRDefault="0063481C" w:rsidP="0063481C">
            <w:pPr>
              <w:rPr>
                <w:rFonts w:cstheme="minorBidi"/>
                <w:szCs w:val="22"/>
              </w:rPr>
            </w:pPr>
            <w:r w:rsidRPr="0063481C">
              <w:rPr>
                <w:rFonts w:cstheme="minorBidi"/>
                <w:szCs w:val="22"/>
              </w:rPr>
              <w:t>Clustering of ACEs in ALSPAC: gender and poverty</w:t>
            </w:r>
          </w:p>
        </w:tc>
        <w:tc>
          <w:tcPr>
            <w:tcW w:w="0" w:type="auto"/>
            <w:hideMark/>
          </w:tcPr>
          <w:p w14:paraId="2A631A82" w14:textId="77777777" w:rsidR="0063481C" w:rsidRPr="0063481C" w:rsidRDefault="0063481C" w:rsidP="0063481C">
            <w:pPr>
              <w:rPr>
                <w:rFonts w:cstheme="minorBidi"/>
                <w:szCs w:val="22"/>
              </w:rPr>
            </w:pPr>
            <w:r w:rsidRPr="0063481C">
              <w:rPr>
                <w:rFonts w:cstheme="minorBidi"/>
                <w:szCs w:val="22"/>
              </w:rPr>
              <w:t>Prospective cohort (UK)</w:t>
            </w:r>
          </w:p>
        </w:tc>
        <w:tc>
          <w:tcPr>
            <w:tcW w:w="0" w:type="auto"/>
            <w:hideMark/>
          </w:tcPr>
          <w:p w14:paraId="36FCB442" w14:textId="77777777" w:rsidR="0063481C" w:rsidRPr="0063481C" w:rsidRDefault="0063481C" w:rsidP="0063481C">
            <w:pPr>
              <w:rPr>
                <w:rFonts w:cstheme="minorBidi"/>
                <w:szCs w:val="22"/>
              </w:rPr>
            </w:pPr>
            <w:r w:rsidRPr="0063481C">
              <w:rPr>
                <w:rFonts w:cstheme="minorBidi"/>
                <w:szCs w:val="22"/>
              </w:rPr>
              <w:t>ALSPAC; latent class analysis + multinomial regression; n=8,572</w:t>
            </w:r>
          </w:p>
        </w:tc>
        <w:tc>
          <w:tcPr>
            <w:tcW w:w="0" w:type="auto"/>
            <w:hideMark/>
          </w:tcPr>
          <w:p w14:paraId="179C2950" w14:textId="77777777" w:rsidR="0063481C" w:rsidRPr="0063481C" w:rsidRDefault="0063481C" w:rsidP="0063481C">
            <w:pPr>
              <w:rPr>
                <w:rFonts w:cstheme="minorBidi"/>
                <w:szCs w:val="22"/>
              </w:rPr>
            </w:pPr>
            <w:r w:rsidRPr="0063481C">
              <w:rPr>
                <w:rFonts w:cstheme="minorBidi"/>
                <w:szCs w:val="22"/>
              </w:rPr>
              <w:t>STR: patterning + social gradient; UK cohort LIM: rare ACEs may not cluster; measurement limits</w:t>
            </w:r>
          </w:p>
        </w:tc>
        <w:tc>
          <w:tcPr>
            <w:tcW w:w="0" w:type="auto"/>
            <w:hideMark/>
          </w:tcPr>
          <w:p w14:paraId="5CE993AA" w14:textId="77777777" w:rsidR="0063481C" w:rsidRPr="0063481C" w:rsidRDefault="0063481C" w:rsidP="0063481C">
            <w:pPr>
              <w:rPr>
                <w:rFonts w:cstheme="minorBidi"/>
                <w:szCs w:val="22"/>
              </w:rPr>
            </w:pPr>
            <w:r w:rsidRPr="0063481C">
              <w:rPr>
                <w:rFonts w:cstheme="minorBidi"/>
                <w:szCs w:val="22"/>
              </w:rPr>
              <w:t>Five ACE clusters identified; clustering not by gender; poverty strongly predicts ACEs and clusters</w:t>
            </w:r>
          </w:p>
        </w:tc>
        <w:tc>
          <w:tcPr>
            <w:tcW w:w="0" w:type="auto"/>
            <w:hideMark/>
          </w:tcPr>
          <w:p w14:paraId="07D2C40B" w14:textId="77777777" w:rsidR="0063481C" w:rsidRPr="0063481C" w:rsidRDefault="0063481C" w:rsidP="0063481C">
            <w:pPr>
              <w:rPr>
                <w:rFonts w:cstheme="minorBidi"/>
                <w:szCs w:val="22"/>
              </w:rPr>
            </w:pPr>
            <w:r w:rsidRPr="0063481C">
              <w:rPr>
                <w:rFonts w:cstheme="minorBidi"/>
                <w:szCs w:val="22"/>
              </w:rPr>
              <w:t>clustering; poverty; ALSPAC; codes: “social gradient”, “poly-adversity”, “parental MH cluster”</w:t>
            </w:r>
          </w:p>
        </w:tc>
        <w:tc>
          <w:tcPr>
            <w:tcW w:w="0" w:type="auto"/>
            <w:hideMark/>
          </w:tcPr>
          <w:p w14:paraId="3BB780F6" w14:textId="77777777" w:rsidR="0063481C" w:rsidRPr="0063481C" w:rsidRDefault="0063481C" w:rsidP="0063481C">
            <w:pPr>
              <w:rPr>
                <w:rFonts w:cstheme="minorBidi"/>
                <w:szCs w:val="22"/>
              </w:rPr>
            </w:pPr>
            <w:r w:rsidRPr="0063481C">
              <w:rPr>
                <w:rFonts w:cstheme="minorBidi"/>
                <w:szCs w:val="22"/>
              </w:rPr>
              <w:t>Strong for linking ACE exposure to inequality (Lacey et al., 2020).</w:t>
            </w:r>
          </w:p>
        </w:tc>
      </w:tr>
      <w:tr w:rsidR="0063481C" w:rsidRPr="0063481C" w14:paraId="028F1C72" w14:textId="77777777" w:rsidTr="0063481C">
        <w:tc>
          <w:tcPr>
            <w:tcW w:w="0" w:type="auto"/>
            <w:hideMark/>
          </w:tcPr>
          <w:p w14:paraId="36BCE223" w14:textId="03C39A1F" w:rsidR="0063481C" w:rsidRPr="0063481C" w:rsidRDefault="0063481C" w:rsidP="0063481C">
            <w:pPr>
              <w:rPr>
                <w:rFonts w:cstheme="minorBidi"/>
                <w:szCs w:val="22"/>
              </w:rPr>
            </w:pPr>
            <w:r w:rsidRPr="0063481C">
              <w:rPr>
                <w:rFonts w:cstheme="minorBidi"/>
                <w:szCs w:val="22"/>
              </w:rPr>
              <w:t xml:space="preserve">Lester, Khatwa </w:t>
            </w:r>
            <w:r w:rsidR="00090CD2">
              <w:rPr>
                <w:rFonts w:cstheme="minorBidi"/>
                <w:szCs w:val="22"/>
              </w:rPr>
              <w:t>and</w:t>
            </w:r>
            <w:r w:rsidR="00090CD2" w:rsidRPr="0063481C">
              <w:rPr>
                <w:rFonts w:cstheme="minorBidi"/>
                <w:szCs w:val="22"/>
              </w:rPr>
              <w:t xml:space="preserve"> </w:t>
            </w:r>
            <w:r w:rsidRPr="0063481C">
              <w:rPr>
                <w:rFonts w:cstheme="minorBidi"/>
                <w:szCs w:val="22"/>
              </w:rPr>
              <w:t>Sutcliffe, 2020</w:t>
            </w:r>
          </w:p>
        </w:tc>
        <w:tc>
          <w:tcPr>
            <w:tcW w:w="0" w:type="auto"/>
            <w:hideMark/>
          </w:tcPr>
          <w:p w14:paraId="073C351B" w14:textId="77777777" w:rsidR="0063481C" w:rsidRPr="0063481C" w:rsidRDefault="0063481C" w:rsidP="0063481C">
            <w:pPr>
              <w:rPr>
                <w:rFonts w:cstheme="minorBidi"/>
                <w:szCs w:val="22"/>
              </w:rPr>
            </w:pPr>
            <w:r w:rsidRPr="0063481C">
              <w:rPr>
                <w:rFonts w:cstheme="minorBidi"/>
                <w:szCs w:val="22"/>
              </w:rPr>
              <w:t>Service needs of young people affected by ACEs (UK qualitative)</w:t>
            </w:r>
          </w:p>
        </w:tc>
        <w:tc>
          <w:tcPr>
            <w:tcW w:w="0" w:type="auto"/>
            <w:hideMark/>
          </w:tcPr>
          <w:p w14:paraId="2BCDFEDD" w14:textId="77777777" w:rsidR="0063481C" w:rsidRPr="0063481C" w:rsidRDefault="0063481C" w:rsidP="0063481C">
            <w:pPr>
              <w:rPr>
                <w:rFonts w:cstheme="minorBidi"/>
                <w:szCs w:val="22"/>
              </w:rPr>
            </w:pPr>
            <w:r w:rsidRPr="0063481C">
              <w:rPr>
                <w:rFonts w:cstheme="minorBidi"/>
                <w:szCs w:val="22"/>
              </w:rPr>
              <w:t>Systematic review (qualitative)</w:t>
            </w:r>
          </w:p>
        </w:tc>
        <w:tc>
          <w:tcPr>
            <w:tcW w:w="0" w:type="auto"/>
            <w:hideMark/>
          </w:tcPr>
          <w:p w14:paraId="18B724A7" w14:textId="77777777" w:rsidR="0063481C" w:rsidRPr="0063481C" w:rsidRDefault="0063481C" w:rsidP="0063481C">
            <w:pPr>
              <w:rPr>
                <w:rFonts w:cstheme="minorBidi"/>
                <w:szCs w:val="22"/>
              </w:rPr>
            </w:pPr>
            <w:r w:rsidRPr="0063481C">
              <w:rPr>
                <w:rFonts w:cstheme="minorBidi"/>
                <w:szCs w:val="22"/>
              </w:rPr>
              <w:t>Review of UK qualitative evidence; harvested from reviews; 20 studies included</w:t>
            </w:r>
          </w:p>
        </w:tc>
        <w:tc>
          <w:tcPr>
            <w:tcW w:w="0" w:type="auto"/>
            <w:hideMark/>
          </w:tcPr>
          <w:p w14:paraId="4505CF45" w14:textId="77777777" w:rsidR="0063481C" w:rsidRPr="0063481C" w:rsidRDefault="0063481C" w:rsidP="0063481C">
            <w:pPr>
              <w:rPr>
                <w:rFonts w:cstheme="minorBidi"/>
                <w:szCs w:val="22"/>
              </w:rPr>
            </w:pPr>
            <w:r w:rsidRPr="0063481C">
              <w:rPr>
                <w:rFonts w:cstheme="minorBidi"/>
                <w:szCs w:val="22"/>
              </w:rPr>
              <w:t>STR: service-user perspective; UK focus LIM: topic gaps (some ACEs missing); heterogeneity</w:t>
            </w:r>
          </w:p>
        </w:tc>
        <w:tc>
          <w:tcPr>
            <w:tcW w:w="0" w:type="auto"/>
            <w:hideMark/>
          </w:tcPr>
          <w:p w14:paraId="0AED512D" w14:textId="77777777" w:rsidR="0063481C" w:rsidRPr="0063481C" w:rsidRDefault="0063481C" w:rsidP="0063481C">
            <w:pPr>
              <w:rPr>
                <w:rFonts w:cstheme="minorBidi"/>
                <w:szCs w:val="22"/>
              </w:rPr>
            </w:pPr>
            <w:r w:rsidRPr="0063481C">
              <w:rPr>
                <w:rFonts w:cstheme="minorBidi"/>
                <w:szCs w:val="22"/>
              </w:rPr>
              <w:t>Young people value stable, continuous, trusting support; empathy/non-judgemental relationships key; need wider social support not only short-term therapy</w:t>
            </w:r>
          </w:p>
        </w:tc>
        <w:tc>
          <w:tcPr>
            <w:tcW w:w="0" w:type="auto"/>
            <w:hideMark/>
          </w:tcPr>
          <w:p w14:paraId="4D4FED49" w14:textId="77777777" w:rsidR="0063481C" w:rsidRPr="0063481C" w:rsidRDefault="0063481C" w:rsidP="0063481C">
            <w:pPr>
              <w:rPr>
                <w:rFonts w:cstheme="minorBidi"/>
                <w:szCs w:val="22"/>
              </w:rPr>
            </w:pPr>
            <w:r w:rsidRPr="0063481C">
              <w:rPr>
                <w:rFonts w:cstheme="minorBidi"/>
                <w:szCs w:val="22"/>
              </w:rPr>
              <w:t>service needs; continuity; trust; care-experienced; codes: “relationship-based support”, “continuity”, “trust building”</w:t>
            </w:r>
          </w:p>
        </w:tc>
        <w:tc>
          <w:tcPr>
            <w:tcW w:w="0" w:type="auto"/>
            <w:hideMark/>
          </w:tcPr>
          <w:p w14:paraId="0E4EDD5E" w14:textId="77777777" w:rsidR="0063481C" w:rsidRPr="0063481C" w:rsidRDefault="0063481C" w:rsidP="0063481C">
            <w:pPr>
              <w:rPr>
                <w:rFonts w:cstheme="minorBidi"/>
                <w:szCs w:val="22"/>
              </w:rPr>
            </w:pPr>
            <w:r w:rsidRPr="0063481C">
              <w:rPr>
                <w:rFonts w:cstheme="minorBidi"/>
                <w:szCs w:val="22"/>
              </w:rPr>
              <w:t>Strong for recommendations about service design and stability (Lester, Khatwa and Sutcliffe, 2020).</w:t>
            </w:r>
          </w:p>
        </w:tc>
      </w:tr>
      <w:tr w:rsidR="0063481C" w:rsidRPr="0063481C" w14:paraId="39457E80" w14:textId="77777777" w:rsidTr="0063481C">
        <w:tc>
          <w:tcPr>
            <w:tcW w:w="0" w:type="auto"/>
            <w:hideMark/>
          </w:tcPr>
          <w:p w14:paraId="4742E4DB" w14:textId="77777777" w:rsidR="0063481C" w:rsidRPr="0063481C" w:rsidRDefault="0063481C" w:rsidP="0063481C">
            <w:pPr>
              <w:rPr>
                <w:rFonts w:cstheme="minorBidi"/>
                <w:szCs w:val="22"/>
              </w:rPr>
            </w:pPr>
            <w:r w:rsidRPr="0063481C">
              <w:rPr>
                <w:rFonts w:cstheme="minorBidi"/>
                <w:szCs w:val="22"/>
              </w:rPr>
              <w:t>Straatmann et al., 2020</w:t>
            </w:r>
          </w:p>
        </w:tc>
        <w:tc>
          <w:tcPr>
            <w:tcW w:w="0" w:type="auto"/>
            <w:hideMark/>
          </w:tcPr>
          <w:p w14:paraId="6C527C2D" w14:textId="77777777" w:rsidR="0063481C" w:rsidRPr="0063481C" w:rsidRDefault="0063481C" w:rsidP="0063481C">
            <w:pPr>
              <w:rPr>
                <w:rFonts w:cstheme="minorBidi"/>
                <w:szCs w:val="22"/>
              </w:rPr>
            </w:pPr>
            <w:r w:rsidRPr="0063481C">
              <w:rPr>
                <w:rFonts w:cstheme="minorBidi"/>
                <w:szCs w:val="22"/>
              </w:rPr>
              <w:t>ACEs mediating SECs and adolescent outcomes (UK MCS)</w:t>
            </w:r>
          </w:p>
        </w:tc>
        <w:tc>
          <w:tcPr>
            <w:tcW w:w="0" w:type="auto"/>
            <w:hideMark/>
          </w:tcPr>
          <w:p w14:paraId="3372BA4B" w14:textId="77777777" w:rsidR="0063481C" w:rsidRPr="0063481C" w:rsidRDefault="0063481C" w:rsidP="0063481C">
            <w:pPr>
              <w:rPr>
                <w:rFonts w:cstheme="minorBidi"/>
                <w:szCs w:val="22"/>
              </w:rPr>
            </w:pPr>
            <w:r w:rsidRPr="0063481C">
              <w:rPr>
                <w:rFonts w:cstheme="minorBidi"/>
                <w:szCs w:val="22"/>
              </w:rPr>
              <w:t>Longitudinal mediation study</w:t>
            </w:r>
          </w:p>
        </w:tc>
        <w:tc>
          <w:tcPr>
            <w:tcW w:w="0" w:type="auto"/>
            <w:hideMark/>
          </w:tcPr>
          <w:p w14:paraId="536190F5" w14:textId="77777777" w:rsidR="0063481C" w:rsidRPr="0063481C" w:rsidRDefault="0063481C" w:rsidP="0063481C">
            <w:pPr>
              <w:rPr>
                <w:rFonts w:cstheme="minorBidi"/>
                <w:szCs w:val="22"/>
              </w:rPr>
            </w:pPr>
            <w:r w:rsidRPr="0063481C">
              <w:rPr>
                <w:rFonts w:cstheme="minorBidi"/>
                <w:szCs w:val="22"/>
              </w:rPr>
              <w:t>Millennium Cohort Study; counterfactual mediation; outcomes at 14; sample size not stated in abstract</w:t>
            </w:r>
          </w:p>
        </w:tc>
        <w:tc>
          <w:tcPr>
            <w:tcW w:w="0" w:type="auto"/>
            <w:hideMark/>
          </w:tcPr>
          <w:p w14:paraId="6102EC4E" w14:textId="77777777" w:rsidR="0063481C" w:rsidRPr="0063481C" w:rsidRDefault="0063481C" w:rsidP="0063481C">
            <w:pPr>
              <w:rPr>
                <w:rFonts w:cstheme="minorBidi"/>
                <w:szCs w:val="22"/>
              </w:rPr>
            </w:pPr>
            <w:r w:rsidRPr="0063481C">
              <w:rPr>
                <w:rFonts w:cstheme="minorBidi"/>
                <w:szCs w:val="22"/>
              </w:rPr>
              <w:t>STR: mediation approach; inequality lens; UK cohort LIM: early ACE window only (to 5 yrs); mediator measurement limits</w:t>
            </w:r>
          </w:p>
        </w:tc>
        <w:tc>
          <w:tcPr>
            <w:tcW w:w="0" w:type="auto"/>
            <w:hideMark/>
          </w:tcPr>
          <w:p w14:paraId="48305C5B" w14:textId="77777777" w:rsidR="0063481C" w:rsidRPr="0063481C" w:rsidRDefault="0063481C" w:rsidP="0063481C">
            <w:pPr>
              <w:rPr>
                <w:rFonts w:cstheme="minorBidi"/>
                <w:szCs w:val="22"/>
              </w:rPr>
            </w:pPr>
            <w:r w:rsidRPr="0063481C">
              <w:rPr>
                <w:rFonts w:cstheme="minorBidi"/>
                <w:szCs w:val="22"/>
              </w:rPr>
              <w:t>Disadvantaged SECs linked to behavioural problems, cognitive disability, overweight; ACEs explain a minority (about one-sixth) of these inequalities</w:t>
            </w:r>
          </w:p>
        </w:tc>
        <w:tc>
          <w:tcPr>
            <w:tcW w:w="0" w:type="auto"/>
            <w:hideMark/>
          </w:tcPr>
          <w:p w14:paraId="0253D7BE" w14:textId="77777777" w:rsidR="0063481C" w:rsidRPr="0063481C" w:rsidRDefault="0063481C" w:rsidP="0063481C">
            <w:pPr>
              <w:rPr>
                <w:rFonts w:cstheme="minorBidi"/>
                <w:szCs w:val="22"/>
              </w:rPr>
            </w:pPr>
            <w:r w:rsidRPr="0063481C">
              <w:rPr>
                <w:rFonts w:cstheme="minorBidi"/>
                <w:szCs w:val="22"/>
              </w:rPr>
              <w:t>SECs; mediation; behavioural; cognitive; codes: “inequality pathway”, “partial mediation”, “early-life mechanisms”</w:t>
            </w:r>
          </w:p>
        </w:tc>
        <w:tc>
          <w:tcPr>
            <w:tcW w:w="0" w:type="auto"/>
            <w:hideMark/>
          </w:tcPr>
          <w:p w14:paraId="65884ED7" w14:textId="77777777" w:rsidR="0063481C" w:rsidRPr="0063481C" w:rsidRDefault="0063481C" w:rsidP="0063481C">
            <w:pPr>
              <w:rPr>
                <w:rFonts w:cstheme="minorBidi"/>
                <w:szCs w:val="22"/>
              </w:rPr>
            </w:pPr>
            <w:r w:rsidRPr="0063481C">
              <w:rPr>
                <w:rFonts w:cstheme="minorBidi"/>
                <w:szCs w:val="22"/>
              </w:rPr>
              <w:t>Useful to show ACEs are part of (not all of) socioeconomic health gaps (Straatmann et al., 2020).</w:t>
            </w:r>
          </w:p>
        </w:tc>
      </w:tr>
      <w:tr w:rsidR="0063481C" w:rsidRPr="0063481C" w14:paraId="0A76C4E0" w14:textId="77777777" w:rsidTr="0063481C">
        <w:tc>
          <w:tcPr>
            <w:tcW w:w="0" w:type="auto"/>
            <w:hideMark/>
          </w:tcPr>
          <w:p w14:paraId="3A12D0AA" w14:textId="77777777" w:rsidR="0063481C" w:rsidRPr="0063481C" w:rsidRDefault="0063481C" w:rsidP="0063481C">
            <w:pPr>
              <w:rPr>
                <w:rFonts w:cstheme="minorBidi"/>
                <w:szCs w:val="22"/>
              </w:rPr>
            </w:pPr>
            <w:r w:rsidRPr="0063481C">
              <w:rPr>
                <w:rFonts w:cstheme="minorBidi"/>
                <w:szCs w:val="22"/>
              </w:rPr>
              <w:t>Fadeeva et al., 2025</w:t>
            </w:r>
          </w:p>
        </w:tc>
        <w:tc>
          <w:tcPr>
            <w:tcW w:w="0" w:type="auto"/>
            <w:hideMark/>
          </w:tcPr>
          <w:p w14:paraId="7EDBCD44" w14:textId="77777777" w:rsidR="0063481C" w:rsidRPr="0063481C" w:rsidRDefault="0063481C" w:rsidP="0063481C">
            <w:pPr>
              <w:rPr>
                <w:rFonts w:cstheme="minorBidi"/>
                <w:szCs w:val="22"/>
              </w:rPr>
            </w:pPr>
            <w:r w:rsidRPr="0063481C">
              <w:rPr>
                <w:rFonts w:cstheme="minorBidi"/>
                <w:szCs w:val="22"/>
              </w:rPr>
              <w:t>Violence across life course and health trajectories in later life (England)</w:t>
            </w:r>
          </w:p>
        </w:tc>
        <w:tc>
          <w:tcPr>
            <w:tcW w:w="0" w:type="auto"/>
            <w:hideMark/>
          </w:tcPr>
          <w:p w14:paraId="515E9CCB" w14:textId="77777777" w:rsidR="0063481C" w:rsidRPr="0063481C" w:rsidRDefault="0063481C" w:rsidP="0063481C">
            <w:pPr>
              <w:rPr>
                <w:rFonts w:cstheme="minorBidi"/>
                <w:szCs w:val="22"/>
              </w:rPr>
            </w:pPr>
            <w:r w:rsidRPr="0063481C">
              <w:rPr>
                <w:rFonts w:cstheme="minorBidi"/>
                <w:szCs w:val="22"/>
              </w:rPr>
              <w:t>Population-based cohort (UK)</w:t>
            </w:r>
          </w:p>
        </w:tc>
        <w:tc>
          <w:tcPr>
            <w:tcW w:w="0" w:type="auto"/>
            <w:hideMark/>
          </w:tcPr>
          <w:p w14:paraId="35B1F196" w14:textId="77777777" w:rsidR="0063481C" w:rsidRPr="0063481C" w:rsidRDefault="0063481C" w:rsidP="0063481C">
            <w:pPr>
              <w:rPr>
                <w:rFonts w:cstheme="minorBidi"/>
                <w:szCs w:val="22"/>
              </w:rPr>
            </w:pPr>
            <w:r w:rsidRPr="0063481C">
              <w:rPr>
                <w:rFonts w:cstheme="minorBidi"/>
                <w:szCs w:val="22"/>
              </w:rPr>
              <w:t>ELSA 2006–2019; multilevel/growth models; n=6,171 (complete violence items)</w:t>
            </w:r>
          </w:p>
        </w:tc>
        <w:tc>
          <w:tcPr>
            <w:tcW w:w="0" w:type="auto"/>
            <w:hideMark/>
          </w:tcPr>
          <w:p w14:paraId="068DD92B" w14:textId="77777777" w:rsidR="0063481C" w:rsidRPr="0063481C" w:rsidRDefault="0063481C" w:rsidP="0063481C">
            <w:pPr>
              <w:rPr>
                <w:rFonts w:cstheme="minorBidi"/>
                <w:szCs w:val="22"/>
              </w:rPr>
            </w:pPr>
            <w:r w:rsidRPr="0063481C">
              <w:rPr>
                <w:rFonts w:cstheme="minorBidi"/>
                <w:szCs w:val="22"/>
              </w:rPr>
              <w:t>STR: later-life trajectories; long follow-up; England sample LIM: self-reported violence; attrition; exposure misclassification</w:t>
            </w:r>
          </w:p>
        </w:tc>
        <w:tc>
          <w:tcPr>
            <w:tcW w:w="0" w:type="auto"/>
            <w:hideMark/>
          </w:tcPr>
          <w:p w14:paraId="0AD0F9A7" w14:textId="77777777" w:rsidR="0063481C" w:rsidRPr="0063481C" w:rsidRDefault="0063481C" w:rsidP="0063481C">
            <w:pPr>
              <w:rPr>
                <w:rFonts w:cstheme="minorBidi"/>
                <w:szCs w:val="22"/>
              </w:rPr>
            </w:pPr>
            <w:r w:rsidRPr="0063481C">
              <w:rPr>
                <w:rFonts w:cstheme="minorBidi"/>
                <w:szCs w:val="22"/>
              </w:rPr>
              <w:t>Any violence linked to higher depressive symptoms and limiting illness/disability; disparities persist over time</w:t>
            </w:r>
          </w:p>
        </w:tc>
        <w:tc>
          <w:tcPr>
            <w:tcW w:w="0" w:type="auto"/>
            <w:hideMark/>
          </w:tcPr>
          <w:p w14:paraId="0E062388" w14:textId="77777777" w:rsidR="0063481C" w:rsidRPr="0063481C" w:rsidRDefault="0063481C" w:rsidP="0063481C">
            <w:pPr>
              <w:rPr>
                <w:rFonts w:cstheme="minorBidi"/>
                <w:szCs w:val="22"/>
              </w:rPr>
            </w:pPr>
            <w:r w:rsidRPr="0063481C">
              <w:rPr>
                <w:rFonts w:cstheme="minorBidi"/>
                <w:szCs w:val="22"/>
              </w:rPr>
              <w:t>life course violence; depression (CES-D); trajectories; codes: “persistent disadvantage”, “long-term effects”</w:t>
            </w:r>
          </w:p>
        </w:tc>
        <w:tc>
          <w:tcPr>
            <w:tcW w:w="0" w:type="auto"/>
            <w:hideMark/>
          </w:tcPr>
          <w:p w14:paraId="1C8DE429" w14:textId="77777777" w:rsidR="0063481C" w:rsidRPr="0063481C" w:rsidRDefault="0063481C" w:rsidP="0063481C">
            <w:pPr>
              <w:rPr>
                <w:rFonts w:cstheme="minorBidi"/>
                <w:szCs w:val="22"/>
              </w:rPr>
            </w:pPr>
            <w:r w:rsidRPr="0063481C">
              <w:rPr>
                <w:rFonts w:cstheme="minorBidi"/>
                <w:szCs w:val="22"/>
              </w:rPr>
              <w:t>Bridges childhood adversity to older-age mental health outcomes (Fadeeva et al., 2025).</w:t>
            </w:r>
          </w:p>
        </w:tc>
      </w:tr>
      <w:tr w:rsidR="0063481C" w:rsidRPr="0063481C" w14:paraId="338730CC" w14:textId="77777777" w:rsidTr="0063481C">
        <w:tc>
          <w:tcPr>
            <w:tcW w:w="0" w:type="auto"/>
            <w:hideMark/>
          </w:tcPr>
          <w:p w14:paraId="096B7FE6" w14:textId="77777777" w:rsidR="0063481C" w:rsidRPr="0063481C" w:rsidRDefault="0063481C" w:rsidP="0063481C">
            <w:pPr>
              <w:rPr>
                <w:rFonts w:cstheme="minorBidi"/>
                <w:szCs w:val="22"/>
              </w:rPr>
            </w:pPr>
            <w:r w:rsidRPr="0063481C">
              <w:rPr>
                <w:rFonts w:cstheme="minorBidi"/>
                <w:szCs w:val="22"/>
              </w:rPr>
              <w:t>Bellis et al., 2025</w:t>
            </w:r>
          </w:p>
        </w:tc>
        <w:tc>
          <w:tcPr>
            <w:tcW w:w="0" w:type="auto"/>
            <w:hideMark/>
          </w:tcPr>
          <w:p w14:paraId="7C1648B5" w14:textId="77777777" w:rsidR="0063481C" w:rsidRPr="0063481C" w:rsidRDefault="0063481C" w:rsidP="0063481C">
            <w:pPr>
              <w:rPr>
                <w:rFonts w:cstheme="minorBidi"/>
                <w:szCs w:val="22"/>
              </w:rPr>
            </w:pPr>
            <w:r w:rsidRPr="0063481C">
              <w:rPr>
                <w:rFonts w:cstheme="minorBidi"/>
                <w:szCs w:val="22"/>
              </w:rPr>
              <w:t>Physical/verbal abuse and life course mental wellbeing (England &amp; Wales)</w:t>
            </w:r>
          </w:p>
        </w:tc>
        <w:tc>
          <w:tcPr>
            <w:tcW w:w="0" w:type="auto"/>
            <w:hideMark/>
          </w:tcPr>
          <w:p w14:paraId="7DF043C2" w14:textId="77777777" w:rsidR="0063481C" w:rsidRPr="0063481C" w:rsidRDefault="0063481C" w:rsidP="0063481C">
            <w:pPr>
              <w:rPr>
                <w:rFonts w:cstheme="minorBidi"/>
                <w:szCs w:val="22"/>
              </w:rPr>
            </w:pPr>
            <w:r w:rsidRPr="0063481C">
              <w:rPr>
                <w:rFonts w:cstheme="minorBidi"/>
                <w:szCs w:val="22"/>
              </w:rPr>
              <w:t>Secondary cross-sectional analysis</w:t>
            </w:r>
          </w:p>
        </w:tc>
        <w:tc>
          <w:tcPr>
            <w:tcW w:w="0" w:type="auto"/>
            <w:hideMark/>
          </w:tcPr>
          <w:p w14:paraId="05645AFF" w14:textId="77777777" w:rsidR="0063481C" w:rsidRPr="0063481C" w:rsidRDefault="0063481C" w:rsidP="0063481C">
            <w:pPr>
              <w:rPr>
                <w:rFonts w:cstheme="minorBidi"/>
                <w:szCs w:val="22"/>
              </w:rPr>
            </w:pPr>
            <w:r w:rsidRPr="0063481C">
              <w:rPr>
                <w:rFonts w:cstheme="minorBidi"/>
                <w:szCs w:val="22"/>
              </w:rPr>
              <w:t>Combined 7 surveys; ACE tool + SWEMWBS; n=20,687 adults</w:t>
            </w:r>
          </w:p>
        </w:tc>
        <w:tc>
          <w:tcPr>
            <w:tcW w:w="0" w:type="auto"/>
            <w:hideMark/>
          </w:tcPr>
          <w:p w14:paraId="7603A34D" w14:textId="77777777" w:rsidR="0063481C" w:rsidRPr="0063481C" w:rsidRDefault="0063481C" w:rsidP="0063481C">
            <w:pPr>
              <w:rPr>
                <w:rFonts w:cstheme="minorBidi"/>
                <w:szCs w:val="22"/>
              </w:rPr>
            </w:pPr>
            <w:r w:rsidRPr="0063481C">
              <w:rPr>
                <w:rFonts w:cstheme="minorBidi"/>
                <w:szCs w:val="22"/>
              </w:rPr>
              <w:t>STR: large, multi-study; compares abuse types LIM: cross-sectional; recall bias; wellbeing outcome not diagnosis</w:t>
            </w:r>
          </w:p>
        </w:tc>
        <w:tc>
          <w:tcPr>
            <w:tcW w:w="0" w:type="auto"/>
            <w:hideMark/>
          </w:tcPr>
          <w:p w14:paraId="049CC9CC" w14:textId="77777777" w:rsidR="0063481C" w:rsidRPr="0063481C" w:rsidRDefault="0063481C" w:rsidP="0063481C">
            <w:pPr>
              <w:rPr>
                <w:rFonts w:cstheme="minorBidi"/>
                <w:szCs w:val="22"/>
              </w:rPr>
            </w:pPr>
            <w:r w:rsidRPr="0063481C">
              <w:rPr>
                <w:rFonts w:cstheme="minorBidi"/>
                <w:szCs w:val="22"/>
              </w:rPr>
              <w:t>Physical or verbal abuse each linked to low adult wellbeing; combined exposure compounds risk; trends: physical abuse down in younger cohorts, verbal abuse up</w:t>
            </w:r>
          </w:p>
        </w:tc>
        <w:tc>
          <w:tcPr>
            <w:tcW w:w="0" w:type="auto"/>
            <w:hideMark/>
          </w:tcPr>
          <w:p w14:paraId="0DF63E27" w14:textId="77777777" w:rsidR="0063481C" w:rsidRPr="0063481C" w:rsidRDefault="0063481C" w:rsidP="0063481C">
            <w:pPr>
              <w:rPr>
                <w:rFonts w:cstheme="minorBidi"/>
                <w:szCs w:val="22"/>
              </w:rPr>
            </w:pPr>
            <w:r w:rsidRPr="0063481C">
              <w:rPr>
                <w:rFonts w:cstheme="minorBidi"/>
                <w:szCs w:val="22"/>
              </w:rPr>
              <w:t>physical abuse; verbal abuse; wellbeing; trends; codes: “compound exposure”, “wellbeing gradient”, “cohort trend”</w:t>
            </w:r>
          </w:p>
        </w:tc>
        <w:tc>
          <w:tcPr>
            <w:tcW w:w="0" w:type="auto"/>
            <w:hideMark/>
          </w:tcPr>
          <w:p w14:paraId="3ABB03A2" w14:textId="77777777" w:rsidR="0063481C" w:rsidRPr="0063481C" w:rsidRDefault="0063481C" w:rsidP="0063481C">
            <w:pPr>
              <w:rPr>
                <w:rFonts w:cstheme="minorBidi"/>
                <w:szCs w:val="22"/>
              </w:rPr>
            </w:pPr>
            <w:r w:rsidRPr="0063481C">
              <w:rPr>
                <w:rFonts w:cstheme="minorBidi"/>
                <w:szCs w:val="22"/>
              </w:rPr>
              <w:t>Useful for policy discussion on violence prevention and wellbeing outcomes (Bellis et al., 2025).</w:t>
            </w:r>
          </w:p>
        </w:tc>
      </w:tr>
    </w:tbl>
    <w:p w14:paraId="4C7C3253" w14:textId="77777777" w:rsidR="00FE2728" w:rsidRPr="00FE2728" w:rsidRDefault="00FE2728" w:rsidP="00FE2728"/>
    <w:p w14:paraId="5577EBFB" w14:textId="3ED3FDE5" w:rsidR="00891200" w:rsidRPr="00B526EA" w:rsidRDefault="00891200" w:rsidP="00F31E94">
      <w:pPr>
        <w:pStyle w:val="Heading2"/>
        <w:spacing w:before="240"/>
        <w:jc w:val="both"/>
        <w:rPr>
          <w:rFonts w:ascii="Arial" w:hAnsi="Arial" w:cs="Arial"/>
          <w:sz w:val="22"/>
          <w:szCs w:val="22"/>
        </w:rPr>
      </w:pPr>
      <w:bookmarkStart w:id="59" w:name="_Toc220350554"/>
      <w:r w:rsidRPr="00B526EA">
        <w:rPr>
          <w:rFonts w:ascii="Arial" w:hAnsi="Arial" w:cs="Arial"/>
          <w:sz w:val="22"/>
          <w:szCs w:val="22"/>
        </w:rPr>
        <w:t xml:space="preserve">Appendix </w:t>
      </w:r>
      <w:r w:rsidR="00FE2728">
        <w:rPr>
          <w:rFonts w:ascii="Arial" w:hAnsi="Arial" w:cs="Arial"/>
          <w:sz w:val="22"/>
          <w:szCs w:val="22"/>
        </w:rPr>
        <w:t>C</w:t>
      </w:r>
      <w:r w:rsidRPr="00B526EA">
        <w:rPr>
          <w:rFonts w:ascii="Arial" w:hAnsi="Arial" w:cs="Arial"/>
          <w:sz w:val="22"/>
          <w:szCs w:val="22"/>
        </w:rPr>
        <w:t>: Coding and Theme Table</w:t>
      </w:r>
      <w:bookmarkEnd w:id="59"/>
    </w:p>
    <w:tbl>
      <w:tblPr>
        <w:tblStyle w:val="TableGrid"/>
        <w:tblW w:w="0" w:type="auto"/>
        <w:tblLook w:val="04A0" w:firstRow="1" w:lastRow="0" w:firstColumn="1" w:lastColumn="0" w:noHBand="0" w:noVBand="1"/>
      </w:tblPr>
      <w:tblGrid>
        <w:gridCol w:w="4547"/>
        <w:gridCol w:w="2034"/>
        <w:gridCol w:w="2435"/>
      </w:tblGrid>
      <w:tr w:rsidR="00891200" w:rsidRPr="00B526EA" w14:paraId="3F9F3F5B" w14:textId="77777777" w:rsidTr="000116B5">
        <w:tc>
          <w:tcPr>
            <w:tcW w:w="0" w:type="auto"/>
            <w:hideMark/>
          </w:tcPr>
          <w:p w14:paraId="3185393E" w14:textId="77777777" w:rsidR="00891200" w:rsidRPr="00B526EA" w:rsidRDefault="00891200" w:rsidP="00F31E94">
            <w:pPr>
              <w:spacing w:before="240"/>
              <w:jc w:val="both"/>
              <w:rPr>
                <w:rFonts w:ascii="Arial" w:hAnsi="Arial" w:cs="Arial"/>
                <w:szCs w:val="22"/>
              </w:rPr>
            </w:pPr>
            <w:r w:rsidRPr="00B526EA">
              <w:rPr>
                <w:rStyle w:val="Strong"/>
                <w:rFonts w:ascii="Arial" w:eastAsiaTheme="majorEastAsia" w:hAnsi="Arial" w:cs="Arial"/>
                <w:szCs w:val="22"/>
              </w:rPr>
              <w:t>Codes (derived from studies)</w:t>
            </w:r>
          </w:p>
        </w:tc>
        <w:tc>
          <w:tcPr>
            <w:tcW w:w="0" w:type="auto"/>
            <w:hideMark/>
          </w:tcPr>
          <w:p w14:paraId="5EF1CC06" w14:textId="77777777" w:rsidR="00891200" w:rsidRPr="00B526EA" w:rsidRDefault="00891200" w:rsidP="00F31E94">
            <w:pPr>
              <w:spacing w:before="240"/>
              <w:jc w:val="both"/>
              <w:rPr>
                <w:rFonts w:ascii="Arial" w:hAnsi="Arial" w:cs="Arial"/>
                <w:szCs w:val="22"/>
              </w:rPr>
            </w:pPr>
            <w:r w:rsidRPr="00B526EA">
              <w:rPr>
                <w:rStyle w:val="Strong"/>
                <w:rFonts w:ascii="Arial" w:eastAsiaTheme="majorEastAsia" w:hAnsi="Arial" w:cs="Arial"/>
                <w:szCs w:val="22"/>
              </w:rPr>
              <w:t>Sub-theme</w:t>
            </w:r>
          </w:p>
        </w:tc>
        <w:tc>
          <w:tcPr>
            <w:tcW w:w="0" w:type="auto"/>
            <w:hideMark/>
          </w:tcPr>
          <w:p w14:paraId="7D2CED79" w14:textId="77777777" w:rsidR="00891200" w:rsidRPr="00B526EA" w:rsidRDefault="00891200" w:rsidP="00F31E94">
            <w:pPr>
              <w:spacing w:before="240"/>
              <w:jc w:val="both"/>
              <w:rPr>
                <w:rFonts w:ascii="Arial" w:hAnsi="Arial" w:cs="Arial"/>
                <w:szCs w:val="22"/>
              </w:rPr>
            </w:pPr>
            <w:r w:rsidRPr="00B526EA">
              <w:rPr>
                <w:rStyle w:val="Strong"/>
                <w:rFonts w:ascii="Arial" w:eastAsiaTheme="majorEastAsia" w:hAnsi="Arial" w:cs="Arial"/>
                <w:szCs w:val="22"/>
              </w:rPr>
              <w:t xml:space="preserve">Theme </w:t>
            </w:r>
          </w:p>
        </w:tc>
      </w:tr>
      <w:tr w:rsidR="00891200" w:rsidRPr="00B526EA" w14:paraId="2F155018" w14:textId="77777777" w:rsidTr="000116B5">
        <w:tc>
          <w:tcPr>
            <w:tcW w:w="0" w:type="auto"/>
            <w:hideMark/>
          </w:tcPr>
          <w:p w14:paraId="5B4E5E66"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 ACE-type specificity vs cumulative scoring (Studies 1, 7, 8) • Physical abuse as direct threat-based adversity (Studies 3, 11, 12) • Parental separation as relational/disruption-based adversity (Studies 4, 8, 10)</w:t>
            </w:r>
          </w:p>
        </w:tc>
        <w:tc>
          <w:tcPr>
            <w:tcW w:w="0" w:type="auto"/>
            <w:hideMark/>
          </w:tcPr>
          <w:p w14:paraId="68884ED0"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Conceptual differentiation of ACE types</w:t>
            </w:r>
          </w:p>
        </w:tc>
        <w:tc>
          <w:tcPr>
            <w:tcW w:w="0" w:type="auto"/>
            <w:vMerge w:val="restart"/>
            <w:hideMark/>
          </w:tcPr>
          <w:p w14:paraId="504460A5" w14:textId="77777777" w:rsidR="00891200" w:rsidRPr="00B526EA" w:rsidRDefault="00891200" w:rsidP="00F31E94">
            <w:pPr>
              <w:spacing w:before="240"/>
              <w:jc w:val="both"/>
              <w:rPr>
                <w:rFonts w:ascii="Arial" w:hAnsi="Arial" w:cs="Arial"/>
                <w:szCs w:val="22"/>
              </w:rPr>
            </w:pPr>
            <w:r w:rsidRPr="00B526EA">
              <w:rPr>
                <w:rStyle w:val="Strong"/>
                <w:rFonts w:ascii="Arial" w:eastAsiaTheme="majorEastAsia" w:hAnsi="Arial" w:cs="Arial"/>
                <w:szCs w:val="22"/>
              </w:rPr>
              <w:t>Differential impacts of physical abuse versus parental separation on young adult health</w:t>
            </w:r>
          </w:p>
          <w:p w14:paraId="6A3C8709" w14:textId="77777777" w:rsidR="00891200" w:rsidRPr="00B526EA" w:rsidRDefault="00891200" w:rsidP="00F31E94">
            <w:pPr>
              <w:spacing w:before="240"/>
              <w:jc w:val="both"/>
              <w:rPr>
                <w:rFonts w:ascii="Arial" w:hAnsi="Arial" w:cs="Arial"/>
                <w:szCs w:val="22"/>
              </w:rPr>
            </w:pPr>
          </w:p>
        </w:tc>
      </w:tr>
      <w:tr w:rsidR="00891200" w:rsidRPr="00B526EA" w14:paraId="44F3301E" w14:textId="77777777" w:rsidTr="000116B5">
        <w:tc>
          <w:tcPr>
            <w:tcW w:w="0" w:type="auto"/>
            <w:hideMark/>
          </w:tcPr>
          <w:p w14:paraId="5FAE6ACE"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 Lower or variable risk estimates for physical abuse compared with other ACEs (Study 1) • Conditional impact of parental separation after adjustment for conflict/SES (Studies 8, 10) • Heterogeneity within “household dysfunction” ACEs (Studies 3, 8)</w:t>
            </w:r>
          </w:p>
        </w:tc>
        <w:tc>
          <w:tcPr>
            <w:tcW w:w="0" w:type="auto"/>
            <w:hideMark/>
          </w:tcPr>
          <w:p w14:paraId="4144429E"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Variability in mental health impact by ACE type</w:t>
            </w:r>
          </w:p>
        </w:tc>
        <w:tc>
          <w:tcPr>
            <w:tcW w:w="0" w:type="auto"/>
            <w:vMerge/>
            <w:hideMark/>
          </w:tcPr>
          <w:p w14:paraId="72BC82CF" w14:textId="77777777" w:rsidR="00891200" w:rsidRPr="00B526EA" w:rsidRDefault="00891200" w:rsidP="00F31E94">
            <w:pPr>
              <w:spacing w:before="240"/>
              <w:jc w:val="both"/>
              <w:rPr>
                <w:rFonts w:ascii="Arial" w:hAnsi="Arial" w:cs="Arial"/>
                <w:szCs w:val="22"/>
              </w:rPr>
            </w:pPr>
          </w:p>
        </w:tc>
      </w:tr>
      <w:tr w:rsidR="00891200" w:rsidRPr="00B526EA" w14:paraId="4CEE33CA" w14:textId="77777777" w:rsidTr="000116B5">
        <w:tc>
          <w:tcPr>
            <w:tcW w:w="0" w:type="auto"/>
            <w:hideMark/>
          </w:tcPr>
          <w:p w14:paraId="4089BE8C"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 Trauma-related outcomes (PTSD, hyperarousal) linked to maltreatment/violence (Studies 3, 11, 12) • Depression and anxiety linked to household disruption and adversity accumulation (Studies 4, 6, 8)</w:t>
            </w:r>
          </w:p>
        </w:tc>
        <w:tc>
          <w:tcPr>
            <w:tcW w:w="0" w:type="auto"/>
            <w:hideMark/>
          </w:tcPr>
          <w:p w14:paraId="7F5FDDEB"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Outcome-specific mental health profiles</w:t>
            </w:r>
          </w:p>
        </w:tc>
        <w:tc>
          <w:tcPr>
            <w:tcW w:w="0" w:type="auto"/>
            <w:vMerge w:val="restart"/>
            <w:hideMark/>
          </w:tcPr>
          <w:p w14:paraId="1BD17124" w14:textId="77777777" w:rsidR="00891200" w:rsidRPr="00B526EA" w:rsidRDefault="00891200" w:rsidP="00F31E94">
            <w:pPr>
              <w:spacing w:before="240"/>
              <w:jc w:val="both"/>
              <w:rPr>
                <w:rFonts w:ascii="Arial" w:hAnsi="Arial" w:cs="Arial"/>
                <w:szCs w:val="22"/>
              </w:rPr>
            </w:pPr>
            <w:r w:rsidRPr="00B526EA">
              <w:rPr>
                <w:rStyle w:val="Strong"/>
                <w:rFonts w:ascii="Arial" w:eastAsiaTheme="majorEastAsia" w:hAnsi="Arial" w:cs="Arial"/>
                <w:szCs w:val="22"/>
              </w:rPr>
              <w:t>Outcome-specific patterns and effect size variation across distinct adverse childhood experiences</w:t>
            </w:r>
          </w:p>
        </w:tc>
      </w:tr>
      <w:tr w:rsidR="00891200" w:rsidRPr="00B526EA" w14:paraId="73FCF1BC" w14:textId="77777777" w:rsidTr="000116B5">
        <w:tc>
          <w:tcPr>
            <w:tcW w:w="0" w:type="auto"/>
            <w:hideMark/>
          </w:tcPr>
          <w:p w14:paraId="6945B1AF"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 Self-harm and co-occurring depression linked to abuse and persistent adversity (Studies 4, 6) • Severe psychological distress and anxiety at high ACE exposure (Studies 1, 2)</w:t>
            </w:r>
          </w:p>
        </w:tc>
        <w:tc>
          <w:tcPr>
            <w:tcW w:w="0" w:type="auto"/>
            <w:hideMark/>
          </w:tcPr>
          <w:p w14:paraId="31BE7698"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Severity and comorbidity of outcomes</w:t>
            </w:r>
          </w:p>
        </w:tc>
        <w:tc>
          <w:tcPr>
            <w:tcW w:w="0" w:type="auto"/>
            <w:vMerge/>
            <w:hideMark/>
          </w:tcPr>
          <w:p w14:paraId="72D86DE5" w14:textId="77777777" w:rsidR="00891200" w:rsidRPr="00B526EA" w:rsidRDefault="00891200" w:rsidP="00F31E94">
            <w:pPr>
              <w:spacing w:before="240"/>
              <w:jc w:val="both"/>
              <w:rPr>
                <w:rFonts w:ascii="Arial" w:hAnsi="Arial" w:cs="Arial"/>
                <w:szCs w:val="22"/>
              </w:rPr>
            </w:pPr>
          </w:p>
        </w:tc>
      </w:tr>
      <w:tr w:rsidR="00891200" w:rsidRPr="00B526EA" w14:paraId="06637A6A" w14:textId="77777777" w:rsidTr="000116B5">
        <w:tc>
          <w:tcPr>
            <w:tcW w:w="0" w:type="auto"/>
            <w:hideMark/>
          </w:tcPr>
          <w:p w14:paraId="49D2A9C4"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 Effect size attenuation after adjustment for family context and SES (Studies 1, 8, 10) • Stronger associations in persistent or clustered ACE exposure (Studies 3, 6)</w:t>
            </w:r>
          </w:p>
        </w:tc>
        <w:tc>
          <w:tcPr>
            <w:tcW w:w="0" w:type="auto"/>
            <w:hideMark/>
          </w:tcPr>
          <w:p w14:paraId="31C79068"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Effect size variation and methodological sensitivity</w:t>
            </w:r>
          </w:p>
        </w:tc>
        <w:tc>
          <w:tcPr>
            <w:tcW w:w="0" w:type="auto"/>
            <w:vMerge/>
            <w:hideMark/>
          </w:tcPr>
          <w:p w14:paraId="4FFBB534" w14:textId="77777777" w:rsidR="00891200" w:rsidRPr="00B526EA" w:rsidRDefault="00891200" w:rsidP="00F31E94">
            <w:pPr>
              <w:spacing w:before="240"/>
              <w:jc w:val="both"/>
              <w:rPr>
                <w:rFonts w:ascii="Arial" w:hAnsi="Arial" w:cs="Arial"/>
                <w:szCs w:val="22"/>
              </w:rPr>
            </w:pPr>
          </w:p>
        </w:tc>
      </w:tr>
      <w:tr w:rsidR="00891200" w:rsidRPr="00B526EA" w14:paraId="17B0CB36" w14:textId="77777777" w:rsidTr="000116B5">
        <w:tc>
          <w:tcPr>
            <w:tcW w:w="0" w:type="auto"/>
            <w:hideMark/>
          </w:tcPr>
          <w:p w14:paraId="315BE4EA"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 Socio-economic disadvantage and poverty as key modifiers (Studies 8, 10) • Clustering of separation with parental mental health problems (Studies 6, 8)</w:t>
            </w:r>
          </w:p>
        </w:tc>
        <w:tc>
          <w:tcPr>
            <w:tcW w:w="0" w:type="auto"/>
            <w:hideMark/>
          </w:tcPr>
          <w:p w14:paraId="2D69A586"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Socio-economic and family context moderators</w:t>
            </w:r>
          </w:p>
        </w:tc>
        <w:tc>
          <w:tcPr>
            <w:tcW w:w="0" w:type="auto"/>
            <w:vMerge w:val="restart"/>
            <w:hideMark/>
          </w:tcPr>
          <w:p w14:paraId="48FFC837" w14:textId="77777777" w:rsidR="00891200" w:rsidRPr="00B526EA" w:rsidRDefault="00891200" w:rsidP="00F31E94">
            <w:pPr>
              <w:spacing w:before="240"/>
              <w:jc w:val="both"/>
              <w:rPr>
                <w:rFonts w:ascii="Arial" w:hAnsi="Arial" w:cs="Arial"/>
                <w:szCs w:val="22"/>
              </w:rPr>
            </w:pPr>
            <w:r w:rsidRPr="00B526EA">
              <w:rPr>
                <w:rStyle w:val="Strong"/>
                <w:rFonts w:ascii="Arial" w:eastAsiaTheme="majorEastAsia" w:hAnsi="Arial" w:cs="Arial"/>
                <w:szCs w:val="22"/>
              </w:rPr>
              <w:t>Contextual moderators shaping adversity–mental health associations in young adulthood</w:t>
            </w:r>
          </w:p>
        </w:tc>
      </w:tr>
      <w:tr w:rsidR="00891200" w:rsidRPr="00B526EA" w14:paraId="1791271B" w14:textId="77777777" w:rsidTr="000116B5">
        <w:tc>
          <w:tcPr>
            <w:tcW w:w="0" w:type="auto"/>
            <w:hideMark/>
          </w:tcPr>
          <w:p w14:paraId="7470994D"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 Timing, duration, and persistence of adversity (Studies 4, 6) • Life-course continuity of violence effects (Study 11)</w:t>
            </w:r>
          </w:p>
        </w:tc>
        <w:tc>
          <w:tcPr>
            <w:tcW w:w="0" w:type="auto"/>
            <w:hideMark/>
          </w:tcPr>
          <w:p w14:paraId="1EB61224"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Developmental and life-course moderators</w:t>
            </w:r>
          </w:p>
        </w:tc>
        <w:tc>
          <w:tcPr>
            <w:tcW w:w="0" w:type="auto"/>
            <w:vMerge/>
            <w:hideMark/>
          </w:tcPr>
          <w:p w14:paraId="49E2A999" w14:textId="77777777" w:rsidR="00891200" w:rsidRPr="00B526EA" w:rsidRDefault="00891200" w:rsidP="00F31E94">
            <w:pPr>
              <w:spacing w:before="240"/>
              <w:jc w:val="both"/>
              <w:rPr>
                <w:rFonts w:ascii="Arial" w:hAnsi="Arial" w:cs="Arial"/>
                <w:szCs w:val="22"/>
              </w:rPr>
            </w:pPr>
          </w:p>
        </w:tc>
      </w:tr>
      <w:tr w:rsidR="00891200" w:rsidRPr="00B526EA" w14:paraId="539D4BAC" w14:textId="77777777" w:rsidTr="000116B5">
        <w:tc>
          <w:tcPr>
            <w:tcW w:w="0" w:type="auto"/>
            <w:hideMark/>
          </w:tcPr>
          <w:p w14:paraId="3695E617"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 Service access, continuity, and relational support as protective factors (Study 9) • Positive childhood experiences as independent protective influences (Study 5)</w:t>
            </w:r>
          </w:p>
        </w:tc>
        <w:tc>
          <w:tcPr>
            <w:tcW w:w="0" w:type="auto"/>
            <w:hideMark/>
          </w:tcPr>
          <w:p w14:paraId="2FA8CB6F" w14:textId="77777777" w:rsidR="00891200" w:rsidRPr="00B526EA" w:rsidRDefault="00891200" w:rsidP="00F31E94">
            <w:pPr>
              <w:spacing w:before="240"/>
              <w:jc w:val="both"/>
              <w:rPr>
                <w:rFonts w:ascii="Arial" w:hAnsi="Arial" w:cs="Arial"/>
                <w:szCs w:val="22"/>
              </w:rPr>
            </w:pPr>
            <w:r w:rsidRPr="00B526EA">
              <w:rPr>
                <w:rFonts w:ascii="Arial" w:hAnsi="Arial" w:cs="Arial"/>
                <w:szCs w:val="22"/>
              </w:rPr>
              <w:t>Protective and buffering contextual factors</w:t>
            </w:r>
          </w:p>
        </w:tc>
        <w:tc>
          <w:tcPr>
            <w:tcW w:w="0" w:type="auto"/>
            <w:vMerge/>
            <w:hideMark/>
          </w:tcPr>
          <w:p w14:paraId="79913B4F" w14:textId="77777777" w:rsidR="00891200" w:rsidRPr="00B526EA" w:rsidRDefault="00891200" w:rsidP="00F31E94">
            <w:pPr>
              <w:spacing w:before="240"/>
              <w:jc w:val="both"/>
              <w:rPr>
                <w:rFonts w:ascii="Arial" w:hAnsi="Arial" w:cs="Arial"/>
                <w:szCs w:val="22"/>
              </w:rPr>
            </w:pPr>
          </w:p>
        </w:tc>
      </w:tr>
    </w:tbl>
    <w:p w14:paraId="2FC8482A" w14:textId="77777777" w:rsidR="00891200" w:rsidRPr="00B526EA" w:rsidRDefault="00891200" w:rsidP="00F31E94">
      <w:pPr>
        <w:spacing w:before="240"/>
        <w:jc w:val="both"/>
        <w:rPr>
          <w:rFonts w:ascii="Arial" w:hAnsi="Arial" w:cs="Arial"/>
          <w:szCs w:val="22"/>
        </w:rPr>
      </w:pPr>
    </w:p>
    <w:p w14:paraId="6003FBE8" w14:textId="170C2EB7" w:rsidR="00860ACF" w:rsidRPr="00B526EA" w:rsidRDefault="00860ACF" w:rsidP="00F31E94">
      <w:pPr>
        <w:pStyle w:val="Heading2"/>
        <w:spacing w:before="240"/>
        <w:jc w:val="both"/>
        <w:rPr>
          <w:rFonts w:ascii="Arial" w:hAnsi="Arial" w:cs="Arial"/>
          <w:sz w:val="22"/>
          <w:szCs w:val="22"/>
        </w:rPr>
      </w:pPr>
      <w:bookmarkStart w:id="60" w:name="_Toc220350555"/>
      <w:r w:rsidRPr="00B526EA">
        <w:rPr>
          <w:rFonts w:ascii="Arial" w:hAnsi="Arial" w:cs="Arial"/>
          <w:sz w:val="22"/>
          <w:szCs w:val="22"/>
        </w:rPr>
        <w:t xml:space="preserve">Appendix </w:t>
      </w:r>
      <w:r w:rsidR="00FE2728">
        <w:rPr>
          <w:rFonts w:ascii="Arial" w:hAnsi="Arial" w:cs="Arial"/>
          <w:sz w:val="22"/>
          <w:szCs w:val="22"/>
        </w:rPr>
        <w:t>D</w:t>
      </w:r>
      <w:r w:rsidRPr="00B526EA">
        <w:rPr>
          <w:rFonts w:ascii="Arial" w:hAnsi="Arial" w:cs="Arial"/>
          <w:sz w:val="22"/>
          <w:szCs w:val="22"/>
        </w:rPr>
        <w:t>: Keywords and Search Strings</w:t>
      </w:r>
      <w:bookmarkEnd w:id="60"/>
    </w:p>
    <w:tbl>
      <w:tblPr>
        <w:tblStyle w:val="TableGrid"/>
        <w:tblW w:w="0" w:type="auto"/>
        <w:tblLook w:val="04A0" w:firstRow="1" w:lastRow="0" w:firstColumn="1" w:lastColumn="0" w:noHBand="0" w:noVBand="1"/>
      </w:tblPr>
      <w:tblGrid>
        <w:gridCol w:w="1561"/>
        <w:gridCol w:w="3618"/>
        <w:gridCol w:w="3837"/>
      </w:tblGrid>
      <w:tr w:rsidR="00860ACF" w:rsidRPr="00B526EA" w14:paraId="511776E4" w14:textId="77777777" w:rsidTr="003A63A5">
        <w:tc>
          <w:tcPr>
            <w:tcW w:w="0" w:type="auto"/>
            <w:hideMark/>
          </w:tcPr>
          <w:p w14:paraId="46520BBB" w14:textId="77777777" w:rsidR="00860ACF" w:rsidRPr="00B526EA" w:rsidRDefault="00860ACF" w:rsidP="00F31E94">
            <w:pPr>
              <w:spacing w:before="240"/>
              <w:jc w:val="both"/>
              <w:rPr>
                <w:rFonts w:ascii="Arial" w:hAnsi="Arial" w:cs="Arial"/>
                <w:b/>
                <w:bCs/>
                <w:szCs w:val="22"/>
              </w:rPr>
            </w:pPr>
            <w:r w:rsidRPr="00B526EA">
              <w:rPr>
                <w:rFonts w:ascii="Arial" w:hAnsi="Arial" w:cs="Arial"/>
                <w:b/>
                <w:bCs/>
                <w:szCs w:val="22"/>
              </w:rPr>
              <w:t>Concept</w:t>
            </w:r>
          </w:p>
        </w:tc>
        <w:tc>
          <w:tcPr>
            <w:tcW w:w="0" w:type="auto"/>
            <w:hideMark/>
          </w:tcPr>
          <w:p w14:paraId="5498F194" w14:textId="77777777" w:rsidR="00860ACF" w:rsidRPr="00B526EA" w:rsidRDefault="00860ACF" w:rsidP="00F31E94">
            <w:pPr>
              <w:spacing w:before="240"/>
              <w:jc w:val="both"/>
              <w:rPr>
                <w:rFonts w:ascii="Arial" w:hAnsi="Arial" w:cs="Arial"/>
                <w:b/>
                <w:bCs/>
                <w:szCs w:val="22"/>
              </w:rPr>
            </w:pPr>
            <w:r w:rsidRPr="00B526EA">
              <w:rPr>
                <w:rFonts w:ascii="Arial" w:hAnsi="Arial" w:cs="Arial"/>
                <w:b/>
                <w:bCs/>
                <w:szCs w:val="22"/>
              </w:rPr>
              <w:t>Keywords (OR terms)</w:t>
            </w:r>
          </w:p>
        </w:tc>
        <w:tc>
          <w:tcPr>
            <w:tcW w:w="0" w:type="auto"/>
            <w:hideMark/>
          </w:tcPr>
          <w:p w14:paraId="0A78A325" w14:textId="77777777" w:rsidR="00860ACF" w:rsidRPr="00B526EA" w:rsidRDefault="00860ACF" w:rsidP="00F31E94">
            <w:pPr>
              <w:spacing w:before="240"/>
              <w:jc w:val="both"/>
              <w:rPr>
                <w:rFonts w:ascii="Arial" w:hAnsi="Arial" w:cs="Arial"/>
                <w:b/>
                <w:bCs/>
                <w:szCs w:val="22"/>
              </w:rPr>
            </w:pPr>
            <w:r w:rsidRPr="00B526EA">
              <w:rPr>
                <w:rFonts w:ascii="Arial" w:hAnsi="Arial" w:cs="Arial"/>
                <w:b/>
                <w:bCs/>
                <w:szCs w:val="22"/>
              </w:rPr>
              <w:t>Search Strings</w:t>
            </w:r>
          </w:p>
        </w:tc>
      </w:tr>
      <w:tr w:rsidR="00860ACF" w:rsidRPr="00B526EA" w14:paraId="55F8106D" w14:textId="77777777" w:rsidTr="003A63A5">
        <w:tc>
          <w:tcPr>
            <w:tcW w:w="0" w:type="auto"/>
            <w:hideMark/>
          </w:tcPr>
          <w:p w14:paraId="0C38E85D"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ACE framework</w:t>
            </w:r>
          </w:p>
        </w:tc>
        <w:tc>
          <w:tcPr>
            <w:tcW w:w="0" w:type="auto"/>
            <w:hideMark/>
          </w:tcPr>
          <w:p w14:paraId="7E3701F6"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“adverse childhood experiences” OR ACE* OR “childhood adversity” OR “childhood trauma”</w:t>
            </w:r>
          </w:p>
        </w:tc>
        <w:tc>
          <w:tcPr>
            <w:tcW w:w="0" w:type="auto"/>
            <w:hideMark/>
          </w:tcPr>
          <w:p w14:paraId="1F5333D4"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(“adverse childhood experiences” OR ACE* OR “childhood adversity” OR “childhood trauma”)</w:t>
            </w:r>
          </w:p>
        </w:tc>
      </w:tr>
      <w:tr w:rsidR="00860ACF" w:rsidRPr="00B526EA" w14:paraId="7055B7F5" w14:textId="77777777" w:rsidTr="003A63A5">
        <w:tc>
          <w:tcPr>
            <w:tcW w:w="0" w:type="auto"/>
            <w:hideMark/>
          </w:tcPr>
          <w:p w14:paraId="289AF938"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Physical abuse</w:t>
            </w:r>
          </w:p>
        </w:tc>
        <w:tc>
          <w:tcPr>
            <w:tcW w:w="0" w:type="auto"/>
            <w:hideMark/>
          </w:tcPr>
          <w:p w14:paraId="5C57A818"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“physical abuse” OR “childhood physical abuse” OR “physical maltreatment” OR “child maltreatment”</w:t>
            </w:r>
          </w:p>
        </w:tc>
        <w:tc>
          <w:tcPr>
            <w:tcW w:w="0" w:type="auto"/>
            <w:hideMark/>
          </w:tcPr>
          <w:p w14:paraId="29D876E3"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AND (“physical abuse” OR “childhood physical abuse” OR “physical maltreatment” OR “child maltreatment”)</w:t>
            </w:r>
          </w:p>
        </w:tc>
      </w:tr>
      <w:tr w:rsidR="00860ACF" w:rsidRPr="00B526EA" w14:paraId="5565A0FA" w14:textId="77777777" w:rsidTr="003A63A5">
        <w:tc>
          <w:tcPr>
            <w:tcW w:w="0" w:type="auto"/>
            <w:hideMark/>
          </w:tcPr>
          <w:p w14:paraId="237F1583"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Parental separation</w:t>
            </w:r>
          </w:p>
        </w:tc>
        <w:tc>
          <w:tcPr>
            <w:tcW w:w="0" w:type="auto"/>
            <w:hideMark/>
          </w:tcPr>
          <w:p w14:paraId="5D68FE75"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“parental separation” OR divorce OR “family breakdown” OR “family dissolution”</w:t>
            </w:r>
          </w:p>
        </w:tc>
        <w:tc>
          <w:tcPr>
            <w:tcW w:w="0" w:type="auto"/>
            <w:hideMark/>
          </w:tcPr>
          <w:p w14:paraId="1FF6AD5E"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AND (“parental separation” OR divorce OR “family breakdown” OR “family dissolution”)</w:t>
            </w:r>
          </w:p>
        </w:tc>
      </w:tr>
      <w:tr w:rsidR="00860ACF" w:rsidRPr="00B526EA" w14:paraId="4EE9F134" w14:textId="77777777" w:rsidTr="003A63A5">
        <w:tc>
          <w:tcPr>
            <w:tcW w:w="0" w:type="auto"/>
            <w:hideMark/>
          </w:tcPr>
          <w:p w14:paraId="36DD68A5"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Young adults</w:t>
            </w:r>
          </w:p>
        </w:tc>
        <w:tc>
          <w:tcPr>
            <w:tcW w:w="0" w:type="auto"/>
            <w:hideMark/>
          </w:tcPr>
          <w:p w14:paraId="670442E7" w14:textId="14CA384E" w:rsidR="00860ACF" w:rsidRPr="00B526EA" w:rsidRDefault="00860ACF" w:rsidP="00F31E94">
            <w:pPr>
              <w:spacing w:before="240"/>
              <w:jc w:val="both"/>
              <w:rPr>
                <w:rFonts w:ascii="Arial" w:hAnsi="Arial" w:cs="Arial"/>
                <w:szCs w:val="22"/>
              </w:rPr>
            </w:pPr>
            <w:r w:rsidRPr="00B526EA">
              <w:rPr>
                <w:rFonts w:ascii="Arial" w:hAnsi="Arial" w:cs="Arial"/>
                <w:szCs w:val="22"/>
              </w:rPr>
              <w:t>“young adult*” OR “emerging adult*” OR “</w:t>
            </w:r>
            <w:r w:rsidR="00DF6636" w:rsidRPr="00B526EA">
              <w:rPr>
                <w:rFonts w:ascii="Arial" w:hAnsi="Arial" w:cs="Arial"/>
                <w:szCs w:val="22"/>
              </w:rPr>
              <w:t>15-30</w:t>
            </w:r>
            <w:r w:rsidRPr="00B526EA">
              <w:rPr>
                <w:rFonts w:ascii="Arial" w:hAnsi="Arial" w:cs="Arial"/>
                <w:szCs w:val="22"/>
              </w:rPr>
              <w:t>”</w:t>
            </w:r>
          </w:p>
        </w:tc>
        <w:tc>
          <w:tcPr>
            <w:tcW w:w="0" w:type="auto"/>
            <w:hideMark/>
          </w:tcPr>
          <w:p w14:paraId="29878444" w14:textId="04997DA0" w:rsidR="00860ACF" w:rsidRPr="00B526EA" w:rsidRDefault="00860ACF" w:rsidP="00F31E94">
            <w:pPr>
              <w:spacing w:before="240"/>
              <w:jc w:val="both"/>
              <w:rPr>
                <w:rFonts w:ascii="Arial" w:hAnsi="Arial" w:cs="Arial"/>
                <w:szCs w:val="22"/>
              </w:rPr>
            </w:pPr>
            <w:r w:rsidRPr="00B526EA">
              <w:rPr>
                <w:rFonts w:ascii="Arial" w:hAnsi="Arial" w:cs="Arial"/>
                <w:szCs w:val="22"/>
              </w:rPr>
              <w:t>AND (“young adult*” OR “emerging adult*” OR “</w:t>
            </w:r>
            <w:r w:rsidR="00DF6636" w:rsidRPr="00B526EA">
              <w:rPr>
                <w:rFonts w:ascii="Arial" w:hAnsi="Arial" w:cs="Arial"/>
                <w:szCs w:val="22"/>
              </w:rPr>
              <w:t>15-30</w:t>
            </w:r>
            <w:r w:rsidRPr="00B526EA">
              <w:rPr>
                <w:rFonts w:ascii="Arial" w:hAnsi="Arial" w:cs="Arial"/>
                <w:szCs w:val="22"/>
              </w:rPr>
              <w:t>”)</w:t>
            </w:r>
          </w:p>
        </w:tc>
      </w:tr>
      <w:tr w:rsidR="00860ACF" w:rsidRPr="00B526EA" w14:paraId="35D42B5F" w14:textId="77777777" w:rsidTr="003A63A5">
        <w:tc>
          <w:tcPr>
            <w:tcW w:w="0" w:type="auto"/>
            <w:hideMark/>
          </w:tcPr>
          <w:p w14:paraId="7FD7432F"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Mental health outcomes</w:t>
            </w:r>
          </w:p>
        </w:tc>
        <w:tc>
          <w:tcPr>
            <w:tcW w:w="0" w:type="auto"/>
            <w:hideMark/>
          </w:tcPr>
          <w:p w14:paraId="0039667A"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depression OR anxiety OR PTSD OR “self-harm” OR “substance use”</w:t>
            </w:r>
          </w:p>
        </w:tc>
        <w:tc>
          <w:tcPr>
            <w:tcW w:w="0" w:type="auto"/>
            <w:hideMark/>
          </w:tcPr>
          <w:p w14:paraId="351D084C"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AND (depression OR anxiety OR PTSD OR “self-harm” OR “substance use”)</w:t>
            </w:r>
          </w:p>
        </w:tc>
      </w:tr>
      <w:tr w:rsidR="00860ACF" w:rsidRPr="00B526EA" w14:paraId="2256C3BE" w14:textId="77777777" w:rsidTr="003A63A5">
        <w:tc>
          <w:tcPr>
            <w:tcW w:w="0" w:type="auto"/>
            <w:hideMark/>
          </w:tcPr>
          <w:p w14:paraId="2790A29F"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UK context</w:t>
            </w:r>
          </w:p>
        </w:tc>
        <w:tc>
          <w:tcPr>
            <w:tcW w:w="0" w:type="auto"/>
            <w:hideMark/>
          </w:tcPr>
          <w:p w14:paraId="72BB6FB2"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UK OR “United Kingdom” OR England OR Scotland OR Wales OR “Northern Ireland”</w:t>
            </w:r>
          </w:p>
        </w:tc>
        <w:tc>
          <w:tcPr>
            <w:tcW w:w="0" w:type="auto"/>
            <w:hideMark/>
          </w:tcPr>
          <w:p w14:paraId="1BB8F9E0" w14:textId="77777777" w:rsidR="00860ACF" w:rsidRPr="00B526EA" w:rsidRDefault="00860ACF" w:rsidP="00F31E94">
            <w:pPr>
              <w:spacing w:before="240"/>
              <w:jc w:val="both"/>
              <w:rPr>
                <w:rFonts w:ascii="Arial" w:hAnsi="Arial" w:cs="Arial"/>
                <w:szCs w:val="22"/>
              </w:rPr>
            </w:pPr>
            <w:r w:rsidRPr="00B526EA">
              <w:rPr>
                <w:rFonts w:ascii="Arial" w:hAnsi="Arial" w:cs="Arial"/>
                <w:szCs w:val="22"/>
              </w:rPr>
              <w:t>AND (UK OR “United Kingdom” OR England OR Scotland OR Wales OR “Northern Ireland”)</w:t>
            </w:r>
          </w:p>
        </w:tc>
      </w:tr>
    </w:tbl>
    <w:p w14:paraId="5DA96344" w14:textId="77777777" w:rsidR="00860ACF" w:rsidRPr="00B526EA" w:rsidRDefault="00860ACF" w:rsidP="00F31E94">
      <w:pPr>
        <w:spacing w:before="240"/>
        <w:jc w:val="both"/>
        <w:rPr>
          <w:rFonts w:ascii="Arial" w:hAnsi="Arial" w:cs="Arial"/>
          <w:szCs w:val="22"/>
        </w:rPr>
      </w:pPr>
    </w:p>
    <w:sectPr w:rsidR="00860ACF" w:rsidRPr="00B526EA">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53F6F" w14:textId="77777777" w:rsidR="005F1B08" w:rsidRDefault="005F1B08" w:rsidP="00CA0781">
      <w:pPr>
        <w:spacing w:line="240" w:lineRule="auto"/>
      </w:pPr>
      <w:r>
        <w:separator/>
      </w:r>
    </w:p>
  </w:endnote>
  <w:endnote w:type="continuationSeparator" w:id="0">
    <w:p w14:paraId="50C74BF5" w14:textId="77777777" w:rsidR="005F1B08" w:rsidRDefault="005F1B08" w:rsidP="00CA07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4218320"/>
      <w:docPartObj>
        <w:docPartGallery w:val="Page Numbers (Bottom of Page)"/>
        <w:docPartUnique/>
      </w:docPartObj>
    </w:sdtPr>
    <w:sdtEndPr>
      <w:rPr>
        <w:rStyle w:val="PageNumber"/>
      </w:rPr>
    </w:sdtEndPr>
    <w:sdtContent>
      <w:p w14:paraId="4658450D" w14:textId="032C2D70" w:rsidR="00CA0781" w:rsidRDefault="00CA0781" w:rsidP="00EC53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580F83F" w14:textId="77777777" w:rsidR="00CA0781" w:rsidRDefault="00CA0781" w:rsidP="00CA07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88988785"/>
      <w:docPartObj>
        <w:docPartGallery w:val="Page Numbers (Bottom of Page)"/>
        <w:docPartUnique/>
      </w:docPartObj>
    </w:sdtPr>
    <w:sdtEndPr>
      <w:rPr>
        <w:rStyle w:val="PageNumber"/>
      </w:rPr>
    </w:sdtEndPr>
    <w:sdtContent>
      <w:p w14:paraId="4B44811A" w14:textId="12D186ED" w:rsidR="00CA0781" w:rsidRDefault="00CA0781" w:rsidP="00EC53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5FACECDE" w14:textId="77777777" w:rsidR="00CA0781" w:rsidRDefault="00CA0781" w:rsidP="00CA07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C2893" w14:textId="77777777" w:rsidR="005F1B08" w:rsidRDefault="005F1B08" w:rsidP="00CA0781">
      <w:pPr>
        <w:spacing w:line="240" w:lineRule="auto"/>
      </w:pPr>
      <w:r>
        <w:separator/>
      </w:r>
    </w:p>
  </w:footnote>
  <w:footnote w:type="continuationSeparator" w:id="0">
    <w:p w14:paraId="21427C3A" w14:textId="77777777" w:rsidR="005F1B08" w:rsidRDefault="005F1B08" w:rsidP="00CA07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B4B7C"/>
    <w:multiLevelType w:val="multilevel"/>
    <w:tmpl w:val="259AD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F7AD3"/>
    <w:multiLevelType w:val="multilevel"/>
    <w:tmpl w:val="72905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C07B1"/>
    <w:multiLevelType w:val="multilevel"/>
    <w:tmpl w:val="809C6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C52E6A"/>
    <w:multiLevelType w:val="multilevel"/>
    <w:tmpl w:val="9F728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1E77B0"/>
    <w:multiLevelType w:val="multilevel"/>
    <w:tmpl w:val="F8D81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0E221D"/>
    <w:multiLevelType w:val="multilevel"/>
    <w:tmpl w:val="D99CA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CD14DA"/>
    <w:multiLevelType w:val="multilevel"/>
    <w:tmpl w:val="516CF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7A2E92"/>
    <w:multiLevelType w:val="multilevel"/>
    <w:tmpl w:val="8BC82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434C04"/>
    <w:multiLevelType w:val="multilevel"/>
    <w:tmpl w:val="FFBE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8F67B2"/>
    <w:multiLevelType w:val="multilevel"/>
    <w:tmpl w:val="E6D05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8E158B"/>
    <w:multiLevelType w:val="multilevel"/>
    <w:tmpl w:val="41609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0465607">
    <w:abstractNumId w:val="5"/>
  </w:num>
  <w:num w:numId="2" w16cid:durableId="1175609393">
    <w:abstractNumId w:val="6"/>
  </w:num>
  <w:num w:numId="3" w16cid:durableId="2061510129">
    <w:abstractNumId w:val="0"/>
  </w:num>
  <w:num w:numId="4" w16cid:durableId="2007243930">
    <w:abstractNumId w:val="1"/>
  </w:num>
  <w:num w:numId="5" w16cid:durableId="134221443">
    <w:abstractNumId w:val="2"/>
  </w:num>
  <w:num w:numId="6" w16cid:durableId="421528637">
    <w:abstractNumId w:val="9"/>
  </w:num>
  <w:num w:numId="7" w16cid:durableId="1163351705">
    <w:abstractNumId w:val="4"/>
  </w:num>
  <w:num w:numId="8" w16cid:durableId="1733966359">
    <w:abstractNumId w:val="10"/>
  </w:num>
  <w:num w:numId="9" w16cid:durableId="1116407176">
    <w:abstractNumId w:val="3"/>
  </w:num>
  <w:num w:numId="10" w16cid:durableId="1623459222">
    <w:abstractNumId w:val="7"/>
  </w:num>
  <w:num w:numId="11" w16cid:durableId="11651212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56B"/>
    <w:rsid w:val="0000132F"/>
    <w:rsid w:val="00007EDD"/>
    <w:rsid w:val="00017E99"/>
    <w:rsid w:val="00023672"/>
    <w:rsid w:val="00023AF1"/>
    <w:rsid w:val="00025A35"/>
    <w:rsid w:val="00033724"/>
    <w:rsid w:val="000363C5"/>
    <w:rsid w:val="00040E10"/>
    <w:rsid w:val="000429E8"/>
    <w:rsid w:val="0005232E"/>
    <w:rsid w:val="00072ACE"/>
    <w:rsid w:val="0008006F"/>
    <w:rsid w:val="00084CDB"/>
    <w:rsid w:val="00090CD2"/>
    <w:rsid w:val="000913B2"/>
    <w:rsid w:val="0009726F"/>
    <w:rsid w:val="000A259F"/>
    <w:rsid w:val="000A678B"/>
    <w:rsid w:val="000B743B"/>
    <w:rsid w:val="000C2C08"/>
    <w:rsid w:val="000C44C9"/>
    <w:rsid w:val="000C5E81"/>
    <w:rsid w:val="000C6A31"/>
    <w:rsid w:val="000D37A4"/>
    <w:rsid w:val="000D3BEC"/>
    <w:rsid w:val="000D64F4"/>
    <w:rsid w:val="000F5A1F"/>
    <w:rsid w:val="000F7C00"/>
    <w:rsid w:val="001008B1"/>
    <w:rsid w:val="00104CB3"/>
    <w:rsid w:val="00106560"/>
    <w:rsid w:val="00107B26"/>
    <w:rsid w:val="00111FC4"/>
    <w:rsid w:val="00115F42"/>
    <w:rsid w:val="001230AC"/>
    <w:rsid w:val="00126FDC"/>
    <w:rsid w:val="00127247"/>
    <w:rsid w:val="00145684"/>
    <w:rsid w:val="00150B99"/>
    <w:rsid w:val="001511DC"/>
    <w:rsid w:val="0015694C"/>
    <w:rsid w:val="00160043"/>
    <w:rsid w:val="00177802"/>
    <w:rsid w:val="00177C72"/>
    <w:rsid w:val="00185A5B"/>
    <w:rsid w:val="001933B3"/>
    <w:rsid w:val="001971E1"/>
    <w:rsid w:val="001C19F6"/>
    <w:rsid w:val="001C6C1D"/>
    <w:rsid w:val="001D3A7C"/>
    <w:rsid w:val="001D6007"/>
    <w:rsid w:val="001D676C"/>
    <w:rsid w:val="001E36CD"/>
    <w:rsid w:val="001F6299"/>
    <w:rsid w:val="002001D1"/>
    <w:rsid w:val="00211E60"/>
    <w:rsid w:val="00215278"/>
    <w:rsid w:val="00225138"/>
    <w:rsid w:val="0023155B"/>
    <w:rsid w:val="00232D08"/>
    <w:rsid w:val="00237254"/>
    <w:rsid w:val="00273ED2"/>
    <w:rsid w:val="002772D8"/>
    <w:rsid w:val="002A03A1"/>
    <w:rsid w:val="002A198D"/>
    <w:rsid w:val="002A1CCB"/>
    <w:rsid w:val="002A341E"/>
    <w:rsid w:val="002A5235"/>
    <w:rsid w:val="002B1585"/>
    <w:rsid w:val="002B4312"/>
    <w:rsid w:val="002C220F"/>
    <w:rsid w:val="002D2D4C"/>
    <w:rsid w:val="002E37D2"/>
    <w:rsid w:val="002F638B"/>
    <w:rsid w:val="00311351"/>
    <w:rsid w:val="00320036"/>
    <w:rsid w:val="00322E17"/>
    <w:rsid w:val="00340007"/>
    <w:rsid w:val="00340028"/>
    <w:rsid w:val="00340BC0"/>
    <w:rsid w:val="00351667"/>
    <w:rsid w:val="00357237"/>
    <w:rsid w:val="003627ED"/>
    <w:rsid w:val="00372432"/>
    <w:rsid w:val="00384187"/>
    <w:rsid w:val="00387123"/>
    <w:rsid w:val="00397913"/>
    <w:rsid w:val="003A0DCD"/>
    <w:rsid w:val="003A1DFF"/>
    <w:rsid w:val="003A28A1"/>
    <w:rsid w:val="003B3C3D"/>
    <w:rsid w:val="003C2E88"/>
    <w:rsid w:val="003C409E"/>
    <w:rsid w:val="003D352B"/>
    <w:rsid w:val="003D58B6"/>
    <w:rsid w:val="003E19C6"/>
    <w:rsid w:val="003E241E"/>
    <w:rsid w:val="003E3DE5"/>
    <w:rsid w:val="003E6396"/>
    <w:rsid w:val="003E7B34"/>
    <w:rsid w:val="003F1CB7"/>
    <w:rsid w:val="003F21D2"/>
    <w:rsid w:val="003F5344"/>
    <w:rsid w:val="003F5C95"/>
    <w:rsid w:val="00410798"/>
    <w:rsid w:val="00422C38"/>
    <w:rsid w:val="00432105"/>
    <w:rsid w:val="0043627B"/>
    <w:rsid w:val="00437888"/>
    <w:rsid w:val="00440D48"/>
    <w:rsid w:val="00461624"/>
    <w:rsid w:val="00461B5C"/>
    <w:rsid w:val="0046354B"/>
    <w:rsid w:val="00473294"/>
    <w:rsid w:val="00477BC7"/>
    <w:rsid w:val="00485E90"/>
    <w:rsid w:val="00486CD7"/>
    <w:rsid w:val="004A577B"/>
    <w:rsid w:val="004B31A1"/>
    <w:rsid w:val="004B3A81"/>
    <w:rsid w:val="004C3E7C"/>
    <w:rsid w:val="004C68E5"/>
    <w:rsid w:val="004F1047"/>
    <w:rsid w:val="00527D60"/>
    <w:rsid w:val="005348CF"/>
    <w:rsid w:val="005409E2"/>
    <w:rsid w:val="00544ADA"/>
    <w:rsid w:val="00550640"/>
    <w:rsid w:val="00554DDF"/>
    <w:rsid w:val="005713E9"/>
    <w:rsid w:val="005922C9"/>
    <w:rsid w:val="00595D4D"/>
    <w:rsid w:val="0059689D"/>
    <w:rsid w:val="005A4724"/>
    <w:rsid w:val="005C3FFD"/>
    <w:rsid w:val="005C5EF2"/>
    <w:rsid w:val="005D13D3"/>
    <w:rsid w:val="005E4BF9"/>
    <w:rsid w:val="005F1B08"/>
    <w:rsid w:val="005F2A83"/>
    <w:rsid w:val="00600978"/>
    <w:rsid w:val="0062456B"/>
    <w:rsid w:val="0062470B"/>
    <w:rsid w:val="0063481C"/>
    <w:rsid w:val="00637C2E"/>
    <w:rsid w:val="00640C4D"/>
    <w:rsid w:val="006500A8"/>
    <w:rsid w:val="00654E55"/>
    <w:rsid w:val="00657824"/>
    <w:rsid w:val="00670DCD"/>
    <w:rsid w:val="00680377"/>
    <w:rsid w:val="0068073E"/>
    <w:rsid w:val="00684240"/>
    <w:rsid w:val="00686521"/>
    <w:rsid w:val="00690147"/>
    <w:rsid w:val="006914C0"/>
    <w:rsid w:val="006B1E05"/>
    <w:rsid w:val="006C085B"/>
    <w:rsid w:val="006C12E0"/>
    <w:rsid w:val="006C45DC"/>
    <w:rsid w:val="006D0833"/>
    <w:rsid w:val="006D5B40"/>
    <w:rsid w:val="006E47BD"/>
    <w:rsid w:val="006E6B6B"/>
    <w:rsid w:val="006F00A1"/>
    <w:rsid w:val="006F5A96"/>
    <w:rsid w:val="007037AD"/>
    <w:rsid w:val="00704D0B"/>
    <w:rsid w:val="00706609"/>
    <w:rsid w:val="007126D6"/>
    <w:rsid w:val="007174F9"/>
    <w:rsid w:val="00726861"/>
    <w:rsid w:val="007552BF"/>
    <w:rsid w:val="007711CD"/>
    <w:rsid w:val="00773B01"/>
    <w:rsid w:val="0077648B"/>
    <w:rsid w:val="00786CAA"/>
    <w:rsid w:val="00787453"/>
    <w:rsid w:val="007A0220"/>
    <w:rsid w:val="007A0739"/>
    <w:rsid w:val="007A27C1"/>
    <w:rsid w:val="007A3CE4"/>
    <w:rsid w:val="007B1B85"/>
    <w:rsid w:val="007C23BB"/>
    <w:rsid w:val="007C28B3"/>
    <w:rsid w:val="007C29FA"/>
    <w:rsid w:val="007F0BB2"/>
    <w:rsid w:val="007F0BBA"/>
    <w:rsid w:val="007F50EF"/>
    <w:rsid w:val="00804503"/>
    <w:rsid w:val="00815192"/>
    <w:rsid w:val="00825C5E"/>
    <w:rsid w:val="00827925"/>
    <w:rsid w:val="00831537"/>
    <w:rsid w:val="00837B26"/>
    <w:rsid w:val="00845391"/>
    <w:rsid w:val="0084568D"/>
    <w:rsid w:val="00860ACF"/>
    <w:rsid w:val="008649BB"/>
    <w:rsid w:val="008672F2"/>
    <w:rsid w:val="00876870"/>
    <w:rsid w:val="0088080A"/>
    <w:rsid w:val="00883311"/>
    <w:rsid w:val="00883946"/>
    <w:rsid w:val="00891200"/>
    <w:rsid w:val="008C0461"/>
    <w:rsid w:val="008D0FA7"/>
    <w:rsid w:val="008D1BE0"/>
    <w:rsid w:val="008E1A32"/>
    <w:rsid w:val="008E4C07"/>
    <w:rsid w:val="008E6BB3"/>
    <w:rsid w:val="008F1E80"/>
    <w:rsid w:val="00902CBA"/>
    <w:rsid w:val="00904251"/>
    <w:rsid w:val="00906E1F"/>
    <w:rsid w:val="0093412F"/>
    <w:rsid w:val="0094029E"/>
    <w:rsid w:val="009417C5"/>
    <w:rsid w:val="0095283D"/>
    <w:rsid w:val="0097194F"/>
    <w:rsid w:val="00975979"/>
    <w:rsid w:val="0098161E"/>
    <w:rsid w:val="009825B6"/>
    <w:rsid w:val="009840A1"/>
    <w:rsid w:val="0098487D"/>
    <w:rsid w:val="009861DA"/>
    <w:rsid w:val="00990DDC"/>
    <w:rsid w:val="00991224"/>
    <w:rsid w:val="00996C1C"/>
    <w:rsid w:val="009A3B63"/>
    <w:rsid w:val="009B14D7"/>
    <w:rsid w:val="009B3276"/>
    <w:rsid w:val="009B5595"/>
    <w:rsid w:val="009B6E16"/>
    <w:rsid w:val="009B7D8C"/>
    <w:rsid w:val="009C6DAB"/>
    <w:rsid w:val="009D2405"/>
    <w:rsid w:val="009F31FF"/>
    <w:rsid w:val="009F4860"/>
    <w:rsid w:val="009F7E39"/>
    <w:rsid w:val="00A01CA4"/>
    <w:rsid w:val="00A04CE6"/>
    <w:rsid w:val="00A061CD"/>
    <w:rsid w:val="00A1027E"/>
    <w:rsid w:val="00A10BF8"/>
    <w:rsid w:val="00A143E4"/>
    <w:rsid w:val="00A20B12"/>
    <w:rsid w:val="00A226B4"/>
    <w:rsid w:val="00A273C6"/>
    <w:rsid w:val="00A452CA"/>
    <w:rsid w:val="00A4684E"/>
    <w:rsid w:val="00A52CF4"/>
    <w:rsid w:val="00A6267A"/>
    <w:rsid w:val="00A64166"/>
    <w:rsid w:val="00A91B00"/>
    <w:rsid w:val="00A92BED"/>
    <w:rsid w:val="00A94279"/>
    <w:rsid w:val="00A9739D"/>
    <w:rsid w:val="00AA62D6"/>
    <w:rsid w:val="00AA7D31"/>
    <w:rsid w:val="00AC4872"/>
    <w:rsid w:val="00AF0EC2"/>
    <w:rsid w:val="00B3634F"/>
    <w:rsid w:val="00B526EA"/>
    <w:rsid w:val="00B53957"/>
    <w:rsid w:val="00B72C1D"/>
    <w:rsid w:val="00B765A6"/>
    <w:rsid w:val="00B8379D"/>
    <w:rsid w:val="00B9660F"/>
    <w:rsid w:val="00BB7D95"/>
    <w:rsid w:val="00BC197E"/>
    <w:rsid w:val="00BC43B7"/>
    <w:rsid w:val="00BD13CD"/>
    <w:rsid w:val="00BD1AE4"/>
    <w:rsid w:val="00BD6CCB"/>
    <w:rsid w:val="00BE4882"/>
    <w:rsid w:val="00BF1502"/>
    <w:rsid w:val="00C00E28"/>
    <w:rsid w:val="00C02E3C"/>
    <w:rsid w:val="00C06443"/>
    <w:rsid w:val="00C156AB"/>
    <w:rsid w:val="00C17774"/>
    <w:rsid w:val="00C21549"/>
    <w:rsid w:val="00C27AF4"/>
    <w:rsid w:val="00C31C57"/>
    <w:rsid w:val="00C31EEB"/>
    <w:rsid w:val="00C363E8"/>
    <w:rsid w:val="00C37AAA"/>
    <w:rsid w:val="00C42602"/>
    <w:rsid w:val="00C4516B"/>
    <w:rsid w:val="00C45E8B"/>
    <w:rsid w:val="00C5140E"/>
    <w:rsid w:val="00C54332"/>
    <w:rsid w:val="00C66302"/>
    <w:rsid w:val="00C765E7"/>
    <w:rsid w:val="00C81978"/>
    <w:rsid w:val="00C92973"/>
    <w:rsid w:val="00C9312E"/>
    <w:rsid w:val="00CA0781"/>
    <w:rsid w:val="00CA32D8"/>
    <w:rsid w:val="00CA3CCC"/>
    <w:rsid w:val="00CC7ABA"/>
    <w:rsid w:val="00CD01F2"/>
    <w:rsid w:val="00CE7CF5"/>
    <w:rsid w:val="00CF4631"/>
    <w:rsid w:val="00CF52E9"/>
    <w:rsid w:val="00D06D5D"/>
    <w:rsid w:val="00D2082F"/>
    <w:rsid w:val="00D2339D"/>
    <w:rsid w:val="00D3564E"/>
    <w:rsid w:val="00D469BC"/>
    <w:rsid w:val="00D4716A"/>
    <w:rsid w:val="00D53101"/>
    <w:rsid w:val="00D554F2"/>
    <w:rsid w:val="00D556CF"/>
    <w:rsid w:val="00D6439B"/>
    <w:rsid w:val="00D6540A"/>
    <w:rsid w:val="00D77D45"/>
    <w:rsid w:val="00D81304"/>
    <w:rsid w:val="00D851E6"/>
    <w:rsid w:val="00D95A10"/>
    <w:rsid w:val="00D9739B"/>
    <w:rsid w:val="00D97D62"/>
    <w:rsid w:val="00DB0C1A"/>
    <w:rsid w:val="00DD3152"/>
    <w:rsid w:val="00DE4218"/>
    <w:rsid w:val="00DE655D"/>
    <w:rsid w:val="00DE74F2"/>
    <w:rsid w:val="00DF36FF"/>
    <w:rsid w:val="00DF6059"/>
    <w:rsid w:val="00DF6636"/>
    <w:rsid w:val="00E01E0C"/>
    <w:rsid w:val="00E03268"/>
    <w:rsid w:val="00E05EB0"/>
    <w:rsid w:val="00E1538A"/>
    <w:rsid w:val="00E15DEE"/>
    <w:rsid w:val="00E3470D"/>
    <w:rsid w:val="00E35323"/>
    <w:rsid w:val="00E36161"/>
    <w:rsid w:val="00E40DAF"/>
    <w:rsid w:val="00E509B7"/>
    <w:rsid w:val="00E61320"/>
    <w:rsid w:val="00E63043"/>
    <w:rsid w:val="00E71893"/>
    <w:rsid w:val="00E947F1"/>
    <w:rsid w:val="00EA020D"/>
    <w:rsid w:val="00EC3D04"/>
    <w:rsid w:val="00EC7B31"/>
    <w:rsid w:val="00ED014A"/>
    <w:rsid w:val="00ED238B"/>
    <w:rsid w:val="00ED6C6A"/>
    <w:rsid w:val="00EE65A8"/>
    <w:rsid w:val="00EF03D7"/>
    <w:rsid w:val="00F1115C"/>
    <w:rsid w:val="00F26528"/>
    <w:rsid w:val="00F31E94"/>
    <w:rsid w:val="00F3548B"/>
    <w:rsid w:val="00F373A3"/>
    <w:rsid w:val="00F377D7"/>
    <w:rsid w:val="00F4065F"/>
    <w:rsid w:val="00F451A8"/>
    <w:rsid w:val="00F5041D"/>
    <w:rsid w:val="00F64D8D"/>
    <w:rsid w:val="00F80DDE"/>
    <w:rsid w:val="00F86FF0"/>
    <w:rsid w:val="00F911C1"/>
    <w:rsid w:val="00F925C5"/>
    <w:rsid w:val="00F96FFF"/>
    <w:rsid w:val="00FB6C67"/>
    <w:rsid w:val="00FC024F"/>
    <w:rsid w:val="00FC7191"/>
    <w:rsid w:val="00FE2728"/>
    <w:rsid w:val="00FF0943"/>
    <w:rsid w:val="00FF4C49"/>
    <w:rsid w:val="00FF7D1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552DE"/>
  <w15:chartTrackingRefBased/>
  <w15:docId w15:val="{D8DE0D65-47B5-444F-9118-55407913D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8A1"/>
    <w:pPr>
      <w:spacing w:after="0" w:line="360" w:lineRule="auto"/>
    </w:pPr>
    <w:rPr>
      <w:rFonts w:asciiTheme="minorBidi" w:eastAsia="Times New Roman" w:hAnsiTheme="minorBidi" w:cs="Times New Roman"/>
      <w:kern w:val="0"/>
      <w:sz w:val="22"/>
      <w:lang w:eastAsia="en-GB"/>
      <w14:ligatures w14:val="none"/>
    </w:rPr>
  </w:style>
  <w:style w:type="paragraph" w:styleId="Heading1">
    <w:name w:val="heading 1"/>
    <w:basedOn w:val="Normal"/>
    <w:next w:val="Normal"/>
    <w:link w:val="Heading1Char"/>
    <w:uiPriority w:val="9"/>
    <w:qFormat/>
    <w:rsid w:val="00A143E4"/>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340BC0"/>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62456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2456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2456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456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456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456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3E4"/>
    <w:rPr>
      <w:rFonts w:asciiTheme="minorBidi" w:eastAsiaTheme="majorEastAsia" w:hAnsiTheme="minorBidi" w:cstheme="majorBidi"/>
      <w:b/>
      <w:color w:val="0F4761" w:themeColor="accent1" w:themeShade="BF"/>
      <w:kern w:val="0"/>
      <w:sz w:val="32"/>
      <w:szCs w:val="40"/>
      <w:lang w:eastAsia="en-GB"/>
      <w14:ligatures w14:val="none"/>
    </w:rPr>
  </w:style>
  <w:style w:type="character" w:customStyle="1" w:styleId="Heading2Char">
    <w:name w:val="Heading 2 Char"/>
    <w:basedOn w:val="DefaultParagraphFont"/>
    <w:link w:val="Heading2"/>
    <w:uiPriority w:val="9"/>
    <w:rsid w:val="00340BC0"/>
    <w:rPr>
      <w:rFonts w:asciiTheme="minorBidi" w:eastAsiaTheme="majorEastAsia" w:hAnsiTheme="minorBidi" w:cstheme="majorBidi"/>
      <w:b/>
      <w:color w:val="0F4761" w:themeColor="accent1" w:themeShade="BF"/>
      <w:sz w:val="28"/>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6245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5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45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5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5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56B"/>
    <w:rPr>
      <w:rFonts w:eastAsiaTheme="majorEastAsia" w:cstheme="majorBidi"/>
      <w:color w:val="272727" w:themeColor="text1" w:themeTint="D8"/>
    </w:rPr>
  </w:style>
  <w:style w:type="paragraph" w:styleId="Title">
    <w:name w:val="Title"/>
    <w:basedOn w:val="Normal"/>
    <w:next w:val="Normal"/>
    <w:link w:val="TitleChar"/>
    <w:uiPriority w:val="10"/>
    <w:qFormat/>
    <w:rsid w:val="006245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5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56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5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56B"/>
    <w:pPr>
      <w:spacing w:before="160"/>
      <w:jc w:val="center"/>
    </w:pPr>
    <w:rPr>
      <w:i/>
      <w:iCs/>
      <w:color w:val="404040" w:themeColor="text1" w:themeTint="BF"/>
    </w:rPr>
  </w:style>
  <w:style w:type="character" w:customStyle="1" w:styleId="QuoteChar">
    <w:name w:val="Quote Char"/>
    <w:basedOn w:val="DefaultParagraphFont"/>
    <w:link w:val="Quote"/>
    <w:uiPriority w:val="29"/>
    <w:rsid w:val="0062456B"/>
    <w:rPr>
      <w:rFonts w:asciiTheme="majorBidi" w:hAnsiTheme="majorBidi"/>
      <w:i/>
      <w:iCs/>
      <w:color w:val="404040" w:themeColor="text1" w:themeTint="BF"/>
    </w:rPr>
  </w:style>
  <w:style w:type="paragraph" w:styleId="ListParagraph">
    <w:name w:val="List Paragraph"/>
    <w:basedOn w:val="Normal"/>
    <w:uiPriority w:val="34"/>
    <w:qFormat/>
    <w:rsid w:val="0062456B"/>
    <w:pPr>
      <w:ind w:left="720"/>
      <w:contextualSpacing/>
    </w:pPr>
  </w:style>
  <w:style w:type="character" w:styleId="IntenseEmphasis">
    <w:name w:val="Intense Emphasis"/>
    <w:basedOn w:val="DefaultParagraphFont"/>
    <w:uiPriority w:val="21"/>
    <w:qFormat/>
    <w:rsid w:val="0062456B"/>
    <w:rPr>
      <w:i/>
      <w:iCs/>
      <w:color w:val="0F4761" w:themeColor="accent1" w:themeShade="BF"/>
    </w:rPr>
  </w:style>
  <w:style w:type="paragraph" w:styleId="IntenseQuote">
    <w:name w:val="Intense Quote"/>
    <w:basedOn w:val="Normal"/>
    <w:next w:val="Normal"/>
    <w:link w:val="IntenseQuoteChar"/>
    <w:uiPriority w:val="30"/>
    <w:qFormat/>
    <w:rsid w:val="006245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56B"/>
    <w:rPr>
      <w:rFonts w:asciiTheme="majorBidi" w:hAnsiTheme="majorBidi"/>
      <w:i/>
      <w:iCs/>
      <w:color w:val="0F4761" w:themeColor="accent1" w:themeShade="BF"/>
    </w:rPr>
  </w:style>
  <w:style w:type="character" w:styleId="IntenseReference">
    <w:name w:val="Intense Reference"/>
    <w:basedOn w:val="DefaultParagraphFont"/>
    <w:uiPriority w:val="32"/>
    <w:qFormat/>
    <w:rsid w:val="0062456B"/>
    <w:rPr>
      <w:b/>
      <w:bCs/>
      <w:smallCaps/>
      <w:color w:val="0F4761" w:themeColor="accent1" w:themeShade="BF"/>
      <w:spacing w:val="5"/>
    </w:rPr>
  </w:style>
  <w:style w:type="paragraph" w:styleId="NormalWeb">
    <w:name w:val="Normal (Web)"/>
    <w:basedOn w:val="Normal"/>
    <w:uiPriority w:val="99"/>
    <w:unhideWhenUsed/>
    <w:rsid w:val="00C81978"/>
    <w:pPr>
      <w:spacing w:before="100" w:beforeAutospacing="1" w:after="100" w:afterAutospacing="1" w:line="240" w:lineRule="auto"/>
    </w:pPr>
    <w:rPr>
      <w:rFonts w:ascii="Times New Roman" w:hAnsi="Times New Roman"/>
    </w:rPr>
  </w:style>
  <w:style w:type="character" w:styleId="Strong">
    <w:name w:val="Strong"/>
    <w:basedOn w:val="DefaultParagraphFont"/>
    <w:uiPriority w:val="22"/>
    <w:qFormat/>
    <w:rsid w:val="00C81978"/>
    <w:rPr>
      <w:b/>
      <w:bCs/>
    </w:rPr>
  </w:style>
  <w:style w:type="table" w:styleId="TableGrid">
    <w:name w:val="Table Grid"/>
    <w:basedOn w:val="TableNormal"/>
    <w:uiPriority w:val="39"/>
    <w:rsid w:val="006C08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C085B"/>
    <w:pPr>
      <w:spacing w:after="200" w:line="240" w:lineRule="auto"/>
    </w:pPr>
    <w:rPr>
      <w:i/>
      <w:iCs/>
      <w:color w:val="0E2841" w:themeColor="text2"/>
      <w:sz w:val="18"/>
      <w:szCs w:val="18"/>
    </w:rPr>
  </w:style>
  <w:style w:type="paragraph" w:customStyle="1" w:styleId="cvgsua">
    <w:name w:val="cvgsua"/>
    <w:basedOn w:val="Normal"/>
    <w:rsid w:val="00486CD7"/>
    <w:pPr>
      <w:spacing w:before="100" w:beforeAutospacing="1" w:after="100" w:afterAutospacing="1" w:line="240" w:lineRule="auto"/>
    </w:pPr>
    <w:rPr>
      <w:rFonts w:ascii="Times New Roman" w:hAnsi="Times New Roman"/>
      <w:sz w:val="24"/>
    </w:rPr>
  </w:style>
  <w:style w:type="character" w:customStyle="1" w:styleId="agcmg">
    <w:name w:val="a_gcmg"/>
    <w:basedOn w:val="DefaultParagraphFont"/>
    <w:rsid w:val="00486CD7"/>
  </w:style>
  <w:style w:type="paragraph" w:styleId="Header">
    <w:name w:val="header"/>
    <w:basedOn w:val="Normal"/>
    <w:link w:val="HeaderChar"/>
    <w:uiPriority w:val="99"/>
    <w:unhideWhenUsed/>
    <w:rsid w:val="00CA0781"/>
    <w:pPr>
      <w:tabs>
        <w:tab w:val="center" w:pos="4513"/>
        <w:tab w:val="right" w:pos="9026"/>
      </w:tabs>
      <w:spacing w:line="240" w:lineRule="auto"/>
    </w:pPr>
  </w:style>
  <w:style w:type="character" w:customStyle="1" w:styleId="HeaderChar">
    <w:name w:val="Header Char"/>
    <w:basedOn w:val="DefaultParagraphFont"/>
    <w:link w:val="Header"/>
    <w:uiPriority w:val="99"/>
    <w:rsid w:val="00CA0781"/>
    <w:rPr>
      <w:rFonts w:asciiTheme="minorBidi" w:eastAsia="Times New Roman" w:hAnsiTheme="minorBidi" w:cs="Times New Roman"/>
      <w:kern w:val="0"/>
      <w:sz w:val="22"/>
      <w:lang w:eastAsia="en-GB"/>
      <w14:ligatures w14:val="none"/>
    </w:rPr>
  </w:style>
  <w:style w:type="paragraph" w:styleId="Footer">
    <w:name w:val="footer"/>
    <w:basedOn w:val="Normal"/>
    <w:link w:val="FooterChar"/>
    <w:uiPriority w:val="99"/>
    <w:unhideWhenUsed/>
    <w:rsid w:val="00CA0781"/>
    <w:pPr>
      <w:tabs>
        <w:tab w:val="center" w:pos="4513"/>
        <w:tab w:val="right" w:pos="9026"/>
      </w:tabs>
      <w:spacing w:line="240" w:lineRule="auto"/>
    </w:pPr>
  </w:style>
  <w:style w:type="character" w:customStyle="1" w:styleId="FooterChar">
    <w:name w:val="Footer Char"/>
    <w:basedOn w:val="DefaultParagraphFont"/>
    <w:link w:val="Footer"/>
    <w:uiPriority w:val="99"/>
    <w:rsid w:val="00CA0781"/>
    <w:rPr>
      <w:rFonts w:asciiTheme="minorBidi" w:eastAsia="Times New Roman" w:hAnsiTheme="minorBidi" w:cs="Times New Roman"/>
      <w:kern w:val="0"/>
      <w:sz w:val="22"/>
      <w:lang w:eastAsia="en-GB"/>
      <w14:ligatures w14:val="none"/>
    </w:rPr>
  </w:style>
  <w:style w:type="character" w:styleId="PageNumber">
    <w:name w:val="page number"/>
    <w:basedOn w:val="DefaultParagraphFont"/>
    <w:uiPriority w:val="99"/>
    <w:semiHidden/>
    <w:unhideWhenUsed/>
    <w:rsid w:val="00CA0781"/>
  </w:style>
  <w:style w:type="character" w:styleId="Emphasis">
    <w:name w:val="Emphasis"/>
    <w:basedOn w:val="DefaultParagraphFont"/>
    <w:uiPriority w:val="20"/>
    <w:qFormat/>
    <w:rsid w:val="0095283D"/>
    <w:rPr>
      <w:i/>
      <w:iCs/>
    </w:rPr>
  </w:style>
  <w:style w:type="paragraph" w:styleId="TOCHeading">
    <w:name w:val="TOC Heading"/>
    <w:basedOn w:val="Heading1"/>
    <w:next w:val="Normal"/>
    <w:uiPriority w:val="39"/>
    <w:unhideWhenUsed/>
    <w:qFormat/>
    <w:rsid w:val="00F31E94"/>
    <w:pPr>
      <w:spacing w:before="480" w:after="0" w:line="276" w:lineRule="auto"/>
      <w:outlineLvl w:val="9"/>
    </w:pPr>
    <w:rPr>
      <w:rFonts w:asciiTheme="majorHAnsi" w:hAnsiTheme="majorHAnsi"/>
      <w:bCs/>
      <w:sz w:val="28"/>
      <w:szCs w:val="28"/>
      <w:lang w:val="en-US" w:eastAsia="en-US"/>
    </w:rPr>
  </w:style>
  <w:style w:type="paragraph" w:styleId="TOC1">
    <w:name w:val="toc 1"/>
    <w:basedOn w:val="Normal"/>
    <w:next w:val="Normal"/>
    <w:autoRedefine/>
    <w:uiPriority w:val="39"/>
    <w:unhideWhenUsed/>
    <w:rsid w:val="00F31E94"/>
    <w:pPr>
      <w:spacing w:before="240" w:after="120"/>
    </w:pPr>
    <w:rPr>
      <w:rFonts w:asciiTheme="minorHAnsi" w:hAnsiTheme="minorHAnsi"/>
      <w:b/>
      <w:bCs/>
      <w:sz w:val="20"/>
    </w:rPr>
  </w:style>
  <w:style w:type="paragraph" w:styleId="TOC2">
    <w:name w:val="toc 2"/>
    <w:basedOn w:val="Normal"/>
    <w:next w:val="Normal"/>
    <w:autoRedefine/>
    <w:uiPriority w:val="39"/>
    <w:unhideWhenUsed/>
    <w:rsid w:val="00F31E94"/>
    <w:pPr>
      <w:spacing w:before="120"/>
      <w:ind w:left="240"/>
    </w:pPr>
    <w:rPr>
      <w:rFonts w:asciiTheme="minorHAnsi" w:hAnsiTheme="minorHAnsi"/>
      <w:i/>
      <w:iCs/>
      <w:sz w:val="20"/>
    </w:rPr>
  </w:style>
  <w:style w:type="paragraph" w:styleId="TOC3">
    <w:name w:val="toc 3"/>
    <w:basedOn w:val="Normal"/>
    <w:next w:val="Normal"/>
    <w:autoRedefine/>
    <w:uiPriority w:val="39"/>
    <w:unhideWhenUsed/>
    <w:rsid w:val="00F31E94"/>
    <w:pPr>
      <w:ind w:left="480"/>
    </w:pPr>
    <w:rPr>
      <w:rFonts w:asciiTheme="minorHAnsi" w:hAnsiTheme="minorHAnsi"/>
      <w:sz w:val="20"/>
    </w:rPr>
  </w:style>
  <w:style w:type="character" w:styleId="Hyperlink">
    <w:name w:val="Hyperlink"/>
    <w:basedOn w:val="DefaultParagraphFont"/>
    <w:uiPriority w:val="99"/>
    <w:unhideWhenUsed/>
    <w:rsid w:val="00F31E94"/>
    <w:rPr>
      <w:color w:val="467886" w:themeColor="hyperlink"/>
      <w:u w:val="single"/>
    </w:rPr>
  </w:style>
  <w:style w:type="paragraph" w:styleId="TOC4">
    <w:name w:val="toc 4"/>
    <w:basedOn w:val="Normal"/>
    <w:next w:val="Normal"/>
    <w:autoRedefine/>
    <w:uiPriority w:val="39"/>
    <w:semiHidden/>
    <w:unhideWhenUsed/>
    <w:rsid w:val="00F31E94"/>
    <w:pPr>
      <w:ind w:left="720"/>
    </w:pPr>
    <w:rPr>
      <w:rFonts w:asciiTheme="minorHAnsi" w:hAnsiTheme="minorHAnsi"/>
      <w:sz w:val="20"/>
    </w:rPr>
  </w:style>
  <w:style w:type="paragraph" w:styleId="TOC5">
    <w:name w:val="toc 5"/>
    <w:basedOn w:val="Normal"/>
    <w:next w:val="Normal"/>
    <w:autoRedefine/>
    <w:uiPriority w:val="39"/>
    <w:semiHidden/>
    <w:unhideWhenUsed/>
    <w:rsid w:val="00F31E94"/>
    <w:pPr>
      <w:ind w:left="960"/>
    </w:pPr>
    <w:rPr>
      <w:rFonts w:asciiTheme="minorHAnsi" w:hAnsiTheme="minorHAnsi"/>
      <w:sz w:val="20"/>
    </w:rPr>
  </w:style>
  <w:style w:type="paragraph" w:styleId="TOC6">
    <w:name w:val="toc 6"/>
    <w:basedOn w:val="Normal"/>
    <w:next w:val="Normal"/>
    <w:autoRedefine/>
    <w:uiPriority w:val="39"/>
    <w:semiHidden/>
    <w:unhideWhenUsed/>
    <w:rsid w:val="00F31E94"/>
    <w:pPr>
      <w:ind w:left="1200"/>
    </w:pPr>
    <w:rPr>
      <w:rFonts w:asciiTheme="minorHAnsi" w:hAnsiTheme="minorHAnsi"/>
      <w:sz w:val="20"/>
    </w:rPr>
  </w:style>
  <w:style w:type="paragraph" w:styleId="TOC7">
    <w:name w:val="toc 7"/>
    <w:basedOn w:val="Normal"/>
    <w:next w:val="Normal"/>
    <w:autoRedefine/>
    <w:uiPriority w:val="39"/>
    <w:semiHidden/>
    <w:unhideWhenUsed/>
    <w:rsid w:val="00F31E94"/>
    <w:pPr>
      <w:ind w:left="1440"/>
    </w:pPr>
    <w:rPr>
      <w:rFonts w:asciiTheme="minorHAnsi" w:hAnsiTheme="minorHAnsi"/>
      <w:sz w:val="20"/>
    </w:rPr>
  </w:style>
  <w:style w:type="paragraph" w:styleId="TOC8">
    <w:name w:val="toc 8"/>
    <w:basedOn w:val="Normal"/>
    <w:next w:val="Normal"/>
    <w:autoRedefine/>
    <w:uiPriority w:val="39"/>
    <w:semiHidden/>
    <w:unhideWhenUsed/>
    <w:rsid w:val="00F31E94"/>
    <w:pPr>
      <w:ind w:left="1680"/>
    </w:pPr>
    <w:rPr>
      <w:rFonts w:asciiTheme="minorHAnsi" w:hAnsiTheme="minorHAnsi"/>
      <w:sz w:val="20"/>
    </w:rPr>
  </w:style>
  <w:style w:type="paragraph" w:styleId="TOC9">
    <w:name w:val="toc 9"/>
    <w:basedOn w:val="Normal"/>
    <w:next w:val="Normal"/>
    <w:autoRedefine/>
    <w:uiPriority w:val="39"/>
    <w:semiHidden/>
    <w:unhideWhenUsed/>
    <w:rsid w:val="00F31E94"/>
    <w:pPr>
      <w:ind w:left="1920"/>
    </w:pPr>
    <w:rPr>
      <w:rFonts w:asciiTheme="minorHAnsi" w:hAnsiTheme="minorHAnsi"/>
      <w:sz w:val="20"/>
    </w:rPr>
  </w:style>
  <w:style w:type="paragraph" w:styleId="TableofFigures">
    <w:name w:val="table of figures"/>
    <w:basedOn w:val="Normal"/>
    <w:next w:val="Normal"/>
    <w:uiPriority w:val="99"/>
    <w:unhideWhenUsed/>
    <w:rsid w:val="00B8379D"/>
  </w:style>
  <w:style w:type="paragraph" w:styleId="BodyText">
    <w:name w:val="Body Text"/>
    <w:basedOn w:val="Normal"/>
    <w:link w:val="BodyTextChar"/>
    <w:uiPriority w:val="1"/>
    <w:unhideWhenUsed/>
    <w:qFormat/>
    <w:rsid w:val="0000132F"/>
    <w:pPr>
      <w:widowControl w:val="0"/>
      <w:autoSpaceDE w:val="0"/>
      <w:autoSpaceDN w:val="0"/>
      <w:spacing w:line="240" w:lineRule="auto"/>
    </w:pPr>
    <w:rPr>
      <w:rFonts w:ascii="Arial" w:eastAsia="Calibri Light" w:hAnsi="Arial" w:cs="Calibri Light"/>
      <w:szCs w:val="22"/>
      <w:lang w:bidi="en-GB"/>
    </w:rPr>
  </w:style>
  <w:style w:type="character" w:customStyle="1" w:styleId="BodyTextChar">
    <w:name w:val="Body Text Char"/>
    <w:basedOn w:val="DefaultParagraphFont"/>
    <w:link w:val="BodyText"/>
    <w:uiPriority w:val="1"/>
    <w:rsid w:val="0000132F"/>
    <w:rPr>
      <w:rFonts w:ascii="Arial" w:eastAsia="Calibri Light" w:hAnsi="Arial" w:cs="Calibri Light"/>
      <w:kern w:val="0"/>
      <w:sz w:val="22"/>
      <w:szCs w:val="22"/>
      <w:lang w:val="en-GB"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jpe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A4548-53D2-1E4D-8553-60B221E7A8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18239</Words>
  <Characters>103968</Characters>
  <Application>Microsoft Office Word</Application>
  <DocSecurity>0</DocSecurity>
  <Lines>866</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Noreen Akhtar</cp:lastModifiedBy>
  <cp:revision>2</cp:revision>
  <dcterms:created xsi:type="dcterms:W3CDTF">2026-04-05T23:30:00Z</dcterms:created>
  <dcterms:modified xsi:type="dcterms:W3CDTF">2026-04-05T23:30:00Z</dcterms:modified>
</cp:coreProperties>
</file>