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pPr w:leftFromText="180" w:rightFromText="180" w:vertAnchor="page" w:horzAnchor="page" w:tblpXSpec="center" w:tblpY="3414"/>
        <w:tblW w:w="0" w:type="auto"/>
        <w:tblLook w:val="04A0"/>
      </w:tblPr>
      <w:tblGrid>
        <w:gridCol w:w="2230"/>
        <w:gridCol w:w="4466"/>
      </w:tblGrid>
      <w:tr w:rsidR="001D4750" w:rsidTr="00035FEB">
        <w:trPr>
          <w:trHeight w:val="499"/>
        </w:trPr>
        <w:tc>
          <w:tcPr>
            <w:tcW w:w="2230" w:type="dxa"/>
          </w:tcPr>
          <w:p w:rsidR="001D4750" w:rsidRPr="00D26A22" w:rsidRDefault="001D4750" w:rsidP="00A4007F">
            <w:pPr>
              <w:spacing w:after="120" w:line="360" w:lineRule="atLeast"/>
              <w:jc w:val="center"/>
              <w:rPr>
                <w:rFonts w:cstheme="minorHAnsi"/>
                <w:b/>
                <w:color w:val="000000" w:themeColor="text1"/>
                <w:spacing w:val="10"/>
              </w:rPr>
            </w:pPr>
            <w:r w:rsidRPr="00D26A22">
              <w:rPr>
                <w:rFonts w:cstheme="minorHAnsi"/>
                <w:b/>
                <w:color w:val="000000" w:themeColor="text1"/>
                <w:spacing w:val="10"/>
              </w:rPr>
              <w:t>Student Name</w:t>
            </w:r>
          </w:p>
        </w:tc>
        <w:tc>
          <w:tcPr>
            <w:tcW w:w="4466" w:type="dxa"/>
          </w:tcPr>
          <w:p w:rsidR="001D4750" w:rsidRPr="00D26A22" w:rsidRDefault="001D4750" w:rsidP="00A4007F">
            <w:pPr>
              <w:spacing w:after="120" w:line="360" w:lineRule="atLeast"/>
              <w:jc w:val="center"/>
              <w:rPr>
                <w:rFonts w:cstheme="minorHAnsi"/>
                <w:b/>
                <w:color w:val="000000" w:themeColor="text1"/>
                <w:spacing w:val="10"/>
              </w:rPr>
            </w:pPr>
            <w:r w:rsidRPr="00D26A22">
              <w:rPr>
                <w:rFonts w:cstheme="minorHAnsi"/>
                <w:b/>
                <w:color w:val="000000" w:themeColor="text1"/>
                <w:spacing w:val="10"/>
              </w:rPr>
              <w:t>MD AKATARUJJAMAN</w:t>
            </w:r>
          </w:p>
        </w:tc>
      </w:tr>
      <w:tr w:rsidR="001D4750" w:rsidRPr="00D26A22" w:rsidTr="00035FEB">
        <w:trPr>
          <w:trHeight w:val="538"/>
        </w:trPr>
        <w:tc>
          <w:tcPr>
            <w:tcW w:w="2230" w:type="dxa"/>
          </w:tcPr>
          <w:p w:rsidR="001D4750" w:rsidRPr="00D26A22" w:rsidRDefault="001D4750" w:rsidP="00A4007F">
            <w:pPr>
              <w:spacing w:after="120" w:line="360" w:lineRule="atLeast"/>
              <w:jc w:val="center"/>
              <w:rPr>
                <w:rFonts w:cstheme="minorHAnsi"/>
                <w:b/>
                <w:color w:val="000000" w:themeColor="text1"/>
                <w:spacing w:val="10"/>
              </w:rPr>
            </w:pPr>
            <w:r w:rsidRPr="00D26A22">
              <w:rPr>
                <w:rFonts w:cstheme="minorHAnsi"/>
                <w:b/>
                <w:color w:val="000000" w:themeColor="text1"/>
                <w:spacing w:val="10"/>
              </w:rPr>
              <w:t>Student ID Number</w:t>
            </w:r>
          </w:p>
        </w:tc>
        <w:tc>
          <w:tcPr>
            <w:tcW w:w="4466" w:type="dxa"/>
          </w:tcPr>
          <w:p w:rsidR="001D4750" w:rsidRPr="00D26A22" w:rsidRDefault="001D4750" w:rsidP="00A4007F">
            <w:pPr>
              <w:spacing w:after="120" w:line="360" w:lineRule="atLeast"/>
              <w:jc w:val="center"/>
              <w:rPr>
                <w:rFonts w:cstheme="minorHAnsi"/>
                <w:b/>
                <w:color w:val="000000" w:themeColor="text1"/>
                <w:spacing w:val="10"/>
              </w:rPr>
            </w:pPr>
            <w:r w:rsidRPr="00D26A22">
              <w:rPr>
                <w:rFonts w:cstheme="minorHAnsi"/>
                <w:b/>
                <w:color w:val="000000" w:themeColor="text1"/>
                <w:spacing w:val="10"/>
              </w:rPr>
              <w:t>2512989</w:t>
            </w:r>
          </w:p>
        </w:tc>
      </w:tr>
      <w:tr w:rsidR="001D4750" w:rsidRPr="00D26A22" w:rsidTr="00035FEB">
        <w:trPr>
          <w:trHeight w:val="888"/>
        </w:trPr>
        <w:tc>
          <w:tcPr>
            <w:tcW w:w="2230" w:type="dxa"/>
          </w:tcPr>
          <w:p w:rsidR="001D4750" w:rsidRPr="00D26A22" w:rsidRDefault="001D4750" w:rsidP="00A4007F">
            <w:pPr>
              <w:spacing w:after="120" w:line="360" w:lineRule="atLeast"/>
              <w:jc w:val="center"/>
              <w:rPr>
                <w:rFonts w:cstheme="minorHAnsi"/>
                <w:b/>
                <w:color w:val="000000" w:themeColor="text1"/>
                <w:spacing w:val="10"/>
              </w:rPr>
            </w:pPr>
            <w:r w:rsidRPr="00D26A22">
              <w:rPr>
                <w:rFonts w:cstheme="minorHAnsi"/>
                <w:b/>
                <w:color w:val="000000" w:themeColor="text1"/>
                <w:spacing w:val="10"/>
              </w:rPr>
              <w:t>Module Title</w:t>
            </w:r>
          </w:p>
        </w:tc>
        <w:tc>
          <w:tcPr>
            <w:tcW w:w="4466" w:type="dxa"/>
          </w:tcPr>
          <w:p w:rsidR="001D4750" w:rsidRPr="00D26A22" w:rsidRDefault="00035FEB" w:rsidP="00A4007F">
            <w:pPr>
              <w:spacing w:after="120" w:line="360" w:lineRule="atLeast"/>
              <w:jc w:val="center"/>
              <w:rPr>
                <w:rFonts w:cstheme="minorHAnsi"/>
                <w:b/>
                <w:color w:val="000000" w:themeColor="text1"/>
                <w:spacing w:val="10"/>
              </w:rPr>
            </w:pPr>
            <w:r w:rsidRPr="00035FEB">
              <w:rPr>
                <w:rFonts w:cstheme="minorHAnsi"/>
                <w:b/>
                <w:bCs/>
                <w:color w:val="000000" w:themeColor="text1"/>
                <w:spacing w:val="10"/>
              </w:rPr>
              <w:t>Social Epidemiology and Public Health Development</w:t>
            </w:r>
          </w:p>
        </w:tc>
      </w:tr>
      <w:tr w:rsidR="001D4750" w:rsidRPr="00D26A22" w:rsidTr="00035FEB">
        <w:trPr>
          <w:trHeight w:val="499"/>
        </w:trPr>
        <w:tc>
          <w:tcPr>
            <w:tcW w:w="2230" w:type="dxa"/>
          </w:tcPr>
          <w:p w:rsidR="001D4750" w:rsidRPr="00D26A22" w:rsidRDefault="001D4750" w:rsidP="00A4007F">
            <w:pPr>
              <w:spacing w:after="120" w:line="360" w:lineRule="atLeast"/>
              <w:jc w:val="center"/>
              <w:rPr>
                <w:rFonts w:cstheme="minorHAnsi"/>
                <w:b/>
                <w:color w:val="000000" w:themeColor="text1"/>
                <w:spacing w:val="10"/>
              </w:rPr>
            </w:pPr>
            <w:r w:rsidRPr="00D26A22">
              <w:rPr>
                <w:rFonts w:cstheme="minorHAnsi"/>
                <w:b/>
                <w:color w:val="000000" w:themeColor="text1"/>
                <w:spacing w:val="10"/>
              </w:rPr>
              <w:t>Module Code</w:t>
            </w:r>
          </w:p>
        </w:tc>
        <w:tc>
          <w:tcPr>
            <w:tcW w:w="4466" w:type="dxa"/>
          </w:tcPr>
          <w:p w:rsidR="001D4750" w:rsidRPr="00035FEB" w:rsidRDefault="00035FEB" w:rsidP="00035FEB">
            <w:pPr>
              <w:spacing w:after="120" w:line="360" w:lineRule="atLeast"/>
              <w:jc w:val="center"/>
              <w:rPr>
                <w:rFonts w:cstheme="minorHAnsi"/>
                <w:b/>
                <w:color w:val="000000" w:themeColor="text1"/>
                <w:spacing w:val="10"/>
                <w:lang w:val="en-GB"/>
              </w:rPr>
            </w:pPr>
            <w:r w:rsidRPr="00035FEB">
              <w:rPr>
                <w:rFonts w:cstheme="minorHAnsi"/>
                <w:b/>
                <w:bCs/>
                <w:color w:val="000000" w:themeColor="text1"/>
                <w:spacing w:val="10"/>
                <w:lang w:val="en-GB"/>
              </w:rPr>
              <w:t>LCHS7000</w:t>
            </w:r>
          </w:p>
        </w:tc>
      </w:tr>
      <w:tr w:rsidR="001D4750" w:rsidRPr="00D26A22" w:rsidTr="00035FEB">
        <w:trPr>
          <w:trHeight w:val="499"/>
        </w:trPr>
        <w:tc>
          <w:tcPr>
            <w:tcW w:w="2230" w:type="dxa"/>
          </w:tcPr>
          <w:p w:rsidR="001D4750" w:rsidRPr="00D26A22" w:rsidRDefault="001D4750" w:rsidP="00A4007F">
            <w:pPr>
              <w:spacing w:after="120" w:line="360" w:lineRule="atLeast"/>
              <w:jc w:val="center"/>
              <w:rPr>
                <w:rFonts w:cstheme="minorHAnsi"/>
                <w:b/>
                <w:color w:val="000000" w:themeColor="text1"/>
                <w:spacing w:val="10"/>
              </w:rPr>
            </w:pPr>
            <w:r w:rsidRPr="00D26A22">
              <w:rPr>
                <w:rFonts w:cstheme="minorHAnsi"/>
                <w:b/>
                <w:color w:val="000000" w:themeColor="text1"/>
                <w:spacing w:val="10"/>
              </w:rPr>
              <w:t>Lecturer’s Name</w:t>
            </w:r>
          </w:p>
        </w:tc>
        <w:tc>
          <w:tcPr>
            <w:tcW w:w="4466" w:type="dxa"/>
          </w:tcPr>
          <w:p w:rsidR="001D4750" w:rsidRPr="00D26A22" w:rsidRDefault="00035FEB" w:rsidP="00A4007F">
            <w:pPr>
              <w:spacing w:after="120" w:line="360" w:lineRule="atLeast"/>
              <w:jc w:val="center"/>
              <w:rPr>
                <w:rFonts w:cstheme="minorHAnsi"/>
                <w:b/>
                <w:color w:val="000000" w:themeColor="text1"/>
                <w:spacing w:val="10"/>
              </w:rPr>
            </w:pPr>
            <w:r w:rsidRPr="00035FEB">
              <w:rPr>
                <w:rFonts w:cstheme="minorHAnsi"/>
                <w:b/>
                <w:bCs/>
                <w:color w:val="000000" w:themeColor="text1"/>
                <w:spacing w:val="10"/>
              </w:rPr>
              <w:t>Dr Hamdi Hussain</w:t>
            </w:r>
          </w:p>
        </w:tc>
      </w:tr>
      <w:tr w:rsidR="001D4750" w:rsidRPr="00D26A22" w:rsidTr="00035FEB">
        <w:trPr>
          <w:trHeight w:val="1296"/>
        </w:trPr>
        <w:tc>
          <w:tcPr>
            <w:tcW w:w="2230" w:type="dxa"/>
          </w:tcPr>
          <w:p w:rsidR="001D4750" w:rsidRPr="00D26A22" w:rsidRDefault="001D4750" w:rsidP="00A4007F">
            <w:pPr>
              <w:spacing w:after="120" w:line="360" w:lineRule="atLeast"/>
              <w:jc w:val="center"/>
              <w:rPr>
                <w:rFonts w:cstheme="minorHAnsi"/>
                <w:b/>
                <w:color w:val="000000" w:themeColor="text1"/>
                <w:spacing w:val="10"/>
              </w:rPr>
            </w:pPr>
            <w:r w:rsidRPr="00D26A22">
              <w:rPr>
                <w:rFonts w:cstheme="minorHAnsi"/>
                <w:b/>
                <w:color w:val="000000" w:themeColor="text1"/>
                <w:spacing w:val="10"/>
              </w:rPr>
              <w:t>Assignment Title</w:t>
            </w:r>
          </w:p>
        </w:tc>
        <w:tc>
          <w:tcPr>
            <w:tcW w:w="4466" w:type="dxa"/>
          </w:tcPr>
          <w:p w:rsidR="00035FEB" w:rsidRPr="00035FEB" w:rsidRDefault="00035FEB" w:rsidP="00035FEB">
            <w:pPr>
              <w:spacing w:line="360" w:lineRule="auto"/>
              <w:jc w:val="center"/>
              <w:rPr>
                <w:rFonts w:cstheme="minorHAnsi"/>
                <w:b/>
                <w:color w:val="000000" w:themeColor="text1"/>
                <w:spacing w:val="10"/>
                <w:lang w:val="en-GB"/>
              </w:rPr>
            </w:pPr>
            <w:r w:rsidRPr="00035FEB">
              <w:rPr>
                <w:rFonts w:cstheme="minorHAnsi"/>
                <w:b/>
                <w:bCs/>
                <w:color w:val="000000" w:themeColor="text1"/>
                <w:spacing w:val="10"/>
                <w:lang w:val="en-GB"/>
              </w:rPr>
              <w:t>Component 2</w:t>
            </w:r>
          </w:p>
          <w:p w:rsidR="00035FEB" w:rsidRPr="00035FEB" w:rsidRDefault="00035FEB" w:rsidP="00035FEB">
            <w:pPr>
              <w:spacing w:line="360" w:lineRule="auto"/>
              <w:jc w:val="center"/>
              <w:rPr>
                <w:rFonts w:cstheme="minorHAnsi"/>
                <w:b/>
                <w:color w:val="000000" w:themeColor="text1"/>
                <w:spacing w:val="10"/>
                <w:lang w:val="en-GB"/>
              </w:rPr>
            </w:pPr>
            <w:r w:rsidRPr="00035FEB">
              <w:rPr>
                <w:rFonts w:cstheme="minorHAnsi"/>
                <w:b/>
                <w:bCs/>
                <w:color w:val="000000" w:themeColor="text1"/>
                <w:spacing w:val="10"/>
                <w:lang w:val="en-GB"/>
              </w:rPr>
              <w:t>Analytical Report</w:t>
            </w:r>
          </w:p>
          <w:p w:rsidR="001D4750" w:rsidRPr="00D26A22" w:rsidRDefault="001D4750" w:rsidP="00A4007F">
            <w:pPr>
              <w:spacing w:line="360" w:lineRule="auto"/>
              <w:jc w:val="center"/>
              <w:rPr>
                <w:rFonts w:cstheme="minorHAnsi"/>
                <w:b/>
                <w:color w:val="000000" w:themeColor="text1"/>
                <w:spacing w:val="10"/>
              </w:rPr>
            </w:pPr>
          </w:p>
        </w:tc>
      </w:tr>
      <w:tr w:rsidR="001D4750" w:rsidRPr="00D26A22" w:rsidTr="00035FEB">
        <w:trPr>
          <w:trHeight w:val="499"/>
        </w:trPr>
        <w:tc>
          <w:tcPr>
            <w:tcW w:w="2230" w:type="dxa"/>
          </w:tcPr>
          <w:p w:rsidR="001D4750" w:rsidRPr="00D26A22" w:rsidRDefault="001D4750" w:rsidP="00A4007F">
            <w:pPr>
              <w:spacing w:after="120" w:line="360" w:lineRule="atLeast"/>
              <w:jc w:val="center"/>
              <w:rPr>
                <w:rFonts w:cstheme="minorHAnsi"/>
                <w:b/>
                <w:color w:val="000000" w:themeColor="text1"/>
                <w:spacing w:val="10"/>
              </w:rPr>
            </w:pPr>
            <w:r w:rsidRPr="00D26A22">
              <w:rPr>
                <w:rFonts w:cstheme="minorHAnsi"/>
                <w:b/>
                <w:color w:val="000000" w:themeColor="text1"/>
                <w:spacing w:val="10"/>
              </w:rPr>
              <w:t>Word Count (Actual)</w:t>
            </w:r>
          </w:p>
        </w:tc>
        <w:tc>
          <w:tcPr>
            <w:tcW w:w="4466" w:type="dxa"/>
          </w:tcPr>
          <w:p w:rsidR="001D4750" w:rsidRPr="00D26A22" w:rsidRDefault="00780AA6" w:rsidP="00A4007F">
            <w:pPr>
              <w:spacing w:after="120" w:line="360" w:lineRule="atLeast"/>
              <w:jc w:val="center"/>
              <w:rPr>
                <w:rFonts w:cstheme="minorHAnsi"/>
                <w:b/>
                <w:color w:val="000000" w:themeColor="text1"/>
                <w:spacing w:val="10"/>
              </w:rPr>
            </w:pPr>
            <w:r>
              <w:rPr>
                <w:rFonts w:cstheme="minorHAnsi"/>
                <w:b/>
                <w:color w:val="000000" w:themeColor="text1"/>
                <w:spacing w:val="10"/>
              </w:rPr>
              <w:t>2700</w:t>
            </w:r>
          </w:p>
        </w:tc>
      </w:tr>
      <w:tr w:rsidR="001D4750" w:rsidRPr="00D26A22" w:rsidTr="00035FEB">
        <w:trPr>
          <w:trHeight w:val="538"/>
        </w:trPr>
        <w:tc>
          <w:tcPr>
            <w:tcW w:w="2230" w:type="dxa"/>
          </w:tcPr>
          <w:p w:rsidR="001D4750" w:rsidRPr="00D26A22" w:rsidRDefault="001D4750" w:rsidP="00A4007F">
            <w:pPr>
              <w:spacing w:after="120" w:line="360" w:lineRule="atLeast"/>
              <w:jc w:val="center"/>
              <w:rPr>
                <w:rFonts w:cstheme="minorHAnsi"/>
                <w:b/>
                <w:color w:val="000000" w:themeColor="text1"/>
                <w:spacing w:val="10"/>
              </w:rPr>
            </w:pPr>
            <w:r w:rsidRPr="00D26A22">
              <w:rPr>
                <w:rFonts w:cstheme="minorHAnsi"/>
                <w:b/>
                <w:color w:val="000000" w:themeColor="text1"/>
                <w:spacing w:val="10"/>
              </w:rPr>
              <w:t>Submission Date</w:t>
            </w:r>
          </w:p>
        </w:tc>
        <w:tc>
          <w:tcPr>
            <w:tcW w:w="4466" w:type="dxa"/>
          </w:tcPr>
          <w:p w:rsidR="001D4750" w:rsidRPr="00D26A22" w:rsidRDefault="00C42589" w:rsidP="00A4007F">
            <w:pPr>
              <w:spacing w:after="120" w:line="360" w:lineRule="atLeast"/>
              <w:jc w:val="center"/>
              <w:rPr>
                <w:rFonts w:cstheme="minorHAnsi"/>
                <w:b/>
                <w:color w:val="000000" w:themeColor="text1"/>
                <w:spacing w:val="10"/>
              </w:rPr>
            </w:pPr>
            <w:r>
              <w:rPr>
                <w:rFonts w:cstheme="minorHAnsi"/>
                <w:b/>
                <w:color w:val="000000" w:themeColor="text1"/>
                <w:spacing w:val="10"/>
              </w:rPr>
              <w:t>16 NOV 2025</w:t>
            </w:r>
          </w:p>
        </w:tc>
      </w:tr>
    </w:tbl>
    <w:p w:rsidR="001D4750" w:rsidRDefault="001D4750" w:rsidP="00D71AD4">
      <w:pPr>
        <w:rPr>
          <w:b/>
          <w:bCs/>
        </w:rPr>
      </w:pPr>
    </w:p>
    <w:p w:rsidR="001D4750" w:rsidRDefault="001D4750">
      <w:pPr>
        <w:rPr>
          <w:b/>
          <w:bCs/>
        </w:rPr>
      </w:pPr>
      <w:r>
        <w:rPr>
          <w:b/>
          <w:bCs/>
        </w:rPr>
        <w:br w:type="page"/>
      </w:r>
    </w:p>
    <w:sdt>
      <w:sdtPr>
        <w:rPr>
          <w:rFonts w:asciiTheme="minorHAnsi" w:eastAsiaTheme="minorHAnsi" w:hAnsiTheme="minorHAnsi" w:cstheme="minorBidi"/>
          <w:color w:val="auto"/>
          <w:kern w:val="2"/>
          <w:sz w:val="24"/>
          <w:szCs w:val="24"/>
        </w:rPr>
        <w:id w:val="1912498180"/>
        <w:docPartObj>
          <w:docPartGallery w:val="Table of Contents"/>
          <w:docPartUnique/>
        </w:docPartObj>
      </w:sdtPr>
      <w:sdtEndPr>
        <w:rPr>
          <w:b/>
          <w:bCs/>
          <w:noProof/>
        </w:rPr>
      </w:sdtEndPr>
      <w:sdtContent>
        <w:p w:rsidR="007A6257" w:rsidRDefault="007A6257">
          <w:pPr>
            <w:pStyle w:val="TOCHeading"/>
          </w:pPr>
          <w:r>
            <w:t>Table of Contents</w:t>
          </w:r>
        </w:p>
        <w:p w:rsidR="007A6257" w:rsidRDefault="000A5CEE">
          <w:pPr>
            <w:pStyle w:val="TOC1"/>
            <w:tabs>
              <w:tab w:val="right" w:leader="dot" w:pos="9350"/>
            </w:tabs>
            <w:rPr>
              <w:noProof/>
            </w:rPr>
          </w:pPr>
          <w:r w:rsidRPr="000A5CEE">
            <w:fldChar w:fldCharType="begin"/>
          </w:r>
          <w:r w:rsidR="007A6257">
            <w:instrText xml:space="preserve"> TOC \o "1-3" \h \z \u </w:instrText>
          </w:r>
          <w:r w:rsidRPr="000A5CEE">
            <w:fldChar w:fldCharType="separate"/>
          </w:r>
          <w:hyperlink w:anchor="_Toc214227980" w:history="1">
            <w:r w:rsidR="007A6257" w:rsidRPr="0025248D">
              <w:rPr>
                <w:rStyle w:val="Hyperlink"/>
                <w:rFonts w:ascii="Arial" w:hAnsi="Arial" w:cs="Arial"/>
                <w:b/>
                <w:bCs/>
                <w:noProof/>
              </w:rPr>
              <w:t>Task 1</w:t>
            </w:r>
            <w:r w:rsidR="007A6257">
              <w:rPr>
                <w:noProof/>
                <w:webHidden/>
              </w:rPr>
              <w:tab/>
            </w:r>
            <w:r>
              <w:rPr>
                <w:noProof/>
                <w:webHidden/>
              </w:rPr>
              <w:fldChar w:fldCharType="begin"/>
            </w:r>
            <w:r w:rsidR="007A6257">
              <w:rPr>
                <w:noProof/>
                <w:webHidden/>
              </w:rPr>
              <w:instrText xml:space="preserve"> PAGEREF _Toc214227980 \h </w:instrText>
            </w:r>
            <w:r>
              <w:rPr>
                <w:noProof/>
                <w:webHidden/>
              </w:rPr>
            </w:r>
            <w:r>
              <w:rPr>
                <w:noProof/>
                <w:webHidden/>
              </w:rPr>
              <w:fldChar w:fldCharType="separate"/>
            </w:r>
            <w:r w:rsidR="007A6257">
              <w:rPr>
                <w:noProof/>
                <w:webHidden/>
              </w:rPr>
              <w:t>3</w:t>
            </w:r>
            <w:r>
              <w:rPr>
                <w:noProof/>
                <w:webHidden/>
              </w:rPr>
              <w:fldChar w:fldCharType="end"/>
            </w:r>
          </w:hyperlink>
        </w:p>
        <w:p w:rsidR="007A6257" w:rsidRDefault="000A5CEE">
          <w:pPr>
            <w:pStyle w:val="TOC1"/>
            <w:tabs>
              <w:tab w:val="right" w:leader="dot" w:pos="9350"/>
            </w:tabs>
            <w:rPr>
              <w:noProof/>
            </w:rPr>
          </w:pPr>
          <w:hyperlink w:anchor="_Toc214227981" w:history="1">
            <w:r w:rsidR="007A6257" w:rsidRPr="0025248D">
              <w:rPr>
                <w:rStyle w:val="Hyperlink"/>
                <w:rFonts w:ascii="Arial" w:hAnsi="Arial" w:cs="Arial"/>
                <w:b/>
                <w:bCs/>
                <w:noProof/>
              </w:rPr>
              <w:t>Task 2</w:t>
            </w:r>
            <w:r w:rsidR="007A6257">
              <w:rPr>
                <w:noProof/>
                <w:webHidden/>
              </w:rPr>
              <w:tab/>
            </w:r>
            <w:r>
              <w:rPr>
                <w:noProof/>
                <w:webHidden/>
              </w:rPr>
              <w:fldChar w:fldCharType="begin"/>
            </w:r>
            <w:r w:rsidR="007A6257">
              <w:rPr>
                <w:noProof/>
                <w:webHidden/>
              </w:rPr>
              <w:instrText xml:space="preserve"> PAGEREF _Toc214227981 \h </w:instrText>
            </w:r>
            <w:r>
              <w:rPr>
                <w:noProof/>
                <w:webHidden/>
              </w:rPr>
            </w:r>
            <w:r>
              <w:rPr>
                <w:noProof/>
                <w:webHidden/>
              </w:rPr>
              <w:fldChar w:fldCharType="separate"/>
            </w:r>
            <w:r w:rsidR="007A6257">
              <w:rPr>
                <w:noProof/>
                <w:webHidden/>
              </w:rPr>
              <w:t>9</w:t>
            </w:r>
            <w:r>
              <w:rPr>
                <w:noProof/>
                <w:webHidden/>
              </w:rPr>
              <w:fldChar w:fldCharType="end"/>
            </w:r>
          </w:hyperlink>
        </w:p>
        <w:p w:rsidR="007A6257" w:rsidRDefault="000A5CEE">
          <w:pPr>
            <w:pStyle w:val="TOC1"/>
            <w:tabs>
              <w:tab w:val="right" w:leader="dot" w:pos="9350"/>
            </w:tabs>
            <w:rPr>
              <w:noProof/>
            </w:rPr>
          </w:pPr>
          <w:hyperlink w:anchor="_Toc214227982" w:history="1">
            <w:r w:rsidR="007A6257" w:rsidRPr="0025248D">
              <w:rPr>
                <w:rStyle w:val="Hyperlink"/>
                <w:rFonts w:ascii="Arial" w:hAnsi="Arial" w:cs="Arial"/>
                <w:b/>
                <w:bCs/>
                <w:noProof/>
              </w:rPr>
              <w:t>References</w:t>
            </w:r>
            <w:r w:rsidR="007A6257">
              <w:rPr>
                <w:noProof/>
                <w:webHidden/>
              </w:rPr>
              <w:tab/>
            </w:r>
            <w:r>
              <w:rPr>
                <w:noProof/>
                <w:webHidden/>
              </w:rPr>
              <w:fldChar w:fldCharType="begin"/>
            </w:r>
            <w:r w:rsidR="007A6257">
              <w:rPr>
                <w:noProof/>
                <w:webHidden/>
              </w:rPr>
              <w:instrText xml:space="preserve"> PAGEREF _Toc214227982 \h </w:instrText>
            </w:r>
            <w:r>
              <w:rPr>
                <w:noProof/>
                <w:webHidden/>
              </w:rPr>
            </w:r>
            <w:r>
              <w:rPr>
                <w:noProof/>
                <w:webHidden/>
              </w:rPr>
              <w:fldChar w:fldCharType="separate"/>
            </w:r>
            <w:r w:rsidR="007A6257">
              <w:rPr>
                <w:noProof/>
                <w:webHidden/>
              </w:rPr>
              <w:t>17</w:t>
            </w:r>
            <w:r>
              <w:rPr>
                <w:noProof/>
                <w:webHidden/>
              </w:rPr>
              <w:fldChar w:fldCharType="end"/>
            </w:r>
          </w:hyperlink>
        </w:p>
        <w:p w:rsidR="007A6257" w:rsidRDefault="000A5CEE">
          <w:r>
            <w:rPr>
              <w:b/>
              <w:bCs/>
              <w:noProof/>
            </w:rPr>
            <w:fldChar w:fldCharType="end"/>
          </w:r>
        </w:p>
      </w:sdtContent>
    </w:sdt>
    <w:p w:rsidR="007A6257" w:rsidRDefault="007A6257">
      <w:pPr>
        <w:rPr>
          <w:rFonts w:ascii="Arial" w:hAnsi="Arial" w:cs="Arial"/>
          <w:sz w:val="22"/>
          <w:szCs w:val="22"/>
        </w:rPr>
      </w:pPr>
      <w:r>
        <w:rPr>
          <w:rFonts w:ascii="Arial" w:hAnsi="Arial" w:cs="Arial"/>
          <w:sz w:val="22"/>
          <w:szCs w:val="22"/>
        </w:rPr>
        <w:br w:type="page"/>
      </w:r>
    </w:p>
    <w:p w:rsidR="002E2A1F" w:rsidRPr="007A6257" w:rsidRDefault="002E2A1F" w:rsidP="007A6257">
      <w:pPr>
        <w:pStyle w:val="Heading1"/>
        <w:rPr>
          <w:rFonts w:ascii="Arial" w:hAnsi="Arial" w:cs="Arial"/>
          <w:b/>
          <w:bCs/>
          <w:color w:val="000000" w:themeColor="text1"/>
          <w:sz w:val="32"/>
          <w:szCs w:val="32"/>
        </w:rPr>
      </w:pPr>
      <w:bookmarkStart w:id="0" w:name="_Toc214227980"/>
      <w:r w:rsidRPr="007A6257">
        <w:rPr>
          <w:rFonts w:ascii="Arial" w:hAnsi="Arial" w:cs="Arial"/>
          <w:b/>
          <w:bCs/>
          <w:color w:val="000000" w:themeColor="text1"/>
          <w:sz w:val="32"/>
          <w:szCs w:val="32"/>
        </w:rPr>
        <w:lastRenderedPageBreak/>
        <w:t>Task 1</w:t>
      </w:r>
      <w:bookmarkEnd w:id="0"/>
    </w:p>
    <w:p w:rsidR="003C06E3" w:rsidRPr="007A6257" w:rsidRDefault="003C06E3" w:rsidP="002E2A1F">
      <w:pPr>
        <w:spacing w:line="360" w:lineRule="auto"/>
        <w:jc w:val="center"/>
        <w:rPr>
          <w:rFonts w:ascii="Arial" w:hAnsi="Arial" w:cs="Arial"/>
          <w:b/>
          <w:bCs/>
          <w:sz w:val="28"/>
          <w:szCs w:val="28"/>
        </w:rPr>
      </w:pPr>
      <w:r w:rsidRPr="007A6257">
        <w:rPr>
          <w:rFonts w:ascii="Arial" w:hAnsi="Arial" w:cs="Arial"/>
          <w:b/>
          <w:bCs/>
          <w:sz w:val="28"/>
          <w:szCs w:val="28"/>
        </w:rPr>
        <w:t>Ethnicity Inequality in Health: Social Epidemiological Analysis of Black African Populations in the UK</w:t>
      </w:r>
    </w:p>
    <w:p w:rsidR="002E2A1F" w:rsidRPr="002E2A1F" w:rsidRDefault="002E2A1F" w:rsidP="002E2A1F">
      <w:pPr>
        <w:spacing w:line="360" w:lineRule="auto"/>
        <w:jc w:val="both"/>
        <w:rPr>
          <w:rFonts w:ascii="Arial" w:hAnsi="Arial" w:cs="Arial"/>
          <w:b/>
          <w:bCs/>
          <w:sz w:val="22"/>
          <w:szCs w:val="22"/>
        </w:rPr>
      </w:pPr>
    </w:p>
    <w:p w:rsidR="003C06E3" w:rsidRPr="00035FEB" w:rsidRDefault="003C06E3" w:rsidP="002E2A1F">
      <w:pPr>
        <w:spacing w:line="360" w:lineRule="auto"/>
        <w:jc w:val="both"/>
        <w:rPr>
          <w:rFonts w:ascii="Arial" w:hAnsi="Arial" w:cs="Arial"/>
          <w:b/>
          <w:bCs/>
          <w:color w:val="44546A" w:themeColor="text2"/>
          <w:sz w:val="22"/>
          <w:szCs w:val="22"/>
        </w:rPr>
      </w:pPr>
      <w:r w:rsidRPr="00035FEB">
        <w:rPr>
          <w:rFonts w:ascii="Arial" w:hAnsi="Arial" w:cs="Arial"/>
          <w:b/>
          <w:bCs/>
          <w:color w:val="44546A" w:themeColor="text2"/>
          <w:sz w:val="22"/>
          <w:szCs w:val="22"/>
        </w:rPr>
        <w:t>Introduction</w:t>
      </w:r>
    </w:p>
    <w:p w:rsidR="005D1B17" w:rsidRPr="002E2A1F" w:rsidRDefault="005D1B17" w:rsidP="002E2A1F">
      <w:pPr>
        <w:spacing w:line="360" w:lineRule="auto"/>
        <w:jc w:val="both"/>
        <w:rPr>
          <w:rFonts w:ascii="Arial" w:hAnsi="Arial" w:cs="Arial"/>
          <w:sz w:val="22"/>
          <w:szCs w:val="22"/>
        </w:rPr>
      </w:pPr>
      <w:r w:rsidRPr="002E2A1F">
        <w:rPr>
          <w:rFonts w:ascii="Arial" w:hAnsi="Arial" w:cs="Arial"/>
          <w:sz w:val="22"/>
          <w:szCs w:val="22"/>
        </w:rPr>
        <w:t>The Black African community within the UK faces substantial health disparities based upon a multitude of social, institutional, and systemic factors; rather than only being driven by biological or individual risks. The disparity is not random as it stems from the legacy of migration, the structural effects of racism, economic disadvantage, and unequal access to healthcare. By viewing health disparities through a Social Epidemiology lens, we can see that Black Africans experience poorer health outcomes because of the existence of numerous social and institutional barriers that could be avoided</w:t>
      </w:r>
      <w:r w:rsidR="00736EBB" w:rsidRPr="005D1B17">
        <w:rPr>
          <w:rFonts w:ascii="Arial" w:hAnsi="Arial" w:cs="Arial"/>
          <w:sz w:val="22"/>
          <w:szCs w:val="22"/>
        </w:rPr>
        <w:t>(NICE, 2019).</w:t>
      </w:r>
    </w:p>
    <w:p w:rsidR="005D1B17" w:rsidRPr="005D1B17" w:rsidRDefault="005D1B17" w:rsidP="002E2A1F">
      <w:pPr>
        <w:spacing w:line="360" w:lineRule="auto"/>
        <w:jc w:val="both"/>
        <w:rPr>
          <w:rFonts w:ascii="Arial" w:hAnsi="Arial" w:cs="Arial"/>
          <w:b/>
          <w:bCs/>
          <w:color w:val="44546A" w:themeColor="text2"/>
        </w:rPr>
      </w:pPr>
      <w:r w:rsidRPr="005D1B17">
        <w:rPr>
          <w:rFonts w:ascii="Arial" w:hAnsi="Arial" w:cs="Arial"/>
          <w:b/>
          <w:bCs/>
          <w:color w:val="44546A" w:themeColor="text2"/>
        </w:rPr>
        <w:t>Disease / Illness Inequalities</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b/>
          <w:bCs/>
          <w:sz w:val="22"/>
          <w:szCs w:val="22"/>
        </w:rPr>
        <w:t>1. Maternal Mortality and Severe Maternal Morbidity</w:t>
      </w:r>
    </w:p>
    <w:p w:rsidR="005D1B17" w:rsidRPr="005D1B17" w:rsidRDefault="005D1B17" w:rsidP="002E2A1F">
      <w:pPr>
        <w:spacing w:line="360" w:lineRule="auto"/>
        <w:jc w:val="both"/>
        <w:rPr>
          <w:rFonts w:ascii="Arial" w:hAnsi="Arial" w:cs="Arial"/>
          <w:sz w:val="22"/>
          <w:szCs w:val="22"/>
        </w:rPr>
      </w:pPr>
      <w:r w:rsidRPr="005D1B17">
        <w:rPr>
          <w:rFonts w:ascii="Arial" w:hAnsi="Arial" w:cs="Arial"/>
          <w:sz w:val="22"/>
          <w:szCs w:val="22"/>
        </w:rPr>
        <w:t>Black African women are at a significantly increased risk of experiencing maternal death and/or severe maternal morbidity compared to their White counterparts. While there are some studies which indicate that the risk ratio for Black African women experiencing severe maternal morbidity in the UK is nearly two times that of White women when controlling for variables of age, body mass index, socio-economic status and number of previous births (Kitchener et al., 2022)</w:t>
      </w:r>
      <w:r w:rsidR="00736EBB">
        <w:rPr>
          <w:rFonts w:ascii="Arial" w:hAnsi="Arial" w:cs="Arial"/>
          <w:sz w:val="22"/>
          <w:szCs w:val="22"/>
        </w:rPr>
        <w:t>.</w:t>
      </w:r>
    </w:p>
    <w:p w:rsidR="005D1B17" w:rsidRPr="005D1B17" w:rsidRDefault="005D1B17" w:rsidP="002E2A1F">
      <w:pPr>
        <w:spacing w:line="360" w:lineRule="auto"/>
        <w:jc w:val="both"/>
        <w:rPr>
          <w:rFonts w:ascii="Arial" w:hAnsi="Arial" w:cs="Arial"/>
          <w:sz w:val="22"/>
          <w:szCs w:val="22"/>
        </w:rPr>
      </w:pPr>
      <w:r w:rsidRPr="005D1B17">
        <w:rPr>
          <w:rFonts w:ascii="Arial" w:hAnsi="Arial" w:cs="Arial"/>
          <w:b/>
          <w:bCs/>
          <w:sz w:val="22"/>
          <w:szCs w:val="22"/>
        </w:rPr>
        <w:t>Critical Analysis:</w:t>
      </w:r>
      <w:r w:rsidRPr="005D1B17">
        <w:rPr>
          <w:rFonts w:ascii="Arial" w:hAnsi="Arial" w:cs="Arial"/>
          <w:sz w:val="22"/>
          <w:szCs w:val="22"/>
        </w:rPr>
        <w:t xml:space="preserve"> The disproportionate representation of adverse maternal outcomes among Black African women cannot be solely attributed to clinical risk factors and thus appears to be indicative of systemic issues </w:t>
      </w:r>
      <w:r w:rsidR="00736EBB" w:rsidRPr="005D1B17">
        <w:rPr>
          <w:rFonts w:ascii="Arial" w:hAnsi="Arial" w:cs="Arial"/>
          <w:sz w:val="22"/>
          <w:szCs w:val="22"/>
        </w:rPr>
        <w:t>(UK Parliament, 2023)</w:t>
      </w:r>
      <w:r w:rsidRPr="005D1B17">
        <w:rPr>
          <w:rFonts w:ascii="Arial" w:hAnsi="Arial" w:cs="Arial"/>
          <w:sz w:val="22"/>
          <w:szCs w:val="22"/>
        </w:rPr>
        <w:t>.</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b/>
          <w:bCs/>
          <w:sz w:val="22"/>
          <w:szCs w:val="22"/>
        </w:rPr>
        <w:t>Solutions:</w:t>
      </w:r>
    </w:p>
    <w:p w:rsidR="005D1B17" w:rsidRPr="007A6257" w:rsidRDefault="005D1B17" w:rsidP="007A6257">
      <w:pPr>
        <w:pStyle w:val="ListParagraph"/>
        <w:numPr>
          <w:ilvl w:val="0"/>
          <w:numId w:val="43"/>
        </w:numPr>
        <w:spacing w:line="360" w:lineRule="auto"/>
        <w:jc w:val="both"/>
        <w:rPr>
          <w:rFonts w:ascii="Arial" w:hAnsi="Arial" w:cs="Arial"/>
          <w:sz w:val="22"/>
          <w:szCs w:val="22"/>
        </w:rPr>
      </w:pPr>
      <w:r w:rsidRPr="007A6257">
        <w:rPr>
          <w:rFonts w:ascii="Arial" w:hAnsi="Arial" w:cs="Arial"/>
          <w:sz w:val="22"/>
          <w:szCs w:val="22"/>
        </w:rPr>
        <w:t>Implement continuity of midwifery care specifically for Black mothers;</w:t>
      </w:r>
    </w:p>
    <w:p w:rsidR="005D1B17" w:rsidRPr="007A6257" w:rsidRDefault="005D1B17" w:rsidP="007A6257">
      <w:pPr>
        <w:pStyle w:val="ListParagraph"/>
        <w:numPr>
          <w:ilvl w:val="0"/>
          <w:numId w:val="43"/>
        </w:numPr>
        <w:spacing w:line="360" w:lineRule="auto"/>
        <w:jc w:val="both"/>
        <w:rPr>
          <w:rFonts w:ascii="Arial" w:hAnsi="Arial" w:cs="Arial"/>
          <w:sz w:val="22"/>
          <w:szCs w:val="22"/>
        </w:rPr>
      </w:pPr>
      <w:r w:rsidRPr="007A6257">
        <w:rPr>
          <w:rFonts w:ascii="Arial" w:hAnsi="Arial" w:cs="Arial"/>
          <w:sz w:val="22"/>
          <w:szCs w:val="22"/>
        </w:rPr>
        <w:t>Mandate anti-racist training for all maternity staff, informed by lived experiences;</w:t>
      </w:r>
    </w:p>
    <w:p w:rsidR="005D1B17" w:rsidRPr="007A6257" w:rsidRDefault="005D1B17" w:rsidP="007A6257">
      <w:pPr>
        <w:pStyle w:val="ListParagraph"/>
        <w:numPr>
          <w:ilvl w:val="0"/>
          <w:numId w:val="43"/>
        </w:numPr>
        <w:spacing w:line="360" w:lineRule="auto"/>
        <w:jc w:val="both"/>
        <w:rPr>
          <w:rFonts w:ascii="Arial" w:hAnsi="Arial" w:cs="Arial"/>
          <w:sz w:val="22"/>
          <w:szCs w:val="22"/>
        </w:rPr>
      </w:pPr>
      <w:r w:rsidRPr="007A6257">
        <w:rPr>
          <w:rFonts w:ascii="Arial" w:hAnsi="Arial" w:cs="Arial"/>
          <w:sz w:val="22"/>
          <w:szCs w:val="22"/>
        </w:rPr>
        <w:t>Establish maternal advocacy programs in Black communities.</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b/>
          <w:bCs/>
          <w:sz w:val="22"/>
          <w:szCs w:val="22"/>
        </w:rPr>
        <w:t>2. Perinatal &amp; Mental Health</w:t>
      </w:r>
    </w:p>
    <w:p w:rsidR="005D1B17" w:rsidRPr="005D1B17" w:rsidRDefault="005D1B17" w:rsidP="002E2A1F">
      <w:pPr>
        <w:spacing w:line="360" w:lineRule="auto"/>
        <w:jc w:val="both"/>
        <w:rPr>
          <w:rFonts w:ascii="Arial" w:hAnsi="Arial" w:cs="Arial"/>
          <w:sz w:val="22"/>
          <w:szCs w:val="22"/>
        </w:rPr>
      </w:pPr>
      <w:r w:rsidRPr="005D1B17">
        <w:rPr>
          <w:rFonts w:ascii="Arial" w:hAnsi="Arial" w:cs="Arial"/>
          <w:sz w:val="22"/>
          <w:szCs w:val="22"/>
        </w:rPr>
        <w:lastRenderedPageBreak/>
        <w:t xml:space="preserve">Black women are at a significantly increased risk of being admitted to hospital for perinatal mental health conditions. It has been reported that Black mothers are admitted to hospital for puerperal mental health admissions at more than twice the rate of White mothers (The Guardian, 2022). </w:t>
      </w:r>
    </w:p>
    <w:p w:rsidR="005D1B17" w:rsidRPr="005D1B17" w:rsidRDefault="005D1B17" w:rsidP="002E2A1F">
      <w:pPr>
        <w:spacing w:line="360" w:lineRule="auto"/>
        <w:jc w:val="both"/>
        <w:rPr>
          <w:rFonts w:ascii="Arial" w:hAnsi="Arial" w:cs="Arial"/>
          <w:sz w:val="22"/>
          <w:szCs w:val="22"/>
        </w:rPr>
      </w:pPr>
      <w:r w:rsidRPr="005D1B17">
        <w:rPr>
          <w:rFonts w:ascii="Arial" w:hAnsi="Arial" w:cs="Arial"/>
          <w:b/>
          <w:bCs/>
          <w:sz w:val="22"/>
          <w:szCs w:val="22"/>
        </w:rPr>
        <w:t>Critical Analysis:</w:t>
      </w:r>
      <w:r w:rsidRPr="005D1B17">
        <w:rPr>
          <w:rFonts w:ascii="Arial" w:hAnsi="Arial" w:cs="Arial"/>
          <w:sz w:val="22"/>
          <w:szCs w:val="22"/>
        </w:rPr>
        <w:t xml:space="preserve"> The high perinatal mental illness admission rate among Black women is reflective of structural determinants of poverty, discrimination and poor social support. Additionally, many Black women report being dismissed or ignored by healthcare providers, thereby limiting their access to early intervention</w:t>
      </w:r>
      <w:r w:rsidR="00035FEB" w:rsidRPr="005D1B17">
        <w:rPr>
          <w:rFonts w:ascii="Arial" w:hAnsi="Arial" w:cs="Arial"/>
          <w:sz w:val="22"/>
          <w:szCs w:val="22"/>
        </w:rPr>
        <w:t>(The Guardian, 2022)</w:t>
      </w:r>
      <w:r w:rsidRPr="005D1B17">
        <w:rPr>
          <w:rFonts w:ascii="Arial" w:hAnsi="Arial" w:cs="Arial"/>
          <w:sz w:val="22"/>
          <w:szCs w:val="22"/>
        </w:rPr>
        <w:t>.</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b/>
          <w:bCs/>
          <w:sz w:val="22"/>
          <w:szCs w:val="22"/>
        </w:rPr>
        <w:t>Solutions:</w:t>
      </w:r>
    </w:p>
    <w:p w:rsidR="005D1B17" w:rsidRPr="007A6257" w:rsidRDefault="005D1B17" w:rsidP="007A6257">
      <w:pPr>
        <w:pStyle w:val="ListParagraph"/>
        <w:numPr>
          <w:ilvl w:val="0"/>
          <w:numId w:val="42"/>
        </w:numPr>
        <w:spacing w:line="360" w:lineRule="auto"/>
        <w:jc w:val="both"/>
        <w:rPr>
          <w:rFonts w:ascii="Arial" w:hAnsi="Arial" w:cs="Arial"/>
          <w:sz w:val="22"/>
          <w:szCs w:val="22"/>
        </w:rPr>
      </w:pPr>
      <w:r w:rsidRPr="007A6257">
        <w:rPr>
          <w:rFonts w:ascii="Arial" w:hAnsi="Arial" w:cs="Arial"/>
          <w:sz w:val="22"/>
          <w:szCs w:val="22"/>
        </w:rPr>
        <w:t>Expand community-based perinatal mental health services staffed by culturally competent practitioners;</w:t>
      </w:r>
    </w:p>
    <w:p w:rsidR="005D1B17" w:rsidRPr="007A6257" w:rsidRDefault="005D1B17" w:rsidP="007A6257">
      <w:pPr>
        <w:pStyle w:val="ListParagraph"/>
        <w:numPr>
          <w:ilvl w:val="0"/>
          <w:numId w:val="42"/>
        </w:numPr>
        <w:spacing w:line="360" w:lineRule="auto"/>
        <w:jc w:val="both"/>
        <w:rPr>
          <w:rFonts w:ascii="Arial" w:hAnsi="Arial" w:cs="Arial"/>
          <w:sz w:val="22"/>
          <w:szCs w:val="22"/>
        </w:rPr>
      </w:pPr>
      <w:r w:rsidRPr="007A6257">
        <w:rPr>
          <w:rFonts w:ascii="Arial" w:hAnsi="Arial" w:cs="Arial"/>
          <w:sz w:val="22"/>
          <w:szCs w:val="22"/>
        </w:rPr>
        <w:t>Support peer-led perinatal mental health support groups in Black African communities;</w:t>
      </w:r>
    </w:p>
    <w:p w:rsidR="005D1B17" w:rsidRPr="007A6257" w:rsidRDefault="005D1B17" w:rsidP="007A6257">
      <w:pPr>
        <w:pStyle w:val="ListParagraph"/>
        <w:numPr>
          <w:ilvl w:val="0"/>
          <w:numId w:val="42"/>
        </w:numPr>
        <w:spacing w:line="360" w:lineRule="auto"/>
        <w:jc w:val="both"/>
        <w:rPr>
          <w:rFonts w:ascii="Arial" w:hAnsi="Arial" w:cs="Arial"/>
          <w:sz w:val="22"/>
          <w:szCs w:val="22"/>
        </w:rPr>
      </w:pPr>
      <w:r w:rsidRPr="007A6257">
        <w:rPr>
          <w:rFonts w:ascii="Arial" w:hAnsi="Arial" w:cs="Arial"/>
          <w:sz w:val="22"/>
          <w:szCs w:val="22"/>
        </w:rPr>
        <w:t>Train maternity and mental health staff to recognize and validate symptoms in Black women.</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b/>
          <w:bCs/>
          <w:sz w:val="22"/>
          <w:szCs w:val="22"/>
        </w:rPr>
        <w:t>3. Cardiovascular Disease (CVD) / Hypertension</w:t>
      </w:r>
    </w:p>
    <w:p w:rsidR="00736EBB" w:rsidRDefault="005D1B17" w:rsidP="002E2A1F">
      <w:pPr>
        <w:spacing w:line="360" w:lineRule="auto"/>
        <w:jc w:val="both"/>
        <w:rPr>
          <w:rFonts w:ascii="Arial" w:hAnsi="Arial" w:cs="Arial"/>
          <w:sz w:val="22"/>
          <w:szCs w:val="22"/>
        </w:rPr>
      </w:pPr>
      <w:r w:rsidRPr="005D1B17">
        <w:rPr>
          <w:rFonts w:ascii="Arial" w:hAnsi="Arial" w:cs="Arial"/>
          <w:sz w:val="22"/>
          <w:szCs w:val="22"/>
        </w:rPr>
        <w:t xml:space="preserve">Cardiovascular disease and hypertension are significantly more common in Black African populations. NICE guidelines indicate that Black women are at a higher risk of developing hypertensive disorders during pregnancy (NICE, 2019). </w:t>
      </w:r>
    </w:p>
    <w:p w:rsidR="005D1B17" w:rsidRPr="005D1B17" w:rsidRDefault="005D1B17" w:rsidP="002E2A1F">
      <w:pPr>
        <w:spacing w:line="360" w:lineRule="auto"/>
        <w:jc w:val="both"/>
        <w:rPr>
          <w:rFonts w:ascii="Arial" w:hAnsi="Arial" w:cs="Arial"/>
          <w:sz w:val="22"/>
          <w:szCs w:val="22"/>
        </w:rPr>
      </w:pPr>
      <w:r w:rsidRPr="005D1B17">
        <w:rPr>
          <w:rFonts w:ascii="Arial" w:hAnsi="Arial" w:cs="Arial"/>
          <w:b/>
          <w:bCs/>
          <w:sz w:val="22"/>
          <w:szCs w:val="22"/>
        </w:rPr>
        <w:t>Critical Analysis:</w:t>
      </w:r>
      <w:r w:rsidRPr="005D1B17">
        <w:rPr>
          <w:rFonts w:ascii="Arial" w:hAnsi="Arial" w:cs="Arial"/>
          <w:sz w:val="22"/>
          <w:szCs w:val="22"/>
        </w:rPr>
        <w:t xml:space="preserve"> The increased risk of CVD in Black Africans is shaped by chronic stress caused by racism, lower uptake of screening services and socio-economic disadvantage. Healthcare systems may also fail to adapt hypertension management strategies to meet the needs of minority groups</w:t>
      </w:r>
      <w:r w:rsidR="00035FEB" w:rsidRPr="005D1B17">
        <w:rPr>
          <w:rFonts w:ascii="Arial" w:hAnsi="Arial" w:cs="Arial"/>
          <w:sz w:val="22"/>
          <w:szCs w:val="22"/>
        </w:rPr>
        <w:t>(NICE, 2019)</w:t>
      </w:r>
      <w:r w:rsidRPr="005D1B17">
        <w:rPr>
          <w:rFonts w:ascii="Arial" w:hAnsi="Arial" w:cs="Arial"/>
          <w:sz w:val="22"/>
          <w:szCs w:val="22"/>
        </w:rPr>
        <w:t>.</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b/>
          <w:bCs/>
          <w:sz w:val="22"/>
          <w:szCs w:val="22"/>
        </w:rPr>
        <w:t>Solutions:</w:t>
      </w:r>
    </w:p>
    <w:p w:rsidR="005D1B17" w:rsidRPr="007A6257" w:rsidRDefault="005D1B17" w:rsidP="007A6257">
      <w:pPr>
        <w:pStyle w:val="ListParagraph"/>
        <w:numPr>
          <w:ilvl w:val="0"/>
          <w:numId w:val="41"/>
        </w:numPr>
        <w:spacing w:line="360" w:lineRule="auto"/>
        <w:jc w:val="both"/>
        <w:rPr>
          <w:rFonts w:ascii="Arial" w:hAnsi="Arial" w:cs="Arial"/>
          <w:sz w:val="22"/>
          <w:szCs w:val="22"/>
        </w:rPr>
      </w:pPr>
      <w:r w:rsidRPr="007A6257">
        <w:rPr>
          <w:rFonts w:ascii="Arial" w:hAnsi="Arial" w:cs="Arial"/>
          <w:sz w:val="22"/>
          <w:szCs w:val="22"/>
        </w:rPr>
        <w:t>Expand community-based blood pressure monitoring programs;</w:t>
      </w:r>
    </w:p>
    <w:p w:rsidR="005D1B17" w:rsidRPr="007A6257" w:rsidRDefault="005D1B17" w:rsidP="007A6257">
      <w:pPr>
        <w:pStyle w:val="ListParagraph"/>
        <w:numPr>
          <w:ilvl w:val="0"/>
          <w:numId w:val="41"/>
        </w:numPr>
        <w:spacing w:line="360" w:lineRule="auto"/>
        <w:jc w:val="both"/>
        <w:rPr>
          <w:rFonts w:ascii="Arial" w:hAnsi="Arial" w:cs="Arial"/>
          <w:sz w:val="22"/>
          <w:szCs w:val="22"/>
        </w:rPr>
      </w:pPr>
      <w:r w:rsidRPr="007A6257">
        <w:rPr>
          <w:rFonts w:ascii="Arial" w:hAnsi="Arial" w:cs="Arial"/>
          <w:sz w:val="22"/>
          <w:szCs w:val="22"/>
        </w:rPr>
        <w:t>Co-create lifestyle interventions with community partners;</w:t>
      </w:r>
    </w:p>
    <w:p w:rsidR="005D1B17" w:rsidRPr="007A6257" w:rsidRDefault="005D1B17" w:rsidP="007A6257">
      <w:pPr>
        <w:pStyle w:val="ListParagraph"/>
        <w:numPr>
          <w:ilvl w:val="0"/>
          <w:numId w:val="41"/>
        </w:numPr>
        <w:spacing w:line="360" w:lineRule="auto"/>
        <w:jc w:val="both"/>
        <w:rPr>
          <w:rFonts w:ascii="Arial" w:hAnsi="Arial" w:cs="Arial"/>
          <w:sz w:val="22"/>
          <w:szCs w:val="22"/>
        </w:rPr>
      </w:pPr>
      <w:r w:rsidRPr="007A6257">
        <w:rPr>
          <w:rFonts w:ascii="Arial" w:hAnsi="Arial" w:cs="Arial"/>
          <w:sz w:val="22"/>
          <w:szCs w:val="22"/>
        </w:rPr>
        <w:t>Enhance early risk identification for CVD and hypertension through culturally responsive protocols in primary care.</w:t>
      </w:r>
    </w:p>
    <w:p w:rsidR="005D1B17" w:rsidRPr="005D1B17" w:rsidRDefault="005D1B17" w:rsidP="002E2A1F">
      <w:pPr>
        <w:spacing w:line="360" w:lineRule="auto"/>
        <w:jc w:val="both"/>
        <w:rPr>
          <w:rFonts w:ascii="Arial" w:hAnsi="Arial" w:cs="Arial"/>
          <w:b/>
          <w:bCs/>
        </w:rPr>
      </w:pPr>
      <w:r w:rsidRPr="005D1B17">
        <w:rPr>
          <w:rFonts w:ascii="Arial" w:hAnsi="Arial" w:cs="Arial"/>
          <w:b/>
          <w:bCs/>
        </w:rPr>
        <w:t>Social / Structural Inequalities</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sz w:val="22"/>
          <w:szCs w:val="22"/>
        </w:rPr>
        <w:t>1</w:t>
      </w:r>
      <w:r w:rsidRPr="005D1B17">
        <w:rPr>
          <w:rFonts w:ascii="Arial" w:hAnsi="Arial" w:cs="Arial"/>
          <w:b/>
          <w:bCs/>
          <w:sz w:val="22"/>
          <w:szCs w:val="22"/>
        </w:rPr>
        <w:t>. Socioeconomic Disadvantage and Poverty</w:t>
      </w:r>
    </w:p>
    <w:p w:rsidR="005D1B17" w:rsidRPr="005D1B17" w:rsidRDefault="005D1B17" w:rsidP="002E2A1F">
      <w:pPr>
        <w:spacing w:line="360" w:lineRule="auto"/>
        <w:jc w:val="both"/>
        <w:rPr>
          <w:rFonts w:ascii="Arial" w:hAnsi="Arial" w:cs="Arial"/>
          <w:sz w:val="22"/>
          <w:szCs w:val="22"/>
        </w:rPr>
      </w:pPr>
      <w:r w:rsidRPr="005D1B17">
        <w:rPr>
          <w:rFonts w:ascii="Arial" w:hAnsi="Arial" w:cs="Arial"/>
          <w:sz w:val="22"/>
          <w:szCs w:val="22"/>
        </w:rPr>
        <w:lastRenderedPageBreak/>
        <w:t xml:space="preserve">Black African households in the UK experience higher levels of poverty. Reports show that a significant proportion of Black African families live below the poverty line (Maternity Action, 2023). </w:t>
      </w:r>
    </w:p>
    <w:p w:rsidR="005D1B17" w:rsidRPr="005D1B17" w:rsidRDefault="005D1B17" w:rsidP="002E2A1F">
      <w:pPr>
        <w:spacing w:line="360" w:lineRule="auto"/>
        <w:jc w:val="both"/>
        <w:rPr>
          <w:rFonts w:ascii="Arial" w:hAnsi="Arial" w:cs="Arial"/>
          <w:sz w:val="22"/>
          <w:szCs w:val="22"/>
        </w:rPr>
      </w:pPr>
      <w:r w:rsidRPr="005D1B17">
        <w:rPr>
          <w:rFonts w:ascii="Arial" w:hAnsi="Arial" w:cs="Arial"/>
          <w:b/>
          <w:bCs/>
          <w:sz w:val="22"/>
          <w:szCs w:val="22"/>
        </w:rPr>
        <w:t>Critical Analysis:</w:t>
      </w:r>
      <w:r w:rsidRPr="005D1B17">
        <w:rPr>
          <w:rFonts w:ascii="Arial" w:hAnsi="Arial" w:cs="Arial"/>
          <w:sz w:val="22"/>
          <w:szCs w:val="22"/>
        </w:rPr>
        <w:t xml:space="preserve"> Socio-economic disadvantage adds to health risk by reducing individuals' ability to prevent risks (e.g., accessing preventative resources), increasing psychosocial stress, and limiting their capacity to navigate complex health systems. Thus, socio-economic policy directly influences health outcomes.</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b/>
          <w:bCs/>
          <w:sz w:val="22"/>
          <w:szCs w:val="22"/>
        </w:rPr>
        <w:t>Solutions:</w:t>
      </w:r>
    </w:p>
    <w:p w:rsidR="005D1B17" w:rsidRPr="007A6257" w:rsidRDefault="005D1B17" w:rsidP="007A6257">
      <w:pPr>
        <w:pStyle w:val="ListParagraph"/>
        <w:numPr>
          <w:ilvl w:val="0"/>
          <w:numId w:val="40"/>
        </w:numPr>
        <w:spacing w:line="360" w:lineRule="auto"/>
        <w:jc w:val="both"/>
        <w:rPr>
          <w:rFonts w:ascii="Arial" w:hAnsi="Arial" w:cs="Arial"/>
          <w:sz w:val="22"/>
          <w:szCs w:val="22"/>
        </w:rPr>
      </w:pPr>
      <w:r w:rsidRPr="007A6257">
        <w:rPr>
          <w:rFonts w:ascii="Arial" w:hAnsi="Arial" w:cs="Arial"/>
          <w:sz w:val="22"/>
          <w:szCs w:val="22"/>
        </w:rPr>
        <w:t>Strengthen social protection and income support programs;</w:t>
      </w:r>
    </w:p>
    <w:p w:rsidR="005D1B17" w:rsidRPr="007A6257" w:rsidRDefault="005D1B17" w:rsidP="007A6257">
      <w:pPr>
        <w:pStyle w:val="ListParagraph"/>
        <w:numPr>
          <w:ilvl w:val="0"/>
          <w:numId w:val="40"/>
        </w:numPr>
        <w:spacing w:line="360" w:lineRule="auto"/>
        <w:jc w:val="both"/>
        <w:rPr>
          <w:rFonts w:ascii="Arial" w:hAnsi="Arial" w:cs="Arial"/>
          <w:sz w:val="22"/>
          <w:szCs w:val="22"/>
        </w:rPr>
      </w:pPr>
      <w:r w:rsidRPr="007A6257">
        <w:rPr>
          <w:rFonts w:ascii="Arial" w:hAnsi="Arial" w:cs="Arial"/>
          <w:sz w:val="22"/>
          <w:szCs w:val="22"/>
        </w:rPr>
        <w:t>Promote work force development and job creation initiatives;</w:t>
      </w:r>
    </w:p>
    <w:p w:rsidR="005D1B17" w:rsidRPr="007A6257" w:rsidRDefault="005D1B17" w:rsidP="007A6257">
      <w:pPr>
        <w:pStyle w:val="ListParagraph"/>
        <w:numPr>
          <w:ilvl w:val="0"/>
          <w:numId w:val="40"/>
        </w:numPr>
        <w:spacing w:line="360" w:lineRule="auto"/>
        <w:jc w:val="both"/>
        <w:rPr>
          <w:rFonts w:ascii="Arial" w:hAnsi="Arial" w:cs="Arial"/>
          <w:sz w:val="22"/>
          <w:szCs w:val="22"/>
        </w:rPr>
      </w:pPr>
      <w:r w:rsidRPr="007A6257">
        <w:rPr>
          <w:rFonts w:ascii="Arial" w:hAnsi="Arial" w:cs="Arial"/>
          <w:sz w:val="22"/>
          <w:szCs w:val="22"/>
        </w:rPr>
        <w:t>Integrate public health with financial education and community wellness services.</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b/>
          <w:bCs/>
          <w:sz w:val="22"/>
          <w:szCs w:val="22"/>
        </w:rPr>
        <w:t>2. Overcrowded / Unsuitable Housing</w:t>
      </w:r>
    </w:p>
    <w:p w:rsidR="005D1B17" w:rsidRPr="005D1B17" w:rsidRDefault="005D1B17" w:rsidP="002E2A1F">
      <w:pPr>
        <w:spacing w:line="360" w:lineRule="auto"/>
        <w:jc w:val="both"/>
        <w:rPr>
          <w:rFonts w:ascii="Arial" w:hAnsi="Arial" w:cs="Arial"/>
          <w:sz w:val="22"/>
          <w:szCs w:val="22"/>
        </w:rPr>
      </w:pPr>
      <w:r w:rsidRPr="005D1B17">
        <w:rPr>
          <w:rFonts w:ascii="Arial" w:hAnsi="Arial" w:cs="Arial"/>
          <w:sz w:val="22"/>
          <w:szCs w:val="22"/>
        </w:rPr>
        <w:t>Black African households experience high rates of overcrowding. Overcrowding contributes to a range of health risks, including increased likelihood of infection, chronic stress and poor mental health (ONS, 2020).</w:t>
      </w:r>
    </w:p>
    <w:p w:rsidR="005D1B17" w:rsidRPr="005D1B17" w:rsidRDefault="005D1B17" w:rsidP="002E2A1F">
      <w:pPr>
        <w:spacing w:line="360" w:lineRule="auto"/>
        <w:jc w:val="both"/>
        <w:rPr>
          <w:rFonts w:ascii="Arial" w:hAnsi="Arial" w:cs="Arial"/>
          <w:sz w:val="22"/>
          <w:szCs w:val="22"/>
        </w:rPr>
      </w:pPr>
      <w:r w:rsidRPr="005D1B17">
        <w:rPr>
          <w:rFonts w:ascii="Arial" w:hAnsi="Arial" w:cs="Arial"/>
          <w:b/>
          <w:bCs/>
          <w:sz w:val="22"/>
          <w:szCs w:val="22"/>
        </w:rPr>
        <w:t>Critical Analysis:</w:t>
      </w:r>
      <w:r w:rsidRPr="005D1B17">
        <w:rPr>
          <w:rFonts w:ascii="Arial" w:hAnsi="Arial" w:cs="Arial"/>
          <w:sz w:val="22"/>
          <w:szCs w:val="22"/>
        </w:rPr>
        <w:t xml:space="preserve"> Poor housing is a structural driver of inequality and not an individual failing. Rather it represents long-term under-investment in ethnic minority neighborhoods.</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b/>
          <w:bCs/>
          <w:sz w:val="22"/>
          <w:szCs w:val="22"/>
        </w:rPr>
        <w:t>Solutions:</w:t>
      </w:r>
    </w:p>
    <w:p w:rsidR="005D1B17" w:rsidRPr="007A6257" w:rsidRDefault="005D1B17" w:rsidP="007A6257">
      <w:pPr>
        <w:pStyle w:val="ListParagraph"/>
        <w:numPr>
          <w:ilvl w:val="0"/>
          <w:numId w:val="39"/>
        </w:numPr>
        <w:spacing w:line="360" w:lineRule="auto"/>
        <w:jc w:val="both"/>
        <w:rPr>
          <w:rFonts w:ascii="Arial" w:hAnsi="Arial" w:cs="Arial"/>
          <w:sz w:val="22"/>
          <w:szCs w:val="22"/>
        </w:rPr>
      </w:pPr>
      <w:r w:rsidRPr="007A6257">
        <w:rPr>
          <w:rFonts w:ascii="Arial" w:hAnsi="Arial" w:cs="Arial"/>
          <w:sz w:val="22"/>
          <w:szCs w:val="22"/>
        </w:rPr>
        <w:t>Prioritize affordable and suitable housing for minority groups;</w:t>
      </w:r>
    </w:p>
    <w:p w:rsidR="005D1B17" w:rsidRPr="007A6257" w:rsidRDefault="005D1B17" w:rsidP="007A6257">
      <w:pPr>
        <w:pStyle w:val="ListParagraph"/>
        <w:numPr>
          <w:ilvl w:val="0"/>
          <w:numId w:val="39"/>
        </w:numPr>
        <w:spacing w:line="360" w:lineRule="auto"/>
        <w:jc w:val="both"/>
        <w:rPr>
          <w:rFonts w:ascii="Arial" w:hAnsi="Arial" w:cs="Arial"/>
          <w:sz w:val="22"/>
          <w:szCs w:val="22"/>
        </w:rPr>
      </w:pPr>
      <w:r w:rsidRPr="007A6257">
        <w:rPr>
          <w:rFonts w:ascii="Arial" w:hAnsi="Arial" w:cs="Arial"/>
          <w:sz w:val="22"/>
          <w:szCs w:val="22"/>
        </w:rPr>
        <w:t>Connect housing policy with public health efforts;</w:t>
      </w:r>
    </w:p>
    <w:p w:rsidR="005D1B17" w:rsidRPr="007A6257" w:rsidRDefault="005D1B17" w:rsidP="007A6257">
      <w:pPr>
        <w:pStyle w:val="ListParagraph"/>
        <w:numPr>
          <w:ilvl w:val="0"/>
          <w:numId w:val="39"/>
        </w:numPr>
        <w:spacing w:line="360" w:lineRule="auto"/>
        <w:jc w:val="both"/>
        <w:rPr>
          <w:rFonts w:ascii="Arial" w:hAnsi="Arial" w:cs="Arial"/>
          <w:sz w:val="22"/>
          <w:szCs w:val="22"/>
        </w:rPr>
      </w:pPr>
      <w:r w:rsidRPr="007A6257">
        <w:rPr>
          <w:rFonts w:ascii="Arial" w:hAnsi="Arial" w:cs="Arial"/>
          <w:sz w:val="22"/>
          <w:szCs w:val="22"/>
        </w:rPr>
        <w:t>Invest in community-led advocacy for improved housing policies.</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b/>
          <w:bCs/>
          <w:sz w:val="22"/>
          <w:szCs w:val="22"/>
        </w:rPr>
        <w:t>3. Structural Racism and Institutional Discrimination</w:t>
      </w:r>
    </w:p>
    <w:p w:rsidR="00736EBB" w:rsidRDefault="005D1B17" w:rsidP="002E2A1F">
      <w:pPr>
        <w:spacing w:line="360" w:lineRule="auto"/>
        <w:jc w:val="both"/>
        <w:rPr>
          <w:rFonts w:ascii="Arial" w:hAnsi="Arial" w:cs="Arial"/>
          <w:sz w:val="22"/>
          <w:szCs w:val="22"/>
        </w:rPr>
      </w:pPr>
      <w:r w:rsidRPr="005D1B17">
        <w:rPr>
          <w:rFonts w:ascii="Arial" w:hAnsi="Arial" w:cs="Arial"/>
          <w:sz w:val="22"/>
          <w:szCs w:val="22"/>
        </w:rPr>
        <w:t xml:space="preserve">Systemic racism continues to be an important public health determinant. Parliamentary reports demonstrate that Black women are subject to more discrimination and poor maternity care, and less effective safety mechanisms than their White counterparts (UK Parliament, 2023). </w:t>
      </w:r>
    </w:p>
    <w:p w:rsidR="005D1B17" w:rsidRPr="005D1B17" w:rsidRDefault="005D1B17" w:rsidP="002E2A1F">
      <w:pPr>
        <w:spacing w:line="360" w:lineRule="auto"/>
        <w:jc w:val="both"/>
        <w:rPr>
          <w:rFonts w:ascii="Arial" w:hAnsi="Arial" w:cs="Arial"/>
          <w:sz w:val="22"/>
          <w:szCs w:val="22"/>
        </w:rPr>
      </w:pPr>
      <w:r w:rsidRPr="005D1B17">
        <w:rPr>
          <w:rFonts w:ascii="Arial" w:hAnsi="Arial" w:cs="Arial"/>
          <w:b/>
          <w:bCs/>
          <w:sz w:val="22"/>
          <w:szCs w:val="22"/>
        </w:rPr>
        <w:t>Critical Analysis:</w:t>
      </w:r>
      <w:r w:rsidRPr="005D1B17">
        <w:rPr>
          <w:rFonts w:ascii="Arial" w:hAnsi="Arial" w:cs="Arial"/>
          <w:sz w:val="22"/>
          <w:szCs w:val="22"/>
        </w:rPr>
        <w:t xml:space="preserve"> Racism has negative effects on physical health, mental health and overall well-being by producing stress, substandard treatment, and decreased trust in the healthcare system. Unless systemic reforms occur, these inequities will continue to be passed down to future generations.</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b/>
          <w:bCs/>
          <w:sz w:val="22"/>
          <w:szCs w:val="22"/>
        </w:rPr>
        <w:lastRenderedPageBreak/>
        <w:t>Solutions:</w:t>
      </w:r>
    </w:p>
    <w:p w:rsidR="005D1B17" w:rsidRPr="007A6257" w:rsidRDefault="005D1B17" w:rsidP="007A6257">
      <w:pPr>
        <w:pStyle w:val="ListParagraph"/>
        <w:numPr>
          <w:ilvl w:val="0"/>
          <w:numId w:val="38"/>
        </w:numPr>
        <w:spacing w:line="360" w:lineRule="auto"/>
        <w:jc w:val="both"/>
        <w:rPr>
          <w:rFonts w:ascii="Arial" w:hAnsi="Arial" w:cs="Arial"/>
          <w:sz w:val="22"/>
          <w:szCs w:val="22"/>
        </w:rPr>
      </w:pPr>
      <w:r w:rsidRPr="007A6257">
        <w:rPr>
          <w:rFonts w:ascii="Arial" w:hAnsi="Arial" w:cs="Arial"/>
          <w:sz w:val="22"/>
          <w:szCs w:val="22"/>
        </w:rPr>
        <w:t>Embed anti-racism accountability within NHS Trusts;</w:t>
      </w:r>
    </w:p>
    <w:p w:rsidR="005D1B17" w:rsidRPr="007A6257" w:rsidRDefault="005D1B17" w:rsidP="007A6257">
      <w:pPr>
        <w:pStyle w:val="ListParagraph"/>
        <w:numPr>
          <w:ilvl w:val="0"/>
          <w:numId w:val="38"/>
        </w:numPr>
        <w:spacing w:line="360" w:lineRule="auto"/>
        <w:jc w:val="both"/>
        <w:rPr>
          <w:rFonts w:ascii="Arial" w:hAnsi="Arial" w:cs="Arial"/>
          <w:sz w:val="22"/>
          <w:szCs w:val="22"/>
        </w:rPr>
      </w:pPr>
      <w:r w:rsidRPr="007A6257">
        <w:rPr>
          <w:rFonts w:ascii="Arial" w:hAnsi="Arial" w:cs="Arial"/>
          <w:sz w:val="22"/>
          <w:szCs w:val="22"/>
        </w:rPr>
        <w:t xml:space="preserve">Increase representation of minorities in leadership and </w:t>
      </w:r>
      <w:r w:rsidR="00EB7E50" w:rsidRPr="007A6257">
        <w:rPr>
          <w:rFonts w:ascii="Arial" w:hAnsi="Arial" w:cs="Arial"/>
          <w:sz w:val="22"/>
          <w:szCs w:val="22"/>
        </w:rPr>
        <w:t>decision-making</w:t>
      </w:r>
      <w:r w:rsidRPr="007A6257">
        <w:rPr>
          <w:rFonts w:ascii="Arial" w:hAnsi="Arial" w:cs="Arial"/>
          <w:sz w:val="22"/>
          <w:szCs w:val="22"/>
        </w:rPr>
        <w:t xml:space="preserve"> roles;</w:t>
      </w:r>
    </w:p>
    <w:p w:rsidR="003C06E3" w:rsidRPr="007A6257" w:rsidRDefault="005D1B17" w:rsidP="007A6257">
      <w:pPr>
        <w:pStyle w:val="ListParagraph"/>
        <w:numPr>
          <w:ilvl w:val="0"/>
          <w:numId w:val="38"/>
        </w:numPr>
        <w:spacing w:line="360" w:lineRule="auto"/>
        <w:jc w:val="both"/>
        <w:rPr>
          <w:rFonts w:ascii="Arial" w:hAnsi="Arial" w:cs="Arial"/>
          <w:sz w:val="22"/>
          <w:szCs w:val="22"/>
        </w:rPr>
      </w:pPr>
      <w:r w:rsidRPr="007A6257">
        <w:rPr>
          <w:rFonts w:ascii="Arial" w:hAnsi="Arial" w:cs="Arial"/>
          <w:sz w:val="22"/>
          <w:szCs w:val="22"/>
        </w:rPr>
        <w:t>Expand community-based health navigation services staffed by culturally competent practitioners.</w:t>
      </w:r>
    </w:p>
    <w:p w:rsidR="003C06E3" w:rsidRPr="00035FEB" w:rsidRDefault="003C06E3" w:rsidP="002E2A1F">
      <w:pPr>
        <w:spacing w:line="360" w:lineRule="auto"/>
        <w:jc w:val="both"/>
        <w:rPr>
          <w:rFonts w:ascii="Arial" w:hAnsi="Arial" w:cs="Arial"/>
          <w:b/>
          <w:bCs/>
          <w:color w:val="44546A" w:themeColor="text2"/>
          <w:sz w:val="22"/>
          <w:szCs w:val="22"/>
        </w:rPr>
      </w:pPr>
      <w:r w:rsidRPr="00035FEB">
        <w:rPr>
          <w:rFonts w:ascii="Arial" w:hAnsi="Arial" w:cs="Arial"/>
          <w:b/>
          <w:bCs/>
          <w:color w:val="44546A" w:themeColor="text2"/>
          <w:sz w:val="22"/>
          <w:szCs w:val="22"/>
        </w:rPr>
        <w:t xml:space="preserve">Analytical Tables </w:t>
      </w:r>
    </w:p>
    <w:p w:rsidR="003C06E3" w:rsidRDefault="003C06E3" w:rsidP="002E2A1F">
      <w:pPr>
        <w:spacing w:line="360" w:lineRule="auto"/>
        <w:jc w:val="both"/>
        <w:rPr>
          <w:rFonts w:ascii="Arial" w:hAnsi="Arial" w:cs="Arial"/>
          <w:sz w:val="22"/>
          <w:szCs w:val="22"/>
        </w:rPr>
      </w:pPr>
      <w:r w:rsidRPr="002E2A1F">
        <w:rPr>
          <w:rFonts w:ascii="Arial" w:hAnsi="Arial" w:cs="Arial"/>
          <w:sz w:val="22"/>
          <w:szCs w:val="22"/>
        </w:rPr>
        <w:t>Table 1. Key Health Inequality Indicators for Black African Population</w:t>
      </w:r>
    </w:p>
    <w:tbl>
      <w:tblPr>
        <w:tblStyle w:val="TableGrid"/>
        <w:tblW w:w="0" w:type="auto"/>
        <w:tblLook w:val="04A0"/>
      </w:tblPr>
      <w:tblGrid>
        <w:gridCol w:w="3116"/>
        <w:gridCol w:w="3117"/>
        <w:gridCol w:w="3117"/>
      </w:tblGrid>
      <w:tr w:rsidR="00EB7E50" w:rsidRPr="00EB7E50">
        <w:tc>
          <w:tcPr>
            <w:tcW w:w="3116"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Health Issue</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Relative Disparity</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Implications</w:t>
            </w:r>
          </w:p>
        </w:tc>
      </w:tr>
      <w:tr w:rsidR="00EB7E50" w:rsidRPr="00EB7E50">
        <w:tc>
          <w:tcPr>
            <w:tcW w:w="3116"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Maternal mortality</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~3.7–4× higher than White women (UK Parliament, 2023)</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Indicates systemic maternity care failures</w:t>
            </w:r>
          </w:p>
        </w:tc>
      </w:tr>
      <w:tr w:rsidR="00EB7E50" w:rsidRPr="00EB7E50">
        <w:tc>
          <w:tcPr>
            <w:tcW w:w="3116"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Perinatal mental-health admission</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~2× higher than White mothers (The Guardian, 2022)</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Structural stress + poor mental health resource allocation</w:t>
            </w:r>
          </w:p>
        </w:tc>
      </w:tr>
      <w:tr w:rsidR="00EB7E50" w:rsidRPr="00EB7E50">
        <w:tc>
          <w:tcPr>
            <w:tcW w:w="3116"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Hypertensive disorders</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Higher prevalence; race-sensitive guidelines required (NICE, 2019)</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Need for targeted screening</w:t>
            </w:r>
          </w:p>
        </w:tc>
      </w:tr>
      <w:tr w:rsidR="00EB7E50" w:rsidRPr="00EB7E50">
        <w:tc>
          <w:tcPr>
            <w:tcW w:w="3116"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Poverty</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Very high proportion below poverty line (Maternity Action, 2023)</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Fundamental socioeconomic risk driver</w:t>
            </w:r>
          </w:p>
        </w:tc>
      </w:tr>
      <w:tr w:rsidR="00EB7E50" w:rsidRPr="00EB7E50">
        <w:tc>
          <w:tcPr>
            <w:tcW w:w="3116"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Overcrowded housing</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Higher than UK average (ONS, 2020)</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Increased infection risk + mental stress</w:t>
            </w:r>
          </w:p>
        </w:tc>
      </w:tr>
      <w:tr w:rsidR="00EB7E50" w:rsidRPr="00EB7E50">
        <w:tc>
          <w:tcPr>
            <w:tcW w:w="3116"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Institutional discrimination</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Documented bias and poorer care (The Guardian, 2024)</w:t>
            </w:r>
          </w:p>
        </w:tc>
        <w:tc>
          <w:tcPr>
            <w:tcW w:w="3117" w:type="dxa"/>
          </w:tcPr>
          <w:p w:rsidR="00EB7E50" w:rsidRPr="00EB7E50" w:rsidRDefault="00EB7E50" w:rsidP="00764BF2">
            <w:pPr>
              <w:spacing w:line="360" w:lineRule="auto"/>
              <w:jc w:val="both"/>
              <w:rPr>
                <w:rFonts w:ascii="Arial" w:hAnsi="Arial" w:cs="Arial"/>
                <w:sz w:val="22"/>
                <w:szCs w:val="22"/>
              </w:rPr>
            </w:pPr>
            <w:r w:rsidRPr="00EB7E50">
              <w:rPr>
                <w:rFonts w:ascii="Arial" w:hAnsi="Arial" w:cs="Arial"/>
                <w:sz w:val="22"/>
                <w:szCs w:val="22"/>
              </w:rPr>
              <w:t>Undermines trust and clinical safety</w:t>
            </w:r>
          </w:p>
        </w:tc>
      </w:tr>
    </w:tbl>
    <w:p w:rsidR="003C06E3" w:rsidRPr="002E2A1F" w:rsidRDefault="003C06E3" w:rsidP="002E2A1F">
      <w:pPr>
        <w:spacing w:line="360" w:lineRule="auto"/>
        <w:jc w:val="both"/>
        <w:rPr>
          <w:rFonts w:ascii="Arial" w:hAnsi="Arial" w:cs="Arial"/>
          <w:sz w:val="22"/>
          <w:szCs w:val="22"/>
        </w:rPr>
      </w:pPr>
      <w:r w:rsidRPr="002E2A1F">
        <w:rPr>
          <w:rFonts w:ascii="Arial" w:hAnsi="Arial" w:cs="Arial"/>
          <w:sz w:val="22"/>
          <w:szCs w:val="22"/>
        </w:rPr>
        <w:t>(Adapted from The King’s Fund, 2022)</w:t>
      </w:r>
    </w:p>
    <w:p w:rsidR="005D1B17" w:rsidRPr="005D1B17" w:rsidRDefault="005D1B17" w:rsidP="002E2A1F">
      <w:pPr>
        <w:spacing w:line="360" w:lineRule="auto"/>
        <w:jc w:val="both"/>
        <w:rPr>
          <w:rFonts w:ascii="Arial" w:hAnsi="Arial" w:cs="Arial"/>
          <w:b/>
          <w:bCs/>
          <w:color w:val="44546A" w:themeColor="text2"/>
          <w:sz w:val="22"/>
          <w:szCs w:val="22"/>
        </w:rPr>
      </w:pPr>
      <w:r w:rsidRPr="005D1B17">
        <w:rPr>
          <w:rFonts w:ascii="Arial" w:hAnsi="Arial" w:cs="Arial"/>
          <w:b/>
          <w:bCs/>
          <w:color w:val="44546A" w:themeColor="text2"/>
          <w:sz w:val="22"/>
          <w:szCs w:val="22"/>
        </w:rPr>
        <w:t>The National Response to Addressing Health Inequality</w:t>
      </w:r>
    </w:p>
    <w:p w:rsidR="005D1B17" w:rsidRPr="005D1B17" w:rsidRDefault="005D1B17" w:rsidP="002E2A1F">
      <w:pPr>
        <w:spacing w:line="360" w:lineRule="auto"/>
        <w:jc w:val="both"/>
        <w:rPr>
          <w:rFonts w:ascii="Arial" w:hAnsi="Arial" w:cs="Arial"/>
          <w:sz w:val="22"/>
          <w:szCs w:val="22"/>
        </w:rPr>
      </w:pPr>
      <w:r w:rsidRPr="005D1B17">
        <w:rPr>
          <w:rFonts w:ascii="Arial" w:hAnsi="Arial" w:cs="Arial"/>
          <w:sz w:val="22"/>
          <w:szCs w:val="22"/>
        </w:rPr>
        <w:t>Health Inequality is a problem that has been recognized in the U.K. The National Institute for Health and Care Excellence (N.I.C.E.) have published a guideline on Hypertensive Disorders of Pregnancy (NG133) which recognizes the ethnic disparities in Hypertensive Disorders of Pregnancy and promotes culturally aware and competent care (N.I.C.E., 2019).</w:t>
      </w:r>
    </w:p>
    <w:p w:rsidR="005D1B17" w:rsidRPr="005D1B17" w:rsidRDefault="005D1B17" w:rsidP="002E2A1F">
      <w:pPr>
        <w:spacing w:line="360" w:lineRule="auto"/>
        <w:jc w:val="both"/>
        <w:rPr>
          <w:rFonts w:ascii="Arial" w:hAnsi="Arial" w:cs="Arial"/>
          <w:sz w:val="22"/>
          <w:szCs w:val="22"/>
        </w:rPr>
      </w:pPr>
      <w:r w:rsidRPr="005D1B17">
        <w:rPr>
          <w:rFonts w:ascii="Arial" w:hAnsi="Arial" w:cs="Arial"/>
          <w:sz w:val="22"/>
          <w:szCs w:val="22"/>
        </w:rPr>
        <w:lastRenderedPageBreak/>
        <w:t>The Women &amp; Equality Committee in the U.K. Parliament has identified a need for all NHS Maternity Services to adopt mandatory Anti-Racism Accountability Mechanisms (U.K. Parliament, 2023).</w:t>
      </w:r>
    </w:p>
    <w:p w:rsidR="005D1B17" w:rsidRPr="005D1B17" w:rsidRDefault="005D1B17" w:rsidP="002E2A1F">
      <w:pPr>
        <w:spacing w:line="360" w:lineRule="auto"/>
        <w:jc w:val="both"/>
        <w:rPr>
          <w:rFonts w:ascii="Arial" w:hAnsi="Arial" w:cs="Arial"/>
          <w:sz w:val="22"/>
          <w:szCs w:val="22"/>
        </w:rPr>
      </w:pPr>
      <w:r w:rsidRPr="005D1B17">
        <w:rPr>
          <w:rFonts w:ascii="Arial" w:hAnsi="Arial" w:cs="Arial"/>
          <w:sz w:val="22"/>
          <w:szCs w:val="22"/>
        </w:rPr>
        <w:t>The King's Fund has suggested that Pre-Conception Care for Black Mothers should be improved as Black Mothers have higher rates of Hypertension and Diabetes (The King's Fund, 2022).</w:t>
      </w:r>
    </w:p>
    <w:p w:rsidR="005D1B17" w:rsidRPr="005D1B17" w:rsidRDefault="005D1B17" w:rsidP="002E2A1F">
      <w:pPr>
        <w:spacing w:line="360" w:lineRule="auto"/>
        <w:jc w:val="both"/>
        <w:rPr>
          <w:rFonts w:ascii="Arial" w:hAnsi="Arial" w:cs="Arial"/>
          <w:b/>
          <w:bCs/>
          <w:color w:val="44546A" w:themeColor="text2"/>
          <w:sz w:val="22"/>
          <w:szCs w:val="22"/>
        </w:rPr>
      </w:pPr>
      <w:r w:rsidRPr="005D1B17">
        <w:rPr>
          <w:rFonts w:ascii="Arial" w:hAnsi="Arial" w:cs="Arial"/>
          <w:b/>
          <w:bCs/>
          <w:color w:val="44546A" w:themeColor="text2"/>
          <w:sz w:val="22"/>
          <w:szCs w:val="22"/>
        </w:rPr>
        <w:t>Organizations Promoting Health Equity for Black Africans</w:t>
      </w:r>
    </w:p>
    <w:p w:rsidR="005D1B17" w:rsidRPr="005D1B17" w:rsidRDefault="005D1B17" w:rsidP="002E2A1F">
      <w:pPr>
        <w:spacing w:line="360" w:lineRule="auto"/>
        <w:jc w:val="both"/>
        <w:rPr>
          <w:rFonts w:ascii="Arial" w:hAnsi="Arial" w:cs="Arial"/>
          <w:sz w:val="22"/>
          <w:szCs w:val="22"/>
        </w:rPr>
      </w:pPr>
      <w:r w:rsidRPr="005D1B17">
        <w:rPr>
          <w:rFonts w:ascii="Arial" w:hAnsi="Arial" w:cs="Arial"/>
          <w:sz w:val="22"/>
          <w:szCs w:val="22"/>
        </w:rPr>
        <w:t>• Motherhood Group - Aims to support Black Mothers by advocating and increasing awareness about their experiences (The Guardian, 2024).</w:t>
      </w:r>
    </w:p>
    <w:p w:rsidR="005D1B17" w:rsidRPr="005D1B17" w:rsidRDefault="005D1B17" w:rsidP="002E2A1F">
      <w:pPr>
        <w:spacing w:line="360" w:lineRule="auto"/>
        <w:jc w:val="both"/>
        <w:rPr>
          <w:rFonts w:ascii="Arial" w:hAnsi="Arial" w:cs="Arial"/>
          <w:sz w:val="22"/>
          <w:szCs w:val="22"/>
        </w:rPr>
      </w:pPr>
      <w:r w:rsidRPr="005D1B17">
        <w:rPr>
          <w:rFonts w:ascii="Arial" w:hAnsi="Arial" w:cs="Arial"/>
          <w:sz w:val="22"/>
          <w:szCs w:val="22"/>
        </w:rPr>
        <w:t>• Maternal Action - Provides research and campaigns to improve maternal health access for ethnic minorities.</w:t>
      </w:r>
    </w:p>
    <w:p w:rsidR="005D1B17" w:rsidRPr="005D1B17" w:rsidRDefault="005D1B17" w:rsidP="002E2A1F">
      <w:pPr>
        <w:spacing w:line="360" w:lineRule="auto"/>
        <w:jc w:val="both"/>
        <w:rPr>
          <w:rFonts w:ascii="Arial" w:hAnsi="Arial" w:cs="Arial"/>
          <w:sz w:val="22"/>
          <w:szCs w:val="22"/>
        </w:rPr>
      </w:pPr>
      <w:r w:rsidRPr="005D1B17">
        <w:rPr>
          <w:rFonts w:ascii="Arial" w:hAnsi="Arial" w:cs="Arial"/>
          <w:sz w:val="22"/>
          <w:szCs w:val="22"/>
        </w:rPr>
        <w:t>• Equality and Human Rights Commission (E.H.R.C.) - Works to address the Structural Inequalities throughout U.K. Systems.</w:t>
      </w:r>
    </w:p>
    <w:p w:rsidR="005D1B17" w:rsidRPr="005D1B17" w:rsidRDefault="005D1B17" w:rsidP="002E2A1F">
      <w:pPr>
        <w:spacing w:line="360" w:lineRule="auto"/>
        <w:jc w:val="both"/>
        <w:rPr>
          <w:rFonts w:ascii="Arial" w:hAnsi="Arial" w:cs="Arial"/>
          <w:b/>
          <w:bCs/>
          <w:sz w:val="22"/>
          <w:szCs w:val="22"/>
        </w:rPr>
      </w:pPr>
      <w:r w:rsidRPr="005D1B17">
        <w:rPr>
          <w:rFonts w:ascii="Arial" w:hAnsi="Arial" w:cs="Arial"/>
          <w:b/>
          <w:bCs/>
          <w:color w:val="44546A" w:themeColor="text2"/>
          <w:sz w:val="22"/>
          <w:szCs w:val="22"/>
        </w:rPr>
        <w:t>Conclusion</w:t>
      </w:r>
    </w:p>
    <w:p w:rsidR="00692244" w:rsidRDefault="005D1B17" w:rsidP="002E2A1F">
      <w:pPr>
        <w:spacing w:line="360" w:lineRule="auto"/>
        <w:jc w:val="both"/>
        <w:rPr>
          <w:rFonts w:ascii="Arial" w:hAnsi="Arial" w:cs="Arial"/>
          <w:sz w:val="22"/>
          <w:szCs w:val="22"/>
        </w:rPr>
      </w:pPr>
      <w:r w:rsidRPr="005D1B17">
        <w:rPr>
          <w:rFonts w:ascii="Arial" w:hAnsi="Arial" w:cs="Arial"/>
          <w:sz w:val="22"/>
          <w:szCs w:val="22"/>
        </w:rPr>
        <w:t>An examination of the Social Epidemiology of Black African Health Inequality in the United Kingdom demonstrates that Maternal Mortality, Perinatal Mental Illness and Hypertension are caused by Social Injustice, not Biological Differences. Socioeconomic Disadvantage, Overcrowding and Systemic Racism Interact with Each Other to Create Unequal Risk. Clinical Health Interventions Must Be Expanded Beyond Clinical Care to Include Anti-Racism Policy Reforms, Socioeconomic Policy, Housing Strategies and Culturally Grounded Community Programs in Order to Achieve Sustainable Health Equity.</w:t>
      </w:r>
    </w:p>
    <w:p w:rsidR="007A6257" w:rsidRPr="007A6257" w:rsidRDefault="00692244" w:rsidP="007A6257">
      <w:pPr>
        <w:pStyle w:val="Heading1"/>
        <w:rPr>
          <w:rFonts w:ascii="Arial" w:hAnsi="Arial" w:cs="Arial"/>
          <w:b/>
          <w:bCs/>
          <w:color w:val="auto"/>
          <w:sz w:val="22"/>
          <w:szCs w:val="22"/>
        </w:rPr>
      </w:pPr>
      <w:r>
        <w:rPr>
          <w:sz w:val="22"/>
          <w:szCs w:val="22"/>
        </w:rPr>
        <w:br w:type="page"/>
      </w:r>
      <w:bookmarkStart w:id="1" w:name="_Toc214227981"/>
      <w:r w:rsidRPr="007A6257">
        <w:rPr>
          <w:rFonts w:ascii="Arial" w:hAnsi="Arial" w:cs="Arial"/>
          <w:b/>
          <w:bCs/>
          <w:color w:val="000000" w:themeColor="text1"/>
          <w:sz w:val="32"/>
          <w:szCs w:val="32"/>
        </w:rPr>
        <w:lastRenderedPageBreak/>
        <w:t>T</w:t>
      </w:r>
      <w:r w:rsidR="007A6257" w:rsidRPr="007A6257">
        <w:rPr>
          <w:rFonts w:ascii="Arial" w:hAnsi="Arial" w:cs="Arial"/>
          <w:b/>
          <w:bCs/>
          <w:color w:val="000000" w:themeColor="text1"/>
          <w:sz w:val="32"/>
          <w:szCs w:val="32"/>
        </w:rPr>
        <w:t>ask</w:t>
      </w:r>
      <w:r w:rsidRPr="007A6257">
        <w:rPr>
          <w:rFonts w:ascii="Arial" w:hAnsi="Arial" w:cs="Arial"/>
          <w:b/>
          <w:bCs/>
          <w:color w:val="000000" w:themeColor="text1"/>
          <w:sz w:val="32"/>
          <w:szCs w:val="32"/>
        </w:rPr>
        <w:t xml:space="preserve"> 2</w:t>
      </w:r>
      <w:bookmarkEnd w:id="1"/>
    </w:p>
    <w:p w:rsidR="00692244" w:rsidRPr="00692244" w:rsidRDefault="007A6257" w:rsidP="007A6257">
      <w:pPr>
        <w:spacing w:line="360" w:lineRule="auto"/>
        <w:jc w:val="center"/>
        <w:rPr>
          <w:rFonts w:ascii="Arial" w:hAnsi="Arial" w:cs="Arial"/>
          <w:b/>
          <w:bCs/>
          <w:sz w:val="28"/>
          <w:szCs w:val="28"/>
        </w:rPr>
      </w:pPr>
      <w:r>
        <w:rPr>
          <w:rFonts w:ascii="Arial" w:hAnsi="Arial" w:cs="Arial"/>
          <w:b/>
          <w:bCs/>
          <w:sz w:val="28"/>
          <w:szCs w:val="28"/>
        </w:rPr>
        <w:t xml:space="preserve">Type 2 </w:t>
      </w:r>
      <w:r w:rsidR="00692244" w:rsidRPr="00692244">
        <w:rPr>
          <w:rFonts w:ascii="Arial" w:hAnsi="Arial" w:cs="Arial"/>
          <w:b/>
          <w:bCs/>
          <w:sz w:val="28"/>
          <w:szCs w:val="28"/>
        </w:rPr>
        <w:t>Diabetes Mellitus in the London Borough of Tower Hamlets</w:t>
      </w:r>
    </w:p>
    <w:p w:rsidR="00692244" w:rsidRPr="00692244" w:rsidRDefault="00692244" w:rsidP="00692244">
      <w:pPr>
        <w:spacing w:line="360" w:lineRule="auto"/>
        <w:jc w:val="both"/>
        <w:rPr>
          <w:rFonts w:ascii="Arial" w:hAnsi="Arial" w:cs="Arial"/>
          <w:b/>
          <w:bCs/>
          <w:color w:val="44546A" w:themeColor="text2"/>
        </w:rPr>
      </w:pPr>
      <w:r w:rsidRPr="00692244">
        <w:rPr>
          <w:rFonts w:ascii="Arial" w:hAnsi="Arial" w:cs="Arial"/>
          <w:b/>
          <w:bCs/>
          <w:color w:val="44546A" w:themeColor="text2"/>
        </w:rPr>
        <w:t>Introduction</w:t>
      </w:r>
    </w:p>
    <w:p w:rsidR="00692244" w:rsidRPr="00692244" w:rsidRDefault="00692244" w:rsidP="00692244">
      <w:pPr>
        <w:spacing w:line="360" w:lineRule="auto"/>
        <w:jc w:val="both"/>
        <w:rPr>
          <w:rFonts w:ascii="Arial" w:hAnsi="Arial" w:cs="Arial"/>
          <w:b/>
          <w:bCs/>
          <w:sz w:val="22"/>
          <w:szCs w:val="22"/>
        </w:rPr>
      </w:pPr>
      <w:r w:rsidRPr="00692244">
        <w:rPr>
          <w:rFonts w:ascii="Arial" w:hAnsi="Arial" w:cs="Arial"/>
          <w:b/>
          <w:bCs/>
          <w:sz w:val="22"/>
          <w:szCs w:val="22"/>
        </w:rPr>
        <w:t>The Definition of the Health Problem and its Consequences</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 xml:space="preserve">Type 2 Diabetes Mellitus (T2DM) is a chronic metabolic syndrome due to impaired insulin secretion and insulin resistance that results in a prolonged state of hyperglycaemia (WHO, 2023). T2DM is strongly linked with non-communicable diseases and risk factors of the lifestyle type (such as obesity, a diet that is unhealthy and lack of activity) and additional social, economic and genetic factors (NICE, 2023). Due to the chronic nature of the </w:t>
      </w:r>
      <w:r w:rsidR="007A6257" w:rsidRPr="00692244">
        <w:rPr>
          <w:rFonts w:ascii="Arial" w:hAnsi="Arial" w:cs="Arial"/>
          <w:sz w:val="22"/>
          <w:szCs w:val="22"/>
        </w:rPr>
        <w:t>condition,</w:t>
      </w:r>
      <w:r w:rsidRPr="00692244">
        <w:rPr>
          <w:rFonts w:ascii="Arial" w:hAnsi="Arial" w:cs="Arial"/>
          <w:sz w:val="22"/>
          <w:szCs w:val="22"/>
        </w:rPr>
        <w:t xml:space="preserve"> it can lead to serious secondary complications such as cardiovascular disease, kidney failure(NHS England, 2024). </w:t>
      </w:r>
    </w:p>
    <w:p w:rsidR="00692244" w:rsidRPr="00692244" w:rsidRDefault="00692244" w:rsidP="00692244">
      <w:pPr>
        <w:spacing w:line="360" w:lineRule="auto"/>
        <w:jc w:val="both"/>
        <w:rPr>
          <w:rFonts w:ascii="Arial" w:hAnsi="Arial" w:cs="Arial"/>
          <w:b/>
          <w:bCs/>
          <w:sz w:val="22"/>
          <w:szCs w:val="22"/>
        </w:rPr>
      </w:pPr>
      <w:r w:rsidRPr="00692244">
        <w:rPr>
          <w:rFonts w:ascii="Arial" w:hAnsi="Arial" w:cs="Arial"/>
          <w:b/>
          <w:bCs/>
          <w:sz w:val="22"/>
          <w:szCs w:val="22"/>
        </w:rPr>
        <w:t>Prevalence and incidence (Global, UK &amp; local)</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Worldwide, diabetes affects 537 million adults, and this figure is expected to increase to 783 million by 2045 (International Diabetes Federation, 2023). Within the UK there are an estimated 4.3 million people with diabetes, with 90% of these being classed as Type 2 (Diabetes UK, 2024). There is a higher prevalence of T2DM within deprived communities and among ethnic minority groups, specifically South Asian and Black populations (PHE, 2022).</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Tower Hamlets has one of the highest prevalence rates of T2DM in England. Data from Fingertips indicate:</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 There is a T2DM prevalence rate of 8.3% amongst adults in Tower Hamlets, compared with the national average of 6.4% (PHE, 2024).</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 Hospital admission for T2DM related complications is approximately 40 – 60 % higher in Tower Hamlets than the England wide average (NHS Digital, 2024).</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 South Asian adults living in Tower Hamlets are at a risk of developing T2DM that is up to 3 times greater than White British adults (NICE, 2023).</w:t>
      </w:r>
    </w:p>
    <w:p w:rsidR="00692244" w:rsidRPr="00692244" w:rsidRDefault="00692244" w:rsidP="00692244">
      <w:pPr>
        <w:spacing w:line="360" w:lineRule="auto"/>
        <w:jc w:val="both"/>
        <w:rPr>
          <w:rFonts w:ascii="Arial" w:hAnsi="Arial" w:cs="Arial"/>
          <w:b/>
          <w:bCs/>
          <w:color w:val="44546A" w:themeColor="text2"/>
        </w:rPr>
      </w:pPr>
      <w:r w:rsidRPr="00692244">
        <w:rPr>
          <w:rFonts w:ascii="Arial" w:hAnsi="Arial" w:cs="Arial"/>
          <w:b/>
          <w:bCs/>
          <w:color w:val="44546A" w:themeColor="text2"/>
        </w:rPr>
        <w:t>Public Health Measures Using the Three Ps</w:t>
      </w:r>
    </w:p>
    <w:p w:rsidR="00692244" w:rsidRDefault="00692244" w:rsidP="00692244">
      <w:pPr>
        <w:spacing w:line="360" w:lineRule="auto"/>
        <w:jc w:val="both"/>
        <w:rPr>
          <w:rFonts w:ascii="Arial" w:hAnsi="Arial" w:cs="Arial"/>
          <w:b/>
          <w:bCs/>
          <w:sz w:val="22"/>
          <w:szCs w:val="22"/>
        </w:rPr>
      </w:pPr>
      <w:r w:rsidRPr="00692244">
        <w:rPr>
          <w:rFonts w:ascii="Arial" w:hAnsi="Arial" w:cs="Arial"/>
          <w:b/>
          <w:bCs/>
          <w:sz w:val="22"/>
          <w:szCs w:val="22"/>
        </w:rPr>
        <w:t>Primary Prevention</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lastRenderedPageBreak/>
        <w:t>Primary Prevention involves the methods and actions that can help prevent a person from developing a condition (in this case, type 2 diabetes) through interventions that occur prior to the onset of symptoms or development of a condition. Tower Hamlets Council works with NHS providers to implement structured lifestyle programs that focus on dietary habits, physical activity and behavior modification (Healthy Hearts and NHS Diabetes Prevention Program (NDPP)), which provide culturally sensitive support (Tower Hamlets Public Health, 2024).</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Community engagement is another primary prevention method. Local public health departments work closely with Mosques, Bangladeshi community groups and volunteer organizations to create culturally competent educational campaigns(TH Council, 2024).</w:t>
      </w:r>
    </w:p>
    <w:p w:rsidR="00692244" w:rsidRPr="00692244" w:rsidRDefault="00692244" w:rsidP="00692244">
      <w:pPr>
        <w:spacing w:line="360" w:lineRule="auto"/>
        <w:jc w:val="both"/>
        <w:rPr>
          <w:rFonts w:ascii="Arial" w:hAnsi="Arial" w:cs="Arial"/>
          <w:b/>
          <w:bCs/>
          <w:sz w:val="22"/>
          <w:szCs w:val="22"/>
        </w:rPr>
      </w:pPr>
      <w:r w:rsidRPr="00692244">
        <w:rPr>
          <w:rFonts w:ascii="Arial" w:hAnsi="Arial" w:cs="Arial"/>
          <w:b/>
          <w:bCs/>
          <w:sz w:val="22"/>
          <w:szCs w:val="22"/>
        </w:rPr>
        <w:t>Secondary Prevention</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Secondary prevention focuses on detecting disease early before it becomes symptomatic, and once detected, to slow down its progression. Tower Hamlets uses proactive screening approaches, these include:</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 Annual NHS Health Checks</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 Opportunistic screening by GP's</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 Outreach programs to reach communities, particularly those who may be at higher risk of developing type 2 diabetes (such as South Asians), and may require early detection at lower BMI thresholds than others (NICE, 2023)</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Enhanced primary care management is also a secondary prevention measure. The Tower Hamlets Integrated Diabetes Service (THIDS) allows for prompt referrals to specialist care, including diabetes nurses, podiatrists, and dieticians for the early management of diabetes to reduce the potential of progressing to other forms of complications (THIDS, 2024).</w:t>
      </w:r>
    </w:p>
    <w:p w:rsidR="00692244" w:rsidRPr="00692244" w:rsidRDefault="00692244" w:rsidP="00692244">
      <w:pPr>
        <w:spacing w:line="360" w:lineRule="auto"/>
        <w:jc w:val="both"/>
        <w:rPr>
          <w:rFonts w:ascii="Arial" w:hAnsi="Arial" w:cs="Arial"/>
          <w:b/>
          <w:bCs/>
          <w:sz w:val="22"/>
          <w:szCs w:val="22"/>
        </w:rPr>
      </w:pPr>
      <w:r w:rsidRPr="00692244">
        <w:rPr>
          <w:rFonts w:ascii="Arial" w:hAnsi="Arial" w:cs="Arial"/>
          <w:b/>
          <w:bCs/>
          <w:sz w:val="22"/>
          <w:szCs w:val="22"/>
        </w:rPr>
        <w:t>Tertiary Prevention/Care Management</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Tertiary Prevention/Care Management refers to the level of care that occurs after a patient has been diagnosed with a medical condition (type 2 diabetes) and the goal is to manage the condition, minimize the risks associated with the condition, and to prevent further complications related to the condition</w:t>
      </w:r>
      <w:r w:rsidR="00736EBB" w:rsidRPr="00692244">
        <w:rPr>
          <w:rFonts w:ascii="Arial" w:hAnsi="Arial" w:cs="Arial"/>
          <w:sz w:val="22"/>
          <w:szCs w:val="22"/>
        </w:rPr>
        <w:t>(THIDS, 2024).</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 Medication Reviews</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 Retinopathy screening</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lastRenderedPageBreak/>
        <w:t>• Renal Monitoring</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 Foot Care</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 Digital self-management tools (NHS England, 2024).</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Culturally translated resources (Bengali and Somali languages) are also provided to enhance treatment compliance and promote blood glucose control (Tower Hamlets CCG, 2023).</w:t>
      </w:r>
    </w:p>
    <w:p w:rsidR="00692244" w:rsidRPr="00692244" w:rsidRDefault="00692244" w:rsidP="00692244">
      <w:pPr>
        <w:spacing w:line="360" w:lineRule="auto"/>
        <w:jc w:val="both"/>
        <w:rPr>
          <w:rFonts w:ascii="Arial" w:hAnsi="Arial" w:cs="Arial"/>
          <w:sz w:val="22"/>
          <w:szCs w:val="22"/>
        </w:rPr>
      </w:pPr>
      <w:r w:rsidRPr="00692244">
        <w:rPr>
          <w:rFonts w:ascii="Arial" w:hAnsi="Arial" w:cs="Arial"/>
          <w:sz w:val="22"/>
          <w:szCs w:val="22"/>
        </w:rPr>
        <w:t>Social support is also included as a component of tertiary prevention/care management. Welfare, housing and employment support are offered by the council to mitigate the social impacts of chronic illness and disability (TH Council, 2024).</w:t>
      </w:r>
    </w:p>
    <w:p w:rsidR="0040675B" w:rsidRPr="0040675B" w:rsidRDefault="0040675B" w:rsidP="0040675B">
      <w:pPr>
        <w:spacing w:line="360" w:lineRule="auto"/>
        <w:jc w:val="both"/>
        <w:rPr>
          <w:rFonts w:ascii="Arial" w:hAnsi="Arial" w:cs="Arial"/>
          <w:b/>
          <w:bCs/>
          <w:color w:val="44546A" w:themeColor="text2"/>
        </w:rPr>
      </w:pPr>
      <w:r w:rsidRPr="0040675B">
        <w:rPr>
          <w:rFonts w:ascii="Arial" w:hAnsi="Arial" w:cs="Arial"/>
          <w:b/>
          <w:bCs/>
          <w:color w:val="44546A" w:themeColor="text2"/>
        </w:rPr>
        <w:t>Determinants of Type 2 Diabetes</w:t>
      </w:r>
    </w:p>
    <w:p w:rsidR="0040675B" w:rsidRPr="0040675B" w:rsidRDefault="0040675B" w:rsidP="0040675B">
      <w:pPr>
        <w:spacing w:line="360" w:lineRule="auto"/>
        <w:jc w:val="both"/>
        <w:rPr>
          <w:rFonts w:ascii="Arial" w:hAnsi="Arial" w:cs="Arial"/>
          <w:sz w:val="22"/>
          <w:szCs w:val="22"/>
        </w:rPr>
      </w:pPr>
      <w:r w:rsidRPr="0040675B">
        <w:rPr>
          <w:rFonts w:ascii="Arial" w:hAnsi="Arial" w:cs="Arial"/>
          <w:sz w:val="22"/>
          <w:szCs w:val="22"/>
        </w:rPr>
        <w:t>There are many factors that influence the likelihood of developing type 2 diabetes (T2DM) within Tower Hamlets as a result of the large body of evidence produced by epidemiologists regarding this condition</w:t>
      </w:r>
      <w:r w:rsidR="0025784E" w:rsidRPr="0040675B">
        <w:rPr>
          <w:rFonts w:ascii="Arial" w:hAnsi="Arial" w:cs="Arial"/>
          <w:sz w:val="22"/>
          <w:szCs w:val="22"/>
        </w:rPr>
        <w:t>(NICE, 2023</w:t>
      </w:r>
      <w:r w:rsidR="0025784E">
        <w:rPr>
          <w:rFonts w:ascii="Arial" w:hAnsi="Arial" w:cs="Arial"/>
          <w:sz w:val="22"/>
          <w:szCs w:val="22"/>
        </w:rPr>
        <w:t>):</w:t>
      </w:r>
    </w:p>
    <w:p w:rsidR="0040675B" w:rsidRPr="0040675B" w:rsidRDefault="0040675B" w:rsidP="0040675B">
      <w:pPr>
        <w:spacing w:line="360" w:lineRule="auto"/>
        <w:jc w:val="both"/>
        <w:rPr>
          <w:rFonts w:ascii="Arial" w:hAnsi="Arial" w:cs="Arial"/>
          <w:b/>
          <w:bCs/>
          <w:sz w:val="22"/>
          <w:szCs w:val="22"/>
        </w:rPr>
      </w:pPr>
      <w:r w:rsidRPr="0040675B">
        <w:rPr>
          <w:rFonts w:ascii="Arial" w:hAnsi="Arial" w:cs="Arial"/>
          <w:b/>
          <w:bCs/>
          <w:sz w:val="22"/>
          <w:szCs w:val="22"/>
        </w:rPr>
        <w:t>Ethnicity</w:t>
      </w:r>
    </w:p>
    <w:p w:rsidR="0040675B" w:rsidRPr="0040675B" w:rsidRDefault="0040675B" w:rsidP="0040675B">
      <w:pPr>
        <w:spacing w:line="360" w:lineRule="auto"/>
        <w:jc w:val="both"/>
        <w:rPr>
          <w:rFonts w:ascii="Arial" w:hAnsi="Arial" w:cs="Arial"/>
          <w:sz w:val="22"/>
          <w:szCs w:val="22"/>
        </w:rPr>
      </w:pPr>
      <w:r w:rsidRPr="0040675B">
        <w:rPr>
          <w:rFonts w:ascii="Arial" w:hAnsi="Arial" w:cs="Arial"/>
          <w:sz w:val="22"/>
          <w:szCs w:val="22"/>
        </w:rPr>
        <w:t>There is an increased prevalence of diabetes among South Asians and Black individuals due to genetic predisposition and an early age of onset and they are at greater risk of developing serious complications compared to other ethnicities (NICE, 2023).</w:t>
      </w:r>
    </w:p>
    <w:p w:rsidR="0040675B" w:rsidRPr="0040675B" w:rsidRDefault="0040675B" w:rsidP="0040675B">
      <w:pPr>
        <w:spacing w:line="360" w:lineRule="auto"/>
        <w:jc w:val="both"/>
        <w:rPr>
          <w:rFonts w:ascii="Arial" w:hAnsi="Arial" w:cs="Arial"/>
          <w:b/>
          <w:bCs/>
          <w:sz w:val="22"/>
          <w:szCs w:val="22"/>
        </w:rPr>
      </w:pPr>
      <w:r w:rsidRPr="0040675B">
        <w:rPr>
          <w:rFonts w:ascii="Arial" w:hAnsi="Arial" w:cs="Arial"/>
          <w:b/>
          <w:bCs/>
          <w:sz w:val="22"/>
          <w:szCs w:val="22"/>
        </w:rPr>
        <w:t>Deprivation</w:t>
      </w:r>
    </w:p>
    <w:p w:rsidR="0040675B" w:rsidRPr="0040675B" w:rsidRDefault="0040675B" w:rsidP="0040675B">
      <w:pPr>
        <w:spacing w:line="360" w:lineRule="auto"/>
        <w:jc w:val="both"/>
        <w:rPr>
          <w:rFonts w:ascii="Arial" w:hAnsi="Arial" w:cs="Arial"/>
          <w:sz w:val="22"/>
          <w:szCs w:val="22"/>
        </w:rPr>
      </w:pPr>
      <w:r w:rsidRPr="0040675B">
        <w:rPr>
          <w:rFonts w:ascii="Arial" w:hAnsi="Arial" w:cs="Arial"/>
          <w:sz w:val="22"/>
          <w:szCs w:val="22"/>
        </w:rPr>
        <w:t>Deprivation in the area (one of the most deprived in London) affects many aspects of life in the borough such as:</w:t>
      </w:r>
    </w:p>
    <w:p w:rsidR="0040675B" w:rsidRPr="00AC258B" w:rsidRDefault="0040675B" w:rsidP="00AC258B">
      <w:pPr>
        <w:pStyle w:val="ListParagraph"/>
        <w:numPr>
          <w:ilvl w:val="0"/>
          <w:numId w:val="35"/>
        </w:numPr>
        <w:spacing w:line="360" w:lineRule="auto"/>
        <w:jc w:val="both"/>
        <w:rPr>
          <w:rFonts w:ascii="Arial" w:hAnsi="Arial" w:cs="Arial"/>
          <w:sz w:val="22"/>
          <w:szCs w:val="22"/>
        </w:rPr>
      </w:pPr>
      <w:r w:rsidRPr="00AC258B">
        <w:rPr>
          <w:rFonts w:ascii="Arial" w:hAnsi="Arial" w:cs="Arial"/>
          <w:sz w:val="22"/>
          <w:szCs w:val="22"/>
        </w:rPr>
        <w:t>Poor quality diet</w:t>
      </w:r>
    </w:p>
    <w:p w:rsidR="0040675B" w:rsidRPr="00AC258B" w:rsidRDefault="0040675B" w:rsidP="00AC258B">
      <w:pPr>
        <w:pStyle w:val="ListParagraph"/>
        <w:numPr>
          <w:ilvl w:val="0"/>
          <w:numId w:val="35"/>
        </w:numPr>
        <w:spacing w:line="360" w:lineRule="auto"/>
        <w:jc w:val="both"/>
        <w:rPr>
          <w:rFonts w:ascii="Arial" w:hAnsi="Arial" w:cs="Arial"/>
          <w:sz w:val="22"/>
          <w:szCs w:val="22"/>
        </w:rPr>
      </w:pPr>
      <w:r w:rsidRPr="00AC258B">
        <w:rPr>
          <w:rFonts w:ascii="Arial" w:hAnsi="Arial" w:cs="Arial"/>
          <w:sz w:val="22"/>
          <w:szCs w:val="22"/>
        </w:rPr>
        <w:t>Stress levels</w:t>
      </w:r>
    </w:p>
    <w:p w:rsidR="0040675B" w:rsidRPr="00AC258B" w:rsidRDefault="0040675B" w:rsidP="00AC258B">
      <w:pPr>
        <w:pStyle w:val="ListParagraph"/>
        <w:numPr>
          <w:ilvl w:val="0"/>
          <w:numId w:val="35"/>
        </w:numPr>
        <w:spacing w:line="360" w:lineRule="auto"/>
        <w:jc w:val="both"/>
        <w:rPr>
          <w:rFonts w:ascii="Arial" w:hAnsi="Arial" w:cs="Arial"/>
          <w:sz w:val="22"/>
          <w:szCs w:val="22"/>
        </w:rPr>
      </w:pPr>
      <w:r w:rsidRPr="00AC258B">
        <w:rPr>
          <w:rFonts w:ascii="Arial" w:hAnsi="Arial" w:cs="Arial"/>
          <w:sz w:val="22"/>
          <w:szCs w:val="22"/>
        </w:rPr>
        <w:t>Physical inactivity</w:t>
      </w:r>
    </w:p>
    <w:p w:rsidR="0040675B" w:rsidRPr="00AC258B" w:rsidRDefault="0040675B" w:rsidP="00AC258B">
      <w:pPr>
        <w:pStyle w:val="ListParagraph"/>
        <w:numPr>
          <w:ilvl w:val="0"/>
          <w:numId w:val="35"/>
        </w:numPr>
        <w:spacing w:line="360" w:lineRule="auto"/>
        <w:jc w:val="both"/>
        <w:rPr>
          <w:rFonts w:ascii="Arial" w:hAnsi="Arial" w:cs="Arial"/>
          <w:sz w:val="22"/>
          <w:szCs w:val="22"/>
        </w:rPr>
      </w:pPr>
      <w:r w:rsidRPr="00AC258B">
        <w:rPr>
          <w:rFonts w:ascii="Arial" w:hAnsi="Arial" w:cs="Arial"/>
          <w:sz w:val="22"/>
          <w:szCs w:val="22"/>
        </w:rPr>
        <w:t>Access to healthcare services</w:t>
      </w:r>
    </w:p>
    <w:p w:rsidR="0040675B" w:rsidRPr="0040675B" w:rsidRDefault="0040675B" w:rsidP="0040675B">
      <w:pPr>
        <w:spacing w:line="360" w:lineRule="auto"/>
        <w:jc w:val="both"/>
        <w:rPr>
          <w:rFonts w:ascii="Arial" w:hAnsi="Arial" w:cs="Arial"/>
          <w:sz w:val="22"/>
          <w:szCs w:val="22"/>
        </w:rPr>
      </w:pPr>
      <w:r w:rsidRPr="0040675B">
        <w:rPr>
          <w:rFonts w:ascii="Arial" w:hAnsi="Arial" w:cs="Arial"/>
          <w:sz w:val="22"/>
          <w:szCs w:val="22"/>
        </w:rPr>
        <w:t>All of which can affect your risk of developing diabetes (PHE, 2022).</w:t>
      </w:r>
    </w:p>
    <w:p w:rsidR="0040675B" w:rsidRPr="0040675B" w:rsidRDefault="0040675B" w:rsidP="0040675B">
      <w:pPr>
        <w:spacing w:line="360" w:lineRule="auto"/>
        <w:jc w:val="both"/>
        <w:rPr>
          <w:rFonts w:ascii="Arial" w:hAnsi="Arial" w:cs="Arial"/>
          <w:b/>
          <w:bCs/>
          <w:sz w:val="22"/>
          <w:szCs w:val="22"/>
        </w:rPr>
      </w:pPr>
      <w:r w:rsidRPr="0040675B">
        <w:rPr>
          <w:rFonts w:ascii="Arial" w:hAnsi="Arial" w:cs="Arial"/>
          <w:b/>
          <w:bCs/>
          <w:sz w:val="22"/>
          <w:szCs w:val="22"/>
        </w:rPr>
        <w:t>Obesity and Physical Inactivity</w:t>
      </w:r>
    </w:p>
    <w:p w:rsidR="0040675B" w:rsidRPr="0040675B" w:rsidRDefault="0040675B" w:rsidP="0040675B">
      <w:pPr>
        <w:spacing w:line="360" w:lineRule="auto"/>
        <w:jc w:val="both"/>
        <w:rPr>
          <w:rFonts w:ascii="Arial" w:hAnsi="Arial" w:cs="Arial"/>
          <w:sz w:val="22"/>
          <w:szCs w:val="22"/>
        </w:rPr>
      </w:pPr>
      <w:r w:rsidRPr="0040675B">
        <w:rPr>
          <w:rFonts w:ascii="Arial" w:hAnsi="Arial" w:cs="Arial"/>
          <w:sz w:val="22"/>
          <w:szCs w:val="22"/>
        </w:rPr>
        <w:t>The percentage of obese adults aged 45+ years is extremely high in Tower Hamlets, thereby increasing the risk of developing insulin resistance and subsequently type 2 diabetes (NHS Digital, 2024).</w:t>
      </w:r>
    </w:p>
    <w:p w:rsidR="0040675B" w:rsidRPr="0040675B" w:rsidRDefault="0040675B" w:rsidP="0040675B">
      <w:pPr>
        <w:spacing w:line="360" w:lineRule="auto"/>
        <w:jc w:val="both"/>
        <w:rPr>
          <w:rFonts w:ascii="Arial" w:hAnsi="Arial" w:cs="Arial"/>
          <w:b/>
          <w:bCs/>
          <w:sz w:val="22"/>
          <w:szCs w:val="22"/>
        </w:rPr>
      </w:pPr>
      <w:r w:rsidRPr="0040675B">
        <w:rPr>
          <w:rFonts w:ascii="Arial" w:hAnsi="Arial" w:cs="Arial"/>
          <w:b/>
          <w:bCs/>
          <w:sz w:val="22"/>
          <w:szCs w:val="22"/>
        </w:rPr>
        <w:lastRenderedPageBreak/>
        <w:t>Barriers to Healthcare</w:t>
      </w:r>
    </w:p>
    <w:p w:rsidR="0040675B" w:rsidRPr="0040675B" w:rsidRDefault="0040675B" w:rsidP="0040675B">
      <w:pPr>
        <w:spacing w:line="360" w:lineRule="auto"/>
        <w:jc w:val="both"/>
        <w:rPr>
          <w:rFonts w:ascii="Arial" w:hAnsi="Arial" w:cs="Arial"/>
          <w:sz w:val="22"/>
          <w:szCs w:val="22"/>
        </w:rPr>
      </w:pPr>
      <w:r w:rsidRPr="0040675B">
        <w:rPr>
          <w:rFonts w:ascii="Arial" w:hAnsi="Arial" w:cs="Arial"/>
          <w:sz w:val="22"/>
          <w:szCs w:val="22"/>
        </w:rPr>
        <w:t>Many people in the community face barriers to accessing healthcare services including language barriers, low health literacy and lack of trust in healthcare services combined with long waiting lists for appointments that ultimately delay the time it takes to diagnose diabetes and for those diagnosed to adhere to treatment plans (TH CCG, 2023).</w:t>
      </w:r>
    </w:p>
    <w:p w:rsidR="0040675B" w:rsidRPr="0040675B" w:rsidRDefault="0040675B" w:rsidP="0040675B">
      <w:pPr>
        <w:spacing w:line="360" w:lineRule="auto"/>
        <w:jc w:val="both"/>
        <w:rPr>
          <w:rFonts w:ascii="Arial" w:hAnsi="Arial" w:cs="Arial"/>
          <w:b/>
          <w:bCs/>
          <w:color w:val="44546A" w:themeColor="text2"/>
        </w:rPr>
      </w:pPr>
      <w:r w:rsidRPr="0040675B">
        <w:rPr>
          <w:rFonts w:ascii="Arial" w:hAnsi="Arial" w:cs="Arial"/>
          <w:b/>
          <w:bCs/>
          <w:color w:val="44546A" w:themeColor="text2"/>
        </w:rPr>
        <w:t>Health Needs Assessments and Epidemiology</w:t>
      </w:r>
    </w:p>
    <w:p w:rsidR="0040675B" w:rsidRPr="0040675B" w:rsidRDefault="0040675B" w:rsidP="0040675B">
      <w:pPr>
        <w:spacing w:line="360" w:lineRule="auto"/>
        <w:jc w:val="both"/>
        <w:rPr>
          <w:rFonts w:ascii="Arial" w:hAnsi="Arial" w:cs="Arial"/>
          <w:sz w:val="22"/>
          <w:szCs w:val="22"/>
        </w:rPr>
      </w:pPr>
      <w:r w:rsidRPr="0040675B">
        <w:rPr>
          <w:rFonts w:ascii="Arial" w:hAnsi="Arial" w:cs="Arial"/>
          <w:sz w:val="22"/>
          <w:szCs w:val="22"/>
        </w:rPr>
        <w:t>Tower Hamlet's local health needs assessment has identified the following groups to be at high risk of developing type 2 diabetes:</w:t>
      </w:r>
    </w:p>
    <w:p w:rsidR="0040675B" w:rsidRPr="00AC258B" w:rsidRDefault="0040675B" w:rsidP="00AC258B">
      <w:pPr>
        <w:pStyle w:val="ListParagraph"/>
        <w:numPr>
          <w:ilvl w:val="0"/>
          <w:numId w:val="36"/>
        </w:numPr>
        <w:spacing w:line="360" w:lineRule="auto"/>
        <w:jc w:val="both"/>
        <w:rPr>
          <w:rFonts w:ascii="Arial" w:hAnsi="Arial" w:cs="Arial"/>
          <w:sz w:val="22"/>
          <w:szCs w:val="22"/>
        </w:rPr>
      </w:pPr>
      <w:r w:rsidRPr="00AC258B">
        <w:rPr>
          <w:rFonts w:ascii="Arial" w:hAnsi="Arial" w:cs="Arial"/>
          <w:sz w:val="22"/>
          <w:szCs w:val="22"/>
        </w:rPr>
        <w:t>Adults aged 40+</w:t>
      </w:r>
    </w:p>
    <w:p w:rsidR="0040675B" w:rsidRPr="00AC258B" w:rsidRDefault="0040675B" w:rsidP="00AC258B">
      <w:pPr>
        <w:pStyle w:val="ListParagraph"/>
        <w:numPr>
          <w:ilvl w:val="0"/>
          <w:numId w:val="36"/>
        </w:numPr>
        <w:spacing w:line="360" w:lineRule="auto"/>
        <w:jc w:val="both"/>
        <w:rPr>
          <w:rFonts w:ascii="Arial" w:hAnsi="Arial" w:cs="Arial"/>
          <w:sz w:val="22"/>
          <w:szCs w:val="22"/>
        </w:rPr>
      </w:pPr>
      <w:r w:rsidRPr="00AC258B">
        <w:rPr>
          <w:rFonts w:ascii="Arial" w:hAnsi="Arial" w:cs="Arial"/>
          <w:sz w:val="22"/>
          <w:szCs w:val="22"/>
        </w:rPr>
        <w:t>People of Bangladeshi origin living in Tower Hamlets</w:t>
      </w:r>
    </w:p>
    <w:p w:rsidR="0040675B" w:rsidRPr="00AC258B" w:rsidRDefault="0040675B" w:rsidP="00AC258B">
      <w:pPr>
        <w:pStyle w:val="ListParagraph"/>
        <w:numPr>
          <w:ilvl w:val="0"/>
          <w:numId w:val="36"/>
        </w:numPr>
        <w:spacing w:line="360" w:lineRule="auto"/>
        <w:jc w:val="both"/>
        <w:rPr>
          <w:rFonts w:ascii="Arial" w:hAnsi="Arial" w:cs="Arial"/>
          <w:sz w:val="22"/>
          <w:szCs w:val="22"/>
        </w:rPr>
      </w:pPr>
      <w:r w:rsidRPr="00AC258B">
        <w:rPr>
          <w:rFonts w:ascii="Arial" w:hAnsi="Arial" w:cs="Arial"/>
          <w:sz w:val="22"/>
          <w:szCs w:val="22"/>
        </w:rPr>
        <w:t>Adults who live in the least deprived quintile</w:t>
      </w:r>
    </w:p>
    <w:p w:rsidR="0040675B" w:rsidRPr="00AC258B" w:rsidRDefault="0040675B" w:rsidP="00AC258B">
      <w:pPr>
        <w:pStyle w:val="ListParagraph"/>
        <w:numPr>
          <w:ilvl w:val="0"/>
          <w:numId w:val="36"/>
        </w:numPr>
        <w:spacing w:line="360" w:lineRule="auto"/>
        <w:jc w:val="both"/>
        <w:rPr>
          <w:rFonts w:ascii="Arial" w:hAnsi="Arial" w:cs="Arial"/>
          <w:sz w:val="22"/>
          <w:szCs w:val="22"/>
        </w:rPr>
      </w:pPr>
      <w:r w:rsidRPr="00AC258B">
        <w:rPr>
          <w:rFonts w:ascii="Arial" w:hAnsi="Arial" w:cs="Arial"/>
          <w:sz w:val="22"/>
          <w:szCs w:val="22"/>
        </w:rPr>
        <w:t>Adults whose Body Mass Index (BMI) is equal to or above 27.5 after adjusting for ethnicity</w:t>
      </w:r>
    </w:p>
    <w:p w:rsidR="00AC258B" w:rsidRPr="00AC258B" w:rsidRDefault="0040675B" w:rsidP="00AC258B">
      <w:pPr>
        <w:pStyle w:val="ListParagraph"/>
        <w:numPr>
          <w:ilvl w:val="0"/>
          <w:numId w:val="36"/>
        </w:numPr>
        <w:spacing w:line="360" w:lineRule="auto"/>
        <w:jc w:val="both"/>
        <w:rPr>
          <w:rFonts w:ascii="Arial" w:hAnsi="Arial" w:cs="Arial"/>
          <w:sz w:val="22"/>
          <w:szCs w:val="22"/>
        </w:rPr>
      </w:pPr>
      <w:r w:rsidRPr="00AC258B">
        <w:rPr>
          <w:rFonts w:ascii="Arial" w:hAnsi="Arial" w:cs="Arial"/>
          <w:sz w:val="22"/>
          <w:szCs w:val="22"/>
        </w:rPr>
        <w:t>Adults who have hypertension or a history of diabetes in their families</w:t>
      </w:r>
      <w:r w:rsidR="00AC258B" w:rsidRPr="00AC258B">
        <w:rPr>
          <w:rFonts w:ascii="Arial" w:hAnsi="Arial" w:cs="Arial"/>
          <w:sz w:val="22"/>
          <w:szCs w:val="22"/>
        </w:rPr>
        <w:t>(TH Public Health, 2024).</w:t>
      </w:r>
    </w:p>
    <w:p w:rsidR="0040675B" w:rsidRPr="0040675B" w:rsidRDefault="0040675B" w:rsidP="0040675B">
      <w:pPr>
        <w:spacing w:line="360" w:lineRule="auto"/>
        <w:jc w:val="both"/>
        <w:rPr>
          <w:rFonts w:ascii="Arial" w:hAnsi="Arial" w:cs="Arial"/>
          <w:sz w:val="22"/>
          <w:szCs w:val="22"/>
        </w:rPr>
      </w:pPr>
      <w:r w:rsidRPr="0040675B">
        <w:rPr>
          <w:rFonts w:ascii="Arial" w:hAnsi="Arial" w:cs="Arial"/>
          <w:sz w:val="22"/>
          <w:szCs w:val="22"/>
        </w:rPr>
        <w:t>Other important findings from the local health needs assessments include:</w:t>
      </w:r>
    </w:p>
    <w:p w:rsidR="0040675B" w:rsidRPr="00AC258B" w:rsidRDefault="0040675B" w:rsidP="00AC258B">
      <w:pPr>
        <w:pStyle w:val="ListParagraph"/>
        <w:numPr>
          <w:ilvl w:val="0"/>
          <w:numId w:val="37"/>
        </w:numPr>
        <w:spacing w:line="360" w:lineRule="auto"/>
        <w:jc w:val="both"/>
        <w:rPr>
          <w:rFonts w:ascii="Arial" w:hAnsi="Arial" w:cs="Arial"/>
          <w:sz w:val="22"/>
          <w:szCs w:val="22"/>
        </w:rPr>
      </w:pPr>
      <w:r w:rsidRPr="00AC258B">
        <w:rPr>
          <w:rFonts w:ascii="Arial" w:hAnsi="Arial" w:cs="Arial"/>
          <w:sz w:val="22"/>
          <w:szCs w:val="22"/>
        </w:rPr>
        <w:t>1 in 10 adults in Tower Hamlets will develop type 2 diabetes during their lifetime.</w:t>
      </w:r>
    </w:p>
    <w:p w:rsidR="0040675B" w:rsidRPr="00AC258B" w:rsidRDefault="0040675B" w:rsidP="00AC258B">
      <w:pPr>
        <w:pStyle w:val="ListParagraph"/>
        <w:numPr>
          <w:ilvl w:val="0"/>
          <w:numId w:val="37"/>
        </w:numPr>
        <w:spacing w:line="360" w:lineRule="auto"/>
        <w:jc w:val="both"/>
        <w:rPr>
          <w:rFonts w:ascii="Arial" w:hAnsi="Arial" w:cs="Arial"/>
          <w:sz w:val="22"/>
          <w:szCs w:val="22"/>
        </w:rPr>
      </w:pPr>
      <w:r w:rsidRPr="00AC258B">
        <w:rPr>
          <w:rFonts w:ascii="Arial" w:hAnsi="Arial" w:cs="Arial"/>
          <w:sz w:val="22"/>
          <w:szCs w:val="22"/>
        </w:rPr>
        <w:t>48% of people with diabetes in the area also have hypertension (NHS Digital, 2024).</w:t>
      </w:r>
    </w:p>
    <w:p w:rsidR="0040675B" w:rsidRPr="00AC258B" w:rsidRDefault="0040675B" w:rsidP="00AC258B">
      <w:pPr>
        <w:pStyle w:val="ListParagraph"/>
        <w:numPr>
          <w:ilvl w:val="0"/>
          <w:numId w:val="37"/>
        </w:numPr>
        <w:spacing w:line="360" w:lineRule="auto"/>
        <w:jc w:val="both"/>
        <w:rPr>
          <w:rFonts w:ascii="Arial" w:hAnsi="Arial" w:cs="Arial"/>
          <w:sz w:val="22"/>
          <w:szCs w:val="22"/>
        </w:rPr>
      </w:pPr>
      <w:r w:rsidRPr="00AC258B">
        <w:rPr>
          <w:rFonts w:ascii="Arial" w:hAnsi="Arial" w:cs="Arial"/>
          <w:sz w:val="22"/>
          <w:szCs w:val="22"/>
        </w:rPr>
        <w:t>Diabetes is responsible for approximately 10% of premature deaths in the area (TH Public Health, 2024).</w:t>
      </w:r>
    </w:p>
    <w:p w:rsidR="0040675B" w:rsidRPr="0040675B" w:rsidRDefault="0040675B" w:rsidP="0040675B">
      <w:pPr>
        <w:spacing w:line="360" w:lineRule="auto"/>
        <w:jc w:val="both"/>
        <w:rPr>
          <w:rFonts w:ascii="Arial" w:hAnsi="Arial" w:cs="Arial"/>
          <w:sz w:val="22"/>
          <w:szCs w:val="22"/>
        </w:rPr>
      </w:pPr>
      <w:r w:rsidRPr="0040675B">
        <w:rPr>
          <w:rFonts w:ascii="Arial" w:hAnsi="Arial" w:cs="Arial"/>
          <w:sz w:val="22"/>
          <w:szCs w:val="22"/>
        </w:rPr>
        <w:t>These findings from the epidemiological studies provide a basis for planning targeted interventions.</w:t>
      </w:r>
    </w:p>
    <w:p w:rsidR="000A1072" w:rsidRPr="000A1072" w:rsidRDefault="000A1072" w:rsidP="000A1072">
      <w:pPr>
        <w:spacing w:line="360" w:lineRule="auto"/>
        <w:jc w:val="both"/>
        <w:rPr>
          <w:rFonts w:ascii="Arial" w:hAnsi="Arial" w:cs="Arial"/>
          <w:b/>
          <w:bCs/>
          <w:color w:val="44546A" w:themeColor="text2"/>
        </w:rPr>
      </w:pPr>
      <w:r w:rsidRPr="000A1072">
        <w:rPr>
          <w:rFonts w:ascii="Arial" w:hAnsi="Arial" w:cs="Arial"/>
          <w:b/>
          <w:bCs/>
          <w:color w:val="44546A" w:themeColor="text2"/>
        </w:rPr>
        <w:t>Systems of Monitoring and Surveillance for Type 2 Diabetes</w:t>
      </w:r>
    </w:p>
    <w:p w:rsidR="000A1072" w:rsidRPr="000A1072" w:rsidRDefault="000A1072" w:rsidP="000A1072">
      <w:pPr>
        <w:spacing w:line="360" w:lineRule="auto"/>
        <w:jc w:val="both"/>
        <w:rPr>
          <w:rFonts w:ascii="Arial" w:hAnsi="Arial" w:cs="Arial"/>
          <w:b/>
          <w:bCs/>
          <w:sz w:val="22"/>
          <w:szCs w:val="22"/>
        </w:rPr>
      </w:pPr>
      <w:r w:rsidRPr="000A1072">
        <w:rPr>
          <w:rFonts w:ascii="Arial" w:hAnsi="Arial" w:cs="Arial"/>
          <w:b/>
          <w:bCs/>
          <w:sz w:val="22"/>
          <w:szCs w:val="22"/>
        </w:rPr>
        <w:t>Routine surveillance includes:</w:t>
      </w:r>
    </w:p>
    <w:p w:rsidR="0025784E" w:rsidRDefault="000A1072" w:rsidP="000A1072">
      <w:pPr>
        <w:pStyle w:val="ListParagraph"/>
        <w:numPr>
          <w:ilvl w:val="0"/>
          <w:numId w:val="48"/>
        </w:numPr>
        <w:spacing w:line="360" w:lineRule="auto"/>
        <w:jc w:val="both"/>
        <w:rPr>
          <w:rFonts w:ascii="Arial" w:hAnsi="Arial" w:cs="Arial"/>
          <w:sz w:val="22"/>
          <w:szCs w:val="22"/>
        </w:rPr>
      </w:pPr>
      <w:r w:rsidRPr="0025784E">
        <w:rPr>
          <w:rFonts w:ascii="Arial" w:hAnsi="Arial" w:cs="Arial"/>
          <w:sz w:val="22"/>
          <w:szCs w:val="22"/>
        </w:rPr>
        <w:t>Prevalence and HbA1C levels from GP records through NHS Digital</w:t>
      </w:r>
    </w:p>
    <w:p w:rsidR="0025784E" w:rsidRDefault="000A1072" w:rsidP="000A1072">
      <w:pPr>
        <w:pStyle w:val="ListParagraph"/>
        <w:numPr>
          <w:ilvl w:val="0"/>
          <w:numId w:val="48"/>
        </w:numPr>
        <w:spacing w:line="360" w:lineRule="auto"/>
        <w:jc w:val="both"/>
        <w:rPr>
          <w:rFonts w:ascii="Arial" w:hAnsi="Arial" w:cs="Arial"/>
          <w:sz w:val="22"/>
          <w:szCs w:val="22"/>
        </w:rPr>
      </w:pPr>
      <w:r w:rsidRPr="0025784E">
        <w:rPr>
          <w:rFonts w:ascii="Arial" w:hAnsi="Arial" w:cs="Arial"/>
          <w:sz w:val="22"/>
          <w:szCs w:val="22"/>
        </w:rPr>
        <w:t>The National Diabetes Audit is used to measure quality of service</w:t>
      </w:r>
    </w:p>
    <w:p w:rsidR="0025784E" w:rsidRDefault="000A1072" w:rsidP="000A1072">
      <w:pPr>
        <w:pStyle w:val="ListParagraph"/>
        <w:numPr>
          <w:ilvl w:val="0"/>
          <w:numId w:val="48"/>
        </w:numPr>
        <w:spacing w:line="360" w:lineRule="auto"/>
        <w:jc w:val="both"/>
        <w:rPr>
          <w:rFonts w:ascii="Arial" w:hAnsi="Arial" w:cs="Arial"/>
          <w:sz w:val="22"/>
          <w:szCs w:val="22"/>
        </w:rPr>
      </w:pPr>
      <w:r w:rsidRPr="0025784E">
        <w:rPr>
          <w:rFonts w:ascii="Arial" w:hAnsi="Arial" w:cs="Arial"/>
          <w:sz w:val="22"/>
          <w:szCs w:val="22"/>
        </w:rPr>
        <w:t>Complications and admissions are recorded using Hospital Episode Statistics</w:t>
      </w:r>
    </w:p>
    <w:p w:rsidR="000A1072" w:rsidRPr="0025784E" w:rsidRDefault="000A1072" w:rsidP="000A1072">
      <w:pPr>
        <w:pStyle w:val="ListParagraph"/>
        <w:numPr>
          <w:ilvl w:val="0"/>
          <w:numId w:val="48"/>
        </w:numPr>
        <w:spacing w:line="360" w:lineRule="auto"/>
        <w:jc w:val="both"/>
        <w:rPr>
          <w:rFonts w:ascii="Arial" w:hAnsi="Arial" w:cs="Arial"/>
          <w:sz w:val="22"/>
          <w:szCs w:val="22"/>
        </w:rPr>
      </w:pPr>
      <w:r w:rsidRPr="0025784E">
        <w:rPr>
          <w:rFonts w:ascii="Arial" w:hAnsi="Arial" w:cs="Arial"/>
          <w:sz w:val="22"/>
          <w:szCs w:val="22"/>
        </w:rPr>
        <w:t>Fingertips by Public Health England is a system that allows for comparison of diabetes rates at the Borough level.</w:t>
      </w:r>
    </w:p>
    <w:p w:rsidR="000A1072" w:rsidRPr="000A1072" w:rsidRDefault="000A1072" w:rsidP="000A1072">
      <w:pPr>
        <w:spacing w:line="360" w:lineRule="auto"/>
        <w:jc w:val="both"/>
        <w:rPr>
          <w:rFonts w:ascii="Arial" w:hAnsi="Arial" w:cs="Arial"/>
          <w:b/>
          <w:bCs/>
          <w:sz w:val="22"/>
          <w:szCs w:val="22"/>
        </w:rPr>
      </w:pPr>
      <w:r w:rsidRPr="000A1072">
        <w:rPr>
          <w:rFonts w:ascii="Arial" w:hAnsi="Arial" w:cs="Arial"/>
          <w:b/>
          <w:bCs/>
          <w:sz w:val="22"/>
          <w:szCs w:val="22"/>
        </w:rPr>
        <w:lastRenderedPageBreak/>
        <w:t>Active surveillance involves:</w:t>
      </w:r>
    </w:p>
    <w:p w:rsidR="000A1072" w:rsidRPr="0025784E" w:rsidRDefault="000A1072" w:rsidP="0025784E">
      <w:pPr>
        <w:pStyle w:val="ListParagraph"/>
        <w:numPr>
          <w:ilvl w:val="0"/>
          <w:numId w:val="49"/>
        </w:numPr>
        <w:spacing w:line="360" w:lineRule="auto"/>
        <w:jc w:val="both"/>
        <w:rPr>
          <w:rFonts w:ascii="Arial" w:hAnsi="Arial" w:cs="Arial"/>
          <w:sz w:val="22"/>
          <w:szCs w:val="22"/>
        </w:rPr>
      </w:pPr>
      <w:r w:rsidRPr="0025784E">
        <w:rPr>
          <w:rFonts w:ascii="Arial" w:hAnsi="Arial" w:cs="Arial"/>
          <w:sz w:val="22"/>
          <w:szCs w:val="22"/>
        </w:rPr>
        <w:t xml:space="preserve">Community Health Workers conducting bi-monthly risk assessments for those living in </w:t>
      </w:r>
      <w:r w:rsidR="00AC258B" w:rsidRPr="0025784E">
        <w:rPr>
          <w:rFonts w:ascii="Arial" w:hAnsi="Arial" w:cs="Arial"/>
          <w:sz w:val="22"/>
          <w:szCs w:val="22"/>
        </w:rPr>
        <w:t>low-income</w:t>
      </w:r>
      <w:r w:rsidRPr="0025784E">
        <w:rPr>
          <w:rFonts w:ascii="Arial" w:hAnsi="Arial" w:cs="Arial"/>
          <w:sz w:val="22"/>
          <w:szCs w:val="22"/>
        </w:rPr>
        <w:t xml:space="preserve"> neighborhoods (TH Public Health, 2024).</w:t>
      </w:r>
    </w:p>
    <w:p w:rsidR="000A1072" w:rsidRPr="000A1072" w:rsidRDefault="000A1072" w:rsidP="000A1072">
      <w:pPr>
        <w:spacing w:line="360" w:lineRule="auto"/>
        <w:jc w:val="both"/>
        <w:rPr>
          <w:rFonts w:ascii="Arial" w:hAnsi="Arial" w:cs="Arial"/>
          <w:b/>
          <w:bCs/>
          <w:sz w:val="22"/>
          <w:szCs w:val="22"/>
        </w:rPr>
      </w:pPr>
      <w:r w:rsidRPr="000A1072">
        <w:rPr>
          <w:rFonts w:ascii="Arial" w:hAnsi="Arial" w:cs="Arial"/>
          <w:b/>
          <w:bCs/>
          <w:sz w:val="22"/>
          <w:szCs w:val="22"/>
        </w:rPr>
        <w:t>Sentinel surveillance:</w:t>
      </w:r>
    </w:p>
    <w:p w:rsidR="000A1072" w:rsidRPr="0025784E" w:rsidRDefault="000A1072" w:rsidP="0025784E">
      <w:pPr>
        <w:pStyle w:val="ListParagraph"/>
        <w:numPr>
          <w:ilvl w:val="0"/>
          <w:numId w:val="49"/>
        </w:numPr>
        <w:spacing w:line="360" w:lineRule="auto"/>
        <w:jc w:val="both"/>
        <w:rPr>
          <w:rFonts w:ascii="Arial" w:hAnsi="Arial" w:cs="Arial"/>
          <w:sz w:val="22"/>
          <w:szCs w:val="22"/>
        </w:rPr>
      </w:pPr>
      <w:r w:rsidRPr="0025784E">
        <w:rPr>
          <w:rFonts w:ascii="Arial" w:hAnsi="Arial" w:cs="Arial"/>
          <w:sz w:val="22"/>
          <w:szCs w:val="22"/>
        </w:rPr>
        <w:t>Selected General Practices collecting in-depth data for the purpose of tracking and research</w:t>
      </w:r>
      <w:r w:rsidR="00F31EBD" w:rsidRPr="0025784E">
        <w:rPr>
          <w:rFonts w:ascii="Arial" w:hAnsi="Arial" w:cs="Arial"/>
          <w:sz w:val="22"/>
          <w:szCs w:val="22"/>
        </w:rPr>
        <w:t>(TH Public Health, 2024)</w:t>
      </w:r>
      <w:r w:rsidRPr="0025784E">
        <w:rPr>
          <w:rFonts w:ascii="Arial" w:hAnsi="Arial" w:cs="Arial"/>
          <w:sz w:val="22"/>
          <w:szCs w:val="22"/>
        </w:rPr>
        <w:t>.</w:t>
      </w:r>
    </w:p>
    <w:p w:rsidR="000A1072" w:rsidRPr="000A1072" w:rsidRDefault="000A1072" w:rsidP="000A1072">
      <w:pPr>
        <w:spacing w:line="360" w:lineRule="auto"/>
        <w:jc w:val="both"/>
        <w:rPr>
          <w:rFonts w:ascii="Arial" w:hAnsi="Arial" w:cs="Arial"/>
          <w:b/>
          <w:bCs/>
          <w:sz w:val="22"/>
          <w:szCs w:val="22"/>
        </w:rPr>
      </w:pPr>
      <w:r w:rsidRPr="000A1072">
        <w:rPr>
          <w:rFonts w:ascii="Arial" w:hAnsi="Arial" w:cs="Arial"/>
          <w:b/>
          <w:bCs/>
          <w:sz w:val="22"/>
          <w:szCs w:val="22"/>
        </w:rPr>
        <w:t>Syndromic surveillance:</w:t>
      </w:r>
    </w:p>
    <w:p w:rsidR="000A1072" w:rsidRPr="0025784E" w:rsidRDefault="000A1072" w:rsidP="0025784E">
      <w:pPr>
        <w:pStyle w:val="ListParagraph"/>
        <w:numPr>
          <w:ilvl w:val="0"/>
          <w:numId w:val="49"/>
        </w:numPr>
        <w:spacing w:line="360" w:lineRule="auto"/>
        <w:jc w:val="both"/>
        <w:rPr>
          <w:rFonts w:ascii="Arial" w:hAnsi="Arial" w:cs="Arial"/>
          <w:sz w:val="22"/>
          <w:szCs w:val="22"/>
        </w:rPr>
      </w:pPr>
      <w:r w:rsidRPr="0025784E">
        <w:rPr>
          <w:rFonts w:ascii="Arial" w:hAnsi="Arial" w:cs="Arial"/>
          <w:sz w:val="22"/>
          <w:szCs w:val="22"/>
        </w:rPr>
        <w:t>Urgent Care Services continually monitor the early warning signs of acute diabetic complication (e.g., ketoacidosis) (PHE, 2022).</w:t>
      </w:r>
    </w:p>
    <w:p w:rsidR="000A1072" w:rsidRPr="000A1072" w:rsidRDefault="000A1072" w:rsidP="000A1072">
      <w:pPr>
        <w:spacing w:line="360" w:lineRule="auto"/>
        <w:jc w:val="both"/>
        <w:rPr>
          <w:rFonts w:ascii="Arial" w:hAnsi="Arial" w:cs="Arial"/>
          <w:b/>
          <w:bCs/>
          <w:color w:val="44546A" w:themeColor="text2"/>
        </w:rPr>
      </w:pPr>
      <w:r w:rsidRPr="000A1072">
        <w:rPr>
          <w:rFonts w:ascii="Arial" w:hAnsi="Arial" w:cs="Arial"/>
          <w:b/>
          <w:bCs/>
          <w:color w:val="44546A" w:themeColor="text2"/>
        </w:rPr>
        <w:t>Utilizing Epidemiologic Methods to Quantify the Effectiveness of Public Health Programs</w:t>
      </w:r>
    </w:p>
    <w:p w:rsidR="000A1072" w:rsidRPr="000A1072" w:rsidRDefault="000A1072" w:rsidP="000A1072">
      <w:pPr>
        <w:spacing w:line="360" w:lineRule="auto"/>
        <w:jc w:val="both"/>
        <w:rPr>
          <w:rFonts w:ascii="Arial" w:hAnsi="Arial" w:cs="Arial"/>
          <w:b/>
          <w:bCs/>
          <w:sz w:val="22"/>
          <w:szCs w:val="22"/>
        </w:rPr>
      </w:pPr>
      <w:r w:rsidRPr="000A1072">
        <w:rPr>
          <w:rFonts w:ascii="Arial" w:hAnsi="Arial" w:cs="Arial"/>
          <w:b/>
          <w:bCs/>
          <w:sz w:val="22"/>
          <w:szCs w:val="22"/>
        </w:rPr>
        <w:t>Short-term Consequences (1–5 years):</w:t>
      </w:r>
    </w:p>
    <w:p w:rsidR="0025784E" w:rsidRDefault="000A1072" w:rsidP="000A1072">
      <w:pPr>
        <w:pStyle w:val="ListParagraph"/>
        <w:numPr>
          <w:ilvl w:val="0"/>
          <w:numId w:val="46"/>
        </w:numPr>
        <w:spacing w:line="360" w:lineRule="auto"/>
        <w:jc w:val="both"/>
        <w:rPr>
          <w:rFonts w:ascii="Arial" w:hAnsi="Arial" w:cs="Arial"/>
          <w:sz w:val="22"/>
          <w:szCs w:val="22"/>
        </w:rPr>
      </w:pPr>
      <w:r w:rsidRPr="0025784E">
        <w:rPr>
          <w:rFonts w:ascii="Arial" w:hAnsi="Arial" w:cs="Arial"/>
          <w:sz w:val="22"/>
          <w:szCs w:val="22"/>
        </w:rPr>
        <w:t>Increased number of GP appointments and referrals</w:t>
      </w:r>
    </w:p>
    <w:p w:rsidR="0025784E" w:rsidRDefault="000A1072" w:rsidP="000A1072">
      <w:pPr>
        <w:pStyle w:val="ListParagraph"/>
        <w:numPr>
          <w:ilvl w:val="0"/>
          <w:numId w:val="46"/>
        </w:numPr>
        <w:spacing w:line="360" w:lineRule="auto"/>
        <w:jc w:val="both"/>
        <w:rPr>
          <w:rFonts w:ascii="Arial" w:hAnsi="Arial" w:cs="Arial"/>
          <w:sz w:val="22"/>
          <w:szCs w:val="22"/>
        </w:rPr>
      </w:pPr>
      <w:r w:rsidRPr="0025784E">
        <w:rPr>
          <w:rFonts w:ascii="Arial" w:hAnsi="Arial" w:cs="Arial"/>
          <w:sz w:val="22"/>
          <w:szCs w:val="22"/>
        </w:rPr>
        <w:t xml:space="preserve"> Increase in expenditure for Community Healthcare</w:t>
      </w:r>
    </w:p>
    <w:p w:rsidR="0025784E" w:rsidRDefault="000A1072" w:rsidP="000A1072">
      <w:pPr>
        <w:pStyle w:val="ListParagraph"/>
        <w:numPr>
          <w:ilvl w:val="0"/>
          <w:numId w:val="46"/>
        </w:numPr>
        <w:spacing w:line="360" w:lineRule="auto"/>
        <w:jc w:val="both"/>
        <w:rPr>
          <w:rFonts w:ascii="Arial" w:hAnsi="Arial" w:cs="Arial"/>
          <w:sz w:val="22"/>
          <w:szCs w:val="22"/>
        </w:rPr>
      </w:pPr>
      <w:r w:rsidRPr="0025784E">
        <w:rPr>
          <w:rFonts w:ascii="Arial" w:hAnsi="Arial" w:cs="Arial"/>
          <w:sz w:val="22"/>
          <w:szCs w:val="22"/>
        </w:rPr>
        <w:t>Reduced Quality of Life/Work Productivity</w:t>
      </w:r>
    </w:p>
    <w:p w:rsidR="0025784E" w:rsidRDefault="000A1072" w:rsidP="000A1072">
      <w:pPr>
        <w:pStyle w:val="ListParagraph"/>
        <w:numPr>
          <w:ilvl w:val="0"/>
          <w:numId w:val="46"/>
        </w:numPr>
        <w:spacing w:line="360" w:lineRule="auto"/>
        <w:jc w:val="both"/>
        <w:rPr>
          <w:rFonts w:ascii="Arial" w:hAnsi="Arial" w:cs="Arial"/>
          <w:sz w:val="22"/>
          <w:szCs w:val="22"/>
        </w:rPr>
      </w:pPr>
      <w:r w:rsidRPr="0025784E">
        <w:rPr>
          <w:rFonts w:ascii="Arial" w:hAnsi="Arial" w:cs="Arial"/>
          <w:sz w:val="22"/>
          <w:szCs w:val="22"/>
        </w:rPr>
        <w:t>Increase in Prediabetes Population</w:t>
      </w:r>
    </w:p>
    <w:p w:rsidR="000A1072" w:rsidRPr="0025784E" w:rsidRDefault="000A1072" w:rsidP="000A1072">
      <w:pPr>
        <w:pStyle w:val="ListParagraph"/>
        <w:numPr>
          <w:ilvl w:val="0"/>
          <w:numId w:val="46"/>
        </w:numPr>
        <w:spacing w:line="360" w:lineRule="auto"/>
        <w:jc w:val="both"/>
        <w:rPr>
          <w:rFonts w:ascii="Arial" w:hAnsi="Arial" w:cs="Arial"/>
          <w:sz w:val="22"/>
          <w:szCs w:val="22"/>
        </w:rPr>
      </w:pPr>
      <w:r w:rsidRPr="0025784E">
        <w:rPr>
          <w:rFonts w:ascii="Arial" w:hAnsi="Arial" w:cs="Arial"/>
          <w:sz w:val="22"/>
          <w:szCs w:val="22"/>
        </w:rPr>
        <w:t>Burden of Urgent Care Services (NHS England, 2024).</w:t>
      </w:r>
    </w:p>
    <w:p w:rsidR="000A1072" w:rsidRPr="000A1072" w:rsidRDefault="000A1072" w:rsidP="000A1072">
      <w:pPr>
        <w:spacing w:line="360" w:lineRule="auto"/>
        <w:jc w:val="both"/>
        <w:rPr>
          <w:rFonts w:ascii="Arial" w:hAnsi="Arial" w:cs="Arial"/>
          <w:b/>
          <w:bCs/>
          <w:sz w:val="22"/>
          <w:szCs w:val="22"/>
        </w:rPr>
      </w:pPr>
      <w:r w:rsidRPr="000A1072">
        <w:rPr>
          <w:rFonts w:ascii="Arial" w:hAnsi="Arial" w:cs="Arial"/>
          <w:b/>
          <w:bCs/>
          <w:sz w:val="22"/>
          <w:szCs w:val="22"/>
        </w:rPr>
        <w:t>Long-term Consequences (10+ years):</w:t>
      </w:r>
    </w:p>
    <w:p w:rsidR="0025784E" w:rsidRDefault="000A1072" w:rsidP="000A1072">
      <w:pPr>
        <w:pStyle w:val="ListParagraph"/>
        <w:numPr>
          <w:ilvl w:val="0"/>
          <w:numId w:val="44"/>
        </w:numPr>
        <w:spacing w:line="360" w:lineRule="auto"/>
        <w:jc w:val="both"/>
        <w:rPr>
          <w:rFonts w:ascii="Arial" w:hAnsi="Arial" w:cs="Arial"/>
          <w:sz w:val="22"/>
          <w:szCs w:val="22"/>
        </w:rPr>
      </w:pPr>
      <w:r w:rsidRPr="0025784E">
        <w:rPr>
          <w:rFonts w:ascii="Arial" w:hAnsi="Arial" w:cs="Arial"/>
          <w:sz w:val="22"/>
          <w:szCs w:val="22"/>
        </w:rPr>
        <w:t>Increase in Cardiovascular Disease/Renal Failure/Blindness</w:t>
      </w:r>
    </w:p>
    <w:p w:rsidR="0025784E" w:rsidRDefault="0025784E" w:rsidP="000A1072">
      <w:pPr>
        <w:pStyle w:val="ListParagraph"/>
        <w:numPr>
          <w:ilvl w:val="0"/>
          <w:numId w:val="44"/>
        </w:numPr>
        <w:spacing w:line="360" w:lineRule="auto"/>
        <w:jc w:val="both"/>
        <w:rPr>
          <w:rFonts w:ascii="Arial" w:hAnsi="Arial" w:cs="Arial"/>
          <w:sz w:val="22"/>
          <w:szCs w:val="22"/>
        </w:rPr>
      </w:pPr>
      <w:r>
        <w:rPr>
          <w:rFonts w:ascii="Arial" w:hAnsi="Arial" w:cs="Arial"/>
          <w:sz w:val="22"/>
          <w:szCs w:val="22"/>
        </w:rPr>
        <w:t>I</w:t>
      </w:r>
      <w:r w:rsidR="000A1072" w:rsidRPr="0025784E">
        <w:rPr>
          <w:rFonts w:ascii="Arial" w:hAnsi="Arial" w:cs="Arial"/>
          <w:sz w:val="22"/>
          <w:szCs w:val="22"/>
        </w:rPr>
        <w:t>ncrease in Social Care Dependency</w:t>
      </w:r>
    </w:p>
    <w:p w:rsidR="0025784E" w:rsidRDefault="000A1072" w:rsidP="000A1072">
      <w:pPr>
        <w:pStyle w:val="ListParagraph"/>
        <w:numPr>
          <w:ilvl w:val="0"/>
          <w:numId w:val="44"/>
        </w:numPr>
        <w:spacing w:line="360" w:lineRule="auto"/>
        <w:jc w:val="both"/>
        <w:rPr>
          <w:rFonts w:ascii="Arial" w:hAnsi="Arial" w:cs="Arial"/>
          <w:sz w:val="22"/>
          <w:szCs w:val="22"/>
        </w:rPr>
      </w:pPr>
      <w:r w:rsidRPr="0025784E">
        <w:rPr>
          <w:rFonts w:ascii="Arial" w:hAnsi="Arial" w:cs="Arial"/>
          <w:sz w:val="22"/>
          <w:szCs w:val="22"/>
        </w:rPr>
        <w:t>Widening Ethnically-based Inequality in Health</w:t>
      </w:r>
    </w:p>
    <w:p w:rsidR="0025784E" w:rsidRDefault="000A1072" w:rsidP="000A1072">
      <w:pPr>
        <w:pStyle w:val="ListParagraph"/>
        <w:numPr>
          <w:ilvl w:val="0"/>
          <w:numId w:val="44"/>
        </w:numPr>
        <w:spacing w:line="360" w:lineRule="auto"/>
        <w:jc w:val="both"/>
        <w:rPr>
          <w:rFonts w:ascii="Arial" w:hAnsi="Arial" w:cs="Arial"/>
          <w:sz w:val="22"/>
          <w:szCs w:val="22"/>
        </w:rPr>
      </w:pPr>
      <w:r w:rsidRPr="0025784E">
        <w:rPr>
          <w:rFonts w:ascii="Arial" w:hAnsi="Arial" w:cs="Arial"/>
          <w:sz w:val="22"/>
          <w:szCs w:val="22"/>
        </w:rPr>
        <w:t>Premature Mortality</w:t>
      </w:r>
    </w:p>
    <w:p w:rsidR="000A1072" w:rsidRPr="0025784E" w:rsidRDefault="000A1072" w:rsidP="000A1072">
      <w:pPr>
        <w:pStyle w:val="ListParagraph"/>
        <w:numPr>
          <w:ilvl w:val="0"/>
          <w:numId w:val="44"/>
        </w:numPr>
        <w:spacing w:line="360" w:lineRule="auto"/>
        <w:jc w:val="both"/>
        <w:rPr>
          <w:rFonts w:ascii="Arial" w:hAnsi="Arial" w:cs="Arial"/>
          <w:sz w:val="22"/>
          <w:szCs w:val="22"/>
        </w:rPr>
      </w:pPr>
      <w:r w:rsidRPr="0025784E">
        <w:rPr>
          <w:rFonts w:ascii="Arial" w:hAnsi="Arial" w:cs="Arial"/>
          <w:sz w:val="22"/>
          <w:szCs w:val="22"/>
        </w:rPr>
        <w:t>Long-term Financial Burden on NHS Services (Diabetes UK, 2024).</w:t>
      </w:r>
    </w:p>
    <w:p w:rsidR="009B0ED1" w:rsidRPr="009B0ED1" w:rsidRDefault="009B0ED1" w:rsidP="009B0ED1">
      <w:pPr>
        <w:spacing w:line="360" w:lineRule="auto"/>
        <w:jc w:val="both"/>
        <w:rPr>
          <w:rFonts w:ascii="Arial" w:hAnsi="Arial" w:cs="Arial"/>
          <w:b/>
          <w:bCs/>
          <w:color w:val="44546A" w:themeColor="text2"/>
        </w:rPr>
      </w:pPr>
      <w:r w:rsidRPr="009B0ED1">
        <w:rPr>
          <w:rFonts w:ascii="Arial" w:hAnsi="Arial" w:cs="Arial"/>
          <w:b/>
          <w:bCs/>
          <w:color w:val="44546A" w:themeColor="text2"/>
        </w:rPr>
        <w:t>Tower Hamlets Diabetes Equity Improvement Program (DEIP)</w:t>
      </w:r>
    </w:p>
    <w:p w:rsidR="009B0ED1" w:rsidRPr="009B0ED1" w:rsidRDefault="009B0ED1" w:rsidP="009B0ED1">
      <w:pPr>
        <w:spacing w:line="360" w:lineRule="auto"/>
        <w:jc w:val="both"/>
        <w:rPr>
          <w:rFonts w:ascii="Arial" w:hAnsi="Arial" w:cs="Arial"/>
          <w:b/>
          <w:bCs/>
          <w:sz w:val="22"/>
          <w:szCs w:val="22"/>
        </w:rPr>
      </w:pPr>
      <w:r w:rsidRPr="009B0ED1">
        <w:rPr>
          <w:rFonts w:ascii="Arial" w:hAnsi="Arial" w:cs="Arial"/>
          <w:b/>
          <w:bCs/>
          <w:sz w:val="22"/>
          <w:szCs w:val="22"/>
        </w:rPr>
        <w:t>1. The Use of Community-Based Prevention</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Hire health advocates from the Bengali, Somalian, and Black communities.</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Run culturally-sensitive workshops regarding diet and exercise.</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lastRenderedPageBreak/>
        <w:t>• Partner with local restaurants to market lower-calorie dishes.</w:t>
      </w:r>
    </w:p>
    <w:p w:rsidR="009B0ED1" w:rsidRPr="009B0ED1" w:rsidRDefault="009B0ED1" w:rsidP="009B0ED1">
      <w:pPr>
        <w:spacing w:line="360" w:lineRule="auto"/>
        <w:jc w:val="both"/>
        <w:rPr>
          <w:rFonts w:ascii="Arial" w:hAnsi="Arial" w:cs="Arial"/>
          <w:b/>
          <w:bCs/>
          <w:sz w:val="22"/>
          <w:szCs w:val="22"/>
        </w:rPr>
      </w:pPr>
      <w:r w:rsidRPr="009B0ED1">
        <w:rPr>
          <w:rFonts w:ascii="Arial" w:hAnsi="Arial" w:cs="Arial"/>
          <w:b/>
          <w:bCs/>
          <w:sz w:val="22"/>
          <w:szCs w:val="22"/>
        </w:rPr>
        <w:t>2. Enhancing Screening</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Place mobile screening vans within high-risk areas for diabetes.</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Lower BMI threshold for screening of South Asians (≥27.5), as stated by NICE (2023).</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Monitoring for HbA1c once per year for all at-risk residents.</w:t>
      </w:r>
    </w:p>
    <w:p w:rsidR="009B0ED1" w:rsidRPr="009B0ED1" w:rsidRDefault="0025784E" w:rsidP="009B0ED1">
      <w:pPr>
        <w:spacing w:line="360" w:lineRule="auto"/>
        <w:jc w:val="both"/>
        <w:rPr>
          <w:rFonts w:ascii="Arial" w:hAnsi="Arial" w:cs="Arial"/>
          <w:b/>
          <w:bCs/>
          <w:sz w:val="22"/>
          <w:szCs w:val="22"/>
        </w:rPr>
      </w:pPr>
      <w:r>
        <w:rPr>
          <w:rFonts w:ascii="Arial" w:hAnsi="Arial" w:cs="Arial"/>
          <w:b/>
          <w:bCs/>
          <w:sz w:val="22"/>
          <w:szCs w:val="22"/>
        </w:rPr>
        <w:t>3.</w:t>
      </w:r>
      <w:r w:rsidR="009B0ED1" w:rsidRPr="009B0ED1">
        <w:rPr>
          <w:rFonts w:ascii="Arial" w:hAnsi="Arial" w:cs="Arial"/>
          <w:b/>
          <w:bCs/>
          <w:sz w:val="22"/>
          <w:szCs w:val="22"/>
        </w:rPr>
        <w:t xml:space="preserve"> Evaluating the DEIP</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Measure process: How many people have been screened? How many people attended the workshops?</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Measure outcome: Reduction in HbA1c levels. Reduced number of hospitalizations.</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Evaluate equity: Has the gap in prevalence among White and South Asian populations decreased?</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Evaluate economic implications: Long term cost savings to the NHS.</w:t>
      </w:r>
    </w:p>
    <w:p w:rsidR="009B0ED1" w:rsidRPr="009B0ED1" w:rsidRDefault="009B0ED1" w:rsidP="009B0ED1">
      <w:pPr>
        <w:spacing w:line="360" w:lineRule="auto"/>
        <w:jc w:val="both"/>
        <w:rPr>
          <w:rFonts w:ascii="Arial" w:hAnsi="Arial" w:cs="Arial"/>
          <w:b/>
          <w:bCs/>
          <w:color w:val="44546A" w:themeColor="text2"/>
        </w:rPr>
      </w:pPr>
      <w:r w:rsidRPr="009B0ED1">
        <w:rPr>
          <w:rFonts w:ascii="Arial" w:hAnsi="Arial" w:cs="Arial"/>
          <w:b/>
          <w:bCs/>
          <w:color w:val="44546A" w:themeColor="text2"/>
        </w:rPr>
        <w:t>Strengths &amp; Weaknesses of an Epidemiologic Strategy</w:t>
      </w:r>
    </w:p>
    <w:p w:rsidR="009B0ED1" w:rsidRPr="009B0ED1" w:rsidRDefault="009B0ED1" w:rsidP="009B0ED1">
      <w:pPr>
        <w:spacing w:line="360" w:lineRule="auto"/>
        <w:jc w:val="both"/>
        <w:rPr>
          <w:rFonts w:ascii="Arial" w:hAnsi="Arial" w:cs="Arial"/>
          <w:b/>
          <w:bCs/>
          <w:sz w:val="22"/>
          <w:szCs w:val="22"/>
        </w:rPr>
      </w:pPr>
      <w:r w:rsidRPr="009B0ED1">
        <w:rPr>
          <w:rFonts w:ascii="Arial" w:hAnsi="Arial" w:cs="Arial"/>
          <w:b/>
          <w:bCs/>
          <w:sz w:val="22"/>
          <w:szCs w:val="22"/>
        </w:rPr>
        <w:t>Strengths:</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Using multiple sources of information, including GP Records, National Diabetes Audit, Health and Social Care Information Centre, etc., increases reliability of information (NHS Digital, 2024).</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Identifying at-risk ethnic groups allows for the development of tailored plans for those groups.</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Building partnerships with local communities will help build trust and increase access to those populations.</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Epidemiologic modeling helps estimate the number of people that may need services in the future.</w:t>
      </w:r>
    </w:p>
    <w:p w:rsidR="009B0ED1" w:rsidRPr="009B0ED1" w:rsidRDefault="009B0ED1" w:rsidP="009B0ED1">
      <w:pPr>
        <w:spacing w:line="360" w:lineRule="auto"/>
        <w:jc w:val="both"/>
        <w:rPr>
          <w:rFonts w:ascii="Arial" w:hAnsi="Arial" w:cs="Arial"/>
          <w:b/>
          <w:bCs/>
          <w:sz w:val="22"/>
          <w:szCs w:val="22"/>
        </w:rPr>
      </w:pPr>
      <w:r w:rsidRPr="009B0ED1">
        <w:rPr>
          <w:rFonts w:ascii="Arial" w:hAnsi="Arial" w:cs="Arial"/>
          <w:b/>
          <w:bCs/>
          <w:sz w:val="22"/>
          <w:szCs w:val="22"/>
        </w:rPr>
        <w:t>Weaknesses:</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The broad category of "ethnicity" masks differences within each group.</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Socioeconomic indicators of deprivation are often multi-faceted and layered.</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People's self-reporting of their behaviors/lifestyle choices may not always be accurate.</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lastRenderedPageBreak/>
        <w:t>• Voluntary diabetes screening can lead to a lack of identification of cases among certain populations.</w:t>
      </w:r>
    </w:p>
    <w:p w:rsidR="009B0ED1" w:rsidRPr="00AC258B" w:rsidRDefault="009B0ED1" w:rsidP="009B0ED1">
      <w:pPr>
        <w:spacing w:line="360" w:lineRule="auto"/>
        <w:jc w:val="both"/>
        <w:rPr>
          <w:rFonts w:ascii="Arial" w:hAnsi="Arial" w:cs="Arial"/>
          <w:b/>
          <w:bCs/>
        </w:rPr>
      </w:pPr>
      <w:r w:rsidRPr="0025784E">
        <w:rPr>
          <w:rFonts w:ascii="Arial" w:hAnsi="Arial" w:cs="Arial"/>
          <w:b/>
          <w:bCs/>
          <w:color w:val="44546A" w:themeColor="text2"/>
        </w:rPr>
        <w:t>Conclusion</w:t>
      </w:r>
    </w:p>
    <w:p w:rsidR="009B0ED1" w:rsidRPr="009B0ED1" w:rsidRDefault="009B0ED1" w:rsidP="009B0ED1">
      <w:pPr>
        <w:spacing w:line="360" w:lineRule="auto"/>
        <w:jc w:val="both"/>
        <w:rPr>
          <w:rFonts w:ascii="Arial" w:hAnsi="Arial" w:cs="Arial"/>
          <w:sz w:val="22"/>
          <w:szCs w:val="22"/>
        </w:rPr>
      </w:pPr>
      <w:r w:rsidRPr="009B0ED1">
        <w:rPr>
          <w:rFonts w:ascii="Arial" w:hAnsi="Arial" w:cs="Arial"/>
          <w:sz w:val="22"/>
          <w:szCs w:val="22"/>
        </w:rPr>
        <w:t xml:space="preserve">Type 2 Diabetes Mellitus continues to be a significant public health issue in the London Borough of Tower Hamlets. Data collected from epidemiologic studies have shown that there is a higher-than-expected incidence rate of Type 2 DM within this borough, specifically due to the combination of demographics (specifically ethnicity), socioeconomic status (deprivation), lifestyle, and barriers to accessing health care. In order to decrease the burden of Type 2 DM, it is essential to implement effective primary, secondary, and tertiary prevention methods. The use of surveillance systems and ongoing epidemiologic monitoring will continue to identify individuals/populations at risk, guide the implementation of interventions, and provide valuable data to assess the effectiveness of the implemented interventions. </w:t>
      </w:r>
    </w:p>
    <w:p w:rsidR="00692244" w:rsidRPr="00692244" w:rsidRDefault="00692244" w:rsidP="00692244">
      <w:pPr>
        <w:spacing w:line="360" w:lineRule="auto"/>
        <w:jc w:val="both"/>
        <w:rPr>
          <w:rFonts w:ascii="Arial" w:hAnsi="Arial" w:cs="Arial"/>
          <w:sz w:val="22"/>
          <w:szCs w:val="22"/>
        </w:rPr>
      </w:pPr>
    </w:p>
    <w:p w:rsidR="00692244" w:rsidRPr="00692244" w:rsidRDefault="00692244" w:rsidP="00692244">
      <w:pPr>
        <w:spacing w:line="360" w:lineRule="auto"/>
        <w:jc w:val="both"/>
        <w:rPr>
          <w:rFonts w:ascii="Arial" w:hAnsi="Arial" w:cs="Arial"/>
          <w:sz w:val="22"/>
          <w:szCs w:val="22"/>
        </w:rPr>
      </w:pPr>
    </w:p>
    <w:p w:rsidR="005D1B17" w:rsidRPr="002E2A1F" w:rsidRDefault="005D1B17" w:rsidP="002E2A1F">
      <w:pPr>
        <w:spacing w:line="360" w:lineRule="auto"/>
        <w:jc w:val="both"/>
        <w:rPr>
          <w:rFonts w:ascii="Arial" w:hAnsi="Arial" w:cs="Arial"/>
          <w:sz w:val="22"/>
          <w:szCs w:val="22"/>
        </w:rPr>
      </w:pPr>
      <w:r w:rsidRPr="002E2A1F">
        <w:rPr>
          <w:rFonts w:ascii="Arial" w:hAnsi="Arial" w:cs="Arial"/>
          <w:sz w:val="22"/>
          <w:szCs w:val="22"/>
        </w:rPr>
        <w:br w:type="page"/>
      </w:r>
    </w:p>
    <w:p w:rsidR="00D71AD4" w:rsidRPr="007A6257" w:rsidRDefault="00AC258B" w:rsidP="007A6257">
      <w:pPr>
        <w:pStyle w:val="Heading1"/>
        <w:rPr>
          <w:rFonts w:ascii="Arial" w:hAnsi="Arial" w:cs="Arial"/>
          <w:b/>
          <w:bCs/>
          <w:color w:val="000000" w:themeColor="text1"/>
          <w:sz w:val="32"/>
          <w:szCs w:val="32"/>
        </w:rPr>
      </w:pPr>
      <w:bookmarkStart w:id="2" w:name="_Toc214227982"/>
      <w:r w:rsidRPr="007A6257">
        <w:rPr>
          <w:rFonts w:ascii="Arial" w:hAnsi="Arial" w:cs="Arial"/>
          <w:b/>
          <w:bCs/>
          <w:color w:val="000000" w:themeColor="text1"/>
          <w:sz w:val="32"/>
          <w:szCs w:val="32"/>
        </w:rPr>
        <w:lastRenderedPageBreak/>
        <w:t>References</w:t>
      </w:r>
      <w:bookmarkEnd w:id="2"/>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Bray, M. and Bardsley, M. (2022) </w:t>
      </w:r>
      <w:r w:rsidRPr="007A6257">
        <w:rPr>
          <w:rFonts w:ascii="Arial" w:hAnsi="Arial" w:cs="Arial"/>
          <w:i/>
          <w:iCs/>
          <w:sz w:val="22"/>
          <w:szCs w:val="22"/>
        </w:rPr>
        <w:t>Ethnic inequalities in maternal health outcomes in the UK</w:t>
      </w:r>
      <w:r w:rsidRPr="007A6257">
        <w:rPr>
          <w:rFonts w:ascii="Arial" w:hAnsi="Arial" w:cs="Arial"/>
          <w:sz w:val="22"/>
          <w:szCs w:val="22"/>
        </w:rPr>
        <w:t xml:space="preserve">. London: The King’s Fund. Available at: </w:t>
      </w:r>
      <w:hyperlink r:id="rId8" w:tgtFrame="_new" w:history="1">
        <w:r w:rsidRPr="007A6257">
          <w:rPr>
            <w:rStyle w:val="Hyperlink"/>
            <w:rFonts w:ascii="Arial" w:hAnsi="Arial" w:cs="Arial"/>
            <w:sz w:val="22"/>
            <w:szCs w:val="22"/>
          </w:rPr>
          <w:t>https://www.kingsfund.org.uk</w:t>
        </w:r>
      </w:hyperlink>
      <w:r w:rsidRPr="007A6257">
        <w:rPr>
          <w:rFonts w:ascii="Arial" w:hAnsi="Arial" w:cs="Arial"/>
          <w:sz w:val="22"/>
          <w:szCs w:val="22"/>
        </w:rPr>
        <w:t xml:space="preserve"> (Accessed: 20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Department of Health &amp; Social Care (2022) </w:t>
      </w:r>
      <w:r w:rsidRPr="007A6257">
        <w:rPr>
          <w:rFonts w:ascii="Arial" w:hAnsi="Arial" w:cs="Arial"/>
          <w:i/>
          <w:iCs/>
          <w:sz w:val="22"/>
          <w:szCs w:val="22"/>
        </w:rPr>
        <w:t>Women’s Health Strategy for England</w:t>
      </w:r>
      <w:r w:rsidRPr="007A6257">
        <w:rPr>
          <w:rFonts w:ascii="Arial" w:hAnsi="Arial" w:cs="Arial"/>
          <w:sz w:val="22"/>
          <w:szCs w:val="22"/>
        </w:rPr>
        <w:t xml:space="preserve">. Available at: </w:t>
      </w:r>
      <w:hyperlink r:id="rId9" w:tgtFrame="_new" w:history="1">
        <w:r w:rsidRPr="007A6257">
          <w:rPr>
            <w:rStyle w:val="Hyperlink"/>
            <w:rFonts w:ascii="Arial" w:hAnsi="Arial" w:cs="Arial"/>
            <w:sz w:val="22"/>
            <w:szCs w:val="22"/>
          </w:rPr>
          <w:t>https://www.gov.uk/government/publications/womens-health-strategy-for-england</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Department of Health &amp; Social Care (2024) </w:t>
      </w:r>
      <w:r w:rsidRPr="007A6257">
        <w:rPr>
          <w:rFonts w:ascii="Arial" w:hAnsi="Arial" w:cs="Arial"/>
          <w:i/>
          <w:iCs/>
          <w:sz w:val="22"/>
          <w:szCs w:val="22"/>
        </w:rPr>
        <w:t>Women’s Health Hubs: core specification</w:t>
      </w:r>
      <w:r w:rsidRPr="007A6257">
        <w:rPr>
          <w:rFonts w:ascii="Arial" w:hAnsi="Arial" w:cs="Arial"/>
          <w:sz w:val="22"/>
          <w:szCs w:val="22"/>
        </w:rPr>
        <w:t xml:space="preserve">. Available at: </w:t>
      </w:r>
      <w:hyperlink r:id="rId10" w:tgtFrame="_new" w:history="1">
        <w:r w:rsidRPr="007A6257">
          <w:rPr>
            <w:rStyle w:val="Hyperlink"/>
            <w:rFonts w:ascii="Arial" w:hAnsi="Arial" w:cs="Arial"/>
            <w:sz w:val="22"/>
            <w:szCs w:val="22"/>
          </w:rPr>
          <w:t>https://www.gov.uk/government/publications/womens-health-hubs-information-and-guidance/womens-health-hubs-core-specification</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Diabetes UK (2024) </w:t>
      </w:r>
      <w:r w:rsidRPr="007A6257">
        <w:rPr>
          <w:rFonts w:ascii="Arial" w:hAnsi="Arial" w:cs="Arial"/>
          <w:i/>
          <w:iCs/>
          <w:sz w:val="22"/>
          <w:szCs w:val="22"/>
        </w:rPr>
        <w:t>NDA Healthcare Improvement Plan 2023–25</w:t>
      </w:r>
      <w:r w:rsidRPr="007A6257">
        <w:rPr>
          <w:rFonts w:ascii="Arial" w:hAnsi="Arial" w:cs="Arial"/>
          <w:sz w:val="22"/>
          <w:szCs w:val="22"/>
        </w:rPr>
        <w:t xml:space="preserve">. Available at: </w:t>
      </w:r>
      <w:hyperlink r:id="rId11" w:tgtFrame="_new" w:history="1">
        <w:r w:rsidRPr="007A6257">
          <w:rPr>
            <w:rStyle w:val="Hyperlink"/>
            <w:rFonts w:ascii="Arial" w:hAnsi="Arial" w:cs="Arial"/>
            <w:sz w:val="22"/>
            <w:szCs w:val="22"/>
          </w:rPr>
          <w:t>https://www.diabetes.org.uk/sites/default/files/2024-04/NDA%20Healthcare%20Improvement%20Plan%202023-25.pdf</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Diabetes UK (2025) ‘One in five adults now live with diabetes or prediabetes in the UK’. Available at: </w:t>
      </w:r>
      <w:hyperlink r:id="rId12" w:tgtFrame="_new" w:history="1">
        <w:r w:rsidRPr="007A6257">
          <w:rPr>
            <w:rStyle w:val="Hyperlink"/>
            <w:rFonts w:ascii="Arial" w:hAnsi="Arial" w:cs="Arial"/>
            <w:sz w:val="22"/>
            <w:szCs w:val="22"/>
          </w:rPr>
          <w:t>https://www.diabetes.org.uk/about-us/news-and-views/one-five-adults-now-live-diabetes-or-prediabetes-uk</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Equality and Human Rights Commission (2020) </w:t>
      </w:r>
      <w:r w:rsidRPr="007A6257">
        <w:rPr>
          <w:rFonts w:ascii="Arial" w:hAnsi="Arial" w:cs="Arial"/>
          <w:i/>
          <w:iCs/>
          <w:sz w:val="22"/>
          <w:szCs w:val="22"/>
        </w:rPr>
        <w:t>How fair is Britain? Equality review</w:t>
      </w:r>
      <w:r w:rsidRPr="007A6257">
        <w:rPr>
          <w:rFonts w:ascii="Arial" w:hAnsi="Arial" w:cs="Arial"/>
          <w:sz w:val="22"/>
          <w:szCs w:val="22"/>
        </w:rPr>
        <w:t xml:space="preserve">. Available at: </w:t>
      </w:r>
      <w:hyperlink r:id="rId13" w:tgtFrame="_new" w:history="1">
        <w:r w:rsidRPr="007A6257">
          <w:rPr>
            <w:rStyle w:val="Hyperlink"/>
            <w:rFonts w:ascii="Arial" w:hAnsi="Arial" w:cs="Arial"/>
            <w:sz w:val="22"/>
            <w:szCs w:val="22"/>
          </w:rPr>
          <w:t>https://www.equalityhumanrights.com</w:t>
        </w:r>
      </w:hyperlink>
      <w:r w:rsidRPr="007A6257">
        <w:rPr>
          <w:rFonts w:ascii="Arial" w:hAnsi="Arial" w:cs="Arial"/>
          <w:sz w:val="22"/>
          <w:szCs w:val="22"/>
        </w:rPr>
        <w:t xml:space="preserve"> (Accessed: 20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Healthcare Quality Improvement Partnership (HQIP) (2025) </w:t>
      </w:r>
      <w:r w:rsidRPr="007A6257">
        <w:rPr>
          <w:rFonts w:ascii="Arial" w:hAnsi="Arial" w:cs="Arial"/>
          <w:i/>
          <w:iCs/>
          <w:sz w:val="22"/>
          <w:szCs w:val="22"/>
        </w:rPr>
        <w:t>Type 2 Diabetes – NPDA Spotlight Audit Report 2023/24</w:t>
      </w:r>
      <w:r w:rsidRPr="007A6257">
        <w:rPr>
          <w:rFonts w:ascii="Arial" w:hAnsi="Arial" w:cs="Arial"/>
          <w:sz w:val="22"/>
          <w:szCs w:val="22"/>
        </w:rPr>
        <w:t xml:space="preserve">. Available at: </w:t>
      </w:r>
      <w:hyperlink r:id="rId14" w:tgtFrame="_new" w:history="1">
        <w:r w:rsidRPr="007A6257">
          <w:rPr>
            <w:rStyle w:val="Hyperlink"/>
            <w:rFonts w:ascii="Arial" w:hAnsi="Arial" w:cs="Arial"/>
            <w:sz w:val="22"/>
            <w:szCs w:val="22"/>
          </w:rPr>
          <w:t>https://www.hqip.org.uk/resource/type-2-npda-2023-24/</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House of Commons Women and Equalities Committee (2023) </w:t>
      </w:r>
      <w:r w:rsidRPr="007A6257">
        <w:rPr>
          <w:rFonts w:ascii="Arial" w:hAnsi="Arial" w:cs="Arial"/>
          <w:i/>
          <w:iCs/>
          <w:sz w:val="22"/>
          <w:szCs w:val="22"/>
        </w:rPr>
        <w:t>Black maternal health</w:t>
      </w:r>
      <w:r w:rsidRPr="007A6257">
        <w:rPr>
          <w:rFonts w:ascii="Arial" w:hAnsi="Arial" w:cs="Arial"/>
          <w:sz w:val="22"/>
          <w:szCs w:val="22"/>
        </w:rPr>
        <w:t xml:space="preserve">. Available at: </w:t>
      </w:r>
      <w:hyperlink r:id="rId15" w:tgtFrame="_new" w:history="1">
        <w:r w:rsidRPr="007A6257">
          <w:rPr>
            <w:rStyle w:val="Hyperlink"/>
            <w:rFonts w:ascii="Arial" w:hAnsi="Arial" w:cs="Arial"/>
            <w:sz w:val="22"/>
            <w:szCs w:val="22"/>
          </w:rPr>
          <w:t>https://committees.parliament.uk</w:t>
        </w:r>
      </w:hyperlink>
      <w:r w:rsidRPr="007A6257">
        <w:rPr>
          <w:rFonts w:ascii="Arial" w:hAnsi="Arial" w:cs="Arial"/>
          <w:sz w:val="22"/>
          <w:szCs w:val="22"/>
        </w:rPr>
        <w:t xml:space="preserve"> (Accessed: 20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International Diabetes Federation (2022) </w:t>
      </w:r>
      <w:r w:rsidRPr="007A6257">
        <w:rPr>
          <w:rFonts w:ascii="Arial" w:hAnsi="Arial" w:cs="Arial"/>
          <w:i/>
          <w:iCs/>
          <w:sz w:val="22"/>
          <w:szCs w:val="22"/>
        </w:rPr>
        <w:t>IDF Diabetes Atlas</w:t>
      </w:r>
      <w:r w:rsidRPr="007A6257">
        <w:rPr>
          <w:rFonts w:ascii="Arial" w:hAnsi="Arial" w:cs="Arial"/>
          <w:sz w:val="22"/>
          <w:szCs w:val="22"/>
        </w:rPr>
        <w:t>, 10th edn. Brussels: IDF.</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lastRenderedPageBreak/>
        <w:t xml:space="preserve">Katsoulis, M. et al. (2023) ‘Predicting type 2 diabetes prevalence for people with severe mental illness in a multi-ethnic East London population’, </w:t>
      </w:r>
      <w:r w:rsidRPr="007A6257">
        <w:rPr>
          <w:rFonts w:ascii="Arial" w:hAnsi="Arial" w:cs="Arial"/>
          <w:i/>
          <w:iCs/>
          <w:sz w:val="22"/>
          <w:szCs w:val="22"/>
        </w:rPr>
        <w:t>Journal of Psychiatric Epidemiology</w:t>
      </w:r>
      <w:r w:rsidRPr="007A6257">
        <w:rPr>
          <w:rFonts w:ascii="Arial" w:hAnsi="Arial" w:cs="Arial"/>
          <w:sz w:val="22"/>
          <w:szCs w:val="22"/>
        </w:rPr>
        <w:t>.</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Kitchener, H. et al. (2022) ‘Ethnic variation in severe maternal morbidity’, </w:t>
      </w:r>
      <w:r w:rsidRPr="007A6257">
        <w:rPr>
          <w:rFonts w:ascii="Arial" w:hAnsi="Arial" w:cs="Arial"/>
          <w:i/>
          <w:iCs/>
          <w:sz w:val="22"/>
          <w:szCs w:val="22"/>
        </w:rPr>
        <w:t>BJOG: An International Journal of Obstetrics &amp;Gynaecology</w:t>
      </w:r>
      <w:r w:rsidRPr="007A6257">
        <w:rPr>
          <w:rFonts w:ascii="Arial" w:hAnsi="Arial" w:cs="Arial"/>
          <w:sz w:val="22"/>
          <w:szCs w:val="22"/>
        </w:rPr>
        <w:t>, 129(4), pp. 612–620.</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London Borough of Tower Hamlets (2023) </w:t>
      </w:r>
      <w:r w:rsidRPr="007A6257">
        <w:rPr>
          <w:rFonts w:ascii="Arial" w:hAnsi="Arial" w:cs="Arial"/>
          <w:i/>
          <w:iCs/>
          <w:sz w:val="22"/>
          <w:szCs w:val="22"/>
        </w:rPr>
        <w:t>Pharmaceutical Needs Assessment</w:t>
      </w:r>
      <w:r w:rsidRPr="007A6257">
        <w:rPr>
          <w:rFonts w:ascii="Arial" w:hAnsi="Arial" w:cs="Arial"/>
          <w:sz w:val="22"/>
          <w:szCs w:val="22"/>
        </w:rPr>
        <w:t xml:space="preserve">. Available at: </w:t>
      </w:r>
      <w:hyperlink r:id="rId16" w:tgtFrame="_new" w:history="1">
        <w:r w:rsidRPr="007A6257">
          <w:rPr>
            <w:rStyle w:val="Hyperlink"/>
            <w:rFonts w:ascii="Arial" w:hAnsi="Arial" w:cs="Arial"/>
            <w:sz w:val="22"/>
            <w:szCs w:val="22"/>
          </w:rPr>
          <w:t>https://www.towerhamlets.gov.uk/Documents/Public-Health/Pharmaceutical-Needs-Assessment-2023.pdf</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Maternity Action (2023) </w:t>
      </w:r>
      <w:r w:rsidRPr="007A6257">
        <w:rPr>
          <w:rFonts w:ascii="Arial" w:hAnsi="Arial" w:cs="Arial"/>
          <w:i/>
          <w:iCs/>
          <w:sz w:val="22"/>
          <w:szCs w:val="22"/>
        </w:rPr>
        <w:t>Maternal health inequalities and poverty</w:t>
      </w:r>
      <w:r w:rsidRPr="007A6257">
        <w:rPr>
          <w:rFonts w:ascii="Arial" w:hAnsi="Arial" w:cs="Arial"/>
          <w:sz w:val="22"/>
          <w:szCs w:val="22"/>
        </w:rPr>
        <w:t xml:space="preserve">. Available at: </w:t>
      </w:r>
      <w:hyperlink r:id="rId17" w:tgtFrame="_new" w:history="1">
        <w:r w:rsidRPr="007A6257">
          <w:rPr>
            <w:rStyle w:val="Hyperlink"/>
            <w:rFonts w:ascii="Arial" w:hAnsi="Arial" w:cs="Arial"/>
            <w:sz w:val="22"/>
            <w:szCs w:val="22"/>
          </w:rPr>
          <w:t>https://www.maternityaction.org.uk</w:t>
        </w:r>
      </w:hyperlink>
      <w:r w:rsidRPr="007A6257">
        <w:rPr>
          <w:rFonts w:ascii="Arial" w:hAnsi="Arial" w:cs="Arial"/>
          <w:sz w:val="22"/>
          <w:szCs w:val="22"/>
        </w:rPr>
        <w:t xml:space="preserve"> (Accessed: 20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Mathur, R., Noble, D., Smith, D., Greenhalgh, T. and Robson, J. (2012) ‘Quantifying the risk of type 2 diabetes in East London using the QDScore: a cross-sectional analysis’, </w:t>
      </w:r>
      <w:r w:rsidRPr="007A6257">
        <w:rPr>
          <w:rFonts w:ascii="Arial" w:hAnsi="Arial" w:cs="Arial"/>
          <w:i/>
          <w:iCs/>
          <w:sz w:val="22"/>
          <w:szCs w:val="22"/>
        </w:rPr>
        <w:t>British Journal of General Practice</w:t>
      </w:r>
      <w:r w:rsidRPr="007A6257">
        <w:rPr>
          <w:rFonts w:ascii="Arial" w:hAnsi="Arial" w:cs="Arial"/>
          <w:sz w:val="22"/>
          <w:szCs w:val="22"/>
        </w:rPr>
        <w:t>, 62(603), pp. e663–e670.</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National Institute for Health and Care Excellence (NICE) (2008) </w:t>
      </w:r>
      <w:r w:rsidRPr="007A6257">
        <w:rPr>
          <w:rFonts w:ascii="Arial" w:hAnsi="Arial" w:cs="Arial"/>
          <w:i/>
          <w:iCs/>
          <w:sz w:val="22"/>
          <w:szCs w:val="22"/>
        </w:rPr>
        <w:t>Type 2 Diabetes in Adults: Management (NG28)</w:t>
      </w:r>
      <w:r w:rsidRPr="007A6257">
        <w:rPr>
          <w:rFonts w:ascii="Arial" w:hAnsi="Arial" w:cs="Arial"/>
          <w:sz w:val="22"/>
          <w:szCs w:val="22"/>
        </w:rPr>
        <w:t xml:space="preserve">. Available at: </w:t>
      </w:r>
      <w:hyperlink r:id="rId18" w:tgtFrame="_new" w:history="1">
        <w:r w:rsidRPr="007A6257">
          <w:rPr>
            <w:rStyle w:val="Hyperlink"/>
            <w:rFonts w:ascii="Arial" w:hAnsi="Arial" w:cs="Arial"/>
            <w:sz w:val="22"/>
            <w:szCs w:val="22"/>
          </w:rPr>
          <w:t>https://www.nice.org.uk/guidance/ng28</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NHS England (2024) ‘NHS identifies over half a million more people at risk of type 2 diabetes in a year’. Available at: </w:t>
      </w:r>
      <w:hyperlink r:id="rId19" w:tgtFrame="_new" w:history="1">
        <w:r w:rsidRPr="007A6257">
          <w:rPr>
            <w:rStyle w:val="Hyperlink"/>
            <w:rFonts w:ascii="Arial" w:hAnsi="Arial" w:cs="Arial"/>
            <w:sz w:val="22"/>
            <w:szCs w:val="22"/>
          </w:rPr>
          <w:t>https://www.england.nhs.uk/2024/06/nhs-identifies-over-half-a-million-more-people-at-risk-of-type-2-diabetes-in-a-year/</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NHS England (2024) </w:t>
      </w:r>
      <w:r w:rsidRPr="007A6257">
        <w:rPr>
          <w:rFonts w:ascii="Arial" w:hAnsi="Arial" w:cs="Arial"/>
          <w:i/>
          <w:iCs/>
          <w:sz w:val="22"/>
          <w:szCs w:val="22"/>
        </w:rPr>
        <w:t>Women’s health hubs</w:t>
      </w:r>
      <w:r w:rsidRPr="007A6257">
        <w:rPr>
          <w:rFonts w:ascii="Arial" w:hAnsi="Arial" w:cs="Arial"/>
          <w:sz w:val="22"/>
          <w:szCs w:val="22"/>
        </w:rPr>
        <w:t xml:space="preserve">. Available at: </w:t>
      </w:r>
      <w:hyperlink r:id="rId20" w:tgtFrame="_new" w:history="1">
        <w:r w:rsidRPr="007A6257">
          <w:rPr>
            <w:rStyle w:val="Hyperlink"/>
            <w:rFonts w:ascii="Arial" w:hAnsi="Arial" w:cs="Arial"/>
            <w:sz w:val="22"/>
            <w:szCs w:val="22"/>
          </w:rPr>
          <w:t>https://www.england.nhs.uk/long-read/womens-health-hubs/</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NHS England (2025) </w:t>
      </w:r>
      <w:r w:rsidRPr="007A6257">
        <w:rPr>
          <w:rFonts w:ascii="Arial" w:hAnsi="Arial" w:cs="Arial"/>
          <w:i/>
          <w:iCs/>
          <w:sz w:val="22"/>
          <w:szCs w:val="22"/>
        </w:rPr>
        <w:t>Women’s health hubs: integrated care at neighbourhood level</w:t>
      </w:r>
      <w:r w:rsidRPr="007A6257">
        <w:rPr>
          <w:rFonts w:ascii="Arial" w:hAnsi="Arial" w:cs="Arial"/>
          <w:sz w:val="22"/>
          <w:szCs w:val="22"/>
        </w:rPr>
        <w:t xml:space="preserve">. Available at: </w:t>
      </w:r>
      <w:hyperlink r:id="rId21" w:tgtFrame="_new" w:history="1">
        <w:r w:rsidRPr="007A6257">
          <w:rPr>
            <w:rStyle w:val="Hyperlink"/>
            <w:rFonts w:ascii="Arial" w:hAnsi="Arial" w:cs="Arial"/>
            <w:sz w:val="22"/>
            <w:szCs w:val="22"/>
          </w:rPr>
          <w:t>https://www.england.nhs.uk/long-read/womens-health-hubs-providing-integrated-care-at-neighbourhood-level/</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Noree, L. (2024) ‘Black women and maternity inequality in the UK’, </w:t>
      </w:r>
      <w:r w:rsidRPr="007A6257">
        <w:rPr>
          <w:rFonts w:ascii="Arial" w:hAnsi="Arial" w:cs="Arial"/>
          <w:i/>
          <w:iCs/>
          <w:sz w:val="22"/>
          <w:szCs w:val="22"/>
        </w:rPr>
        <w:t>The Guardian</w:t>
      </w:r>
      <w:r w:rsidRPr="007A6257">
        <w:rPr>
          <w:rFonts w:ascii="Arial" w:hAnsi="Arial" w:cs="Arial"/>
          <w:sz w:val="22"/>
          <w:szCs w:val="22"/>
        </w:rPr>
        <w:t xml:space="preserve">, 12 January. Available at: </w:t>
      </w:r>
      <w:hyperlink r:id="rId22" w:tgtFrame="_new" w:history="1">
        <w:r w:rsidRPr="007A6257">
          <w:rPr>
            <w:rStyle w:val="Hyperlink"/>
            <w:rFonts w:ascii="Arial" w:hAnsi="Arial" w:cs="Arial"/>
            <w:sz w:val="22"/>
            <w:szCs w:val="22"/>
          </w:rPr>
          <w:t>https://www.theguardian.com</w:t>
        </w:r>
      </w:hyperlink>
      <w:r w:rsidRPr="007A6257">
        <w:rPr>
          <w:rFonts w:ascii="Arial" w:hAnsi="Arial" w:cs="Arial"/>
          <w:sz w:val="22"/>
          <w:szCs w:val="22"/>
        </w:rPr>
        <w:t xml:space="preserve"> (Accessed: 20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lastRenderedPageBreak/>
        <w:t xml:space="preserve">Office for Health Improvement &amp; Disparities (2025) </w:t>
      </w:r>
      <w:r w:rsidRPr="007A6257">
        <w:rPr>
          <w:rFonts w:ascii="Arial" w:hAnsi="Arial" w:cs="Arial"/>
          <w:i/>
          <w:iCs/>
          <w:sz w:val="22"/>
          <w:szCs w:val="22"/>
        </w:rPr>
        <w:t>Diabetes Profile: Statistical Commentary, March 2025</w:t>
      </w:r>
      <w:r w:rsidRPr="007A6257">
        <w:rPr>
          <w:rFonts w:ascii="Arial" w:hAnsi="Arial" w:cs="Arial"/>
          <w:sz w:val="22"/>
          <w:szCs w:val="22"/>
        </w:rPr>
        <w:t xml:space="preserve">. Available at: </w:t>
      </w:r>
      <w:hyperlink r:id="rId23" w:tgtFrame="_new" w:history="1">
        <w:r w:rsidRPr="007A6257">
          <w:rPr>
            <w:rStyle w:val="Hyperlink"/>
            <w:rFonts w:ascii="Arial" w:hAnsi="Arial" w:cs="Arial"/>
            <w:sz w:val="22"/>
            <w:szCs w:val="22"/>
          </w:rPr>
          <w:t>https://www.gov.uk/government/statistics/diabetes-profile-update-march-2025</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Office for National Statistics (2020) </w:t>
      </w:r>
      <w:r w:rsidRPr="007A6257">
        <w:rPr>
          <w:rFonts w:ascii="Arial" w:hAnsi="Arial" w:cs="Arial"/>
          <w:i/>
          <w:iCs/>
          <w:sz w:val="22"/>
          <w:szCs w:val="22"/>
        </w:rPr>
        <w:t>Overcrowded households by ethnic group</w:t>
      </w:r>
      <w:r w:rsidRPr="007A6257">
        <w:rPr>
          <w:rFonts w:ascii="Arial" w:hAnsi="Arial" w:cs="Arial"/>
          <w:sz w:val="22"/>
          <w:szCs w:val="22"/>
        </w:rPr>
        <w:t xml:space="preserve">. Available at: </w:t>
      </w:r>
      <w:hyperlink r:id="rId24" w:tgtFrame="_new" w:history="1">
        <w:r w:rsidRPr="007A6257">
          <w:rPr>
            <w:rStyle w:val="Hyperlink"/>
            <w:rFonts w:ascii="Arial" w:hAnsi="Arial" w:cs="Arial"/>
            <w:sz w:val="22"/>
            <w:szCs w:val="22"/>
          </w:rPr>
          <w:t>https://www.ons.gov.uk</w:t>
        </w:r>
      </w:hyperlink>
      <w:r w:rsidRPr="007A6257">
        <w:rPr>
          <w:rFonts w:ascii="Arial" w:hAnsi="Arial" w:cs="Arial"/>
          <w:sz w:val="22"/>
          <w:szCs w:val="22"/>
        </w:rPr>
        <w:t xml:space="preserve"> (Accessed: 20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Office for National Statistics (2021) </w:t>
      </w:r>
      <w:r w:rsidRPr="007A6257">
        <w:rPr>
          <w:rFonts w:ascii="Arial" w:hAnsi="Arial" w:cs="Arial"/>
          <w:i/>
          <w:iCs/>
          <w:sz w:val="22"/>
          <w:szCs w:val="22"/>
        </w:rPr>
        <w:t>Mortality from heart disease by ethnicity</w:t>
      </w:r>
      <w:r w:rsidRPr="007A6257">
        <w:rPr>
          <w:rFonts w:ascii="Arial" w:hAnsi="Arial" w:cs="Arial"/>
          <w:sz w:val="22"/>
          <w:szCs w:val="22"/>
        </w:rPr>
        <w:t xml:space="preserve">. Available at: </w:t>
      </w:r>
      <w:hyperlink r:id="rId25" w:tgtFrame="_new" w:history="1">
        <w:r w:rsidRPr="007A6257">
          <w:rPr>
            <w:rStyle w:val="Hyperlink"/>
            <w:rFonts w:ascii="Arial" w:hAnsi="Arial" w:cs="Arial"/>
            <w:sz w:val="22"/>
            <w:szCs w:val="22"/>
          </w:rPr>
          <w:t>https://www.ons.gov.uk</w:t>
        </w:r>
      </w:hyperlink>
      <w:r w:rsidRPr="007A6257">
        <w:rPr>
          <w:rFonts w:ascii="Arial" w:hAnsi="Arial" w:cs="Arial"/>
          <w:sz w:val="22"/>
          <w:szCs w:val="22"/>
        </w:rPr>
        <w:t xml:space="preserve"> (Accessed: 20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Office for National Statistics (2024) ‘Life expectancy and healthy life expectancy’, </w:t>
      </w:r>
      <w:r w:rsidRPr="007A6257">
        <w:rPr>
          <w:rFonts w:ascii="Arial" w:hAnsi="Arial" w:cs="Arial"/>
          <w:i/>
          <w:iCs/>
          <w:sz w:val="22"/>
          <w:szCs w:val="22"/>
        </w:rPr>
        <w:t>Health Profile for England</w:t>
      </w:r>
      <w:r w:rsidRPr="007A6257">
        <w:rPr>
          <w:rFonts w:ascii="Arial" w:hAnsi="Arial" w:cs="Arial"/>
          <w:sz w:val="22"/>
          <w:szCs w:val="22"/>
        </w:rPr>
        <w:t xml:space="preserve">. Available at: </w:t>
      </w:r>
      <w:hyperlink r:id="rId26" w:tgtFrame="_new" w:history="1">
        <w:r w:rsidRPr="007A6257">
          <w:rPr>
            <w:rStyle w:val="Hyperlink"/>
            <w:rFonts w:ascii="Arial" w:hAnsi="Arial" w:cs="Arial"/>
            <w:sz w:val="22"/>
            <w:szCs w:val="22"/>
          </w:rPr>
          <w:t>https://www.gov.uk/government/publications/health-profile-for-england</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Public Health England (2020) </w:t>
      </w:r>
      <w:r w:rsidRPr="007A6257">
        <w:rPr>
          <w:rFonts w:ascii="Arial" w:hAnsi="Arial" w:cs="Arial"/>
          <w:i/>
          <w:iCs/>
          <w:sz w:val="22"/>
          <w:szCs w:val="22"/>
        </w:rPr>
        <w:t>Beyond the data: Understanding COVID-19 and ethnic inequalities</w:t>
      </w:r>
      <w:r w:rsidRPr="007A6257">
        <w:rPr>
          <w:rFonts w:ascii="Arial" w:hAnsi="Arial" w:cs="Arial"/>
          <w:sz w:val="22"/>
          <w:szCs w:val="22"/>
        </w:rPr>
        <w:t xml:space="preserve">. Available at: </w:t>
      </w:r>
      <w:hyperlink r:id="rId27" w:tgtFrame="_new" w:history="1">
        <w:r w:rsidRPr="007A6257">
          <w:rPr>
            <w:rStyle w:val="Hyperlink"/>
            <w:rFonts w:ascii="Arial" w:hAnsi="Arial" w:cs="Arial"/>
            <w:sz w:val="22"/>
            <w:szCs w:val="22"/>
          </w:rPr>
          <w:t>https://www.gov.uk</w:t>
        </w:r>
      </w:hyperlink>
      <w:r w:rsidRPr="007A6257">
        <w:rPr>
          <w:rFonts w:ascii="Arial" w:hAnsi="Arial" w:cs="Arial"/>
          <w:sz w:val="22"/>
          <w:szCs w:val="22"/>
        </w:rPr>
        <w:t xml:space="preserve"> (Accessed: 20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Raleigh, V. (2018) </w:t>
      </w:r>
      <w:r w:rsidRPr="007A6257">
        <w:rPr>
          <w:rFonts w:ascii="Arial" w:hAnsi="Arial" w:cs="Arial"/>
          <w:i/>
          <w:iCs/>
          <w:sz w:val="22"/>
          <w:szCs w:val="22"/>
        </w:rPr>
        <w:t>Ethnic health inequalities in the UK</w:t>
      </w:r>
      <w:r w:rsidRPr="007A6257">
        <w:rPr>
          <w:rFonts w:ascii="Arial" w:hAnsi="Arial" w:cs="Arial"/>
          <w:sz w:val="22"/>
          <w:szCs w:val="22"/>
        </w:rPr>
        <w:t xml:space="preserve">. London: The King’s Fund. Available at: </w:t>
      </w:r>
      <w:hyperlink r:id="rId28" w:tgtFrame="_new" w:history="1">
        <w:r w:rsidRPr="007A6257">
          <w:rPr>
            <w:rStyle w:val="Hyperlink"/>
            <w:rFonts w:ascii="Arial" w:hAnsi="Arial" w:cs="Arial"/>
            <w:sz w:val="22"/>
            <w:szCs w:val="22"/>
          </w:rPr>
          <w:t>https://www.kingsfund.org.uk</w:t>
        </w:r>
      </w:hyperlink>
      <w:r w:rsidRPr="007A6257">
        <w:rPr>
          <w:rFonts w:ascii="Arial" w:hAnsi="Arial" w:cs="Arial"/>
          <w:sz w:val="22"/>
          <w:szCs w:val="22"/>
        </w:rPr>
        <w:t xml:space="preserve"> (Accessed: 20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Royal College of Obstetricians and Gynaecologists (2021) </w:t>
      </w:r>
      <w:r w:rsidRPr="007A6257">
        <w:rPr>
          <w:rFonts w:ascii="Arial" w:hAnsi="Arial" w:cs="Arial"/>
          <w:i/>
          <w:iCs/>
          <w:sz w:val="22"/>
          <w:szCs w:val="22"/>
        </w:rPr>
        <w:t>Better for women: Addressing ethnic inequalities in maternity care</w:t>
      </w:r>
      <w:r w:rsidRPr="007A6257">
        <w:rPr>
          <w:rFonts w:ascii="Arial" w:hAnsi="Arial" w:cs="Arial"/>
          <w:sz w:val="22"/>
          <w:szCs w:val="22"/>
        </w:rPr>
        <w:t xml:space="preserve">. Available at: </w:t>
      </w:r>
      <w:hyperlink r:id="rId29" w:tgtFrame="_new" w:history="1">
        <w:r w:rsidRPr="007A6257">
          <w:rPr>
            <w:rStyle w:val="Hyperlink"/>
            <w:rFonts w:ascii="Arial" w:hAnsi="Arial" w:cs="Arial"/>
            <w:sz w:val="22"/>
            <w:szCs w:val="22"/>
          </w:rPr>
          <w:t>https://www.rcog.org.uk</w:t>
        </w:r>
      </w:hyperlink>
      <w:r w:rsidRPr="007A6257">
        <w:rPr>
          <w:rFonts w:ascii="Arial" w:hAnsi="Arial" w:cs="Arial"/>
          <w:sz w:val="22"/>
          <w:szCs w:val="22"/>
        </w:rPr>
        <w:t xml:space="preserve"> (Accessed: 20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Royal College of Paediatrics and Child Health (2025) </w:t>
      </w:r>
      <w:r w:rsidRPr="007A6257">
        <w:rPr>
          <w:rFonts w:ascii="Arial" w:hAnsi="Arial" w:cs="Arial"/>
          <w:i/>
          <w:iCs/>
          <w:sz w:val="22"/>
          <w:szCs w:val="22"/>
        </w:rPr>
        <w:t>NPDA Spotlight Report: Type 2 Diabetes 2023/24</w:t>
      </w:r>
      <w:r w:rsidRPr="007A6257">
        <w:rPr>
          <w:rFonts w:ascii="Arial" w:hAnsi="Arial" w:cs="Arial"/>
          <w:sz w:val="22"/>
          <w:szCs w:val="22"/>
        </w:rPr>
        <w:t xml:space="preserve">. Available at: </w:t>
      </w:r>
      <w:hyperlink r:id="rId30" w:tgtFrame="_new" w:history="1">
        <w:r w:rsidRPr="007A6257">
          <w:rPr>
            <w:rStyle w:val="Hyperlink"/>
            <w:rFonts w:ascii="Arial" w:hAnsi="Arial" w:cs="Arial"/>
            <w:sz w:val="22"/>
            <w:szCs w:val="22"/>
          </w:rPr>
          <w:t>https://www.rcpch.ac.uk/resources/npda-spotlight-audit-reports</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Tower Hamlets Council (2015) </w:t>
      </w:r>
      <w:r w:rsidRPr="007A6257">
        <w:rPr>
          <w:rFonts w:ascii="Arial" w:hAnsi="Arial" w:cs="Arial"/>
          <w:i/>
          <w:iCs/>
          <w:sz w:val="22"/>
          <w:szCs w:val="22"/>
        </w:rPr>
        <w:t>Type 2 Diabetes Factsheet</w:t>
      </w:r>
      <w:r w:rsidRPr="007A6257">
        <w:rPr>
          <w:rFonts w:ascii="Arial" w:hAnsi="Arial" w:cs="Arial"/>
          <w:sz w:val="22"/>
          <w:szCs w:val="22"/>
        </w:rPr>
        <w:t xml:space="preserve">, Joint Strategic Needs Assessment. Available at: </w:t>
      </w:r>
      <w:hyperlink r:id="rId31" w:tgtFrame="_new" w:history="1">
        <w:r w:rsidRPr="007A6257">
          <w:rPr>
            <w:rStyle w:val="Hyperlink"/>
            <w:rFonts w:ascii="Arial" w:hAnsi="Arial" w:cs="Arial"/>
            <w:sz w:val="22"/>
            <w:szCs w:val="22"/>
          </w:rPr>
          <w:t>https://www.towerhamlets.gov.uk/Documents/Public-Health/JSNA/Type_2_diabetes.pdf</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The Guardian (2022) ‘Black mothers twice as likely to be admitted for perinatal mental illness’, </w:t>
      </w:r>
      <w:r w:rsidRPr="007A6257">
        <w:rPr>
          <w:rFonts w:ascii="Arial" w:hAnsi="Arial" w:cs="Arial"/>
          <w:i/>
          <w:iCs/>
          <w:sz w:val="22"/>
          <w:szCs w:val="22"/>
        </w:rPr>
        <w:t>The Guardian</w:t>
      </w:r>
      <w:r w:rsidRPr="007A6257">
        <w:rPr>
          <w:rFonts w:ascii="Arial" w:hAnsi="Arial" w:cs="Arial"/>
          <w:sz w:val="22"/>
          <w:szCs w:val="22"/>
        </w:rPr>
        <w:t xml:space="preserve">, 8 July. Available at: </w:t>
      </w:r>
      <w:hyperlink r:id="rId32" w:tgtFrame="_new" w:history="1">
        <w:r w:rsidRPr="007A6257">
          <w:rPr>
            <w:rStyle w:val="Hyperlink"/>
            <w:rFonts w:ascii="Arial" w:hAnsi="Arial" w:cs="Arial"/>
            <w:sz w:val="22"/>
            <w:szCs w:val="22"/>
          </w:rPr>
          <w:t>https://www.theguardian.com</w:t>
        </w:r>
      </w:hyperlink>
      <w:r w:rsidRPr="007A6257">
        <w:rPr>
          <w:rFonts w:ascii="Arial" w:hAnsi="Arial" w:cs="Arial"/>
          <w:sz w:val="22"/>
          <w:szCs w:val="22"/>
        </w:rPr>
        <w:t xml:space="preserve"> (Accessed: 20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lastRenderedPageBreak/>
        <w:t xml:space="preserve">The Motherhood Group (2024) </w:t>
      </w:r>
      <w:r w:rsidRPr="007A6257">
        <w:rPr>
          <w:rFonts w:ascii="Arial" w:hAnsi="Arial" w:cs="Arial"/>
          <w:i/>
          <w:iCs/>
          <w:sz w:val="22"/>
          <w:szCs w:val="22"/>
        </w:rPr>
        <w:t>Campaign for Black maternal health equity</w:t>
      </w:r>
      <w:r w:rsidRPr="007A6257">
        <w:rPr>
          <w:rFonts w:ascii="Arial" w:hAnsi="Arial" w:cs="Arial"/>
          <w:sz w:val="22"/>
          <w:szCs w:val="22"/>
        </w:rPr>
        <w:t xml:space="preserve">. Available at: </w:t>
      </w:r>
      <w:hyperlink r:id="rId33" w:tgtFrame="_new" w:history="1">
        <w:r w:rsidRPr="007A6257">
          <w:rPr>
            <w:rStyle w:val="Hyperlink"/>
            <w:rFonts w:ascii="Arial" w:hAnsi="Arial" w:cs="Arial"/>
            <w:sz w:val="22"/>
            <w:szCs w:val="22"/>
          </w:rPr>
          <w:t>https://www.themotherhoodgroup.com</w:t>
        </w:r>
      </w:hyperlink>
      <w:r w:rsidRPr="007A6257">
        <w:rPr>
          <w:rFonts w:ascii="Arial" w:hAnsi="Arial" w:cs="Arial"/>
          <w:sz w:val="22"/>
          <w:szCs w:val="22"/>
        </w:rPr>
        <w:t xml:space="preserve"> (Accessed: 20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Women’s Budget Group (2025) ‘Life expectancy for women has fallen’. Available at: </w:t>
      </w:r>
      <w:hyperlink r:id="rId34" w:tgtFrame="_new" w:history="1">
        <w:r w:rsidRPr="007A6257">
          <w:rPr>
            <w:rStyle w:val="Hyperlink"/>
            <w:rFonts w:ascii="Arial" w:hAnsi="Arial" w:cs="Arial"/>
            <w:sz w:val="22"/>
            <w:szCs w:val="22"/>
          </w:rPr>
          <w:t>https://www.wbg.org.uk/article/office-for-national-statistics-data-life-expectancy-for-women-has-fallen/</w:t>
        </w:r>
      </w:hyperlink>
      <w:r w:rsidRPr="007A6257">
        <w:rPr>
          <w:rFonts w:ascii="Arial" w:hAnsi="Arial" w:cs="Arial"/>
          <w:sz w:val="22"/>
          <w:szCs w:val="22"/>
        </w:rPr>
        <w:t xml:space="preserve"> (Accessed: 15 November 2025).</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Williams, D. and Mohammed, S. (2020) ‘Racism as a determinant of health’, </w:t>
      </w:r>
      <w:r w:rsidRPr="007A6257">
        <w:rPr>
          <w:rFonts w:ascii="Arial" w:hAnsi="Arial" w:cs="Arial"/>
          <w:i/>
          <w:iCs/>
          <w:sz w:val="22"/>
          <w:szCs w:val="22"/>
        </w:rPr>
        <w:t>Annual Review of Public Health</w:t>
      </w:r>
      <w:r w:rsidRPr="007A6257">
        <w:rPr>
          <w:rFonts w:ascii="Arial" w:hAnsi="Arial" w:cs="Arial"/>
          <w:sz w:val="22"/>
          <w:szCs w:val="22"/>
        </w:rPr>
        <w:t>, 41, pp. 1–20.</w:t>
      </w:r>
    </w:p>
    <w:p w:rsidR="007A6257" w:rsidRPr="007A6257" w:rsidRDefault="007A6257" w:rsidP="007A6257">
      <w:pPr>
        <w:spacing w:after="0" w:line="480" w:lineRule="auto"/>
        <w:jc w:val="both"/>
        <w:rPr>
          <w:rFonts w:ascii="Arial" w:hAnsi="Arial" w:cs="Arial"/>
          <w:sz w:val="22"/>
          <w:szCs w:val="22"/>
        </w:rPr>
      </w:pPr>
      <w:r w:rsidRPr="007A6257">
        <w:rPr>
          <w:rFonts w:ascii="Arial" w:hAnsi="Arial" w:cs="Arial"/>
          <w:sz w:val="22"/>
          <w:szCs w:val="22"/>
        </w:rPr>
        <w:t xml:space="preserve">World Health Organization (2021) </w:t>
      </w:r>
      <w:r w:rsidRPr="007A6257">
        <w:rPr>
          <w:rFonts w:ascii="Arial" w:hAnsi="Arial" w:cs="Arial"/>
          <w:i/>
          <w:iCs/>
          <w:sz w:val="22"/>
          <w:szCs w:val="22"/>
        </w:rPr>
        <w:t>Global Report on Diabetes</w:t>
      </w:r>
      <w:r w:rsidRPr="007A6257">
        <w:rPr>
          <w:rFonts w:ascii="Arial" w:hAnsi="Arial" w:cs="Arial"/>
          <w:sz w:val="22"/>
          <w:szCs w:val="22"/>
        </w:rPr>
        <w:t>. Geneva: WHO.</w:t>
      </w:r>
    </w:p>
    <w:p w:rsidR="00935D0E" w:rsidRPr="00D71AD4" w:rsidRDefault="00935D0E">
      <w:pPr>
        <w:rPr>
          <w:b/>
          <w:bCs/>
        </w:rPr>
      </w:pPr>
    </w:p>
    <w:sectPr w:rsidR="00935D0E" w:rsidRPr="00D71AD4" w:rsidSect="000A5CEE">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7F00" w:rsidRDefault="00467F00" w:rsidP="007A6257">
      <w:pPr>
        <w:spacing w:after="0" w:line="240" w:lineRule="auto"/>
      </w:pPr>
      <w:r>
        <w:separator/>
      </w:r>
    </w:p>
  </w:endnote>
  <w:endnote w:type="continuationSeparator" w:id="1">
    <w:p w:rsidR="00467F00" w:rsidRDefault="00467F00" w:rsidP="007A625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7F00" w:rsidRDefault="00467F00" w:rsidP="007A6257">
      <w:pPr>
        <w:spacing w:after="0" w:line="240" w:lineRule="auto"/>
      </w:pPr>
      <w:r>
        <w:separator/>
      </w:r>
    </w:p>
  </w:footnote>
  <w:footnote w:type="continuationSeparator" w:id="1">
    <w:p w:rsidR="00467F00" w:rsidRDefault="00467F00" w:rsidP="007A625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0B7EA7"/>
    <w:multiLevelType w:val="hybridMultilevel"/>
    <w:tmpl w:val="31C843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192F13"/>
    <w:multiLevelType w:val="hybridMultilevel"/>
    <w:tmpl w:val="45460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6481ADF"/>
    <w:multiLevelType w:val="multilevel"/>
    <w:tmpl w:val="27E02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7D40371"/>
    <w:multiLevelType w:val="multilevel"/>
    <w:tmpl w:val="5CC0B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A7019DF"/>
    <w:multiLevelType w:val="multilevel"/>
    <w:tmpl w:val="87321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AAA4497"/>
    <w:multiLevelType w:val="multilevel"/>
    <w:tmpl w:val="23328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C486AA5"/>
    <w:multiLevelType w:val="multilevel"/>
    <w:tmpl w:val="27124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1C55877"/>
    <w:multiLevelType w:val="multilevel"/>
    <w:tmpl w:val="40F6B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3A71B20"/>
    <w:multiLevelType w:val="multilevel"/>
    <w:tmpl w:val="B86A2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6FA299C"/>
    <w:multiLevelType w:val="hybridMultilevel"/>
    <w:tmpl w:val="41BC2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74F5C05"/>
    <w:multiLevelType w:val="multilevel"/>
    <w:tmpl w:val="0AC8E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FD13FE9"/>
    <w:multiLevelType w:val="multilevel"/>
    <w:tmpl w:val="FE943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A82722C"/>
    <w:multiLevelType w:val="hybridMultilevel"/>
    <w:tmpl w:val="851ABA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F5C14E5"/>
    <w:multiLevelType w:val="multilevel"/>
    <w:tmpl w:val="A43AB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0085EC0"/>
    <w:multiLevelType w:val="multilevel"/>
    <w:tmpl w:val="6C902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0A149C4"/>
    <w:multiLevelType w:val="multilevel"/>
    <w:tmpl w:val="430C7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2911AEC"/>
    <w:multiLevelType w:val="multilevel"/>
    <w:tmpl w:val="11F42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302217D"/>
    <w:multiLevelType w:val="multilevel"/>
    <w:tmpl w:val="F0AEF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3A86EAE"/>
    <w:multiLevelType w:val="multilevel"/>
    <w:tmpl w:val="A57AA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356F1631"/>
    <w:multiLevelType w:val="hybridMultilevel"/>
    <w:tmpl w:val="06100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7EC1C96"/>
    <w:multiLevelType w:val="hybridMultilevel"/>
    <w:tmpl w:val="499AF5F6"/>
    <w:lvl w:ilvl="0" w:tplc="04090001">
      <w:start w:val="1"/>
      <w:numFmt w:val="bullet"/>
      <w:lvlText w:val=""/>
      <w:lvlJc w:val="left"/>
      <w:pPr>
        <w:ind w:left="720" w:hanging="360"/>
      </w:pPr>
      <w:rPr>
        <w:rFonts w:ascii="Symbol" w:hAnsi="Symbol" w:hint="default"/>
      </w:rPr>
    </w:lvl>
    <w:lvl w:ilvl="1" w:tplc="8C74DFB6">
      <w:start w:val="1"/>
      <w:numFmt w:val="bullet"/>
      <w:lvlText w:val="-"/>
      <w:lvlJc w:val="left"/>
      <w:pPr>
        <w:ind w:left="144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3A7C6512"/>
    <w:multiLevelType w:val="multilevel"/>
    <w:tmpl w:val="61300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3CD201BD"/>
    <w:multiLevelType w:val="multilevel"/>
    <w:tmpl w:val="A858C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5063D98"/>
    <w:multiLevelType w:val="multilevel"/>
    <w:tmpl w:val="5D18F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84E0934"/>
    <w:multiLevelType w:val="multilevel"/>
    <w:tmpl w:val="7E6E9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A9E5D31"/>
    <w:multiLevelType w:val="hybridMultilevel"/>
    <w:tmpl w:val="72523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C8A14D5"/>
    <w:multiLevelType w:val="hybridMultilevel"/>
    <w:tmpl w:val="AE883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4D7B2EC3"/>
    <w:multiLevelType w:val="multilevel"/>
    <w:tmpl w:val="7840A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16F6286"/>
    <w:multiLevelType w:val="multilevel"/>
    <w:tmpl w:val="FCF01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2B479C6"/>
    <w:multiLevelType w:val="multilevel"/>
    <w:tmpl w:val="F1B0A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46B5E1F"/>
    <w:multiLevelType w:val="multilevel"/>
    <w:tmpl w:val="1C0C5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569F5541"/>
    <w:multiLevelType w:val="multilevel"/>
    <w:tmpl w:val="F2ECF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56E60BF3"/>
    <w:multiLevelType w:val="multilevel"/>
    <w:tmpl w:val="306E3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58FF6CFC"/>
    <w:multiLevelType w:val="multilevel"/>
    <w:tmpl w:val="88F45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5BAC2803"/>
    <w:multiLevelType w:val="multilevel"/>
    <w:tmpl w:val="45427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5CA4368F"/>
    <w:multiLevelType w:val="hybridMultilevel"/>
    <w:tmpl w:val="40AEB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5DFB23A8"/>
    <w:multiLevelType w:val="hybridMultilevel"/>
    <w:tmpl w:val="E5C2DE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5E6E7EA6"/>
    <w:multiLevelType w:val="hybridMultilevel"/>
    <w:tmpl w:val="1A627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60FE3AA6"/>
    <w:multiLevelType w:val="multilevel"/>
    <w:tmpl w:val="7BA4A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63601650"/>
    <w:multiLevelType w:val="hybridMultilevel"/>
    <w:tmpl w:val="AD3A1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6D1A4845"/>
    <w:multiLevelType w:val="multilevel"/>
    <w:tmpl w:val="A3D21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nsid w:val="6D1A498F"/>
    <w:multiLevelType w:val="multilevel"/>
    <w:tmpl w:val="56903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70583739"/>
    <w:multiLevelType w:val="multilevel"/>
    <w:tmpl w:val="A58EC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0955723"/>
    <w:multiLevelType w:val="hybridMultilevel"/>
    <w:tmpl w:val="57A00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71B1663E"/>
    <w:multiLevelType w:val="hybridMultilevel"/>
    <w:tmpl w:val="3EB2C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nsid w:val="7A4917FC"/>
    <w:multiLevelType w:val="multilevel"/>
    <w:tmpl w:val="C4581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nsid w:val="7CAC3294"/>
    <w:multiLevelType w:val="multilevel"/>
    <w:tmpl w:val="157A2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nsid w:val="7CD65FB2"/>
    <w:multiLevelType w:val="hybridMultilevel"/>
    <w:tmpl w:val="CEF63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nsid w:val="7F535CD2"/>
    <w:multiLevelType w:val="multilevel"/>
    <w:tmpl w:val="4EF0B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6"/>
  </w:num>
  <w:num w:numId="2">
    <w:abstractNumId w:val="29"/>
  </w:num>
  <w:num w:numId="3">
    <w:abstractNumId w:val="10"/>
  </w:num>
  <w:num w:numId="4">
    <w:abstractNumId w:val="5"/>
  </w:num>
  <w:num w:numId="5">
    <w:abstractNumId w:val="2"/>
  </w:num>
  <w:num w:numId="6">
    <w:abstractNumId w:val="41"/>
  </w:num>
  <w:num w:numId="7">
    <w:abstractNumId w:val="11"/>
  </w:num>
  <w:num w:numId="8">
    <w:abstractNumId w:val="18"/>
  </w:num>
  <w:num w:numId="9">
    <w:abstractNumId w:val="48"/>
  </w:num>
  <w:num w:numId="10">
    <w:abstractNumId w:val="40"/>
  </w:num>
  <w:num w:numId="11">
    <w:abstractNumId w:val="38"/>
  </w:num>
  <w:num w:numId="12">
    <w:abstractNumId w:val="8"/>
  </w:num>
  <w:num w:numId="13">
    <w:abstractNumId w:val="45"/>
  </w:num>
  <w:num w:numId="14">
    <w:abstractNumId w:val="27"/>
  </w:num>
  <w:num w:numId="15">
    <w:abstractNumId w:val="24"/>
  </w:num>
  <w:num w:numId="16">
    <w:abstractNumId w:val="21"/>
  </w:num>
  <w:num w:numId="17">
    <w:abstractNumId w:val="31"/>
  </w:num>
  <w:num w:numId="18">
    <w:abstractNumId w:val="4"/>
  </w:num>
  <w:num w:numId="19">
    <w:abstractNumId w:val="42"/>
  </w:num>
  <w:num w:numId="20">
    <w:abstractNumId w:val="14"/>
  </w:num>
  <w:num w:numId="21">
    <w:abstractNumId w:val="7"/>
  </w:num>
  <w:num w:numId="22">
    <w:abstractNumId w:val="34"/>
  </w:num>
  <w:num w:numId="23">
    <w:abstractNumId w:val="17"/>
  </w:num>
  <w:num w:numId="24">
    <w:abstractNumId w:val="33"/>
  </w:num>
  <w:num w:numId="25">
    <w:abstractNumId w:val="30"/>
  </w:num>
  <w:num w:numId="26">
    <w:abstractNumId w:val="3"/>
  </w:num>
  <w:num w:numId="27">
    <w:abstractNumId w:val="32"/>
  </w:num>
  <w:num w:numId="28">
    <w:abstractNumId w:val="15"/>
  </w:num>
  <w:num w:numId="29">
    <w:abstractNumId w:val="22"/>
  </w:num>
  <w:num w:numId="30">
    <w:abstractNumId w:val="23"/>
  </w:num>
  <w:num w:numId="31">
    <w:abstractNumId w:val="16"/>
  </w:num>
  <w:num w:numId="32">
    <w:abstractNumId w:val="13"/>
  </w:num>
  <w:num w:numId="33">
    <w:abstractNumId w:val="6"/>
  </w:num>
  <w:num w:numId="34">
    <w:abstractNumId w:val="28"/>
  </w:num>
  <w:num w:numId="35">
    <w:abstractNumId w:val="39"/>
  </w:num>
  <w:num w:numId="36">
    <w:abstractNumId w:val="20"/>
  </w:num>
  <w:num w:numId="37">
    <w:abstractNumId w:val="36"/>
  </w:num>
  <w:num w:numId="38">
    <w:abstractNumId w:val="19"/>
  </w:num>
  <w:num w:numId="39">
    <w:abstractNumId w:val="12"/>
  </w:num>
  <w:num w:numId="40">
    <w:abstractNumId w:val="25"/>
  </w:num>
  <w:num w:numId="41">
    <w:abstractNumId w:val="35"/>
  </w:num>
  <w:num w:numId="42">
    <w:abstractNumId w:val="44"/>
  </w:num>
  <w:num w:numId="43">
    <w:abstractNumId w:val="9"/>
  </w:num>
  <w:num w:numId="44">
    <w:abstractNumId w:val="43"/>
  </w:num>
  <w:num w:numId="45">
    <w:abstractNumId w:val="26"/>
  </w:num>
  <w:num w:numId="46">
    <w:abstractNumId w:val="37"/>
  </w:num>
  <w:num w:numId="47">
    <w:abstractNumId w:val="0"/>
  </w:num>
  <w:num w:numId="48">
    <w:abstractNumId w:val="1"/>
  </w:num>
  <w:num w:numId="49">
    <w:abstractNumId w:val="4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6"/>
  <w:defaultTabStop w:val="720"/>
  <w:characterSpacingControl w:val="doNotCompress"/>
  <w:footnotePr>
    <w:footnote w:id="0"/>
    <w:footnote w:id="1"/>
  </w:footnotePr>
  <w:endnotePr>
    <w:endnote w:id="0"/>
    <w:endnote w:id="1"/>
  </w:endnotePr>
  <w:compat/>
  <w:rsids>
    <w:rsidRoot w:val="00D71AD4"/>
    <w:rsid w:val="00035FEB"/>
    <w:rsid w:val="000A1072"/>
    <w:rsid w:val="000A5CEE"/>
    <w:rsid w:val="001D4750"/>
    <w:rsid w:val="0025784E"/>
    <w:rsid w:val="002846B3"/>
    <w:rsid w:val="002E216E"/>
    <w:rsid w:val="002E2A1F"/>
    <w:rsid w:val="0030603A"/>
    <w:rsid w:val="00326984"/>
    <w:rsid w:val="003C06E3"/>
    <w:rsid w:val="003F284E"/>
    <w:rsid w:val="0040675B"/>
    <w:rsid w:val="00467F00"/>
    <w:rsid w:val="005D1B17"/>
    <w:rsid w:val="00692244"/>
    <w:rsid w:val="00736EBB"/>
    <w:rsid w:val="00780AA6"/>
    <w:rsid w:val="007A6257"/>
    <w:rsid w:val="00862769"/>
    <w:rsid w:val="00933E66"/>
    <w:rsid w:val="00935D0E"/>
    <w:rsid w:val="00975CAF"/>
    <w:rsid w:val="009B0ED1"/>
    <w:rsid w:val="00A06C21"/>
    <w:rsid w:val="00A54134"/>
    <w:rsid w:val="00A90373"/>
    <w:rsid w:val="00AC258B"/>
    <w:rsid w:val="00C42589"/>
    <w:rsid w:val="00D03B85"/>
    <w:rsid w:val="00D51BAA"/>
    <w:rsid w:val="00D71AD4"/>
    <w:rsid w:val="00E565BB"/>
    <w:rsid w:val="00EB7E50"/>
    <w:rsid w:val="00EC5D14"/>
    <w:rsid w:val="00F31EBD"/>
    <w:rsid w:val="00F76E79"/>
    <w:rsid w:val="00F80C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5CEE"/>
  </w:style>
  <w:style w:type="paragraph" w:styleId="Heading1">
    <w:name w:val="heading 1"/>
    <w:basedOn w:val="Normal"/>
    <w:next w:val="Normal"/>
    <w:link w:val="Heading1Char"/>
    <w:uiPriority w:val="9"/>
    <w:qFormat/>
    <w:rsid w:val="00D71AD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71AD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1AD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1AD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1AD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1A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1A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1A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1A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AD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1AD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1AD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1AD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1AD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1A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1A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1A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1AD4"/>
    <w:rPr>
      <w:rFonts w:eastAsiaTheme="majorEastAsia" w:cstheme="majorBidi"/>
      <w:color w:val="272727" w:themeColor="text1" w:themeTint="D8"/>
    </w:rPr>
  </w:style>
  <w:style w:type="paragraph" w:styleId="Title">
    <w:name w:val="Title"/>
    <w:basedOn w:val="Normal"/>
    <w:next w:val="Normal"/>
    <w:link w:val="TitleChar"/>
    <w:uiPriority w:val="10"/>
    <w:qFormat/>
    <w:rsid w:val="00D71A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1A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1A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1A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1AD4"/>
    <w:pPr>
      <w:spacing w:before="160"/>
      <w:jc w:val="center"/>
    </w:pPr>
    <w:rPr>
      <w:i/>
      <w:iCs/>
      <w:color w:val="404040" w:themeColor="text1" w:themeTint="BF"/>
    </w:rPr>
  </w:style>
  <w:style w:type="character" w:customStyle="1" w:styleId="QuoteChar">
    <w:name w:val="Quote Char"/>
    <w:basedOn w:val="DefaultParagraphFont"/>
    <w:link w:val="Quote"/>
    <w:uiPriority w:val="29"/>
    <w:rsid w:val="00D71AD4"/>
    <w:rPr>
      <w:i/>
      <w:iCs/>
      <w:color w:val="404040" w:themeColor="text1" w:themeTint="BF"/>
    </w:rPr>
  </w:style>
  <w:style w:type="paragraph" w:styleId="ListParagraph">
    <w:name w:val="List Paragraph"/>
    <w:basedOn w:val="Normal"/>
    <w:uiPriority w:val="34"/>
    <w:qFormat/>
    <w:rsid w:val="00D71AD4"/>
    <w:pPr>
      <w:ind w:left="720"/>
      <w:contextualSpacing/>
    </w:pPr>
  </w:style>
  <w:style w:type="character" w:styleId="IntenseEmphasis">
    <w:name w:val="Intense Emphasis"/>
    <w:basedOn w:val="DefaultParagraphFont"/>
    <w:uiPriority w:val="21"/>
    <w:qFormat/>
    <w:rsid w:val="00D71AD4"/>
    <w:rPr>
      <w:i/>
      <w:iCs/>
      <w:color w:val="2F5496" w:themeColor="accent1" w:themeShade="BF"/>
    </w:rPr>
  </w:style>
  <w:style w:type="paragraph" w:styleId="IntenseQuote">
    <w:name w:val="Intense Quote"/>
    <w:basedOn w:val="Normal"/>
    <w:next w:val="Normal"/>
    <w:link w:val="IntenseQuoteChar"/>
    <w:uiPriority w:val="30"/>
    <w:qFormat/>
    <w:rsid w:val="00D71A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1AD4"/>
    <w:rPr>
      <w:i/>
      <w:iCs/>
      <w:color w:val="2F5496" w:themeColor="accent1" w:themeShade="BF"/>
    </w:rPr>
  </w:style>
  <w:style w:type="character" w:styleId="IntenseReference">
    <w:name w:val="Intense Reference"/>
    <w:basedOn w:val="DefaultParagraphFont"/>
    <w:uiPriority w:val="32"/>
    <w:qFormat/>
    <w:rsid w:val="00D71AD4"/>
    <w:rPr>
      <w:b/>
      <w:bCs/>
      <w:smallCaps/>
      <w:color w:val="2F5496" w:themeColor="accent1" w:themeShade="BF"/>
      <w:spacing w:val="5"/>
    </w:rPr>
  </w:style>
  <w:style w:type="character" w:styleId="Hyperlink">
    <w:name w:val="Hyperlink"/>
    <w:basedOn w:val="DefaultParagraphFont"/>
    <w:uiPriority w:val="99"/>
    <w:unhideWhenUsed/>
    <w:rsid w:val="00975CAF"/>
    <w:rPr>
      <w:color w:val="0563C1" w:themeColor="hyperlink"/>
      <w:u w:val="single"/>
    </w:rPr>
  </w:style>
  <w:style w:type="character" w:customStyle="1" w:styleId="UnresolvedMention">
    <w:name w:val="Unresolved Mention"/>
    <w:basedOn w:val="DefaultParagraphFont"/>
    <w:uiPriority w:val="99"/>
    <w:semiHidden/>
    <w:unhideWhenUsed/>
    <w:rsid w:val="00975CAF"/>
    <w:rPr>
      <w:color w:val="605E5C"/>
      <w:shd w:val="clear" w:color="auto" w:fill="E1DFDD"/>
    </w:rPr>
  </w:style>
  <w:style w:type="table" w:styleId="TableGrid">
    <w:name w:val="Table Grid"/>
    <w:basedOn w:val="TableNormal"/>
    <w:uiPriority w:val="39"/>
    <w:rsid w:val="001D475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A62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257"/>
  </w:style>
  <w:style w:type="paragraph" w:styleId="Footer">
    <w:name w:val="footer"/>
    <w:basedOn w:val="Normal"/>
    <w:link w:val="FooterChar"/>
    <w:uiPriority w:val="99"/>
    <w:unhideWhenUsed/>
    <w:rsid w:val="007A62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257"/>
  </w:style>
  <w:style w:type="paragraph" w:styleId="TOCHeading">
    <w:name w:val="TOC Heading"/>
    <w:basedOn w:val="Heading1"/>
    <w:next w:val="Normal"/>
    <w:uiPriority w:val="39"/>
    <w:unhideWhenUsed/>
    <w:qFormat/>
    <w:rsid w:val="007A6257"/>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7A6257"/>
    <w:pPr>
      <w:spacing w:after="100"/>
    </w:pPr>
  </w:style>
  <w:style w:type="paragraph" w:styleId="BalloonText">
    <w:name w:val="Balloon Text"/>
    <w:basedOn w:val="Normal"/>
    <w:link w:val="BalloonTextChar"/>
    <w:uiPriority w:val="99"/>
    <w:semiHidden/>
    <w:unhideWhenUsed/>
    <w:rsid w:val="00C425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258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 TargetMode="External"/><Relationship Id="rId13" Type="http://schemas.openxmlformats.org/officeDocument/2006/relationships/hyperlink" Target="https://www.equalityhumanrights.com" TargetMode="External"/><Relationship Id="rId18" Type="http://schemas.openxmlformats.org/officeDocument/2006/relationships/hyperlink" Target="https://www.nice.org.uk/guidance/ng28" TargetMode="External"/><Relationship Id="rId26" Type="http://schemas.openxmlformats.org/officeDocument/2006/relationships/hyperlink" Target="https://www.gov.uk/government/publications/health-profile-for-england" TargetMode="External"/><Relationship Id="rId3" Type="http://schemas.openxmlformats.org/officeDocument/2006/relationships/styles" Target="styles.xml"/><Relationship Id="rId21" Type="http://schemas.openxmlformats.org/officeDocument/2006/relationships/hyperlink" Target="https://www.england.nhs.uk/long-read/womens-health-hubs-providing-integrated-care-at-neighbourhood-level/" TargetMode="External"/><Relationship Id="rId34" Type="http://schemas.openxmlformats.org/officeDocument/2006/relationships/hyperlink" Target="https://www.wbg.org.uk/article/office-for-national-statistics-data-life-expectancy-for-women-has-fallen/" TargetMode="External"/><Relationship Id="rId7" Type="http://schemas.openxmlformats.org/officeDocument/2006/relationships/endnotes" Target="endnotes.xml"/><Relationship Id="rId12" Type="http://schemas.openxmlformats.org/officeDocument/2006/relationships/hyperlink" Target="https://www.diabetes.org.uk/about-us/news-and-views/one-five-adults-now-live-diabetes-or-prediabetes-uk" TargetMode="External"/><Relationship Id="rId17" Type="http://schemas.openxmlformats.org/officeDocument/2006/relationships/hyperlink" Target="https://www.maternityaction.org.uk" TargetMode="External"/><Relationship Id="rId25" Type="http://schemas.openxmlformats.org/officeDocument/2006/relationships/hyperlink" Target="https://www.ons.gov.uk" TargetMode="External"/><Relationship Id="rId33" Type="http://schemas.openxmlformats.org/officeDocument/2006/relationships/hyperlink" Target="https://www.themotherhoodgroup.com" TargetMode="External"/><Relationship Id="rId2" Type="http://schemas.openxmlformats.org/officeDocument/2006/relationships/numbering" Target="numbering.xml"/><Relationship Id="rId16" Type="http://schemas.openxmlformats.org/officeDocument/2006/relationships/hyperlink" Target="https://www.towerhamlets.gov.uk/Documents/Public-Health/Pharmaceutical-Needs-Assessment-2023.pdf" TargetMode="External"/><Relationship Id="rId20" Type="http://schemas.openxmlformats.org/officeDocument/2006/relationships/hyperlink" Target="https://www.england.nhs.uk/long-read/womens-health-hubs/" TargetMode="External"/><Relationship Id="rId29" Type="http://schemas.openxmlformats.org/officeDocument/2006/relationships/hyperlink" Target="https://www.rcog.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sites/default/files/2024-04/NDA%20Healthcare%20Improvement%20Plan%202023-25.pdf" TargetMode="External"/><Relationship Id="rId24" Type="http://schemas.openxmlformats.org/officeDocument/2006/relationships/hyperlink" Target="https://www.ons.gov.uk" TargetMode="External"/><Relationship Id="rId32" Type="http://schemas.openxmlformats.org/officeDocument/2006/relationships/hyperlink" Target="https://www.theguardian.com" TargetMode="External"/><Relationship Id="rId5" Type="http://schemas.openxmlformats.org/officeDocument/2006/relationships/webSettings" Target="webSettings.xml"/><Relationship Id="rId15" Type="http://schemas.openxmlformats.org/officeDocument/2006/relationships/hyperlink" Target="https://committees.parliament.uk" TargetMode="External"/><Relationship Id="rId23" Type="http://schemas.openxmlformats.org/officeDocument/2006/relationships/hyperlink" Target="https://www.gov.uk/government/statistics/diabetes-profile-update-march-2025" TargetMode="External"/><Relationship Id="rId28" Type="http://schemas.openxmlformats.org/officeDocument/2006/relationships/hyperlink" Target="https://www.kingsfund.org.uk" TargetMode="External"/><Relationship Id="rId36" Type="http://schemas.openxmlformats.org/officeDocument/2006/relationships/theme" Target="theme/theme1.xml"/><Relationship Id="rId10" Type="http://schemas.openxmlformats.org/officeDocument/2006/relationships/hyperlink" Target="https://www.gov.uk/government/publications/womens-health-hubs-information-and-guidance/womens-health-hubs-core-specification" TargetMode="External"/><Relationship Id="rId19" Type="http://schemas.openxmlformats.org/officeDocument/2006/relationships/hyperlink" Target="https://www.england.nhs.uk/2024/06/nhs-identifies-over-half-a-million-more-people-at-risk-of-type-2-diabetes-in-a-year/" TargetMode="External"/><Relationship Id="rId31" Type="http://schemas.openxmlformats.org/officeDocument/2006/relationships/hyperlink" Target="https://www.towerhamlets.gov.uk/Documents/Public-Health/JSNA/Type_2_diabetes.pdf" TargetMode="External"/><Relationship Id="rId4" Type="http://schemas.openxmlformats.org/officeDocument/2006/relationships/settings" Target="settings.xml"/><Relationship Id="rId9" Type="http://schemas.openxmlformats.org/officeDocument/2006/relationships/hyperlink" Target="https://www.gov.uk/government/publications/womens-health-strategy-for-england" TargetMode="External"/><Relationship Id="rId14" Type="http://schemas.openxmlformats.org/officeDocument/2006/relationships/hyperlink" Target="https://www.hqip.org.uk/resource/type-2-npda-2023-24/" TargetMode="External"/><Relationship Id="rId22" Type="http://schemas.openxmlformats.org/officeDocument/2006/relationships/hyperlink" Target="https://www.theguardian.com" TargetMode="External"/><Relationship Id="rId27" Type="http://schemas.openxmlformats.org/officeDocument/2006/relationships/hyperlink" Target="https://www.gov.uk" TargetMode="External"/><Relationship Id="rId30" Type="http://schemas.openxmlformats.org/officeDocument/2006/relationships/hyperlink" Target="https://www.rcpch.ac.uk/resources/npda-spotlight-audit-report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8BB29-2449-4548-A5CF-67B98F4C0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18</Pages>
  <Words>4212</Words>
  <Characters>24010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Ritu Panna Saha</dc:creator>
  <cp:keywords/>
  <dc:description/>
  <cp:lastModifiedBy>Lenovo</cp:lastModifiedBy>
  <cp:revision>9</cp:revision>
  <dcterms:created xsi:type="dcterms:W3CDTF">2025-11-15T18:28:00Z</dcterms:created>
  <dcterms:modified xsi:type="dcterms:W3CDTF">2025-11-16T21:57:00Z</dcterms:modified>
</cp:coreProperties>
</file>