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635CBF" w14:textId="77777777" w:rsidR="00BA46DF" w:rsidRDefault="00BA46DF">
      <w:pPr>
        <w:spacing w:before="200" w:after="200" w:line="360" w:lineRule="auto"/>
        <w:jc w:val="center"/>
        <w:rPr>
          <w:rFonts w:ascii="Times New Roman" w:eastAsia="Times New Roman" w:hAnsi="Times New Roman" w:cs="Times New Roman"/>
          <w:sz w:val="24"/>
          <w:szCs w:val="24"/>
        </w:rPr>
      </w:pPr>
    </w:p>
    <w:p w14:paraId="30E9E1EE" w14:textId="77777777" w:rsidR="00BA46DF" w:rsidRDefault="00BA46DF">
      <w:pPr>
        <w:spacing w:before="200" w:after="200" w:line="360" w:lineRule="auto"/>
        <w:jc w:val="center"/>
        <w:rPr>
          <w:rFonts w:ascii="Times New Roman" w:eastAsia="Times New Roman" w:hAnsi="Times New Roman" w:cs="Times New Roman"/>
          <w:sz w:val="24"/>
          <w:szCs w:val="24"/>
        </w:rPr>
      </w:pPr>
    </w:p>
    <w:p w14:paraId="178D47D2" w14:textId="77777777" w:rsidR="00BA46DF" w:rsidRDefault="00000000">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114300" distR="114300" wp14:anchorId="6445B988" wp14:editId="61EB72CB">
            <wp:extent cx="1809750" cy="723900"/>
            <wp:effectExtent l="0" t="0" r="0" b="0"/>
            <wp:docPr id="7" name="image7.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7.png" descr="Discover University of Wales Trinity Saint David"/>
                    <pic:cNvPicPr preferRelativeResize="0"/>
                  </pic:nvPicPr>
                  <pic:blipFill>
                    <a:blip r:embed="rId6"/>
                    <a:srcRect/>
                    <a:stretch>
                      <a:fillRect/>
                    </a:stretch>
                  </pic:blipFill>
                  <pic:spPr>
                    <a:xfrm>
                      <a:off x="0" y="0"/>
                      <a:ext cx="1809750" cy="723900"/>
                    </a:xfrm>
                    <a:prstGeom prst="rect">
                      <a:avLst/>
                    </a:prstGeom>
                    <a:ln/>
                  </pic:spPr>
                </pic:pic>
              </a:graphicData>
            </a:graphic>
          </wp:inline>
        </w:drawing>
      </w:r>
    </w:p>
    <w:p w14:paraId="22090D65" w14:textId="77777777" w:rsidR="00BA46DF" w:rsidRDefault="00BA46DF">
      <w:pPr>
        <w:spacing w:before="200" w:after="200" w:line="360" w:lineRule="auto"/>
        <w:rPr>
          <w:rFonts w:ascii="Times New Roman" w:eastAsia="Times New Roman" w:hAnsi="Times New Roman" w:cs="Times New Roman"/>
          <w:sz w:val="24"/>
          <w:szCs w:val="24"/>
        </w:rPr>
      </w:pPr>
    </w:p>
    <w:p w14:paraId="5053A7D1" w14:textId="77777777" w:rsidR="00BA46DF" w:rsidRDefault="00BA46DF">
      <w:pPr>
        <w:spacing w:before="200" w:after="200" w:line="360" w:lineRule="auto"/>
        <w:jc w:val="center"/>
        <w:rPr>
          <w:rFonts w:ascii="Times New Roman" w:eastAsia="Times New Roman" w:hAnsi="Times New Roman" w:cs="Times New Roman"/>
          <w:sz w:val="24"/>
          <w:szCs w:val="24"/>
        </w:rPr>
      </w:pPr>
    </w:p>
    <w:p w14:paraId="3459EBBF" w14:textId="77777777" w:rsidR="00BA46DF" w:rsidRDefault="00000000">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36"/>
          <w:szCs w:val="36"/>
        </w:rPr>
        <w:t>Master of Business Administration</w:t>
      </w:r>
    </w:p>
    <w:p w14:paraId="78B5CAA9" w14:textId="77777777" w:rsidR="00BA46DF" w:rsidRDefault="00000000">
      <w:pPr>
        <w:spacing w:before="200"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LCMB7024_Marketing Management</w:t>
      </w:r>
    </w:p>
    <w:p w14:paraId="712CB226" w14:textId="77777777" w:rsidR="00BA46DF" w:rsidRDefault="00BA46DF">
      <w:pPr>
        <w:spacing w:before="200" w:after="200" w:line="360" w:lineRule="auto"/>
        <w:jc w:val="center"/>
        <w:rPr>
          <w:rFonts w:ascii="Times New Roman" w:eastAsia="Times New Roman" w:hAnsi="Times New Roman" w:cs="Times New Roman"/>
          <w:sz w:val="24"/>
          <w:szCs w:val="24"/>
        </w:rPr>
      </w:pPr>
    </w:p>
    <w:p w14:paraId="5ABB4647" w14:textId="77777777" w:rsidR="00BA46DF" w:rsidRDefault="00BA46DF">
      <w:pPr>
        <w:spacing w:before="200" w:after="200" w:line="360" w:lineRule="auto"/>
        <w:jc w:val="center"/>
        <w:rPr>
          <w:rFonts w:ascii="Times New Roman" w:eastAsia="Times New Roman" w:hAnsi="Times New Roman" w:cs="Times New Roman"/>
          <w:b/>
          <w:sz w:val="32"/>
          <w:szCs w:val="32"/>
        </w:rPr>
      </w:pPr>
    </w:p>
    <w:p w14:paraId="5D83EFFA" w14:textId="77777777" w:rsidR="00BA46DF" w:rsidRDefault="00000000">
      <w:pPr>
        <w:spacing w:before="200"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Marketing Environment Analysis</w:t>
      </w:r>
    </w:p>
    <w:p w14:paraId="299A3006" w14:textId="77777777" w:rsidR="00BA46DF" w:rsidRDefault="00BA46DF">
      <w:pPr>
        <w:spacing w:before="200" w:after="200" w:line="360" w:lineRule="auto"/>
        <w:jc w:val="center"/>
        <w:rPr>
          <w:rFonts w:ascii="Times New Roman" w:eastAsia="Times New Roman" w:hAnsi="Times New Roman" w:cs="Times New Roman"/>
          <w:sz w:val="24"/>
          <w:szCs w:val="24"/>
        </w:rPr>
      </w:pPr>
    </w:p>
    <w:p w14:paraId="1B3126BB" w14:textId="77777777" w:rsidR="00BA46DF" w:rsidRDefault="00BA46DF">
      <w:pPr>
        <w:spacing w:before="200" w:after="200" w:line="360" w:lineRule="auto"/>
        <w:jc w:val="center"/>
        <w:rPr>
          <w:rFonts w:ascii="Times New Roman" w:eastAsia="Times New Roman" w:hAnsi="Times New Roman" w:cs="Times New Roman"/>
          <w:sz w:val="24"/>
          <w:szCs w:val="24"/>
        </w:rPr>
      </w:pPr>
    </w:p>
    <w:p w14:paraId="47A79186" w14:textId="77777777" w:rsidR="00BA46DF" w:rsidRDefault="00BA46DF">
      <w:pPr>
        <w:spacing w:before="200" w:after="200" w:line="360" w:lineRule="auto"/>
        <w:jc w:val="center"/>
        <w:rPr>
          <w:rFonts w:ascii="Times New Roman" w:eastAsia="Times New Roman" w:hAnsi="Times New Roman" w:cs="Times New Roman"/>
          <w:sz w:val="24"/>
          <w:szCs w:val="24"/>
        </w:rPr>
      </w:pPr>
    </w:p>
    <w:p w14:paraId="0286A75D" w14:textId="77777777" w:rsidR="00BA46DF" w:rsidRDefault="00000000">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Name:</w:t>
      </w:r>
    </w:p>
    <w:p w14:paraId="02CF3A8F" w14:textId="77777777" w:rsidR="00BA46DF" w:rsidRDefault="00000000">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w:t>
      </w:r>
    </w:p>
    <w:p w14:paraId="63063406" w14:textId="77777777" w:rsidR="00BA46DF" w:rsidRDefault="00000000">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Date:</w:t>
      </w:r>
      <w:r>
        <w:br w:type="page"/>
      </w:r>
    </w:p>
    <w:p w14:paraId="0006C43D" w14:textId="77777777" w:rsidR="00BA46DF" w:rsidRDefault="00000000">
      <w:pPr>
        <w:spacing w:before="200" w:after="200"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Table of Contents</w:t>
      </w:r>
    </w:p>
    <w:sdt>
      <w:sdtPr>
        <w:id w:val="-140943689"/>
        <w:docPartObj>
          <w:docPartGallery w:val="Table of Contents"/>
          <w:docPartUnique/>
        </w:docPartObj>
      </w:sdtPr>
      <w:sdtContent>
        <w:p w14:paraId="1EA2FFE0" w14:textId="77777777" w:rsidR="00BA46DF" w:rsidRDefault="00BA46DF">
          <w:pPr>
            <w:widowControl w:val="0"/>
            <w:tabs>
              <w:tab w:val="right" w:leader="dot" w:pos="9360"/>
            </w:tabs>
            <w:spacing w:before="60" w:after="20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59vbsc2js6t0">
            <w:r>
              <w:rPr>
                <w:rFonts w:ascii="Times New Roman" w:eastAsia="Times New Roman" w:hAnsi="Times New Roman" w:cs="Times New Roman"/>
                <w:color w:val="000000"/>
                <w:sz w:val="24"/>
                <w:szCs w:val="24"/>
              </w:rPr>
              <w:t>1. Introduction</w:t>
            </w:r>
            <w:r>
              <w:rPr>
                <w:rFonts w:ascii="Times New Roman" w:eastAsia="Times New Roman" w:hAnsi="Times New Roman" w:cs="Times New Roman"/>
                <w:color w:val="000000"/>
                <w:sz w:val="24"/>
                <w:szCs w:val="24"/>
              </w:rPr>
              <w:tab/>
            </w:r>
          </w:hyperlink>
          <w:r>
            <w:fldChar w:fldCharType="begin"/>
          </w:r>
          <w:r>
            <w:instrText xml:space="preserve"> PAGEREF _59vbsc2js6t0 \h </w:instrText>
          </w:r>
          <w:r>
            <w:fldChar w:fldCharType="separate"/>
          </w:r>
          <w:r>
            <w:rPr>
              <w:rFonts w:ascii="Times New Roman" w:eastAsia="Times New Roman" w:hAnsi="Times New Roman" w:cs="Times New Roman"/>
              <w:sz w:val="24"/>
              <w:szCs w:val="24"/>
            </w:rPr>
            <w:t>2</w:t>
          </w:r>
          <w:r>
            <w:fldChar w:fldCharType="end"/>
          </w:r>
        </w:p>
        <w:p w14:paraId="6E3EF231" w14:textId="77777777" w:rsidR="00BA46DF" w:rsidRDefault="00BA46DF">
          <w:pPr>
            <w:widowControl w:val="0"/>
            <w:tabs>
              <w:tab w:val="right" w:leader="dot" w:pos="9360"/>
            </w:tabs>
            <w:spacing w:before="60" w:after="200" w:line="360" w:lineRule="auto"/>
            <w:jc w:val="both"/>
            <w:rPr>
              <w:rFonts w:ascii="Times New Roman" w:eastAsia="Times New Roman" w:hAnsi="Times New Roman" w:cs="Times New Roman"/>
              <w:color w:val="000000"/>
              <w:sz w:val="24"/>
              <w:szCs w:val="24"/>
            </w:rPr>
          </w:pPr>
          <w:hyperlink w:anchor="_sew677ne661x">
            <w:r>
              <w:rPr>
                <w:rFonts w:ascii="Times New Roman" w:eastAsia="Times New Roman" w:hAnsi="Times New Roman" w:cs="Times New Roman"/>
                <w:color w:val="000000"/>
                <w:sz w:val="24"/>
                <w:szCs w:val="24"/>
              </w:rPr>
              <w:t>2. Task 1: Macro Marketing Environment Analysis</w:t>
            </w:r>
            <w:r>
              <w:rPr>
                <w:rFonts w:ascii="Times New Roman" w:eastAsia="Times New Roman" w:hAnsi="Times New Roman" w:cs="Times New Roman"/>
                <w:color w:val="000000"/>
                <w:sz w:val="24"/>
                <w:szCs w:val="24"/>
              </w:rPr>
              <w:tab/>
            </w:r>
          </w:hyperlink>
          <w:r>
            <w:fldChar w:fldCharType="begin"/>
          </w:r>
          <w:r>
            <w:instrText xml:space="preserve"> PAGEREF _sew677ne661x \h </w:instrText>
          </w:r>
          <w:r>
            <w:fldChar w:fldCharType="separate"/>
          </w:r>
          <w:r>
            <w:rPr>
              <w:rFonts w:ascii="Times New Roman" w:eastAsia="Times New Roman" w:hAnsi="Times New Roman" w:cs="Times New Roman"/>
              <w:sz w:val="24"/>
              <w:szCs w:val="24"/>
            </w:rPr>
            <w:t>2</w:t>
          </w:r>
          <w:r>
            <w:fldChar w:fldCharType="end"/>
          </w:r>
        </w:p>
        <w:p w14:paraId="7FDE23A7" w14:textId="77777777" w:rsidR="00BA46DF" w:rsidRDefault="00BA46DF">
          <w:pPr>
            <w:widowControl w:val="0"/>
            <w:tabs>
              <w:tab w:val="right" w:leader="dot" w:pos="9360"/>
            </w:tabs>
            <w:spacing w:before="60" w:after="200" w:line="360" w:lineRule="auto"/>
            <w:jc w:val="both"/>
            <w:rPr>
              <w:rFonts w:ascii="Times New Roman" w:eastAsia="Times New Roman" w:hAnsi="Times New Roman" w:cs="Times New Roman"/>
              <w:color w:val="000000"/>
              <w:sz w:val="24"/>
              <w:szCs w:val="24"/>
            </w:rPr>
          </w:pPr>
          <w:hyperlink w:anchor="_7x95bs33qwob">
            <w:r>
              <w:rPr>
                <w:rFonts w:ascii="Times New Roman" w:eastAsia="Times New Roman" w:hAnsi="Times New Roman" w:cs="Times New Roman"/>
                <w:color w:val="000000"/>
                <w:sz w:val="24"/>
                <w:szCs w:val="24"/>
              </w:rPr>
              <w:t>3. Task 2: Strategic Responses by Pioneers and Followers</w:t>
            </w:r>
            <w:r>
              <w:rPr>
                <w:rFonts w:ascii="Times New Roman" w:eastAsia="Times New Roman" w:hAnsi="Times New Roman" w:cs="Times New Roman"/>
                <w:color w:val="000000"/>
                <w:sz w:val="24"/>
                <w:szCs w:val="24"/>
              </w:rPr>
              <w:tab/>
            </w:r>
          </w:hyperlink>
          <w:r>
            <w:fldChar w:fldCharType="begin"/>
          </w:r>
          <w:r>
            <w:instrText xml:space="preserve"> PAGEREF _7x95bs33qwob \h </w:instrText>
          </w:r>
          <w:r>
            <w:fldChar w:fldCharType="separate"/>
          </w:r>
          <w:r>
            <w:rPr>
              <w:rFonts w:ascii="Times New Roman" w:eastAsia="Times New Roman" w:hAnsi="Times New Roman" w:cs="Times New Roman"/>
              <w:sz w:val="24"/>
              <w:szCs w:val="24"/>
            </w:rPr>
            <w:t>6</w:t>
          </w:r>
          <w:r>
            <w:fldChar w:fldCharType="end"/>
          </w:r>
        </w:p>
        <w:p w14:paraId="080AC691" w14:textId="77777777" w:rsidR="00BA46DF" w:rsidRDefault="00BA46DF">
          <w:pPr>
            <w:widowControl w:val="0"/>
            <w:tabs>
              <w:tab w:val="right" w:leader="dot" w:pos="9360"/>
            </w:tabs>
            <w:spacing w:before="60" w:after="200" w:line="360" w:lineRule="auto"/>
            <w:jc w:val="both"/>
            <w:rPr>
              <w:rFonts w:ascii="Times New Roman" w:eastAsia="Times New Roman" w:hAnsi="Times New Roman" w:cs="Times New Roman"/>
              <w:color w:val="000000"/>
              <w:sz w:val="24"/>
              <w:szCs w:val="24"/>
            </w:rPr>
          </w:pPr>
          <w:hyperlink w:anchor="_8qph352xoqo3">
            <w:r>
              <w:rPr>
                <w:rFonts w:ascii="Times New Roman" w:eastAsia="Times New Roman" w:hAnsi="Times New Roman" w:cs="Times New Roman"/>
                <w:color w:val="000000"/>
                <w:sz w:val="24"/>
                <w:szCs w:val="24"/>
              </w:rPr>
              <w:t>4. Conclusion</w:t>
            </w:r>
            <w:r>
              <w:rPr>
                <w:rFonts w:ascii="Times New Roman" w:eastAsia="Times New Roman" w:hAnsi="Times New Roman" w:cs="Times New Roman"/>
                <w:color w:val="000000"/>
                <w:sz w:val="24"/>
                <w:szCs w:val="24"/>
              </w:rPr>
              <w:tab/>
            </w:r>
          </w:hyperlink>
          <w:r>
            <w:fldChar w:fldCharType="begin"/>
          </w:r>
          <w:r>
            <w:instrText xml:space="preserve"> PAGEREF _8qph352xoqo3 \h </w:instrText>
          </w:r>
          <w:r>
            <w:fldChar w:fldCharType="separate"/>
          </w:r>
          <w:r>
            <w:rPr>
              <w:rFonts w:ascii="Times New Roman" w:eastAsia="Times New Roman" w:hAnsi="Times New Roman" w:cs="Times New Roman"/>
              <w:sz w:val="24"/>
              <w:szCs w:val="24"/>
            </w:rPr>
            <w:t>11</w:t>
          </w:r>
          <w:r>
            <w:fldChar w:fldCharType="end"/>
          </w:r>
        </w:p>
        <w:p w14:paraId="207056C2" w14:textId="77777777" w:rsidR="00BA46DF" w:rsidRDefault="00BA46DF">
          <w:pPr>
            <w:widowControl w:val="0"/>
            <w:tabs>
              <w:tab w:val="right" w:leader="dot" w:pos="9360"/>
            </w:tabs>
            <w:spacing w:before="60" w:after="200" w:line="360" w:lineRule="auto"/>
            <w:jc w:val="both"/>
            <w:rPr>
              <w:rFonts w:ascii="Times New Roman" w:eastAsia="Times New Roman" w:hAnsi="Times New Roman" w:cs="Times New Roman"/>
              <w:color w:val="000000"/>
              <w:sz w:val="24"/>
              <w:szCs w:val="24"/>
            </w:rPr>
          </w:pPr>
          <w:hyperlink w:anchor="_myq7iwvgfpuk">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r>
          </w:hyperlink>
          <w:r>
            <w:fldChar w:fldCharType="begin"/>
          </w:r>
          <w:r>
            <w:instrText xml:space="preserve"> PAGEREF _myq7iwvgfpuk \h </w:instrText>
          </w:r>
          <w:r>
            <w:fldChar w:fldCharType="separate"/>
          </w:r>
          <w:r>
            <w:rPr>
              <w:rFonts w:ascii="Times New Roman" w:eastAsia="Times New Roman" w:hAnsi="Times New Roman" w:cs="Times New Roman"/>
              <w:sz w:val="24"/>
              <w:szCs w:val="24"/>
            </w:rPr>
            <w:t>12</w:t>
          </w:r>
          <w:r>
            <w:fldChar w:fldCharType="end"/>
          </w:r>
          <w:r>
            <w:fldChar w:fldCharType="end"/>
          </w:r>
        </w:p>
      </w:sdtContent>
    </w:sdt>
    <w:p w14:paraId="10BD1F28" w14:textId="77777777" w:rsidR="00BA46DF" w:rsidRDefault="00000000">
      <w:pPr>
        <w:spacing w:before="200" w:after="200" w:line="360" w:lineRule="auto"/>
        <w:jc w:val="center"/>
        <w:rPr>
          <w:rFonts w:ascii="Times New Roman" w:eastAsia="Times New Roman" w:hAnsi="Times New Roman" w:cs="Times New Roman"/>
          <w:b/>
          <w:sz w:val="28"/>
          <w:szCs w:val="28"/>
        </w:rPr>
      </w:pPr>
      <w:r>
        <w:br w:type="page"/>
      </w:r>
    </w:p>
    <w:p w14:paraId="4260EA5E" w14:textId="77777777" w:rsidR="00BA46DF" w:rsidRDefault="00000000">
      <w:pPr>
        <w:pStyle w:val="Heading1"/>
      </w:pPr>
      <w:bookmarkStart w:id="0" w:name="_59vbsc2js6t0" w:colFirst="0" w:colLast="0"/>
      <w:bookmarkEnd w:id="0"/>
      <w:r>
        <w:lastRenderedPageBreak/>
        <w:t>1. Introduction</w:t>
      </w:r>
    </w:p>
    <w:p w14:paraId="1B0BF1C4" w14:textId="6E7C15BC" w:rsidR="00BA46DF" w:rsidRDefault="005A3B55">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sidR="00944D84" w:rsidRPr="00944D84">
        <w:rPr>
          <w:rFonts w:ascii="Times New Roman" w:eastAsia="Times New Roman" w:hAnsi="Times New Roman" w:cs="Times New Roman"/>
          <w:sz w:val="24"/>
          <w:szCs w:val="24"/>
        </w:rPr>
        <w:t>his essay investigates the impact of technological changes and legal changes on the pioneers and followers in the EV industry.</w:t>
      </w:r>
      <w:r w:rsidR="00944D84">
        <w:rPr>
          <w:rFonts w:ascii="Times New Roman" w:eastAsia="Times New Roman" w:hAnsi="Times New Roman" w:cs="Times New Roman"/>
          <w:sz w:val="24"/>
          <w:szCs w:val="24"/>
        </w:rPr>
        <w:t xml:space="preserve"> Tesla, BYD, and other pioneers have developed the market of EVs throughout the whole world not only based on the early use of advanced battery technologies, but also on proactive regulatory compliance. In contrast, the follower firms such as Jaguar Land Rover and Volkswagen have adjusted their efforts in order to be competitive in the market that has been changing rapidly. The discussion provides the opportunities and threats brought by these external factors and the ways in which every firm reacts to them using marketing and innovation tactics. The analysis makes use of the applicable marketing theories to point out how environmental dynamics can define sustainable competitive advantage.</w:t>
      </w:r>
    </w:p>
    <w:p w14:paraId="3446A8F9" w14:textId="77777777" w:rsidR="00BA46DF" w:rsidRDefault="00000000">
      <w:pPr>
        <w:pStyle w:val="Heading1"/>
      </w:pPr>
      <w:bookmarkStart w:id="1" w:name="_sew677ne661x" w:colFirst="0" w:colLast="0"/>
      <w:bookmarkEnd w:id="1"/>
      <w:r>
        <w:t>2. Task 1: Macro Marketing Environment Analysis</w:t>
      </w:r>
    </w:p>
    <w:p w14:paraId="15CD17D9" w14:textId="77777777" w:rsidR="00BA46DF"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section, only two factors, including technological and legal, from the PESTLE framework have been considered. It helps in identifying the impact of external factors of the marketing environment on pioneer and follower EV organisations.</w:t>
      </w:r>
    </w:p>
    <w:p w14:paraId="7818ACEE" w14:textId="77777777" w:rsidR="00BA46DF" w:rsidRDefault="00000000">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09FAE2A" wp14:editId="28E9419F">
            <wp:extent cx="4552950" cy="2527750"/>
            <wp:effectExtent l="25400" t="25400" r="25400" b="2540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r="2724"/>
                    <a:stretch>
                      <a:fillRect/>
                    </a:stretch>
                  </pic:blipFill>
                  <pic:spPr>
                    <a:xfrm>
                      <a:off x="0" y="0"/>
                      <a:ext cx="4552950" cy="2527750"/>
                    </a:xfrm>
                    <a:prstGeom prst="rect">
                      <a:avLst/>
                    </a:prstGeom>
                    <a:ln w="25400">
                      <a:solidFill>
                        <a:srgbClr val="000000"/>
                      </a:solidFill>
                      <a:prstDash val="solid"/>
                    </a:ln>
                  </pic:spPr>
                </pic:pic>
              </a:graphicData>
            </a:graphic>
          </wp:inline>
        </w:drawing>
      </w:r>
    </w:p>
    <w:p w14:paraId="65AF2324" w14:textId="77777777" w:rsidR="00BA46DF" w:rsidRDefault="00000000">
      <w:pPr>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PESTLE Framework</w:t>
      </w:r>
    </w:p>
    <w:p w14:paraId="0AE3FF83" w14:textId="77777777" w:rsidR="00BA46DF" w:rsidRDefault="00000000">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Ormston, 2025)</w:t>
      </w:r>
    </w:p>
    <w:p w14:paraId="67CDF97D" w14:textId="77777777" w:rsidR="00BA46DF" w:rsidRDefault="00000000">
      <w:pPr>
        <w:spacing w:before="200" w:after="200"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2.1 Technological Factors</w:t>
      </w:r>
    </w:p>
    <w:p w14:paraId="63E91363" w14:textId="77777777" w:rsidR="00BA46DF"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electric-vehicle (EV) market across the globe is undergoing radical changes in technology that have presented both major opportunities and realistic threats to companies in the market as the innovators and imitators. One of the major factors influencing this change is the high rate of increase in the demand of EV batteries. The demand of EV-battery in 2024 that is discussed by the </w:t>
      </w:r>
      <w:r>
        <w:rPr>
          <w:rFonts w:ascii="Times New Roman" w:eastAsia="Times New Roman" w:hAnsi="Times New Roman" w:cs="Times New Roman"/>
          <w:b/>
          <w:i/>
          <w:sz w:val="24"/>
          <w:szCs w:val="24"/>
        </w:rPr>
        <w:t>“International Energy Agency”</w:t>
      </w:r>
      <w:r>
        <w:rPr>
          <w:rFonts w:ascii="Times New Roman" w:eastAsia="Times New Roman" w:hAnsi="Times New Roman" w:cs="Times New Roman"/>
          <w:sz w:val="24"/>
          <w:szCs w:val="24"/>
        </w:rPr>
        <w:t xml:space="preserve"> </w:t>
      </w:r>
      <w:r>
        <w:rPr>
          <w:rFonts w:ascii="Times New Roman" w:eastAsia="Times New Roman" w:hAnsi="Times New Roman" w:cs="Times New Roman"/>
          <w:b/>
          <w:i/>
          <w:sz w:val="24"/>
          <w:szCs w:val="24"/>
        </w:rPr>
        <w:t>(IEA)</w:t>
      </w:r>
      <w:r>
        <w:rPr>
          <w:rFonts w:ascii="Times New Roman" w:eastAsia="Times New Roman" w:hAnsi="Times New Roman" w:cs="Times New Roman"/>
          <w:sz w:val="24"/>
          <w:szCs w:val="24"/>
        </w:rPr>
        <w:t xml:space="preserve"> is more than 950 GWh, which is around 25 percent compared to 2023 (IEA, 2025a). This wave indicates the role of central battery technology in the development of the industry.</w:t>
      </w:r>
    </w:p>
    <w:p w14:paraId="7F99BB24" w14:textId="77777777" w:rsidR="00BA46DF" w:rsidRDefault="00000000">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7874BBA" wp14:editId="3C70E5AE">
            <wp:extent cx="4934054" cy="2938463"/>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934054" cy="2938463"/>
                    </a:xfrm>
                    <a:prstGeom prst="rect">
                      <a:avLst/>
                    </a:prstGeom>
                    <a:ln w="25400">
                      <a:solidFill>
                        <a:srgbClr val="000000"/>
                      </a:solidFill>
                      <a:prstDash val="solid"/>
                    </a:ln>
                  </pic:spPr>
                </pic:pic>
              </a:graphicData>
            </a:graphic>
          </wp:inline>
        </w:drawing>
      </w:r>
    </w:p>
    <w:p w14:paraId="47AD4FC9" w14:textId="77777777" w:rsidR="00BA46DF" w:rsidRDefault="00000000">
      <w:pPr>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Demand of EV Battery in 2024</w:t>
      </w:r>
    </w:p>
    <w:p w14:paraId="5EDAA7A9" w14:textId="77777777" w:rsidR="00BA46DF" w:rsidRDefault="00000000">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IEA, 2025a)</w:t>
      </w:r>
    </w:p>
    <w:p w14:paraId="055EEFD7" w14:textId="77777777" w:rsidR="00BA46DF" w:rsidRDefault="00000000">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 for Pioneers</w:t>
      </w:r>
    </w:p>
    <w:p w14:paraId="2623BEBC" w14:textId="77777777" w:rsidR="00BA46DF"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case of a pioneer company, innovative battery chemistries, higher energy densities and quicker charging can provide a chance to differentiate and gain a competitive advantage. As a case in point, new battery technology of </w:t>
      </w:r>
      <w:r>
        <w:rPr>
          <w:rFonts w:ascii="Times New Roman" w:eastAsia="Times New Roman" w:hAnsi="Times New Roman" w:cs="Times New Roman"/>
          <w:b/>
          <w:i/>
          <w:sz w:val="24"/>
          <w:szCs w:val="24"/>
        </w:rPr>
        <w:t>“lithium-iron-phosphate” (LFP)</w:t>
      </w:r>
      <w:r>
        <w:rPr>
          <w:rFonts w:ascii="Times New Roman" w:eastAsia="Times New Roman" w:hAnsi="Times New Roman" w:cs="Times New Roman"/>
          <w:sz w:val="24"/>
          <w:szCs w:val="24"/>
        </w:rPr>
        <w:t xml:space="preserve"> has been adopted at a fast rate to be cheaper and safer as opposed to conventional NMC chemistries. According to IEA (2025), LFP batteries had over 10 percent of EV sales in the EU in 2024 and over 50 percent battery sales of EVs in Southeast Asia and Brazil. This gives a chance to pioneer firms, which are </w:t>
      </w:r>
      <w:r>
        <w:rPr>
          <w:rFonts w:ascii="Times New Roman" w:eastAsia="Times New Roman" w:hAnsi="Times New Roman" w:cs="Times New Roman"/>
          <w:sz w:val="24"/>
          <w:szCs w:val="24"/>
        </w:rPr>
        <w:lastRenderedPageBreak/>
        <w:t>heavily invested in R&amp;D and the production of batteries to dominate the market, establish standards and draw in cost advantages.</w:t>
      </w:r>
    </w:p>
    <w:p w14:paraId="4458EB8B" w14:textId="77777777" w:rsidR="00BA46DF" w:rsidRDefault="00000000">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2280626" wp14:editId="6480B3A6">
            <wp:extent cx="4997026" cy="2195513"/>
            <wp:effectExtent l="25400" t="25400" r="25400" b="2540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4997026" cy="2195513"/>
                    </a:xfrm>
                    <a:prstGeom prst="rect">
                      <a:avLst/>
                    </a:prstGeom>
                    <a:ln w="25400">
                      <a:solidFill>
                        <a:srgbClr val="000000"/>
                      </a:solidFill>
                      <a:prstDash val="solid"/>
                    </a:ln>
                  </pic:spPr>
                </pic:pic>
              </a:graphicData>
            </a:graphic>
          </wp:inline>
        </w:drawing>
      </w:r>
    </w:p>
    <w:p w14:paraId="225104A5" w14:textId="77777777" w:rsidR="00BA46DF" w:rsidRDefault="00000000">
      <w:pPr>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Sales of Electric Vehicle Batteries in Different Regions</w:t>
      </w:r>
    </w:p>
    <w:p w14:paraId="192BFCEB" w14:textId="77777777" w:rsidR="00BA46DF" w:rsidRDefault="00000000">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IEA, 2025a)</w:t>
      </w:r>
    </w:p>
    <w:p w14:paraId="47928815" w14:textId="77777777" w:rsidR="00BA46DF" w:rsidRDefault="00000000">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 for Pioneers</w:t>
      </w:r>
    </w:p>
    <w:p w14:paraId="5B7B56C2" w14:textId="77777777" w:rsidR="00BA46DF"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Meanwhile, this high-speed development of technologies is threatened by high costs of R&amp;D and capital, the risk of obsolescence of technologies, and restrictions in the supply chain (Jagani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2024). In particular, the move from NMC to LFP in EVs of the enterprise status meant that the pack structure, cell form factor, and the thermal treatment had to be re-engineered (Möller, 2024). Failure by an innovative company to predict or manage such an innovation supply chain means that its first-mover advantage might be lost.</w:t>
      </w:r>
    </w:p>
    <w:p w14:paraId="25BC351B" w14:textId="77777777" w:rsidR="00BA46DF"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Opportunities for Followers</w:t>
      </w:r>
    </w:p>
    <w:p w14:paraId="404E247A" w14:textId="77777777" w:rsidR="00BA46DF"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case of follower firms, there is the chance of fast-follower adaptation of the technology wave (Bohnsack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They can also capitalise on the reduced costs of increasing technologies through emerging platforms, licensing, or even joint ventures, and in this case, they do not need to incur all the initial expenses of innovation. An example is the IEA has observed that global battery-making capacity was approximately 30 percent higher in 2024 to above 3 TWh, with China supplying nearly 85 percent of this capacity (IEA, 2025a). This scale-up assists in the compacting of cost curves to enable the access of competitive technology by the ability to enter later.</w:t>
      </w:r>
    </w:p>
    <w:p w14:paraId="10DA23BB" w14:textId="77777777" w:rsidR="00BA46DF"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Threats for Followers</w:t>
      </w:r>
    </w:p>
    <w:p w14:paraId="1B997462" w14:textId="77777777" w:rsidR="00BA46DF"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follower firms are also threatened. They can be underperforming in terms of proprietary technology, may be vulnerable in case of control over major chemistries or patents by dominant players or reduced margins in case of commoditisation of technology. In addition, Chinese fabricators control a significant share of the LFP battery market to sell it to the US and EU (IEA, 2025a). Hence, there is a risk of being in a strategically weak position among follower automakers in these locations.</w:t>
      </w:r>
    </w:p>
    <w:p w14:paraId="691296F6" w14:textId="77777777" w:rsidR="00BA46DF"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addition to batteries, other technological aspects like autonomous driving software, a connected car architecture and rapid charge infrastructure also create dynamic opportunities and threats (Abro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First-movers are able to create leadership in the ecosystem and followers have a choice to either invest a lot or ride on the already made platforms.</w:t>
      </w:r>
    </w:p>
    <w:p w14:paraId="09364086" w14:textId="77777777" w:rsidR="00BA46DF" w:rsidRDefault="00000000">
      <w:pPr>
        <w:spacing w:before="200" w:after="200"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2.2 Legal and Regulatory Factors</w:t>
      </w:r>
    </w:p>
    <w:p w14:paraId="01561067" w14:textId="77777777" w:rsidR="00BA46DF"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Regulation and law in the world electric-vehicle (EV) market have become important sources of opportunity and threat to the manufacturers. In addition, there is robust policy enforcement via emissions standards, zero-emission vehicles (ZEVs), and incentives, the basis of predicting an increasing sales percentage of electric light-duty vehicles (LDVs). According to IEA (2024), this share will increase to around 40 percent in 2030 despite stated-policy situations suggesting a rise of 18 percent in 2023.</w:t>
      </w:r>
    </w:p>
    <w:p w14:paraId="5DBFE9FA" w14:textId="77777777" w:rsidR="00BA46DF" w:rsidRDefault="00000000">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 for Pioneers</w:t>
      </w:r>
    </w:p>
    <w:p w14:paraId="267FFC42" w14:textId="77777777" w:rsidR="00BA46DF"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Leading companies are also placed well to take advantage of regulation requirements as market capture advantages. For evidence, the EU Fit for 55 Regulation proposes the target of 100 percent of CO</w:t>
      </w:r>
      <w:r>
        <w:rPr>
          <w:rFonts w:ascii="Times New Roman" w:eastAsia="Times New Roman" w:hAnsi="Times New Roman" w:cs="Times New Roman"/>
          <w:sz w:val="24"/>
          <w:szCs w:val="24"/>
          <w:vertAlign w:val="subscript"/>
        </w:rPr>
        <w:t>2</w:t>
      </w:r>
      <w:r>
        <w:rPr>
          <w:rFonts w:ascii="Times New Roman" w:eastAsia="Times New Roman" w:hAnsi="Times New Roman" w:cs="Times New Roman"/>
          <w:sz w:val="24"/>
          <w:szCs w:val="24"/>
        </w:rPr>
        <w:t xml:space="preserve"> reduction of new automobiles and vans by the year 2035 (European Parliament, 2023). It also has intermediate goals of 55% car and 50% van reductions compared to the situation in 2021. In this control, the first mover companies that have already produced BEVs or capitalised on plug-in hybrids are likely to have policy-related demand, subsidies and a good image. On the US state level, the increasing shares of ZEV sales mandated by the regulations like the “ACC II” regulation, also a promoter of a favourable regulatory tailwind (IEA, 2025b). By matching strategies of </w:t>
      </w:r>
      <w:r>
        <w:rPr>
          <w:rFonts w:ascii="Times New Roman" w:eastAsia="Times New Roman" w:hAnsi="Times New Roman" w:cs="Times New Roman"/>
          <w:sz w:val="24"/>
          <w:szCs w:val="24"/>
        </w:rPr>
        <w:lastRenderedPageBreak/>
        <w:t>products with these regulations, pioneers can gain government incentives, tax credits and an edge in the market, making compliance effectively a competitive edge.</w:t>
      </w:r>
    </w:p>
    <w:p w14:paraId="16FD2627" w14:textId="77777777" w:rsidR="00BA46DF" w:rsidRDefault="00000000">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 for Pioneers</w:t>
      </w:r>
    </w:p>
    <w:p w14:paraId="08AD6629" w14:textId="77777777" w:rsidR="00BA46DF"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other hand, complicated regulations and altered standards are also costly and hazardous. Compliance is an expensive undertaking. The review clause of Fit for 55 in the EU to evaluate the results and possible revision in 2026, puts manufacturers, who scale production prematurely at a regulatory risk (Consilium, 2023). Additionally, regulation can either increase topography in some markets or punitive non-conformity, which will cut margins and interfere with first-mover benefits.</w:t>
      </w:r>
    </w:p>
    <w:p w14:paraId="7F34EB03" w14:textId="77777777" w:rsidR="00BA46DF" w:rsidRDefault="00000000">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Opportunities for Followers</w:t>
      </w:r>
    </w:p>
    <w:p w14:paraId="2C28D42B" w14:textId="77777777" w:rsidR="00BA46DF"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 follower firm, regulatory requirements offer an easier market pull and reasonably dilute the risk of a gamble on technology. With clarity in regulation, followers get to enjoy developed compliance channels, subsidies, and developed rollout of charging infrastructure. As IEA (2025b) noted, policy assistance has contributed to improving the direction of EV sales worldwide and therefore enabling adherents to follow established BEV platforms and regulation measures instead of developing innovative groundbreakers.</w:t>
      </w:r>
    </w:p>
    <w:p w14:paraId="356035B0" w14:textId="77777777" w:rsidR="00BA46DF" w:rsidRDefault="00000000">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 for Followers</w:t>
      </w:r>
    </w:p>
    <w:p w14:paraId="46F86007" w14:textId="77777777" w:rsidR="00BA46DF"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there are immense threats to followers. They stand a chance of being squeezed in case other innovative companies win first place in regulatory perks and acquire markets prior to them. Also, the regulatory regimes may favour firms that have already met the standards, thereby providing a disadvantage to the non-pioneers. In one example, Blenkinsop (2025) stated that China’s dominance in the export of BEVs to Europe is enhanced by regulatory trade policies by the European Union, a phenomenon that may be to the disfavour of Western follower companies.</w:t>
      </w:r>
    </w:p>
    <w:p w14:paraId="4188C422" w14:textId="77777777" w:rsidR="00BA46DF" w:rsidRDefault="00000000">
      <w:pPr>
        <w:pStyle w:val="Heading1"/>
      </w:pPr>
      <w:bookmarkStart w:id="2" w:name="_7x95bs33qwob" w:colFirst="0" w:colLast="0"/>
      <w:bookmarkEnd w:id="2"/>
      <w:r>
        <w:t>3. Task 2: Strategic Responses by Pioneers and Followers</w:t>
      </w:r>
    </w:p>
    <w:p w14:paraId="36D93327" w14:textId="77777777" w:rsidR="00BA46DF" w:rsidRDefault="00000000">
      <w:pPr>
        <w:spacing w:before="200" w:after="200"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3.1 Pioneer Response</w:t>
      </w:r>
    </w:p>
    <w:p w14:paraId="458C4119" w14:textId="77777777" w:rsidR="00BA46DF" w:rsidRDefault="00000000">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Pioneer 1: Tesla</w:t>
      </w:r>
    </w:p>
    <w:p w14:paraId="30AA456F" w14:textId="77777777" w:rsidR="00BA46DF"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Tesla has tried to preserve its pioneer position in the EV business by tapping into the most current technology and optimal vertical integration. In 2024, Tesla spent more money onR&amp;D, which was equal to about $4.54 billion, a rise compared to $3.97 billion in 2023 (Macro Trends, 2025). Moreover, the Q4 2024 update of the company states that the company has added over 10,000 new Supercharger stalls to its worldwide network, which is an increase of 19% to an apparent total of over 65,000 stalls. It also unveiled its new V4 cabinet that will have the capacity to provide passenger vehicles with up to 500 kW charging (Tesla, 2024).</w:t>
      </w:r>
    </w:p>
    <w:p w14:paraId="0F3675A4" w14:textId="77777777" w:rsidR="00BA46DF" w:rsidRDefault="00000000">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878CAF6" wp14:editId="0D0F092D">
            <wp:extent cx="4733925" cy="3440993"/>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733925" cy="3440993"/>
                    </a:xfrm>
                    <a:prstGeom prst="rect">
                      <a:avLst/>
                    </a:prstGeom>
                    <a:ln w="25400">
                      <a:solidFill>
                        <a:srgbClr val="000000"/>
                      </a:solidFill>
                      <a:prstDash val="solid"/>
                    </a:ln>
                  </pic:spPr>
                </pic:pic>
              </a:graphicData>
            </a:graphic>
          </wp:inline>
        </w:drawing>
      </w:r>
    </w:p>
    <w:p w14:paraId="374BBE8A" w14:textId="77777777" w:rsidR="00BA46DF" w:rsidRDefault="00000000">
      <w:pPr>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R&amp;D Expenses of Tesla</w:t>
      </w:r>
    </w:p>
    <w:p w14:paraId="6FD9832E" w14:textId="77777777" w:rsidR="00BA46DF" w:rsidRDefault="00000000">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MacroTrends, 2025)</w:t>
      </w:r>
    </w:p>
    <w:p w14:paraId="068A6DC1" w14:textId="77777777" w:rsidR="00BA46DF"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aspect Tesla is investing heavily in is autonomous-driving technology, which is powered by an experimental AI training system it has deployed in a large, Tesla-built facility in Gigafactory Texas, serving its entire self-driving (FSD) stack. This orientation towards technology has good prospects (Tradingkey, 2025). The differentiation is facilitated by its proprietary platform, which assists Tesla in powering its first-mover advantage. Through vehicle, energy, and software interdependence, Tesla will have an opportunity to propose a value offering that is unique and holistic. These strategies are orientated toward product development and diversification, which </w:t>
      </w:r>
      <w:r>
        <w:rPr>
          <w:rFonts w:ascii="Times New Roman" w:eastAsia="Times New Roman" w:hAnsi="Times New Roman" w:cs="Times New Roman"/>
          <w:sz w:val="24"/>
          <w:szCs w:val="24"/>
        </w:rPr>
        <w:lastRenderedPageBreak/>
        <w:t xml:space="preserve">correlate with the Ansoff Matrix, and increase the new technologies and ecosystems focused on other than the usual EV products (Khajezadeh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w:t>
      </w:r>
    </w:p>
    <w:p w14:paraId="07A14A47" w14:textId="77777777" w:rsidR="00BA46DF" w:rsidRDefault="00000000">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4DFB39B" wp14:editId="64F9F3E2">
            <wp:extent cx="5010210" cy="2914377"/>
            <wp:effectExtent l="25400" t="25400" r="25400" b="2540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010210" cy="2914377"/>
                    </a:xfrm>
                    <a:prstGeom prst="rect">
                      <a:avLst/>
                    </a:prstGeom>
                    <a:ln w="25400">
                      <a:solidFill>
                        <a:srgbClr val="000000"/>
                      </a:solidFill>
                      <a:prstDash val="solid"/>
                    </a:ln>
                  </pic:spPr>
                </pic:pic>
              </a:graphicData>
            </a:graphic>
          </wp:inline>
        </w:drawing>
      </w:r>
    </w:p>
    <w:p w14:paraId="51AB2C01" w14:textId="77777777" w:rsidR="00BA46DF" w:rsidRDefault="00000000">
      <w:pPr>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 Ansoff Matrix</w:t>
      </w:r>
    </w:p>
    <w:p w14:paraId="2EC414A1" w14:textId="77777777" w:rsidR="00BA46DF" w:rsidRDefault="00000000">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Peterdy, 2025)</w:t>
      </w:r>
    </w:p>
    <w:p w14:paraId="33583E67" w14:textId="77777777" w:rsidR="00BA46DF"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the threats also appear. The expensive nature of innovation remains a significant issue to the company. In 2024, vehicle deliveries decreased to 1.789 million units, which is a 1% fall in comparison with the 2023 data due to fierce competition (Kolodny, 2025). In addition, the change in the strategic messages of Tesla, including the ratio of the 20 million vehicle delivery that the company set before 2030, points to the shift in the direction (Sriram and Jin, 2024). The change is also a trend towards market expansion, expanding the company to mobility services at large, energy integration, and AI-based transport solutions. The firm now seems to be re-establishing itself as a pure volume pioneer to a greater mobility ecosystem player. The reaction of Tesla is classic pioneer, such as innovation, integration, and charging infrastructure, but it is currently facing execution risk and competition.</w:t>
      </w:r>
    </w:p>
    <w:p w14:paraId="5B5ECE0F" w14:textId="77777777" w:rsidR="00BA46DF" w:rsidRDefault="00000000">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Pioneer 2: BYD</w:t>
      </w:r>
    </w:p>
    <w:p w14:paraId="5F13EAB7" w14:textId="77777777" w:rsidR="00BA46DF"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BYD has come out as a success as a technological innovator in the EV business, especially in battery and platform cost-effectiveness. In 2024, BYD recorded revenue of RMB 777.1 billion, an </w:t>
      </w:r>
      <w:r>
        <w:rPr>
          <w:rFonts w:ascii="Times New Roman" w:eastAsia="Times New Roman" w:hAnsi="Times New Roman" w:cs="Times New Roman"/>
          <w:sz w:val="24"/>
          <w:szCs w:val="24"/>
        </w:rPr>
        <w:lastRenderedPageBreak/>
        <w:t xml:space="preserve">increase of 29 Yoy and net profit increased 34 percent to RMB 40.25 billion (BYD Europe, 2025). In 2024, the company spent RMB 54.2 billion on R&amp;D, which is an indication of an investment in being technologically ahead of others (IG Analyst, 2025). BYD has already introduced super technologies behind such features as the </w:t>
      </w:r>
      <w:r>
        <w:rPr>
          <w:rFonts w:ascii="Times New Roman" w:eastAsia="Times New Roman" w:hAnsi="Times New Roman" w:cs="Times New Roman"/>
          <w:b/>
          <w:i/>
          <w:sz w:val="24"/>
          <w:szCs w:val="24"/>
        </w:rPr>
        <w:t>“Super e-Platform”</w:t>
      </w:r>
      <w:r>
        <w:rPr>
          <w:rFonts w:ascii="Times New Roman" w:eastAsia="Times New Roman" w:hAnsi="Times New Roman" w:cs="Times New Roman"/>
          <w:sz w:val="24"/>
          <w:szCs w:val="24"/>
        </w:rPr>
        <w:t>, the potential of a five-minute charge covering a 400 km range and internally designed modular systems on the battery, motor, and vehicle platforms (Meredith, 2025). This will provide BYD with opportunities. Learning the entire value chain allows BYD to manage cost and performance and can scale up quickly and be competitive worldwide. Its distinctive business model of selling both BEVs and PHEVs gives it a chance to enter any region in a flexible manner. Conversely, threats exist. The rapid growth is also accompanied by the progressive scale complexity and beneficiation of the supply-chain bottlenecks. As indicated by the Times of India (2025), There are also risks of regulatory and trade barriers as BYD starts to expand internationally and undergo observation or trade restrictions.</w:t>
      </w:r>
    </w:p>
    <w:p w14:paraId="1A206372" w14:textId="77777777" w:rsidR="00BA46DF" w:rsidRDefault="00000000">
      <w:pPr>
        <w:spacing w:before="200" w:after="200" w:line="36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3.2 Follower Response</w:t>
      </w:r>
    </w:p>
    <w:p w14:paraId="6793D4A5" w14:textId="77777777" w:rsidR="00BA46DF" w:rsidRDefault="00000000">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Follower 1: Volkswagen</w:t>
      </w:r>
    </w:p>
    <w:p w14:paraId="2D519BAE" w14:textId="77777777" w:rsidR="00BA46DF"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type of strategy involving Volkswagen Group (VW) is typically quite a typical follower strategy in the EV market. The company is also using scale, brand equity and accommodation instead of raw first-mover innovation. In 2024, VW shipped 9 million vehicles worldwide, with nearly 744,800 battery-electric vehicles (BEVs), 3.4 percent fewer than last year (Electrive, 2025). In that, the BEV sales in Europe fell to about 447,900 by 5.2 percent (Bekker, 2025). The strategic actions of VW are centred on the issues of cost reduction and platform consolidation. As an example, its investment rate in the Automotive Division is likely to drop to approximately 12-13 percent in 2025 as compared to 13 percent in 2024 (Volkswagen Group, 2025). VW tries to do so by dedicating fewer proprietary risk efforts and implementing established modular EV designs. According to </w:t>
      </w:r>
      <w:r>
        <w:rPr>
          <w:rFonts w:ascii="Times New Roman" w:eastAsia="Times New Roman" w:hAnsi="Times New Roman" w:cs="Times New Roman"/>
          <w:b/>
          <w:i/>
          <w:sz w:val="24"/>
          <w:szCs w:val="24"/>
        </w:rPr>
        <w:t>“First-Mover vs Late-Mover Advantage Theory”</w:t>
      </w:r>
      <w:r>
        <w:rPr>
          <w:rFonts w:ascii="Times New Roman" w:eastAsia="Times New Roman" w:hAnsi="Times New Roman" w:cs="Times New Roman"/>
          <w:sz w:val="24"/>
          <w:szCs w:val="24"/>
        </w:rPr>
        <w:t xml:space="preserve">, Volkswagen is exchanging early innovation with swifter imitation and adaptation, and it will launch cost-efficient and high-volume electric cars with less market risk (Varadararajan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2008). However, in comparison to actual pioneers, VW is weaker in terms of innovation, being prone to eroding margins and brand relevance, especially as BEV technology matures and pioneers command ecosystem benefits. Although VW has a good global brand with a scale, the follower stance requires the company to deal with dependencies and quick adaptation instead of innovating in front of the curve.</w:t>
      </w:r>
    </w:p>
    <w:p w14:paraId="2ECE1E9B" w14:textId="77777777" w:rsidR="00BA46DF" w:rsidRDefault="00000000">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640E163E" wp14:editId="0B782D01">
            <wp:extent cx="4576763" cy="2398400"/>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576763" cy="2398400"/>
                    </a:xfrm>
                    <a:prstGeom prst="rect">
                      <a:avLst/>
                    </a:prstGeom>
                    <a:ln w="25400">
                      <a:solidFill>
                        <a:srgbClr val="000000"/>
                      </a:solidFill>
                      <a:prstDash val="solid"/>
                    </a:ln>
                  </pic:spPr>
                </pic:pic>
              </a:graphicData>
            </a:graphic>
          </wp:inline>
        </w:drawing>
      </w:r>
    </w:p>
    <w:p w14:paraId="3478E338" w14:textId="77777777" w:rsidR="00BA46DF" w:rsidRDefault="00000000">
      <w:pPr>
        <w:spacing w:before="200"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6: First-mover Advantage</w:t>
      </w:r>
    </w:p>
    <w:p w14:paraId="1CB1BD0D" w14:textId="77777777" w:rsidR="00BA46DF" w:rsidRDefault="00000000">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Faster Capital, 2024)</w:t>
      </w:r>
    </w:p>
    <w:p w14:paraId="69AE702A" w14:textId="77777777" w:rsidR="00BA46DF" w:rsidRDefault="00000000">
      <w:pPr>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Follower 2: Hyundai Motor Company</w:t>
      </w:r>
    </w:p>
    <w:p w14:paraId="6411F04B" w14:textId="77777777" w:rsidR="00BA46DF"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Hyundai Motor Company has followed a follower strategy that has been characterised as agility, expansion of modular platform and regional flexibility instead of being the first entrant into international BEVs. Hyundai, compared to 2024 registered 218,500 fully electric automobiles and a total of 757,191 electrified automobiles in the year and that is 8.9 percent expansion in year-on-year growth of the electrified segment (Hyundai, 2024). In 2024, the revenues of the company increased by about 7.7% to become KRW 175.2 trillion (Walz, 2025). The strategy of Hyundai is consistent with the modification of the successful technology. It is launching 21 new EVs and aims to achieve 2 million EVs a year in 2030 (Williment, 2025). Considering the theory of </w:t>
      </w:r>
      <w:r>
        <w:rPr>
          <w:rFonts w:ascii="Times New Roman" w:eastAsia="Times New Roman" w:hAnsi="Times New Roman" w:cs="Times New Roman"/>
          <w:b/>
          <w:i/>
          <w:sz w:val="24"/>
          <w:szCs w:val="24"/>
        </w:rPr>
        <w:t>“First-Mover vs Late-Mover Advantage”</w:t>
      </w:r>
      <w:r>
        <w:rPr>
          <w:rFonts w:ascii="Times New Roman" w:eastAsia="Times New Roman" w:hAnsi="Times New Roman" w:cs="Times New Roman"/>
          <w:sz w:val="24"/>
          <w:szCs w:val="24"/>
        </w:rPr>
        <w:t>, Hyundai will accept the fact that it might not enjoy the rents of first-mover innovation, but rather it can enjoy the rents of late-movers, using the scale platforms, region-specific approaches, and cost efficiencies. However, speed is the threat of Hyundai. The future of follower firms, as the technology frontier accelerates, will be to not be left always behind pioneers who will gain lock-in effects within the ecosystems. The dilemma facing Hyundai will be to become second or even first by 2030.</w:t>
      </w:r>
    </w:p>
    <w:p w14:paraId="1F3C62D0" w14:textId="77777777" w:rsidR="00BA46DF" w:rsidRDefault="00000000">
      <w:pPr>
        <w:pStyle w:val="Heading1"/>
        <w:rPr>
          <w:sz w:val="24"/>
          <w:szCs w:val="24"/>
        </w:rPr>
      </w:pPr>
      <w:bookmarkStart w:id="3" w:name="_8qph352xoqo3" w:colFirst="0" w:colLast="0"/>
      <w:bookmarkEnd w:id="3"/>
      <w:r>
        <w:lastRenderedPageBreak/>
        <w:t>4. Conclusion</w:t>
      </w:r>
    </w:p>
    <w:p w14:paraId="6AA778D0" w14:textId="77777777" w:rsidR="00BA46DF" w:rsidRDefault="00000000">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discussed in the analysis, the dynamic competitive environment in the global EV industry is transformed by advancements in technology and the development of new legal frameworks. Tesla and BYD adopt innovation and vertical integration to consolidate their presence in the market, and Volkswagen and Hyundai, as followers, adopt the method of adaptation, alliances, and cost-effectiveness to keep up with the market. The high cost of investing and uncertainty about the policies are a threat to both groups but also an advantage as a result of increasing global mobility that needs sustainability. In general, the capacity to act strategically to the external technological and regulatory changes is paramount to the attainment of long-term competitiveness and sustainability in the EV industry.</w:t>
      </w:r>
      <w:r>
        <w:br w:type="page"/>
      </w:r>
    </w:p>
    <w:p w14:paraId="35D2A6B2" w14:textId="77777777" w:rsidR="00BA46DF" w:rsidRDefault="00000000">
      <w:pPr>
        <w:pStyle w:val="Heading1"/>
      </w:pPr>
      <w:bookmarkStart w:id="4" w:name="_myq7iwvgfpuk" w:colFirst="0" w:colLast="0"/>
      <w:bookmarkEnd w:id="4"/>
      <w:r>
        <w:lastRenderedPageBreak/>
        <w:t>References</w:t>
      </w:r>
    </w:p>
    <w:p w14:paraId="102891DD" w14:textId="77777777" w:rsidR="003825F6" w:rsidRDefault="003825F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Abro, G.E.M., Zulkifli, S.A.B., Kumar, K., El Ouanjli, N., Asirvadam, V.S. and Mossa, M.A., (2023) ‘Comprehensive review of recent advancements in battery technology, propulsion, power interfaces, and vehicle network systems for intelligent autonomous and connected electric vehicles’. </w:t>
      </w:r>
      <w:r>
        <w:rPr>
          <w:rFonts w:ascii="Times New Roman" w:eastAsia="Times New Roman" w:hAnsi="Times New Roman" w:cs="Times New Roman"/>
          <w:i/>
          <w:sz w:val="24"/>
          <w:szCs w:val="24"/>
          <w:highlight w:val="white"/>
        </w:rPr>
        <w:t>Energies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16</w:t>
      </w:r>
      <w:r>
        <w:rPr>
          <w:rFonts w:ascii="Times New Roman" w:eastAsia="Times New Roman" w:hAnsi="Times New Roman" w:cs="Times New Roman"/>
          <w:sz w:val="24"/>
          <w:szCs w:val="24"/>
          <w:highlight w:val="white"/>
        </w:rPr>
        <w:t xml:space="preserve">(6), p. 2925. Available at: </w:t>
      </w:r>
      <w:hyperlink r:id="rId13">
        <w:r>
          <w:rPr>
            <w:rFonts w:ascii="Times New Roman" w:eastAsia="Times New Roman" w:hAnsi="Times New Roman" w:cs="Times New Roman"/>
            <w:color w:val="1155CC"/>
            <w:sz w:val="24"/>
            <w:szCs w:val="24"/>
            <w:highlight w:val="white"/>
            <w:u w:val="single"/>
          </w:rPr>
          <w:t>https://doi.org/10.3390/en16062925</w:t>
        </w:r>
      </w:hyperlink>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(Accessed: 19 October 2025).</w:t>
      </w:r>
    </w:p>
    <w:p w14:paraId="7F70855A" w14:textId="77777777" w:rsidR="003825F6" w:rsidRDefault="003825F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Bekker, H. (2025) </w:t>
      </w:r>
      <w:r>
        <w:rPr>
          <w:rFonts w:ascii="Times New Roman" w:eastAsia="Times New Roman" w:hAnsi="Times New Roman" w:cs="Times New Roman"/>
          <w:i/>
          <w:sz w:val="24"/>
          <w:szCs w:val="24"/>
        </w:rPr>
        <w:t>2024 (Full Year) Global: Volkswagen Group Electric Car Sales Worldwide by Brand and Model - Car Sales Statistics</w:t>
      </w:r>
      <w:r>
        <w:rPr>
          <w:rFonts w:ascii="Times New Roman" w:eastAsia="Times New Roman" w:hAnsi="Times New Roman" w:cs="Times New Roman"/>
          <w:sz w:val="24"/>
          <w:szCs w:val="24"/>
        </w:rPr>
        <w:t xml:space="preserve">. Available at: </w:t>
      </w:r>
      <w:hyperlink r:id="rId14">
        <w:r>
          <w:rPr>
            <w:rFonts w:ascii="Times New Roman" w:eastAsia="Times New Roman" w:hAnsi="Times New Roman" w:cs="Times New Roman"/>
            <w:color w:val="1155CC"/>
            <w:sz w:val="24"/>
            <w:szCs w:val="24"/>
            <w:u w:val="single"/>
          </w:rPr>
          <w:t>https://www.best-selling-cars.com/brands/2024-full-year-global-volkswagen-group-electric-car-sales-worldwide-by-brand-and-model/</w:t>
        </w:r>
      </w:hyperlink>
      <w:r>
        <w:rPr>
          <w:rFonts w:ascii="Times New Roman" w:eastAsia="Times New Roman" w:hAnsi="Times New Roman" w:cs="Times New Roman"/>
          <w:sz w:val="24"/>
          <w:szCs w:val="24"/>
        </w:rPr>
        <w:t xml:space="preserve"> (Accessed: 19 October 2025).</w:t>
      </w:r>
    </w:p>
    <w:p w14:paraId="1AB8C522" w14:textId="77777777" w:rsidR="003825F6" w:rsidRDefault="003825F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Blenkinsop, P. (2025) </w:t>
      </w:r>
      <w:r>
        <w:rPr>
          <w:rFonts w:ascii="Times New Roman" w:eastAsia="Times New Roman" w:hAnsi="Times New Roman" w:cs="Times New Roman"/>
          <w:i/>
          <w:sz w:val="24"/>
          <w:szCs w:val="24"/>
        </w:rPr>
        <w:t>EU says it sticks to zero-emission car path to 2035 | Reuters</w:t>
      </w:r>
      <w:r>
        <w:rPr>
          <w:rFonts w:ascii="Times New Roman" w:eastAsia="Times New Roman" w:hAnsi="Times New Roman" w:cs="Times New Roman"/>
          <w:sz w:val="24"/>
          <w:szCs w:val="24"/>
        </w:rPr>
        <w:t xml:space="preserve">. Available at: </w:t>
      </w:r>
      <w:hyperlink r:id="rId15">
        <w:r>
          <w:rPr>
            <w:rFonts w:ascii="Times New Roman" w:eastAsia="Times New Roman" w:hAnsi="Times New Roman" w:cs="Times New Roman"/>
            <w:color w:val="1155CC"/>
            <w:sz w:val="24"/>
            <w:szCs w:val="24"/>
            <w:u w:val="single"/>
          </w:rPr>
          <w:t>https://www.reuters.com/business/autos-transportation/eu-sticks-2035-zero-emissions-target-new-cars-2025-03-05/</w:t>
        </w:r>
      </w:hyperlink>
      <w:r>
        <w:rPr>
          <w:rFonts w:ascii="Times New Roman" w:eastAsia="Times New Roman" w:hAnsi="Times New Roman" w:cs="Times New Roman"/>
          <w:sz w:val="24"/>
          <w:szCs w:val="24"/>
        </w:rPr>
        <w:t xml:space="preserve"> (Accessed: 19 October 2025).</w:t>
      </w:r>
    </w:p>
    <w:p w14:paraId="3D6F7182" w14:textId="77777777" w:rsidR="003825F6" w:rsidRDefault="003825F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Bohnsack, R., Kolk, A., Pinkse, J. and Bidmon, C.M. (2020) ‘Driving the electric bandwagon: The dynamics of incumbents' sustainable innovation’. </w:t>
      </w:r>
      <w:r>
        <w:rPr>
          <w:rFonts w:ascii="Times New Roman" w:eastAsia="Times New Roman" w:hAnsi="Times New Roman" w:cs="Times New Roman"/>
          <w:i/>
          <w:sz w:val="24"/>
          <w:szCs w:val="24"/>
          <w:highlight w:val="white"/>
        </w:rPr>
        <w:t>Business Strategy and the Environment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29</w:t>
      </w:r>
      <w:r>
        <w:rPr>
          <w:rFonts w:ascii="Times New Roman" w:eastAsia="Times New Roman" w:hAnsi="Times New Roman" w:cs="Times New Roman"/>
          <w:sz w:val="24"/>
          <w:szCs w:val="24"/>
          <w:highlight w:val="white"/>
        </w:rPr>
        <w:t xml:space="preserve">(2), pp.727-743. Available at: </w:t>
      </w:r>
      <w:hyperlink r:id="rId16">
        <w:r>
          <w:rPr>
            <w:rFonts w:ascii="Times New Roman" w:eastAsia="Times New Roman" w:hAnsi="Times New Roman" w:cs="Times New Roman"/>
            <w:color w:val="1155CC"/>
            <w:sz w:val="24"/>
            <w:szCs w:val="24"/>
            <w:highlight w:val="white"/>
            <w:u w:val="single"/>
          </w:rPr>
          <w:t>https://onlinelibrary.wiley.com/doi/pdf/10.1002/bse.2430</w:t>
        </w:r>
      </w:hyperlink>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(Accessed: 19 October 2025).</w:t>
      </w:r>
    </w:p>
    <w:p w14:paraId="77625EFE" w14:textId="77777777" w:rsidR="003825F6" w:rsidRDefault="003825F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BYD Europe (2025) </w:t>
      </w:r>
      <w:r>
        <w:rPr>
          <w:rFonts w:ascii="Times New Roman" w:eastAsia="Times New Roman" w:hAnsi="Times New Roman" w:cs="Times New Roman"/>
          <w:i/>
          <w:sz w:val="24"/>
          <w:szCs w:val="24"/>
        </w:rPr>
        <w:t xml:space="preserve">BYD reports its financial results in 2024: revenue hits 777.1 billion yuan, up 23% year on year | BYD Europe. </w:t>
      </w:r>
      <w:r>
        <w:rPr>
          <w:rFonts w:ascii="Times New Roman" w:eastAsia="Times New Roman" w:hAnsi="Times New Roman" w:cs="Times New Roman"/>
          <w:sz w:val="24"/>
          <w:szCs w:val="24"/>
        </w:rPr>
        <w:t xml:space="preserve">Available at: </w:t>
      </w:r>
      <w:hyperlink r:id="rId17">
        <w:r>
          <w:rPr>
            <w:rFonts w:ascii="Times New Roman" w:eastAsia="Times New Roman" w:hAnsi="Times New Roman" w:cs="Times New Roman"/>
            <w:color w:val="1155CC"/>
            <w:sz w:val="24"/>
            <w:szCs w:val="24"/>
            <w:u w:val="single"/>
          </w:rPr>
          <w:t>https://www.bydukmedia.com/en/news-articles/byd-reports-its-financial-results-in-2024-revenue-hits-777.1-billion-yuan%2C-up-23-year-on-year.html</w:t>
        </w:r>
      </w:hyperlink>
      <w:r>
        <w:rPr>
          <w:rFonts w:ascii="Times New Roman" w:eastAsia="Times New Roman" w:hAnsi="Times New Roman" w:cs="Times New Roman"/>
          <w:sz w:val="24"/>
          <w:szCs w:val="24"/>
        </w:rPr>
        <w:t xml:space="preserve"> (Accessed: 19 October 2025).</w:t>
      </w:r>
    </w:p>
    <w:p w14:paraId="13E31D27" w14:textId="77777777" w:rsidR="003825F6" w:rsidRDefault="003825F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Consilium (2023) </w:t>
      </w:r>
      <w:r>
        <w:rPr>
          <w:rFonts w:ascii="Times New Roman" w:eastAsia="Times New Roman" w:hAnsi="Times New Roman" w:cs="Times New Roman"/>
          <w:i/>
          <w:sz w:val="24"/>
          <w:szCs w:val="24"/>
        </w:rPr>
        <w:t xml:space="preserve">‘Fit for 55’: Council adopts regulation on CO2 emissions for new cars and vans. </w:t>
      </w:r>
      <w:r>
        <w:rPr>
          <w:rFonts w:ascii="Times New Roman" w:eastAsia="Times New Roman" w:hAnsi="Times New Roman" w:cs="Times New Roman"/>
          <w:sz w:val="24"/>
          <w:szCs w:val="24"/>
        </w:rPr>
        <w:t xml:space="preserve">Available at: </w:t>
      </w:r>
      <w:hyperlink r:id="rId18">
        <w:r>
          <w:rPr>
            <w:rFonts w:ascii="Times New Roman" w:eastAsia="Times New Roman" w:hAnsi="Times New Roman" w:cs="Times New Roman"/>
            <w:color w:val="1155CC"/>
            <w:sz w:val="24"/>
            <w:szCs w:val="24"/>
            <w:u w:val="single"/>
          </w:rPr>
          <w:t>https://www.consilium.europa.eu/en/press/press-releases/2023/03/28/fit-for-55-council-adopts-regulation-on-co2-emissions-for-new-cars-and-vans/pdf</w:t>
        </w:r>
      </w:hyperlink>
      <w:r>
        <w:rPr>
          <w:rFonts w:ascii="Times New Roman" w:eastAsia="Times New Roman" w:hAnsi="Times New Roman" w:cs="Times New Roman"/>
          <w:sz w:val="24"/>
          <w:szCs w:val="24"/>
        </w:rPr>
        <w:t xml:space="preserve"> (Accessed: 19 October 2025).</w:t>
      </w:r>
    </w:p>
    <w:p w14:paraId="0AE223C8" w14:textId="77777777" w:rsidR="003825F6" w:rsidRDefault="003825F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Electrive (2025) </w:t>
      </w:r>
      <w:r>
        <w:rPr>
          <w:rFonts w:ascii="Times New Roman" w:eastAsia="Times New Roman" w:hAnsi="Times New Roman" w:cs="Times New Roman"/>
          <w:i/>
          <w:sz w:val="24"/>
          <w:szCs w:val="24"/>
        </w:rPr>
        <w:t xml:space="preserve">2024 balance sheet: Volkswagen Group sells fewer electric cars | Electrive. </w:t>
      </w:r>
      <w:r>
        <w:rPr>
          <w:rFonts w:ascii="Times New Roman" w:eastAsia="Times New Roman" w:hAnsi="Times New Roman" w:cs="Times New Roman"/>
          <w:sz w:val="24"/>
          <w:szCs w:val="24"/>
        </w:rPr>
        <w:t xml:space="preserve">Available at: </w:t>
      </w:r>
      <w:hyperlink r:id="rId19">
        <w:r>
          <w:rPr>
            <w:rFonts w:ascii="Times New Roman" w:eastAsia="Times New Roman" w:hAnsi="Times New Roman" w:cs="Times New Roman"/>
            <w:color w:val="1155CC"/>
            <w:sz w:val="24"/>
            <w:szCs w:val="24"/>
            <w:u w:val="single"/>
          </w:rPr>
          <w:t>https://www.electrive.com/2025/01/14/2024-balance-sheet-volkswagen-group-sells-fewer-electric-cars/</w:t>
        </w:r>
      </w:hyperlink>
      <w:r>
        <w:rPr>
          <w:rFonts w:ascii="Times New Roman" w:eastAsia="Times New Roman" w:hAnsi="Times New Roman" w:cs="Times New Roman"/>
          <w:sz w:val="24"/>
          <w:szCs w:val="24"/>
        </w:rPr>
        <w:t xml:space="preserve"> (Accessed: 19 October 2025).</w:t>
      </w:r>
    </w:p>
    <w:p w14:paraId="2083757E" w14:textId="77777777" w:rsidR="003825F6" w:rsidRDefault="003825F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European Parliament (2023) </w:t>
      </w:r>
      <w:r>
        <w:rPr>
          <w:rFonts w:ascii="Times New Roman" w:eastAsia="Times New Roman" w:hAnsi="Times New Roman" w:cs="Times New Roman"/>
          <w:i/>
          <w:sz w:val="24"/>
          <w:szCs w:val="24"/>
        </w:rPr>
        <w:t>Fit for 55: zero CO2 emissions for new cars and vans in 2035 | News | European Parliament</w:t>
      </w:r>
      <w:r>
        <w:rPr>
          <w:rFonts w:ascii="Times New Roman" w:eastAsia="Times New Roman" w:hAnsi="Times New Roman" w:cs="Times New Roman"/>
          <w:sz w:val="24"/>
          <w:szCs w:val="24"/>
        </w:rPr>
        <w:t xml:space="preserve">. Available at: </w:t>
      </w:r>
      <w:hyperlink r:id="rId20">
        <w:r>
          <w:rPr>
            <w:rFonts w:ascii="Times New Roman" w:eastAsia="Times New Roman" w:hAnsi="Times New Roman" w:cs="Times New Roman"/>
            <w:color w:val="1155CC"/>
            <w:sz w:val="24"/>
            <w:szCs w:val="24"/>
            <w:u w:val="single"/>
          </w:rPr>
          <w:t>https://www.europarl.europa.eu/news/en/press-room/20230210IPR74715/fit-for-55-zero-co2-emissions-for-new-cars-and-vans-in-2035</w:t>
        </w:r>
      </w:hyperlink>
      <w:r>
        <w:rPr>
          <w:rFonts w:ascii="Times New Roman" w:eastAsia="Times New Roman" w:hAnsi="Times New Roman" w:cs="Times New Roman"/>
          <w:sz w:val="24"/>
          <w:szCs w:val="24"/>
        </w:rPr>
        <w:t xml:space="preserve"> (Accessed: 19 October 2025).</w:t>
      </w:r>
    </w:p>
    <w:p w14:paraId="6E3F2156" w14:textId="77777777" w:rsidR="003825F6" w:rsidRDefault="003825F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Faster Capital (2024) </w:t>
      </w:r>
      <w:r>
        <w:rPr>
          <w:rFonts w:ascii="Times New Roman" w:eastAsia="Times New Roman" w:hAnsi="Times New Roman" w:cs="Times New Roman"/>
          <w:i/>
          <w:sz w:val="24"/>
          <w:szCs w:val="24"/>
        </w:rPr>
        <w:t>The First Mover Advantage: Early Adopters and Industry Disruption - FasterCapital</w:t>
      </w:r>
      <w:r>
        <w:rPr>
          <w:rFonts w:ascii="Times New Roman" w:eastAsia="Times New Roman" w:hAnsi="Times New Roman" w:cs="Times New Roman"/>
          <w:sz w:val="24"/>
          <w:szCs w:val="24"/>
        </w:rPr>
        <w:t xml:space="preserve">. Available at: </w:t>
      </w:r>
      <w:hyperlink r:id="rId21">
        <w:r>
          <w:rPr>
            <w:rFonts w:ascii="Times New Roman" w:eastAsia="Times New Roman" w:hAnsi="Times New Roman" w:cs="Times New Roman"/>
            <w:color w:val="1155CC"/>
            <w:sz w:val="24"/>
            <w:szCs w:val="24"/>
            <w:u w:val="single"/>
          </w:rPr>
          <w:t>https://fastercapital.com/content/The-First-Mover-Advantage--Early-Adopters-and-Industry-Disruption.html</w:t>
        </w:r>
      </w:hyperlink>
      <w:r>
        <w:rPr>
          <w:rFonts w:ascii="Times New Roman" w:eastAsia="Times New Roman" w:hAnsi="Times New Roman" w:cs="Times New Roman"/>
          <w:sz w:val="24"/>
          <w:szCs w:val="24"/>
        </w:rPr>
        <w:t xml:space="preserve"> (Accessed: 19 October 2025).</w:t>
      </w:r>
    </w:p>
    <w:p w14:paraId="06EED3C9" w14:textId="77777777" w:rsidR="003825F6" w:rsidRDefault="003825F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Hyundai (2024) </w:t>
      </w:r>
      <w:r>
        <w:rPr>
          <w:rFonts w:ascii="Times New Roman" w:eastAsia="Times New Roman" w:hAnsi="Times New Roman" w:cs="Times New Roman"/>
          <w:i/>
          <w:sz w:val="24"/>
          <w:szCs w:val="24"/>
        </w:rPr>
        <w:t>Hyundai Motor Announces 2024 Annual and Q4 Business Results</w:t>
      </w:r>
      <w:r>
        <w:rPr>
          <w:rFonts w:ascii="Times New Roman" w:eastAsia="Times New Roman" w:hAnsi="Times New Roman" w:cs="Times New Roman"/>
          <w:sz w:val="24"/>
          <w:szCs w:val="24"/>
        </w:rPr>
        <w:t xml:space="preserve"> | </w:t>
      </w:r>
      <w:r>
        <w:rPr>
          <w:rFonts w:ascii="Times New Roman" w:eastAsia="Times New Roman" w:hAnsi="Times New Roman" w:cs="Times New Roman"/>
          <w:i/>
          <w:sz w:val="24"/>
          <w:szCs w:val="24"/>
        </w:rPr>
        <w:t>HYUNDAI MOTORS.</w:t>
      </w:r>
      <w:r>
        <w:rPr>
          <w:rFonts w:ascii="Times New Roman" w:eastAsia="Times New Roman" w:hAnsi="Times New Roman" w:cs="Times New Roman"/>
          <w:sz w:val="24"/>
          <w:szCs w:val="24"/>
        </w:rPr>
        <w:t xml:space="preserve"> Available at: </w:t>
      </w:r>
      <w:hyperlink r:id="rId22">
        <w:r>
          <w:rPr>
            <w:rFonts w:ascii="Times New Roman" w:eastAsia="Times New Roman" w:hAnsi="Times New Roman" w:cs="Times New Roman"/>
            <w:color w:val="1155CC"/>
            <w:sz w:val="24"/>
            <w:szCs w:val="24"/>
            <w:u w:val="single"/>
          </w:rPr>
          <w:t>https://www.hyundai.com/worldwide/en/newsroom/detail/hyundai-motor-announces-2024-annual-and-q4-business-results-0000000897</w:t>
        </w:r>
      </w:hyperlink>
      <w:r>
        <w:rPr>
          <w:rFonts w:ascii="Times New Roman" w:eastAsia="Times New Roman" w:hAnsi="Times New Roman" w:cs="Times New Roman"/>
          <w:sz w:val="24"/>
          <w:szCs w:val="24"/>
        </w:rPr>
        <w:t xml:space="preserve"> (Accessed: 19 October 2025).</w:t>
      </w:r>
      <w:r>
        <w:rPr>
          <w:rFonts w:ascii="Times New Roman" w:eastAsia="Times New Roman" w:hAnsi="Times New Roman" w:cs="Times New Roman"/>
          <w:sz w:val="24"/>
          <w:szCs w:val="24"/>
        </w:rPr>
        <w:br/>
      </w:r>
    </w:p>
    <w:p w14:paraId="133F7D18" w14:textId="77777777" w:rsidR="003825F6" w:rsidRDefault="003825F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IEA (2024) </w:t>
      </w:r>
      <w:r>
        <w:rPr>
          <w:rFonts w:ascii="Times New Roman" w:eastAsia="Times New Roman" w:hAnsi="Times New Roman" w:cs="Times New Roman"/>
          <w:i/>
          <w:sz w:val="24"/>
          <w:szCs w:val="24"/>
        </w:rPr>
        <w:t xml:space="preserve">Outlook for electric mobility | Global EV Outlook 2024 - IEA. </w:t>
      </w:r>
      <w:r>
        <w:rPr>
          <w:rFonts w:ascii="Times New Roman" w:eastAsia="Times New Roman" w:hAnsi="Times New Roman" w:cs="Times New Roman"/>
          <w:sz w:val="24"/>
          <w:szCs w:val="24"/>
        </w:rPr>
        <w:t xml:space="preserve">Available at: </w:t>
      </w:r>
      <w:hyperlink r:id="rId23">
        <w:r>
          <w:rPr>
            <w:rFonts w:ascii="Times New Roman" w:eastAsia="Times New Roman" w:hAnsi="Times New Roman" w:cs="Times New Roman"/>
            <w:color w:val="1155CC"/>
            <w:sz w:val="24"/>
            <w:szCs w:val="24"/>
            <w:u w:val="single"/>
          </w:rPr>
          <w:t>https://www.iea.org/reports/global-ev-outlook-2024/outlook-for-electric-mobility</w:t>
        </w:r>
      </w:hyperlink>
      <w:r>
        <w:rPr>
          <w:rFonts w:ascii="Times New Roman" w:eastAsia="Times New Roman" w:hAnsi="Times New Roman" w:cs="Times New Roman"/>
          <w:sz w:val="24"/>
          <w:szCs w:val="24"/>
        </w:rPr>
        <w:t xml:space="preserve"> (Accessed: 19 October 2025).</w:t>
      </w:r>
    </w:p>
    <w:p w14:paraId="05AEC89B" w14:textId="77777777" w:rsidR="003825F6" w:rsidRDefault="003825F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IEA (2025a) </w:t>
      </w:r>
      <w:r>
        <w:rPr>
          <w:rFonts w:ascii="Times New Roman" w:eastAsia="Times New Roman" w:hAnsi="Times New Roman" w:cs="Times New Roman"/>
          <w:i/>
          <w:sz w:val="24"/>
          <w:szCs w:val="24"/>
        </w:rPr>
        <w:t xml:space="preserve">Electric vehicle batteries | Global EV Outlook 2025 - IEA. </w:t>
      </w:r>
      <w:r>
        <w:rPr>
          <w:rFonts w:ascii="Times New Roman" w:eastAsia="Times New Roman" w:hAnsi="Times New Roman" w:cs="Times New Roman"/>
          <w:sz w:val="24"/>
          <w:szCs w:val="24"/>
        </w:rPr>
        <w:t xml:space="preserve">Available at: </w:t>
      </w:r>
      <w:hyperlink r:id="rId24">
        <w:r>
          <w:rPr>
            <w:rFonts w:ascii="Times New Roman" w:eastAsia="Times New Roman" w:hAnsi="Times New Roman" w:cs="Times New Roman"/>
            <w:color w:val="1155CC"/>
            <w:sz w:val="24"/>
            <w:szCs w:val="24"/>
            <w:u w:val="single"/>
          </w:rPr>
          <w:t>https://www.iea.org/reports/global-ev-outlook-2025/electric-vehicle-batteries</w:t>
        </w:r>
      </w:hyperlink>
      <w:r>
        <w:rPr>
          <w:rFonts w:ascii="Times New Roman" w:eastAsia="Times New Roman" w:hAnsi="Times New Roman" w:cs="Times New Roman"/>
          <w:sz w:val="24"/>
          <w:szCs w:val="24"/>
        </w:rPr>
        <w:t xml:space="preserve"> (Accessed: 19 October 2025).</w:t>
      </w:r>
    </w:p>
    <w:p w14:paraId="1D528F58" w14:textId="77777777" w:rsidR="003825F6" w:rsidRDefault="003825F6">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IEA (2025b) </w:t>
      </w:r>
      <w:r>
        <w:rPr>
          <w:rFonts w:ascii="Times New Roman" w:eastAsia="Times New Roman" w:hAnsi="Times New Roman" w:cs="Times New Roman"/>
          <w:i/>
          <w:sz w:val="24"/>
          <w:szCs w:val="24"/>
        </w:rPr>
        <w:t xml:space="preserve">Outlook for electric mobility | Global EV Outlook 2025 - IEA. </w:t>
      </w:r>
      <w:r>
        <w:rPr>
          <w:rFonts w:ascii="Times New Roman" w:eastAsia="Times New Roman" w:hAnsi="Times New Roman" w:cs="Times New Roman"/>
          <w:sz w:val="24"/>
          <w:szCs w:val="24"/>
        </w:rPr>
        <w:t xml:space="preserve">Available at: </w:t>
      </w:r>
      <w:hyperlink r:id="rId25">
        <w:r>
          <w:rPr>
            <w:rFonts w:ascii="Times New Roman" w:eastAsia="Times New Roman" w:hAnsi="Times New Roman" w:cs="Times New Roman"/>
            <w:color w:val="1155CC"/>
            <w:sz w:val="24"/>
            <w:szCs w:val="24"/>
            <w:u w:val="single"/>
          </w:rPr>
          <w:t>https://www.iea.org/reports/global-ev-outlook-2025/outlook-for-electric-mobility</w:t>
        </w:r>
      </w:hyperlink>
      <w:r>
        <w:rPr>
          <w:rFonts w:ascii="Times New Roman" w:eastAsia="Times New Roman" w:hAnsi="Times New Roman" w:cs="Times New Roman"/>
          <w:sz w:val="24"/>
          <w:szCs w:val="24"/>
        </w:rPr>
        <w:t xml:space="preserve"> (Accessed: 19 October 2025).</w:t>
      </w:r>
    </w:p>
    <w:p w14:paraId="0351DCD1" w14:textId="77777777" w:rsidR="003825F6" w:rsidRDefault="003825F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IG Analyst (2025) </w:t>
      </w:r>
      <w:r>
        <w:rPr>
          <w:rFonts w:ascii="Times New Roman" w:eastAsia="Times New Roman" w:hAnsi="Times New Roman" w:cs="Times New Roman"/>
          <w:i/>
          <w:sz w:val="24"/>
          <w:szCs w:val="24"/>
        </w:rPr>
        <w:t>BYD’s 2024 financial results show strong growth despite market challenges</w:t>
      </w:r>
      <w:r>
        <w:rPr>
          <w:rFonts w:ascii="Times New Roman" w:eastAsia="Times New Roman" w:hAnsi="Times New Roman" w:cs="Times New Roman"/>
          <w:sz w:val="24"/>
          <w:szCs w:val="24"/>
        </w:rPr>
        <w:t xml:space="preserve">. Available at: </w:t>
      </w:r>
      <w:hyperlink r:id="rId26">
        <w:r>
          <w:rPr>
            <w:rFonts w:ascii="Times New Roman" w:eastAsia="Times New Roman" w:hAnsi="Times New Roman" w:cs="Times New Roman"/>
            <w:color w:val="1155CC"/>
            <w:sz w:val="24"/>
            <w:szCs w:val="24"/>
            <w:u w:val="single"/>
          </w:rPr>
          <w:t>https://www.ig.com/en/news-and-trade-ideas/byd_2024_earnings-250326</w:t>
        </w:r>
      </w:hyperlink>
      <w:r>
        <w:rPr>
          <w:rFonts w:ascii="Times New Roman" w:eastAsia="Times New Roman" w:hAnsi="Times New Roman" w:cs="Times New Roman"/>
          <w:sz w:val="24"/>
          <w:szCs w:val="24"/>
        </w:rPr>
        <w:t xml:space="preserve"> (Accessed: 19 October 2025).</w:t>
      </w:r>
    </w:p>
    <w:p w14:paraId="7690FA17" w14:textId="77777777" w:rsidR="003825F6" w:rsidRDefault="003825F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lastRenderedPageBreak/>
        <w:t xml:space="preserve">Jagani, S., Marsillac, E. and Hong, P. (2024) ‘The electric vehicle supply chain ecosystem: changing roles of automotive suppliers’. </w:t>
      </w:r>
      <w:r>
        <w:rPr>
          <w:rFonts w:ascii="Times New Roman" w:eastAsia="Times New Roman" w:hAnsi="Times New Roman" w:cs="Times New Roman"/>
          <w:i/>
          <w:sz w:val="24"/>
          <w:szCs w:val="24"/>
          <w:highlight w:val="white"/>
        </w:rPr>
        <w:t>Sustainability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16</w:t>
      </w:r>
      <w:r>
        <w:rPr>
          <w:rFonts w:ascii="Times New Roman" w:eastAsia="Times New Roman" w:hAnsi="Times New Roman" w:cs="Times New Roman"/>
          <w:sz w:val="24"/>
          <w:szCs w:val="24"/>
          <w:highlight w:val="white"/>
        </w:rPr>
        <w:t xml:space="preserve">(4), p. 1570. Available at: </w:t>
      </w:r>
      <w:hyperlink r:id="rId27">
        <w:r>
          <w:rPr>
            <w:rFonts w:ascii="Times New Roman" w:eastAsia="Times New Roman" w:hAnsi="Times New Roman" w:cs="Times New Roman"/>
            <w:color w:val="1155CC"/>
            <w:sz w:val="24"/>
            <w:szCs w:val="24"/>
            <w:highlight w:val="white"/>
            <w:u w:val="single"/>
          </w:rPr>
          <w:t>https://doi.org/10.3390/su16041570</w:t>
        </w:r>
      </w:hyperlink>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(Accessed: 19 October 2025).</w:t>
      </w:r>
    </w:p>
    <w:p w14:paraId="32D73F17" w14:textId="77777777" w:rsidR="003825F6" w:rsidRDefault="003825F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Khajezadeh, M., Niasar, M.S.F., Asli, S.A., Davari, D.D., Godarzi, M. and Asgari, Y. (2019) ‘Application of neural network in portfolio product companies: Integration of Boston consulting group matrix and Ansoff matrix’. </w:t>
      </w:r>
      <w:r>
        <w:rPr>
          <w:rFonts w:ascii="Times New Roman" w:eastAsia="Times New Roman" w:hAnsi="Times New Roman" w:cs="Times New Roman"/>
          <w:i/>
          <w:sz w:val="24"/>
          <w:szCs w:val="24"/>
          <w:highlight w:val="white"/>
        </w:rPr>
        <w:t>International Journal of Economics and Management Engineering</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13</w:t>
      </w:r>
      <w:r>
        <w:rPr>
          <w:rFonts w:ascii="Times New Roman" w:eastAsia="Times New Roman" w:hAnsi="Times New Roman" w:cs="Times New Roman"/>
          <w:sz w:val="24"/>
          <w:szCs w:val="24"/>
          <w:highlight w:val="white"/>
        </w:rPr>
        <w:t xml:space="preserve">(6), pp. 821-825. Available at: </w:t>
      </w:r>
      <w:hyperlink r:id="rId28">
        <w:r>
          <w:rPr>
            <w:rFonts w:ascii="Times New Roman" w:eastAsia="Times New Roman" w:hAnsi="Times New Roman" w:cs="Times New Roman"/>
            <w:color w:val="1155CC"/>
            <w:sz w:val="24"/>
            <w:szCs w:val="24"/>
            <w:highlight w:val="white"/>
            <w:u w:val="single"/>
          </w:rPr>
          <w:t>https://www.researchgate.net/profile/Sali-Asli/publication/360928851_Application_of_neural_network_in_portfolio_product_companies_Integration_of_Boston_Consulting_Group_matrix_and_Ansoff_matrix/links/629340546886635d5cad0cbf/Application-of-neural-network-in-portfolio-product-companies-Integration-of-Boston-Consulting-Group-matrix-and-Ansoff-matrix.pdf</w:t>
        </w:r>
      </w:hyperlink>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(Accessed: 19 October 2025).</w:t>
      </w:r>
    </w:p>
    <w:p w14:paraId="069C3425" w14:textId="77777777" w:rsidR="003825F6" w:rsidRDefault="003825F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Kolodny, L. (2025) </w:t>
      </w:r>
      <w:r>
        <w:rPr>
          <w:rFonts w:ascii="Times New Roman" w:eastAsia="Times New Roman" w:hAnsi="Times New Roman" w:cs="Times New Roman"/>
          <w:i/>
          <w:sz w:val="24"/>
          <w:szCs w:val="24"/>
        </w:rPr>
        <w:t>Tesla shares slide after it reports first drop in annual deliveries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CNBC</w:t>
      </w:r>
      <w:r>
        <w:rPr>
          <w:rFonts w:ascii="Times New Roman" w:eastAsia="Times New Roman" w:hAnsi="Times New Roman" w:cs="Times New Roman"/>
          <w:sz w:val="24"/>
          <w:szCs w:val="24"/>
        </w:rPr>
        <w:t xml:space="preserve">. Available at: </w:t>
      </w:r>
      <w:hyperlink r:id="rId29">
        <w:r>
          <w:rPr>
            <w:rFonts w:ascii="Times New Roman" w:eastAsia="Times New Roman" w:hAnsi="Times New Roman" w:cs="Times New Roman"/>
            <w:color w:val="1155CC"/>
            <w:sz w:val="24"/>
            <w:szCs w:val="24"/>
            <w:u w:val="single"/>
          </w:rPr>
          <w:t>https://www.cnbc.com/2025/01/02/tesla-tsla-q4-2024-vehicle-delivery-and-production-numbers.html</w:t>
        </w:r>
      </w:hyperlink>
      <w:r>
        <w:rPr>
          <w:rFonts w:ascii="Times New Roman" w:eastAsia="Times New Roman" w:hAnsi="Times New Roman" w:cs="Times New Roman"/>
          <w:sz w:val="24"/>
          <w:szCs w:val="24"/>
        </w:rPr>
        <w:t xml:space="preserve"> (Accessed: 19 October 2025).</w:t>
      </w:r>
    </w:p>
    <w:p w14:paraId="31891A4D" w14:textId="77777777" w:rsidR="003825F6" w:rsidRDefault="003825F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Macro Trends (2025) </w:t>
      </w:r>
      <w:r>
        <w:rPr>
          <w:rFonts w:ascii="Times New Roman" w:eastAsia="Times New Roman" w:hAnsi="Times New Roman" w:cs="Times New Roman"/>
          <w:i/>
          <w:sz w:val="24"/>
          <w:szCs w:val="24"/>
        </w:rPr>
        <w:t>Tesla Research and Development Expenses 2009-2019 | TSLA</w:t>
      </w:r>
      <w:r>
        <w:rPr>
          <w:rFonts w:ascii="Times New Roman" w:eastAsia="Times New Roman" w:hAnsi="Times New Roman" w:cs="Times New Roman"/>
          <w:sz w:val="24"/>
          <w:szCs w:val="24"/>
        </w:rPr>
        <w:t xml:space="preserve">. Available at: </w:t>
      </w:r>
      <w:hyperlink r:id="rId30">
        <w:r>
          <w:rPr>
            <w:rFonts w:ascii="Times New Roman" w:eastAsia="Times New Roman" w:hAnsi="Times New Roman" w:cs="Times New Roman"/>
            <w:color w:val="1155CC"/>
            <w:sz w:val="24"/>
            <w:szCs w:val="24"/>
            <w:u w:val="single"/>
          </w:rPr>
          <w:t>https://www.macrotrends.net/stocks/charts/TSLA/tesla/research-development-expenses</w:t>
        </w:r>
      </w:hyperlink>
      <w:r>
        <w:rPr>
          <w:rFonts w:ascii="Times New Roman" w:eastAsia="Times New Roman" w:hAnsi="Times New Roman" w:cs="Times New Roman"/>
          <w:sz w:val="24"/>
          <w:szCs w:val="24"/>
        </w:rPr>
        <w:t xml:space="preserve"> (Accessed: 19 October 2025).</w:t>
      </w:r>
    </w:p>
    <w:p w14:paraId="73C2D1EA" w14:textId="77777777" w:rsidR="003825F6" w:rsidRDefault="003825F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Meredith, S. (2025) </w:t>
      </w:r>
      <w:r>
        <w:rPr>
          <w:rFonts w:ascii="Times New Roman" w:eastAsia="Times New Roman" w:hAnsi="Times New Roman" w:cs="Times New Roman"/>
          <w:i/>
          <w:sz w:val="24"/>
          <w:szCs w:val="24"/>
        </w:rPr>
        <w:t>Chinese EV giant BYD outpaces Tesla with annual sales of more than $100 billion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CNBC.</w:t>
      </w:r>
      <w:r>
        <w:rPr>
          <w:rFonts w:ascii="Times New Roman" w:eastAsia="Times New Roman" w:hAnsi="Times New Roman" w:cs="Times New Roman"/>
          <w:sz w:val="24"/>
          <w:szCs w:val="24"/>
        </w:rPr>
        <w:t xml:space="preserve"> Available at: </w:t>
      </w:r>
      <w:hyperlink r:id="rId31">
        <w:r>
          <w:rPr>
            <w:rFonts w:ascii="Times New Roman" w:eastAsia="Times New Roman" w:hAnsi="Times New Roman" w:cs="Times New Roman"/>
            <w:color w:val="1155CC"/>
            <w:sz w:val="24"/>
            <w:szCs w:val="24"/>
            <w:u w:val="single"/>
          </w:rPr>
          <w:t>https://www.cnbc.com/2025/03/25/ev-giant-byd-outpaces-tesla-with-annual-sales-of-over-100-billion.html</w:t>
        </w:r>
      </w:hyperlink>
      <w:r>
        <w:rPr>
          <w:rFonts w:ascii="Times New Roman" w:eastAsia="Times New Roman" w:hAnsi="Times New Roman" w:cs="Times New Roman"/>
          <w:sz w:val="24"/>
          <w:szCs w:val="24"/>
        </w:rPr>
        <w:t xml:space="preserve"> (Accessed: 19 October 2025).</w:t>
      </w:r>
    </w:p>
    <w:p w14:paraId="13FBE4F6" w14:textId="77777777" w:rsidR="003825F6" w:rsidRDefault="003825F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Möller, T. (2024) </w:t>
      </w:r>
      <w:r>
        <w:rPr>
          <w:rFonts w:ascii="Times New Roman" w:eastAsia="Times New Roman" w:hAnsi="Times New Roman" w:cs="Times New Roman"/>
          <w:i/>
          <w:sz w:val="24"/>
          <w:szCs w:val="24"/>
        </w:rPr>
        <w:t>The battery chemistries powering the future of electric vehicles</w:t>
      </w:r>
      <w:r>
        <w:rPr>
          <w:rFonts w:ascii="Times New Roman" w:eastAsia="Times New Roman" w:hAnsi="Times New Roman" w:cs="Times New Roman"/>
          <w:sz w:val="24"/>
          <w:szCs w:val="24"/>
        </w:rPr>
        <w:t xml:space="preserve"> | </w:t>
      </w:r>
      <w:r>
        <w:rPr>
          <w:rFonts w:ascii="Times New Roman" w:eastAsia="Times New Roman" w:hAnsi="Times New Roman" w:cs="Times New Roman"/>
          <w:i/>
          <w:sz w:val="24"/>
          <w:szCs w:val="24"/>
        </w:rPr>
        <w:t>McKinsey &amp; Company.</w:t>
      </w:r>
      <w:r>
        <w:rPr>
          <w:rFonts w:ascii="Times New Roman" w:eastAsia="Times New Roman" w:hAnsi="Times New Roman" w:cs="Times New Roman"/>
          <w:sz w:val="24"/>
          <w:szCs w:val="24"/>
        </w:rPr>
        <w:t xml:space="preserve"> Available at: </w:t>
      </w:r>
      <w:hyperlink r:id="rId32">
        <w:r>
          <w:rPr>
            <w:rFonts w:ascii="Times New Roman" w:eastAsia="Times New Roman" w:hAnsi="Times New Roman" w:cs="Times New Roman"/>
            <w:color w:val="1155CC"/>
            <w:sz w:val="24"/>
            <w:szCs w:val="24"/>
            <w:u w:val="single"/>
          </w:rPr>
          <w:t>https://www.mckinsey.com/industries/automotive-and-assembly/our-insights/the-battery-chemistries-powering-the-future-of-electric-vehicles</w:t>
        </w:r>
      </w:hyperlink>
      <w:r>
        <w:rPr>
          <w:rFonts w:ascii="Times New Roman" w:eastAsia="Times New Roman" w:hAnsi="Times New Roman" w:cs="Times New Roman"/>
          <w:sz w:val="24"/>
          <w:szCs w:val="24"/>
        </w:rPr>
        <w:t xml:space="preserve"> (Accessed: 19 October 2025).</w:t>
      </w:r>
    </w:p>
    <w:p w14:paraId="418B7B06" w14:textId="77777777" w:rsidR="003825F6" w:rsidRDefault="003825F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Ormston, A. (2025) </w:t>
      </w:r>
      <w:r>
        <w:rPr>
          <w:rFonts w:ascii="Times New Roman" w:eastAsia="Times New Roman" w:hAnsi="Times New Roman" w:cs="Times New Roman"/>
          <w:i/>
          <w:sz w:val="24"/>
          <w:szCs w:val="24"/>
        </w:rPr>
        <w:t>PESTLE Analysis: A Guide to Understanding Market Influence |</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B2B International.</w:t>
      </w:r>
      <w:r>
        <w:rPr>
          <w:rFonts w:ascii="Times New Roman" w:eastAsia="Times New Roman" w:hAnsi="Times New Roman" w:cs="Times New Roman"/>
          <w:sz w:val="24"/>
          <w:szCs w:val="24"/>
        </w:rPr>
        <w:t xml:space="preserve"> Available at: </w:t>
      </w:r>
      <w:hyperlink r:id="rId33">
        <w:r>
          <w:rPr>
            <w:rFonts w:ascii="Times New Roman" w:eastAsia="Times New Roman" w:hAnsi="Times New Roman" w:cs="Times New Roman"/>
            <w:color w:val="1155CC"/>
            <w:sz w:val="24"/>
            <w:szCs w:val="24"/>
            <w:u w:val="single"/>
          </w:rPr>
          <w:t>https://www.b2binternational.com/2025/04/03/pestle-analysis/</w:t>
        </w:r>
      </w:hyperlink>
      <w:r>
        <w:rPr>
          <w:rFonts w:ascii="Times New Roman" w:eastAsia="Times New Roman" w:hAnsi="Times New Roman" w:cs="Times New Roman"/>
          <w:sz w:val="24"/>
          <w:szCs w:val="24"/>
        </w:rPr>
        <w:t xml:space="preserve"> (Accessed: 19 October 2025).</w:t>
      </w:r>
    </w:p>
    <w:p w14:paraId="1EFB5DDD" w14:textId="77777777" w:rsidR="003825F6" w:rsidRDefault="003825F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Peterdy, K. (2025) </w:t>
      </w:r>
      <w:r>
        <w:rPr>
          <w:rFonts w:ascii="Times New Roman" w:eastAsia="Times New Roman" w:hAnsi="Times New Roman" w:cs="Times New Roman"/>
          <w:i/>
          <w:sz w:val="24"/>
          <w:szCs w:val="24"/>
        </w:rPr>
        <w:t>Ansoff Matrix</w:t>
      </w:r>
      <w:r>
        <w:rPr>
          <w:rFonts w:ascii="Times New Roman" w:eastAsia="Times New Roman" w:hAnsi="Times New Roman" w:cs="Times New Roman"/>
          <w:sz w:val="24"/>
          <w:szCs w:val="24"/>
        </w:rPr>
        <w:t xml:space="preserve"> | </w:t>
      </w:r>
      <w:r>
        <w:rPr>
          <w:rFonts w:ascii="Times New Roman" w:eastAsia="Times New Roman" w:hAnsi="Times New Roman" w:cs="Times New Roman"/>
          <w:i/>
          <w:sz w:val="24"/>
          <w:szCs w:val="24"/>
        </w:rPr>
        <w:t>Corporate Finance Institute</w:t>
      </w:r>
      <w:r>
        <w:rPr>
          <w:rFonts w:ascii="Times New Roman" w:eastAsia="Times New Roman" w:hAnsi="Times New Roman" w:cs="Times New Roman"/>
          <w:sz w:val="24"/>
          <w:szCs w:val="24"/>
        </w:rPr>
        <w:t xml:space="preserve">. Available at: </w:t>
      </w:r>
      <w:hyperlink r:id="rId34">
        <w:r>
          <w:rPr>
            <w:rFonts w:ascii="Times New Roman" w:eastAsia="Times New Roman" w:hAnsi="Times New Roman" w:cs="Times New Roman"/>
            <w:color w:val="1155CC"/>
            <w:sz w:val="24"/>
            <w:szCs w:val="24"/>
            <w:u w:val="single"/>
          </w:rPr>
          <w:t>https://corporatefinanceinstitute.com/resources/management/ansoff-matrix/</w:t>
        </w:r>
      </w:hyperlink>
      <w:r>
        <w:rPr>
          <w:rFonts w:ascii="Times New Roman" w:eastAsia="Times New Roman" w:hAnsi="Times New Roman" w:cs="Times New Roman"/>
          <w:sz w:val="24"/>
          <w:szCs w:val="24"/>
        </w:rPr>
        <w:t xml:space="preserve"> (Accessed: 19 October 2025).</w:t>
      </w:r>
    </w:p>
    <w:p w14:paraId="2C4CA21B" w14:textId="77777777" w:rsidR="003825F6" w:rsidRDefault="003825F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Sriram, A. and Jin, H. (2024) </w:t>
      </w:r>
      <w:r>
        <w:rPr>
          <w:rFonts w:ascii="Times New Roman" w:eastAsia="Times New Roman" w:hAnsi="Times New Roman" w:cs="Times New Roman"/>
          <w:i/>
          <w:sz w:val="24"/>
          <w:szCs w:val="24"/>
        </w:rPr>
        <w:t>Tesla drops delivery goal of 20 million vehicles a year from latest report</w:t>
      </w:r>
      <w:r>
        <w:rPr>
          <w:rFonts w:ascii="Times New Roman" w:eastAsia="Times New Roman" w:hAnsi="Times New Roman" w:cs="Times New Roman"/>
          <w:sz w:val="24"/>
          <w:szCs w:val="24"/>
        </w:rPr>
        <w:t xml:space="preserve"> | </w:t>
      </w:r>
      <w:r>
        <w:rPr>
          <w:rFonts w:ascii="Times New Roman" w:eastAsia="Times New Roman" w:hAnsi="Times New Roman" w:cs="Times New Roman"/>
          <w:i/>
          <w:sz w:val="24"/>
          <w:szCs w:val="24"/>
        </w:rPr>
        <w:t>Reuters</w:t>
      </w:r>
      <w:r>
        <w:rPr>
          <w:rFonts w:ascii="Times New Roman" w:eastAsia="Times New Roman" w:hAnsi="Times New Roman" w:cs="Times New Roman"/>
          <w:sz w:val="24"/>
          <w:szCs w:val="24"/>
        </w:rPr>
        <w:t xml:space="preserve">. Available at: </w:t>
      </w:r>
      <w:hyperlink r:id="rId35">
        <w:r>
          <w:rPr>
            <w:rFonts w:ascii="Times New Roman" w:eastAsia="Times New Roman" w:hAnsi="Times New Roman" w:cs="Times New Roman"/>
            <w:color w:val="1155CC"/>
            <w:sz w:val="24"/>
            <w:szCs w:val="24"/>
            <w:u w:val="single"/>
          </w:rPr>
          <w:t>https://www.reuters.com/business/autos-transportation/tesla-drops-reference-its-goal-delivering-20-mln-vehicles-annually-impact-report-2024-05-23/</w:t>
        </w:r>
      </w:hyperlink>
      <w:r>
        <w:rPr>
          <w:rFonts w:ascii="Times New Roman" w:eastAsia="Times New Roman" w:hAnsi="Times New Roman" w:cs="Times New Roman"/>
          <w:sz w:val="24"/>
          <w:szCs w:val="24"/>
        </w:rPr>
        <w:t xml:space="preserve"> (Accessed: 19 October 2025).</w:t>
      </w:r>
    </w:p>
    <w:p w14:paraId="12F3AFD7" w14:textId="77777777" w:rsidR="003825F6" w:rsidRDefault="003825F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Tesla (2024) </w:t>
      </w:r>
      <w:r>
        <w:rPr>
          <w:rFonts w:ascii="Times New Roman" w:eastAsia="Times New Roman" w:hAnsi="Times New Roman" w:cs="Times New Roman"/>
          <w:i/>
          <w:sz w:val="24"/>
          <w:szCs w:val="24"/>
        </w:rPr>
        <w:t xml:space="preserve">Q4 and FY 2024 Update. </w:t>
      </w:r>
      <w:r>
        <w:rPr>
          <w:rFonts w:ascii="Times New Roman" w:eastAsia="Times New Roman" w:hAnsi="Times New Roman" w:cs="Times New Roman"/>
          <w:sz w:val="24"/>
          <w:szCs w:val="24"/>
        </w:rPr>
        <w:t xml:space="preserve">Available at: </w:t>
      </w:r>
      <w:hyperlink r:id="rId36">
        <w:r>
          <w:rPr>
            <w:rFonts w:ascii="Times New Roman" w:eastAsia="Times New Roman" w:hAnsi="Times New Roman" w:cs="Times New Roman"/>
            <w:color w:val="1155CC"/>
            <w:sz w:val="24"/>
            <w:szCs w:val="24"/>
            <w:u w:val="single"/>
          </w:rPr>
          <w:t>https://digitalassets.tesla.com/tesla-contents/image/upload/IR/TSLA-Q4-2024-Update.pdf</w:t>
        </w:r>
      </w:hyperlink>
      <w:r>
        <w:rPr>
          <w:rFonts w:ascii="Times New Roman" w:eastAsia="Times New Roman" w:hAnsi="Times New Roman" w:cs="Times New Roman"/>
          <w:sz w:val="24"/>
          <w:szCs w:val="24"/>
        </w:rPr>
        <w:t xml:space="preserve"> (Accessed: 19 October 2025).</w:t>
      </w:r>
    </w:p>
    <w:p w14:paraId="29AD9044" w14:textId="77777777" w:rsidR="003825F6" w:rsidRDefault="003825F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Times of India (2025) </w:t>
      </w:r>
      <w:r>
        <w:rPr>
          <w:rFonts w:ascii="Times New Roman" w:eastAsia="Times New Roman" w:hAnsi="Times New Roman" w:cs="Times New Roman"/>
          <w:i/>
          <w:sz w:val="24"/>
          <w:szCs w:val="24"/>
        </w:rPr>
        <w:t xml:space="preserve">Chinese EV giant BYD outpaces Tesla with record-breaking revenue in 2024 | The Times of India. </w:t>
      </w:r>
      <w:r>
        <w:rPr>
          <w:rFonts w:ascii="Times New Roman" w:eastAsia="Times New Roman" w:hAnsi="Times New Roman" w:cs="Times New Roman"/>
          <w:sz w:val="24"/>
          <w:szCs w:val="24"/>
        </w:rPr>
        <w:t xml:space="preserve">Available at: </w:t>
      </w:r>
      <w:hyperlink r:id="rId37">
        <w:r>
          <w:rPr>
            <w:rFonts w:ascii="Times New Roman" w:eastAsia="Times New Roman" w:hAnsi="Times New Roman" w:cs="Times New Roman"/>
            <w:color w:val="1155CC"/>
            <w:sz w:val="24"/>
            <w:szCs w:val="24"/>
            <w:u w:val="single"/>
          </w:rPr>
          <w:t>https://timesofindia.indiatimes.com/auto/cars/chinese-ev-giant-byd-outpaces-tesla-with-record-breaking-revenue-in-2024/articleshow/119459044.cms</w:t>
        </w:r>
      </w:hyperlink>
      <w:r>
        <w:rPr>
          <w:rFonts w:ascii="Times New Roman" w:eastAsia="Times New Roman" w:hAnsi="Times New Roman" w:cs="Times New Roman"/>
          <w:sz w:val="24"/>
          <w:szCs w:val="24"/>
        </w:rPr>
        <w:t xml:space="preserve"> (Accessed: 19 October 2025).</w:t>
      </w:r>
    </w:p>
    <w:p w14:paraId="02844D49" w14:textId="77777777" w:rsidR="003825F6" w:rsidRDefault="003825F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Tradingkey (2025) </w:t>
      </w:r>
      <w:r>
        <w:rPr>
          <w:rFonts w:ascii="Times New Roman" w:eastAsia="Times New Roman" w:hAnsi="Times New Roman" w:cs="Times New Roman"/>
          <w:i/>
          <w:sz w:val="24"/>
          <w:szCs w:val="24"/>
        </w:rPr>
        <w:t>Tesla in 2025: Brilliance, Bottlenecks, and the Billion-Dollar Question</w:t>
      </w:r>
      <w:r>
        <w:rPr>
          <w:rFonts w:ascii="Times New Roman" w:eastAsia="Times New Roman" w:hAnsi="Times New Roman" w:cs="Times New Roman"/>
          <w:sz w:val="24"/>
          <w:szCs w:val="24"/>
        </w:rPr>
        <w:t xml:space="preserve">. Available at: </w:t>
      </w:r>
      <w:hyperlink r:id="rId38">
        <w:r>
          <w:rPr>
            <w:rFonts w:ascii="Times New Roman" w:eastAsia="Times New Roman" w:hAnsi="Times New Roman" w:cs="Times New Roman"/>
            <w:color w:val="1155CC"/>
            <w:sz w:val="24"/>
            <w:szCs w:val="24"/>
            <w:u w:val="single"/>
          </w:rPr>
          <w:t>https://www.mitrade.com/insights/news/live-news/article-8-717145-20250325</w:t>
        </w:r>
      </w:hyperlink>
      <w:r>
        <w:rPr>
          <w:rFonts w:ascii="Times New Roman" w:eastAsia="Times New Roman" w:hAnsi="Times New Roman" w:cs="Times New Roman"/>
          <w:sz w:val="24"/>
          <w:szCs w:val="24"/>
        </w:rPr>
        <w:t xml:space="preserve"> (Accessed: 19 October 2025).</w:t>
      </w:r>
    </w:p>
    <w:p w14:paraId="28958F0F" w14:textId="77777777" w:rsidR="003825F6" w:rsidRDefault="003825F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Varadarajan, R., Yadav, M.S. and Shankar, V. (2008) ‘First-mover advantage in an internet-enabled market environment: conceptual framework and propositions’. </w:t>
      </w:r>
      <w:r>
        <w:rPr>
          <w:rFonts w:ascii="Times New Roman" w:eastAsia="Times New Roman" w:hAnsi="Times New Roman" w:cs="Times New Roman"/>
          <w:i/>
          <w:sz w:val="24"/>
          <w:szCs w:val="24"/>
          <w:highlight w:val="white"/>
        </w:rPr>
        <w:t>Journal of the Academy of Marketing Science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36</w:t>
      </w:r>
      <w:r>
        <w:rPr>
          <w:rFonts w:ascii="Times New Roman" w:eastAsia="Times New Roman" w:hAnsi="Times New Roman" w:cs="Times New Roman"/>
          <w:sz w:val="24"/>
          <w:szCs w:val="24"/>
          <w:highlight w:val="white"/>
        </w:rPr>
        <w:t xml:space="preserve">(3), pp. 293-308. Available at: </w:t>
      </w:r>
      <w:hyperlink r:id="rId39">
        <w:r>
          <w:rPr>
            <w:rFonts w:ascii="Times New Roman" w:eastAsia="Times New Roman" w:hAnsi="Times New Roman" w:cs="Times New Roman"/>
            <w:color w:val="1155CC"/>
            <w:sz w:val="24"/>
            <w:szCs w:val="24"/>
            <w:highlight w:val="white"/>
            <w:u w:val="single"/>
          </w:rPr>
          <w:t>https://www.researchgate.net/profile/Rajan-Varadarajan-2/publication/227158218_First-mover_advantage_in_an_Internet-enabled_market_environment_Conceptual_framework_and_propositions/links/0fcfd50a17102bdb11000000/First-mover-advantage-in-an-Internet-enabled-market-environment-Conceptual-framework-and-propositions.pdf</w:t>
        </w:r>
      </w:hyperlink>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rPr>
        <w:t>(Accessed: 19 October 2025).</w:t>
      </w:r>
    </w:p>
    <w:p w14:paraId="0C9E0C5E" w14:textId="77777777" w:rsidR="003825F6" w:rsidRDefault="003825F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Volkswagen Group (2025) </w:t>
      </w:r>
      <w:r>
        <w:rPr>
          <w:rFonts w:ascii="Times New Roman" w:eastAsia="Times New Roman" w:hAnsi="Times New Roman" w:cs="Times New Roman"/>
          <w:i/>
          <w:sz w:val="24"/>
          <w:szCs w:val="24"/>
        </w:rPr>
        <w:t>Volkswagen Group with mixed start to FY 2025; strong product momentum and focus on cost discipline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Volkswagen Group.</w:t>
      </w:r>
      <w:r>
        <w:rPr>
          <w:rFonts w:ascii="Times New Roman" w:eastAsia="Times New Roman" w:hAnsi="Times New Roman" w:cs="Times New Roman"/>
          <w:sz w:val="24"/>
          <w:szCs w:val="24"/>
        </w:rPr>
        <w:t xml:space="preserve"> Available at: </w:t>
      </w:r>
      <w:hyperlink r:id="rId40">
        <w:r>
          <w:rPr>
            <w:rFonts w:ascii="Times New Roman" w:eastAsia="Times New Roman" w:hAnsi="Times New Roman" w:cs="Times New Roman"/>
            <w:color w:val="1155CC"/>
            <w:sz w:val="24"/>
            <w:szCs w:val="24"/>
            <w:u w:val="single"/>
          </w:rPr>
          <w:t>https://www.volkswagen-group.com/en/press-releases/volkswagen-group-with-mixed-start-to-fy-2025-strong-product-momentum-and-focus-on-cost-discipline-19223</w:t>
        </w:r>
      </w:hyperlink>
      <w:r>
        <w:rPr>
          <w:rFonts w:ascii="Times New Roman" w:eastAsia="Times New Roman" w:hAnsi="Times New Roman" w:cs="Times New Roman"/>
          <w:sz w:val="24"/>
          <w:szCs w:val="24"/>
        </w:rPr>
        <w:t xml:space="preserve"> (Accessed: 19 October 2025).</w:t>
      </w:r>
    </w:p>
    <w:p w14:paraId="264D3B6E" w14:textId="77777777" w:rsidR="003825F6" w:rsidRDefault="003825F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Walz, E. (2025) </w:t>
      </w:r>
      <w:r>
        <w:rPr>
          <w:rFonts w:ascii="Times New Roman" w:eastAsia="Times New Roman" w:hAnsi="Times New Roman" w:cs="Times New Roman"/>
          <w:i/>
          <w:sz w:val="24"/>
          <w:szCs w:val="24"/>
        </w:rPr>
        <w:t>Hyundai’s revenue jumped 11.9% in 2024</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WardsAuto.</w:t>
      </w:r>
      <w:r>
        <w:rPr>
          <w:rFonts w:ascii="Times New Roman" w:eastAsia="Times New Roman" w:hAnsi="Times New Roman" w:cs="Times New Roman"/>
          <w:sz w:val="24"/>
          <w:szCs w:val="24"/>
        </w:rPr>
        <w:t xml:space="preserve"> Available at: </w:t>
      </w:r>
      <w:hyperlink r:id="rId41">
        <w:r>
          <w:rPr>
            <w:rFonts w:ascii="Times New Roman" w:eastAsia="Times New Roman" w:hAnsi="Times New Roman" w:cs="Times New Roman"/>
            <w:color w:val="1155CC"/>
            <w:sz w:val="24"/>
            <w:szCs w:val="24"/>
            <w:u w:val="single"/>
          </w:rPr>
          <w:t>https://www.wardsauto.com/news/archive-auto-hyundai-motor-reports-q4-earnings-2024-revenue-jump-vehicle-sales/738386/</w:t>
        </w:r>
      </w:hyperlink>
      <w:r>
        <w:rPr>
          <w:rFonts w:ascii="Times New Roman" w:eastAsia="Times New Roman" w:hAnsi="Times New Roman" w:cs="Times New Roman"/>
          <w:sz w:val="24"/>
          <w:szCs w:val="24"/>
        </w:rPr>
        <w:t xml:space="preserve"> (Accessed: 19 October 2025).</w:t>
      </w:r>
    </w:p>
    <w:p w14:paraId="7BEDB729" w14:textId="1C329E23" w:rsidR="001A6B06" w:rsidRDefault="003825F6">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Williment, C. (2025) </w:t>
      </w:r>
      <w:r>
        <w:rPr>
          <w:rFonts w:ascii="Times New Roman" w:eastAsia="Times New Roman" w:hAnsi="Times New Roman" w:cs="Times New Roman"/>
          <w:i/>
          <w:sz w:val="24"/>
          <w:szCs w:val="24"/>
        </w:rPr>
        <w:t>How are EVs Powering Hyundai’s Journey to Net Zero by 2045?</w:t>
      </w:r>
      <w:r>
        <w:rPr>
          <w:rFonts w:ascii="Times New Roman" w:eastAsia="Times New Roman" w:hAnsi="Times New Roman" w:cs="Times New Roman"/>
          <w:sz w:val="24"/>
          <w:szCs w:val="24"/>
        </w:rPr>
        <w:t xml:space="preserve"> Available at: </w:t>
      </w:r>
      <w:hyperlink r:id="rId42">
        <w:r>
          <w:rPr>
            <w:rFonts w:ascii="Times New Roman" w:eastAsia="Times New Roman" w:hAnsi="Times New Roman" w:cs="Times New Roman"/>
            <w:color w:val="1155CC"/>
            <w:sz w:val="24"/>
            <w:szCs w:val="24"/>
            <w:u w:val="single"/>
          </w:rPr>
          <w:t>https://evmagazine.com/news/how-evs-are-powering-hyundais-journey-to-net-zero-by-2045</w:t>
        </w:r>
      </w:hyperlink>
      <w:r>
        <w:rPr>
          <w:rFonts w:ascii="Times New Roman" w:eastAsia="Times New Roman" w:hAnsi="Times New Roman" w:cs="Times New Roman"/>
          <w:sz w:val="24"/>
          <w:szCs w:val="24"/>
        </w:rPr>
        <w:t xml:space="preserve"> (Accessed: 19 October 2025).</w:t>
      </w:r>
    </w:p>
    <w:p w14:paraId="045DC3F1" w14:textId="40E67C95" w:rsidR="003825F6" w:rsidRDefault="003825F6" w:rsidP="005A3B55">
      <w:pPr>
        <w:rPr>
          <w:rFonts w:ascii="Times New Roman" w:eastAsia="Times New Roman" w:hAnsi="Times New Roman" w:cs="Times New Roman"/>
          <w:sz w:val="24"/>
          <w:szCs w:val="24"/>
        </w:rPr>
      </w:pPr>
    </w:p>
    <w:sectPr w:rsidR="003825F6">
      <w:footerReference w:type="default" r:id="rId43"/>
      <w:footerReference w:type="first" r:id="rId44"/>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9208C6" w14:textId="77777777" w:rsidR="00673274" w:rsidRDefault="00673274">
      <w:pPr>
        <w:spacing w:line="240" w:lineRule="auto"/>
      </w:pPr>
      <w:r>
        <w:separator/>
      </w:r>
    </w:p>
  </w:endnote>
  <w:endnote w:type="continuationSeparator" w:id="0">
    <w:p w14:paraId="7ADC0E5A" w14:textId="77777777" w:rsidR="00673274" w:rsidRDefault="006732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A162C4" w14:textId="77777777" w:rsidR="00BA46DF" w:rsidRDefault="00000000">
    <w:pPr>
      <w:jc w:val="right"/>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3825F6">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78D1E3" w14:textId="77777777" w:rsidR="00BA46DF" w:rsidRDefault="00BA46D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4C0605" w14:textId="77777777" w:rsidR="00673274" w:rsidRDefault="00673274">
      <w:pPr>
        <w:spacing w:line="240" w:lineRule="auto"/>
      </w:pPr>
      <w:r>
        <w:separator/>
      </w:r>
    </w:p>
  </w:footnote>
  <w:footnote w:type="continuationSeparator" w:id="0">
    <w:p w14:paraId="2F4D054F" w14:textId="77777777" w:rsidR="00673274" w:rsidRDefault="0067327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46DF"/>
    <w:rsid w:val="00113EA7"/>
    <w:rsid w:val="0014791B"/>
    <w:rsid w:val="001A6B06"/>
    <w:rsid w:val="00232ABE"/>
    <w:rsid w:val="00311F51"/>
    <w:rsid w:val="003825F6"/>
    <w:rsid w:val="005A3B55"/>
    <w:rsid w:val="00673274"/>
    <w:rsid w:val="00944D84"/>
    <w:rsid w:val="00A117BA"/>
    <w:rsid w:val="00A52DA2"/>
    <w:rsid w:val="00BA46DF"/>
    <w:rsid w:val="00D13968"/>
    <w:rsid w:val="00EA0060"/>
    <w:rsid w:val="00F04083"/>
    <w:rsid w:val="00FB2C2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E8CCA3"/>
  <w15:docId w15:val="{D65815BA-F0B7-4E1B-806A-49DE7314D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after="200"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en16062925" TargetMode="External"/><Relationship Id="rId18" Type="http://schemas.openxmlformats.org/officeDocument/2006/relationships/hyperlink" Target="https://www.consilium.europa.eu/en/press/press-releases/2023/03/28/fit-for-55-council-adopts-regulation-on-co2-emissions-for-new-cars-and-vans/pdf" TargetMode="External"/><Relationship Id="rId26" Type="http://schemas.openxmlformats.org/officeDocument/2006/relationships/hyperlink" Target="https://www.ig.com/en/news-and-trade-ideas/byd_2024_earnings-250326" TargetMode="External"/><Relationship Id="rId39" Type="http://schemas.openxmlformats.org/officeDocument/2006/relationships/hyperlink" Target="https://www.researchgate.net/profile/Rajan-Varadarajan-2/publication/227158218_First-mover_advantage_in_an_Internet-enabled_market_environment_Conceptual_framework_and_propositions/links/0fcfd50a17102bdb11000000/First-mover-advantage-in-an-Internet-enabled-market-environment-Conceptual-framework-and-propositions.pdf" TargetMode="External"/><Relationship Id="rId21" Type="http://schemas.openxmlformats.org/officeDocument/2006/relationships/hyperlink" Target="https://fastercapital.com/content/The-First-Mover-Advantage--Early-Adopters-and-Industry-Disruption.html" TargetMode="External"/><Relationship Id="rId34" Type="http://schemas.openxmlformats.org/officeDocument/2006/relationships/hyperlink" Target="https://corporatefinanceinstitute.com/resources/management/ansoff-matrix/" TargetMode="External"/><Relationship Id="rId42" Type="http://schemas.openxmlformats.org/officeDocument/2006/relationships/hyperlink" Target="https://evmagazine.com/news/how-evs-are-powering-hyundais-journey-to-net-zero-by-2045" TargetMode="External"/><Relationship Id="rId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hyperlink" Target="https://onlinelibrary.wiley.com/doi/pdf/10.1002/bse.2430" TargetMode="External"/><Relationship Id="rId29" Type="http://schemas.openxmlformats.org/officeDocument/2006/relationships/hyperlink" Target="https://www.cnbc.com/2025/01/02/tesla-tsla-q4-2024-vehicle-delivery-and-production-numbers.html"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iea.org/reports/global-ev-outlook-2025/electric-vehicle-batteries" TargetMode="External"/><Relationship Id="rId32" Type="http://schemas.openxmlformats.org/officeDocument/2006/relationships/hyperlink" Target="https://www.mckinsey.com/industries/automotive-and-assembly/our-insights/the-battery-chemistries-powering-the-future-of-electric-vehicles" TargetMode="External"/><Relationship Id="rId37" Type="http://schemas.openxmlformats.org/officeDocument/2006/relationships/hyperlink" Target="https://timesofindia.indiatimes.com/auto/cars/chinese-ev-giant-byd-outpaces-tesla-with-record-breaking-revenue-in-2024/articleshow/119459044.cms" TargetMode="External"/><Relationship Id="rId40" Type="http://schemas.openxmlformats.org/officeDocument/2006/relationships/hyperlink" Target="https://www.volkswagen-group.com/en/press-releases/volkswagen-group-with-mixed-start-to-fy-2025-strong-product-momentum-and-focus-on-cost-discipline-19223" TargetMode="External"/><Relationship Id="rId45"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reuters.com/business/autos-transportation/eu-sticks-2035-zero-emissions-target-new-cars-2025-03-05/" TargetMode="External"/><Relationship Id="rId23" Type="http://schemas.openxmlformats.org/officeDocument/2006/relationships/hyperlink" Target="https://www.iea.org/reports/global-ev-outlook-2024/outlook-for-electric-mobility" TargetMode="External"/><Relationship Id="rId28" Type="http://schemas.openxmlformats.org/officeDocument/2006/relationships/hyperlink" Target="https://www.researchgate.net/profile/Sali-Asli/publication/360928851_Application_of_neural_network_in_portfolio_product_companies_Integration_of_Boston_Consulting_Group_matrix_and_Ansoff_matrix/links/629340546886635d5cad0cbf/Application-of-neural-network-in-portfolio-product-companies-Integration-of-Boston-Consulting-Group-matrix-and-Ansoff-matrix.pdf" TargetMode="External"/><Relationship Id="rId36" Type="http://schemas.openxmlformats.org/officeDocument/2006/relationships/hyperlink" Target="https://digitalassets.tesla.com/tesla-contents/image/upload/IR/TSLA-Q4-2024-Update.pdf" TargetMode="External"/><Relationship Id="rId10" Type="http://schemas.openxmlformats.org/officeDocument/2006/relationships/image" Target="media/image5.png"/><Relationship Id="rId19" Type="http://schemas.openxmlformats.org/officeDocument/2006/relationships/hyperlink" Target="https://www.electrive.com/2025/01/14/2024-balance-sheet-volkswagen-group-sells-fewer-electric-cars/" TargetMode="External"/><Relationship Id="rId31" Type="http://schemas.openxmlformats.org/officeDocument/2006/relationships/hyperlink" Target="https://www.cnbc.com/2025/03/25/ev-giant-byd-outpaces-tesla-with-annual-sales-of-over-100-billion.html" TargetMode="External"/><Relationship Id="rId44"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best-selling-cars.com/brands/2024-full-year-global-volkswagen-group-electric-car-sales-worldwide-by-brand-and-model/" TargetMode="External"/><Relationship Id="rId22" Type="http://schemas.openxmlformats.org/officeDocument/2006/relationships/hyperlink" Target="https://www.hyundai.com/worldwide/en/newsroom/detail/hyundai-motor-announces-2024-annual-and-q4-business-results-0000000897" TargetMode="External"/><Relationship Id="rId27" Type="http://schemas.openxmlformats.org/officeDocument/2006/relationships/hyperlink" Target="https://doi.org/10.3390/su16041570" TargetMode="External"/><Relationship Id="rId30" Type="http://schemas.openxmlformats.org/officeDocument/2006/relationships/hyperlink" Target="https://www.macrotrends.net/stocks/charts/TSLA/tesla/research-development-expenses" TargetMode="External"/><Relationship Id="rId35" Type="http://schemas.openxmlformats.org/officeDocument/2006/relationships/hyperlink" Target="https://www.reuters.com/business/autos-transportation/tesla-drops-reference-its-goal-delivering-20-mln-vehicles-annually-impact-report-2024-05-23/" TargetMode="External"/><Relationship Id="rId43" Type="http://schemas.openxmlformats.org/officeDocument/2006/relationships/footer" Target="footer1.xml"/><Relationship Id="rId8" Type="http://schemas.openxmlformats.org/officeDocument/2006/relationships/image" Target="media/image3.png"/><Relationship Id="rId3" Type="http://schemas.openxmlformats.org/officeDocument/2006/relationships/webSettings" Target="webSettings.xml"/><Relationship Id="rId12" Type="http://schemas.openxmlformats.org/officeDocument/2006/relationships/image" Target="media/image7.png"/><Relationship Id="rId17" Type="http://schemas.openxmlformats.org/officeDocument/2006/relationships/hyperlink" Target="https://www.bydukmedia.com/en/news-articles/byd-reports-its-financial-results-in-2024-revenue-hits-777.1-billion-yuan%2C-up-23-year-on-year.html" TargetMode="External"/><Relationship Id="rId25" Type="http://schemas.openxmlformats.org/officeDocument/2006/relationships/hyperlink" Target="https://www.iea.org/reports/global-ev-outlook-2025/outlook-for-electric-mobility" TargetMode="External"/><Relationship Id="rId33" Type="http://schemas.openxmlformats.org/officeDocument/2006/relationships/hyperlink" Target="https://www.b2binternational.com/2025/04/03/pestle-analysis/" TargetMode="External"/><Relationship Id="rId38" Type="http://schemas.openxmlformats.org/officeDocument/2006/relationships/hyperlink" Target="https://www.mitrade.com/insights/news/live-news/article-8-717145-20250325" TargetMode="External"/><Relationship Id="rId46" Type="http://schemas.openxmlformats.org/officeDocument/2006/relationships/theme" Target="theme/theme1.xml"/><Relationship Id="rId20" Type="http://schemas.openxmlformats.org/officeDocument/2006/relationships/hyperlink" Target="https://www.europarl.europa.eu/news/en/press-room/20230210IPR74715/fit-for-55-zero-co2-emissions-for-new-cars-and-vans-in-2035" TargetMode="External"/><Relationship Id="rId41" Type="http://schemas.openxmlformats.org/officeDocument/2006/relationships/hyperlink" Target="https://www.wardsauto.com/news/archive-auto-hyundai-motor-reports-q4-earnings-2024-revenue-jump-vehicle-sales/7383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TotalTime>
  <Pages>1</Pages>
  <Words>3811</Words>
  <Characters>24931</Characters>
  <Application>Microsoft Office Word</Application>
  <DocSecurity>0</DocSecurity>
  <Lines>402</Lines>
  <Paragraphs>128</Paragraphs>
  <ScaleCrop>false</ScaleCrop>
  <Company/>
  <LinksUpToDate>false</LinksUpToDate>
  <CharactersWithSpaces>28614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Nayanita Pathak</cp:lastModifiedBy>
  <cp:revision>11</cp:revision>
  <dcterms:created xsi:type="dcterms:W3CDTF">2025-10-22T14:01:00Z</dcterms:created>
  <dcterms:modified xsi:type="dcterms:W3CDTF">2025-10-22T14:46:00Z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43230191-6ad7-4916-95f3-6690e7e839d0</vt:lpwstr>
  </property>
</Properties>
</file>