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4B8F" w:rsidRPr="00855521" w:rsidRDefault="00E24B8F" w:rsidP="006E4B02">
      <w:pPr>
        <w:spacing w:line="360" w:lineRule="auto"/>
        <w:jc w:val="center"/>
        <w:rPr>
          <w:rFonts w:cs="Arial"/>
          <w:szCs w:val="24"/>
        </w:rPr>
      </w:pPr>
      <w:r w:rsidRPr="00855521">
        <w:rPr>
          <w:rFonts w:cs="Arial"/>
          <w:szCs w:val="24"/>
        </w:rPr>
        <w:t>ANALYSI</w:t>
      </w:r>
      <w:r w:rsidR="000568D8" w:rsidRPr="00855521">
        <w:rPr>
          <w:rFonts w:cs="Arial"/>
          <w:szCs w:val="24"/>
        </w:rPr>
        <w:t>NG THE FUNCTIONS OF SUPERVISION</w:t>
      </w:r>
    </w:p>
    <w:p w:rsidR="000568D8" w:rsidRPr="00855521" w:rsidRDefault="000568D8" w:rsidP="006E4B02">
      <w:pPr>
        <w:pStyle w:val="NoSpacing"/>
        <w:spacing w:after="240"/>
        <w:jc w:val="both"/>
        <w:rPr>
          <w:rFonts w:ascii="Arial" w:hAnsi="Arial" w:cs="Arial"/>
          <w:sz w:val="24"/>
          <w:szCs w:val="24"/>
        </w:rPr>
      </w:pPr>
    </w:p>
    <w:p w:rsidR="006E4B02" w:rsidRPr="006E4B02" w:rsidRDefault="00E24B8F" w:rsidP="006E4B02">
      <w:pPr>
        <w:spacing w:line="360" w:lineRule="auto"/>
        <w:jc w:val="both"/>
        <w:rPr>
          <w:rFonts w:cs="Arial"/>
          <w:szCs w:val="24"/>
        </w:rPr>
      </w:pPr>
      <w:r w:rsidRPr="00855521">
        <w:rPr>
          <w:rFonts w:cs="Arial"/>
          <w:szCs w:val="24"/>
        </w:rPr>
        <w:t>This assignment will analyse the functions of supervision and how this knowledge has been used to supervise others.</w:t>
      </w:r>
      <w:r w:rsidR="00855521" w:rsidRPr="00855521">
        <w:rPr>
          <w:rFonts w:cs="Arial"/>
          <w:szCs w:val="24"/>
        </w:rPr>
        <w:t xml:space="preserve">  The </w:t>
      </w:r>
      <w:r w:rsidR="007457FE">
        <w:rPr>
          <w:rFonts w:cs="Arial"/>
          <w:szCs w:val="24"/>
        </w:rPr>
        <w:t xml:space="preserve">three key functions: </w:t>
      </w:r>
      <w:r w:rsidR="00855521" w:rsidRPr="00855521">
        <w:rPr>
          <w:rFonts w:cs="Arial"/>
          <w:szCs w:val="24"/>
        </w:rPr>
        <w:t>normative</w:t>
      </w:r>
      <w:r w:rsidR="007457FE">
        <w:rPr>
          <w:rFonts w:cs="Arial"/>
          <w:szCs w:val="24"/>
        </w:rPr>
        <w:t>, formative</w:t>
      </w:r>
      <w:r w:rsidR="00855521" w:rsidRPr="00855521">
        <w:rPr>
          <w:rFonts w:cs="Arial"/>
          <w:szCs w:val="24"/>
        </w:rPr>
        <w:t xml:space="preserve"> and restorative (</w:t>
      </w:r>
      <w:r w:rsidR="004458A4">
        <w:rPr>
          <w:rFonts w:cs="Arial"/>
          <w:szCs w:val="24"/>
        </w:rPr>
        <w:t xml:space="preserve">Proctor, 1998 </w:t>
      </w:r>
      <w:r w:rsidR="004458A4">
        <w:rPr>
          <w:rFonts w:cs="Arial"/>
          <w:i/>
          <w:szCs w:val="24"/>
        </w:rPr>
        <w:t xml:space="preserve">cited in </w:t>
      </w:r>
      <w:r w:rsidR="004458A4">
        <w:rPr>
          <w:rFonts w:cs="Arial"/>
          <w:szCs w:val="24"/>
        </w:rPr>
        <w:t>Hawkins and Shohet, 2012: 62</w:t>
      </w:r>
      <w:r w:rsidR="004458A4">
        <w:rPr>
          <w:rFonts w:cs="Arial"/>
          <w:szCs w:val="24"/>
        </w:rPr>
        <w:t xml:space="preserve">) will be considered in terms of accountability, </w:t>
      </w:r>
      <w:r w:rsidR="007457FE">
        <w:rPr>
          <w:rFonts w:cs="Arial"/>
          <w:szCs w:val="24"/>
        </w:rPr>
        <w:t xml:space="preserve">educative </w:t>
      </w:r>
      <w:r w:rsidR="004458A4">
        <w:rPr>
          <w:rFonts w:cs="Arial"/>
          <w:szCs w:val="24"/>
        </w:rPr>
        <w:t xml:space="preserve">development, and support for staff (Kadushin, 1976 </w:t>
      </w:r>
      <w:r w:rsidR="004458A4">
        <w:rPr>
          <w:rFonts w:cs="Arial"/>
          <w:i/>
          <w:szCs w:val="24"/>
        </w:rPr>
        <w:t xml:space="preserve">cited in </w:t>
      </w:r>
      <w:r w:rsidR="004458A4" w:rsidRPr="009D24F5">
        <w:rPr>
          <w:rFonts w:cs="Arial"/>
          <w:szCs w:val="24"/>
        </w:rPr>
        <w:t>Thompson, 2007: 158</w:t>
      </w:r>
      <w:r w:rsidR="004458A4">
        <w:rPr>
          <w:rFonts w:cs="Arial"/>
          <w:szCs w:val="24"/>
        </w:rPr>
        <w:t>).</w:t>
      </w:r>
      <w:r w:rsidR="00687BFA">
        <w:rPr>
          <w:rFonts w:cs="Arial"/>
          <w:szCs w:val="24"/>
        </w:rPr>
        <w:t xml:space="preserve">  Discussion will present each function in turn </w:t>
      </w:r>
      <w:r w:rsidR="006B1FEE">
        <w:rPr>
          <w:rFonts w:cs="Arial"/>
          <w:szCs w:val="24"/>
        </w:rPr>
        <w:t xml:space="preserve">with a brief explanation, offering </w:t>
      </w:r>
      <w:r w:rsidR="00687BFA">
        <w:rPr>
          <w:rFonts w:cs="Arial"/>
          <w:szCs w:val="24"/>
        </w:rPr>
        <w:t>examples from practice to evidence application.</w:t>
      </w:r>
      <w:r w:rsidR="006E4B02">
        <w:rPr>
          <w:rFonts w:cs="Arial"/>
          <w:szCs w:val="24"/>
        </w:rPr>
        <w:t xml:space="preserve">  Firstly, the normative, accountability function is explored as the introduction to the supervision relationship.</w:t>
      </w:r>
    </w:p>
    <w:p w:rsidR="006E4B02" w:rsidRDefault="006E4B02" w:rsidP="006E4B02">
      <w:pPr>
        <w:pStyle w:val="NoSpacing"/>
        <w:spacing w:line="360" w:lineRule="auto"/>
        <w:jc w:val="both"/>
        <w:rPr>
          <w:rFonts w:ascii="Arial" w:hAnsi="Arial" w:cs="Arial"/>
          <w:sz w:val="24"/>
        </w:rPr>
      </w:pPr>
    </w:p>
    <w:p w:rsidR="00855521" w:rsidRDefault="006E4B02" w:rsidP="006E4B02">
      <w:pPr>
        <w:pStyle w:val="NoSpacing"/>
        <w:spacing w:line="360" w:lineRule="auto"/>
        <w:jc w:val="both"/>
        <w:rPr>
          <w:rFonts w:ascii="Arial" w:hAnsi="Arial" w:cs="Arial"/>
          <w:sz w:val="24"/>
        </w:rPr>
      </w:pPr>
      <w:r>
        <w:rPr>
          <w:rFonts w:ascii="Arial" w:hAnsi="Arial" w:cs="Arial"/>
          <w:sz w:val="24"/>
        </w:rPr>
        <w:t>The accountability function of supervision is a form of quality assurance which places supervision in the work context of policies and procedures (Hawkins and Shohet, 2012, 63-64; Hill and Peaper, 2011: 15-16)</w:t>
      </w:r>
      <w:r w:rsidR="008C2A69">
        <w:rPr>
          <w:rFonts w:ascii="Arial" w:hAnsi="Arial" w:cs="Arial"/>
          <w:sz w:val="24"/>
        </w:rPr>
        <w:t>, duties and responsibilities (Sapin 2013, 223)</w:t>
      </w:r>
      <w:r>
        <w:rPr>
          <w:rFonts w:ascii="Arial" w:hAnsi="Arial" w:cs="Arial"/>
          <w:sz w:val="24"/>
        </w:rPr>
        <w:t>.</w:t>
      </w:r>
      <w:r w:rsidR="00FE40C5">
        <w:rPr>
          <w:rFonts w:ascii="Arial" w:hAnsi="Arial" w:cs="Arial"/>
          <w:sz w:val="24"/>
        </w:rPr>
        <w:t xml:space="preserve">  It therefore makes sense that a supervision relationship should begin by attending to this function by way of housekeeping.  In practice, I applied this function in contracting, establishing boundaries and expectations, and scheduling a number of sessions in advance</w:t>
      </w:r>
      <w:r w:rsidR="003077FB">
        <w:rPr>
          <w:rFonts w:ascii="Arial" w:hAnsi="Arial" w:cs="Arial"/>
          <w:sz w:val="24"/>
        </w:rPr>
        <w:t xml:space="preserve"> with the supervisee</w:t>
      </w:r>
      <w:r w:rsidR="00FE40C5">
        <w:rPr>
          <w:rFonts w:ascii="Arial" w:hAnsi="Arial" w:cs="Arial"/>
          <w:sz w:val="24"/>
        </w:rPr>
        <w:t>.</w:t>
      </w:r>
      <w:r w:rsidR="003077FB">
        <w:rPr>
          <w:rFonts w:ascii="Arial" w:hAnsi="Arial" w:cs="Arial"/>
          <w:sz w:val="24"/>
        </w:rPr>
        <w:t xml:space="preserve">  </w:t>
      </w:r>
      <w:r w:rsidR="005D4034">
        <w:rPr>
          <w:rFonts w:ascii="Arial" w:hAnsi="Arial" w:cs="Arial"/>
          <w:sz w:val="24"/>
        </w:rPr>
        <w:t xml:space="preserve">At this stage, Hawkins and Shohet, 2012: 65) stress the importance that both supervisor and supervisee are clear about the type of supervision </w:t>
      </w:r>
      <w:r w:rsidR="00C6426E">
        <w:rPr>
          <w:rFonts w:ascii="Arial" w:hAnsi="Arial" w:cs="Arial"/>
          <w:sz w:val="24"/>
        </w:rPr>
        <w:t xml:space="preserve">relationship </w:t>
      </w:r>
      <w:r w:rsidR="001F0297">
        <w:rPr>
          <w:rFonts w:ascii="Arial" w:hAnsi="Arial" w:cs="Arial"/>
          <w:sz w:val="24"/>
        </w:rPr>
        <w:t>to</w:t>
      </w:r>
      <w:r w:rsidR="00C6426E">
        <w:rPr>
          <w:rFonts w:ascii="Arial" w:hAnsi="Arial" w:cs="Arial"/>
          <w:sz w:val="24"/>
        </w:rPr>
        <w:t xml:space="preserve"> be adopted</w:t>
      </w:r>
      <w:r w:rsidR="005D4034">
        <w:rPr>
          <w:rFonts w:ascii="Arial" w:hAnsi="Arial" w:cs="Arial"/>
          <w:sz w:val="24"/>
        </w:rPr>
        <w:t xml:space="preserve">.  </w:t>
      </w:r>
      <w:r w:rsidR="003077FB">
        <w:rPr>
          <w:rFonts w:ascii="Arial" w:hAnsi="Arial" w:cs="Arial"/>
          <w:sz w:val="24"/>
        </w:rPr>
        <w:t>In terms of policies and proce</w:t>
      </w:r>
      <w:r w:rsidR="00AC7432">
        <w:rPr>
          <w:rFonts w:ascii="Arial" w:hAnsi="Arial" w:cs="Arial"/>
          <w:sz w:val="24"/>
        </w:rPr>
        <w:t>dures, the</w:t>
      </w:r>
      <w:r w:rsidR="003077FB">
        <w:rPr>
          <w:rFonts w:ascii="Arial" w:hAnsi="Arial" w:cs="Arial"/>
          <w:sz w:val="24"/>
        </w:rPr>
        <w:t xml:space="preserve"> supervision contract was drafted </w:t>
      </w:r>
      <w:r w:rsidR="008B5811">
        <w:rPr>
          <w:rFonts w:ascii="Arial" w:hAnsi="Arial" w:cs="Arial"/>
          <w:sz w:val="24"/>
        </w:rPr>
        <w:t>using the National Occupational Standards of Youth Work (Learning and Skills Improvement Service, 2012) as a reference.</w:t>
      </w:r>
    </w:p>
    <w:p w:rsidR="005D4034" w:rsidRDefault="005D4034" w:rsidP="006E4B02">
      <w:pPr>
        <w:pStyle w:val="NoSpacing"/>
        <w:spacing w:line="360" w:lineRule="auto"/>
        <w:jc w:val="both"/>
        <w:rPr>
          <w:rFonts w:ascii="Arial" w:hAnsi="Arial" w:cs="Arial"/>
          <w:sz w:val="24"/>
        </w:rPr>
      </w:pPr>
    </w:p>
    <w:p w:rsidR="005D4034" w:rsidRDefault="005D4034" w:rsidP="006E4B02">
      <w:pPr>
        <w:pStyle w:val="NoSpacing"/>
        <w:spacing w:line="360" w:lineRule="auto"/>
        <w:jc w:val="both"/>
        <w:rPr>
          <w:rFonts w:ascii="Arial" w:hAnsi="Arial" w:cs="Arial"/>
          <w:sz w:val="24"/>
        </w:rPr>
      </w:pPr>
      <w:r>
        <w:rPr>
          <w:rFonts w:ascii="Arial" w:hAnsi="Arial" w:cs="Arial"/>
          <w:sz w:val="24"/>
        </w:rPr>
        <w:t>Moving on from establishing a structure for supervision, I tend in practice to enter both a support</w:t>
      </w:r>
      <w:r w:rsidR="00684E9F">
        <w:rPr>
          <w:rFonts w:ascii="Arial" w:hAnsi="Arial" w:cs="Arial"/>
          <w:sz w:val="24"/>
        </w:rPr>
        <w:t>ive</w:t>
      </w:r>
      <w:r>
        <w:rPr>
          <w:rFonts w:ascii="Arial" w:hAnsi="Arial" w:cs="Arial"/>
          <w:sz w:val="24"/>
        </w:rPr>
        <w:t xml:space="preserve"> and </w:t>
      </w:r>
      <w:r w:rsidR="00684E9F">
        <w:rPr>
          <w:rFonts w:ascii="Arial" w:hAnsi="Arial" w:cs="Arial"/>
          <w:sz w:val="24"/>
        </w:rPr>
        <w:t>educative</w:t>
      </w:r>
      <w:r>
        <w:rPr>
          <w:rFonts w:ascii="Arial" w:hAnsi="Arial" w:cs="Arial"/>
          <w:sz w:val="24"/>
        </w:rPr>
        <w:t xml:space="preserve"> role</w:t>
      </w:r>
      <w:r w:rsidR="00981470">
        <w:rPr>
          <w:rFonts w:ascii="Arial" w:hAnsi="Arial" w:cs="Arial"/>
          <w:sz w:val="24"/>
        </w:rPr>
        <w:t xml:space="preserve"> when developing rapport and understanding at the beginning of a supervision relationship</w:t>
      </w:r>
      <w:r w:rsidR="006132EC">
        <w:rPr>
          <w:rFonts w:ascii="Arial" w:hAnsi="Arial" w:cs="Arial"/>
          <w:sz w:val="24"/>
        </w:rPr>
        <w:t xml:space="preserve">.  Kadushin and Harkness (2002 </w:t>
      </w:r>
      <w:r w:rsidR="006132EC">
        <w:rPr>
          <w:rFonts w:ascii="Arial" w:hAnsi="Arial" w:cs="Arial"/>
          <w:i/>
          <w:sz w:val="24"/>
        </w:rPr>
        <w:t>cited in</w:t>
      </w:r>
      <w:r w:rsidR="006132EC">
        <w:rPr>
          <w:rFonts w:ascii="Arial" w:hAnsi="Arial" w:cs="Arial"/>
          <w:sz w:val="24"/>
        </w:rPr>
        <w:t xml:space="preserve"> Hill and Peaper, 2011: 12)</w:t>
      </w:r>
      <w:r w:rsidR="00684E9F">
        <w:rPr>
          <w:rFonts w:ascii="Arial" w:hAnsi="Arial" w:cs="Arial"/>
          <w:sz w:val="24"/>
        </w:rPr>
        <w:t xml:space="preserve"> argue the necessity that this relationship is open, participative and two-way, meaning that the process of </w:t>
      </w:r>
      <w:r w:rsidR="00F952E5">
        <w:rPr>
          <w:rFonts w:ascii="Arial" w:hAnsi="Arial" w:cs="Arial"/>
          <w:sz w:val="24"/>
        </w:rPr>
        <w:t xml:space="preserve">forming a supervision </w:t>
      </w:r>
      <w:r w:rsidR="00684E9F">
        <w:rPr>
          <w:rFonts w:ascii="Arial" w:hAnsi="Arial" w:cs="Arial"/>
          <w:sz w:val="24"/>
        </w:rPr>
        <w:t xml:space="preserve">relationship can be developmental </w:t>
      </w:r>
      <w:r w:rsidR="00F952E5">
        <w:rPr>
          <w:rFonts w:ascii="Arial" w:hAnsi="Arial" w:cs="Arial"/>
          <w:sz w:val="24"/>
        </w:rPr>
        <w:t xml:space="preserve">in itself </w:t>
      </w:r>
      <w:r w:rsidR="00684E9F">
        <w:rPr>
          <w:rFonts w:ascii="Arial" w:hAnsi="Arial" w:cs="Arial"/>
          <w:sz w:val="24"/>
        </w:rPr>
        <w:t>for both participants in terms of learning more about e</w:t>
      </w:r>
      <w:r w:rsidR="00E23BD1">
        <w:rPr>
          <w:rFonts w:ascii="Arial" w:hAnsi="Arial" w:cs="Arial"/>
          <w:sz w:val="24"/>
        </w:rPr>
        <w:t>ach other as partners in the re</w:t>
      </w:r>
      <w:r w:rsidR="00684E9F">
        <w:rPr>
          <w:rFonts w:ascii="Arial" w:hAnsi="Arial" w:cs="Arial"/>
          <w:sz w:val="24"/>
        </w:rPr>
        <w:t>lationship and creating an atmosphere conducive to learning.</w:t>
      </w:r>
      <w:r w:rsidR="00F952E5">
        <w:rPr>
          <w:rFonts w:ascii="Arial" w:hAnsi="Arial" w:cs="Arial"/>
          <w:sz w:val="24"/>
        </w:rPr>
        <w:t xml:space="preserve"> Holton (2010: 05) agrees that this process is co-creative, although Hill and Peaper (2011: 12) disagree, arguing that a supervisee must receive learning from the supervisor.  However, the act of partnership also requires a supportive environment </w:t>
      </w:r>
      <w:r w:rsidR="00F952E5">
        <w:rPr>
          <w:rFonts w:ascii="Arial" w:hAnsi="Arial" w:cs="Arial"/>
          <w:sz w:val="24"/>
        </w:rPr>
        <w:lastRenderedPageBreak/>
        <w:t>where participants feel they can trust each other in order for the relationship to progress into an explicitly educative function.  I will consider each of these functions separately, beginning with support.</w:t>
      </w:r>
    </w:p>
    <w:p w:rsidR="00F952E5" w:rsidRDefault="00F952E5" w:rsidP="006E4B02">
      <w:pPr>
        <w:pStyle w:val="NoSpacing"/>
        <w:spacing w:line="360" w:lineRule="auto"/>
        <w:jc w:val="both"/>
        <w:rPr>
          <w:rFonts w:ascii="Arial" w:hAnsi="Arial" w:cs="Arial"/>
          <w:sz w:val="24"/>
        </w:rPr>
      </w:pPr>
    </w:p>
    <w:p w:rsidR="00C74BEC" w:rsidRDefault="00F952E5" w:rsidP="006E4B02">
      <w:pPr>
        <w:pStyle w:val="NoSpacing"/>
        <w:spacing w:line="360" w:lineRule="auto"/>
        <w:jc w:val="both"/>
        <w:rPr>
          <w:rFonts w:ascii="Arial" w:hAnsi="Arial" w:cs="Arial"/>
          <w:sz w:val="24"/>
        </w:rPr>
      </w:pPr>
      <w:r>
        <w:rPr>
          <w:rFonts w:ascii="Arial" w:hAnsi="Arial" w:cs="Arial"/>
          <w:sz w:val="24"/>
        </w:rPr>
        <w:t>The supportive, restorative function of supervision is characterised by</w:t>
      </w:r>
      <w:r w:rsidR="008F57F9">
        <w:rPr>
          <w:rFonts w:ascii="Arial" w:hAnsi="Arial" w:cs="Arial"/>
          <w:sz w:val="24"/>
        </w:rPr>
        <w:t xml:space="preserve"> focus on values in practice (Sapin, 2013: 222-223) and resourcing the supervisee with </w:t>
      </w:r>
      <w:r w:rsidR="00C74BEC">
        <w:rPr>
          <w:rFonts w:ascii="Arial" w:hAnsi="Arial" w:cs="Arial"/>
          <w:sz w:val="24"/>
        </w:rPr>
        <w:t xml:space="preserve">praise for positive work </w:t>
      </w:r>
      <w:r w:rsidR="002734B3">
        <w:rPr>
          <w:rFonts w:ascii="Arial" w:hAnsi="Arial" w:cs="Arial"/>
          <w:sz w:val="24"/>
        </w:rPr>
        <w:t xml:space="preserve">and </w:t>
      </w:r>
      <w:r w:rsidR="008F57F9">
        <w:rPr>
          <w:rFonts w:ascii="Arial" w:hAnsi="Arial" w:cs="Arial"/>
          <w:sz w:val="24"/>
        </w:rPr>
        <w:t>space</w:t>
      </w:r>
      <w:r w:rsidR="002734B3">
        <w:rPr>
          <w:rFonts w:ascii="Arial" w:hAnsi="Arial" w:cs="Arial"/>
          <w:sz w:val="24"/>
        </w:rPr>
        <w:t xml:space="preserve"> to attend to emotions </w:t>
      </w:r>
      <w:r w:rsidR="008F57F9">
        <w:rPr>
          <w:rFonts w:ascii="Arial" w:hAnsi="Arial" w:cs="Arial"/>
          <w:sz w:val="24"/>
        </w:rPr>
        <w:t>(</w:t>
      </w:r>
      <w:r w:rsidR="008F57F9">
        <w:rPr>
          <w:rFonts w:ascii="Arial" w:hAnsi="Arial" w:cs="Arial"/>
          <w:sz w:val="24"/>
        </w:rPr>
        <w:t>Hawkins and Shohet, 2012:</w:t>
      </w:r>
      <w:r w:rsidR="008F57F9">
        <w:rPr>
          <w:rFonts w:ascii="Arial" w:hAnsi="Arial" w:cs="Arial"/>
          <w:sz w:val="24"/>
        </w:rPr>
        <w:t xml:space="preserve"> 63-64).</w:t>
      </w:r>
      <w:r w:rsidR="00B955E5">
        <w:rPr>
          <w:rFonts w:ascii="Arial" w:hAnsi="Arial" w:cs="Arial"/>
          <w:sz w:val="24"/>
        </w:rPr>
        <w:t xml:space="preserve">  I have evidenced</w:t>
      </w:r>
      <w:r w:rsidR="00C74BEC">
        <w:rPr>
          <w:rFonts w:ascii="Arial" w:hAnsi="Arial" w:cs="Arial"/>
          <w:sz w:val="24"/>
        </w:rPr>
        <w:t xml:space="preserve"> this function in practice by using various creative ‘checking-in’ tools at the start of sessions, such as feeling cards, scaling and introducing stress management tools in response to concerns highlighted by the supervise.  Presenting these tools can also be seen as an educative function </w:t>
      </w:r>
      <w:r w:rsidR="00995ADC">
        <w:rPr>
          <w:rFonts w:ascii="Arial" w:hAnsi="Arial" w:cs="Arial"/>
          <w:sz w:val="24"/>
        </w:rPr>
        <w:t>since</w:t>
      </w:r>
      <w:r w:rsidR="00C74BEC">
        <w:rPr>
          <w:rFonts w:ascii="Arial" w:hAnsi="Arial" w:cs="Arial"/>
          <w:sz w:val="24"/>
        </w:rPr>
        <w:t xml:space="preserve"> it involves equipping the supervise</w:t>
      </w:r>
      <w:r w:rsidR="00995ADC">
        <w:rPr>
          <w:rFonts w:ascii="Arial" w:hAnsi="Arial" w:cs="Arial"/>
          <w:sz w:val="24"/>
        </w:rPr>
        <w:t>e</w:t>
      </w:r>
      <w:r w:rsidR="00C74BEC">
        <w:rPr>
          <w:rFonts w:ascii="Arial" w:hAnsi="Arial" w:cs="Arial"/>
          <w:sz w:val="24"/>
        </w:rPr>
        <w:t xml:space="preserve"> with practical resources and tools.</w:t>
      </w:r>
      <w:r w:rsidR="00C7639F">
        <w:rPr>
          <w:rFonts w:ascii="Arial" w:hAnsi="Arial" w:cs="Arial"/>
          <w:sz w:val="24"/>
        </w:rPr>
        <w:t xml:space="preserve">  This is an example of effective listening and capitalising on a situation as an opportunity for learning (Thompson, 2007: 159).</w:t>
      </w:r>
      <w:r w:rsidR="009B699D">
        <w:rPr>
          <w:rFonts w:ascii="Arial" w:hAnsi="Arial" w:cs="Arial"/>
          <w:sz w:val="24"/>
        </w:rPr>
        <w:t xml:space="preserve">  This leads into discussion of the third function of supervision: development.</w:t>
      </w:r>
    </w:p>
    <w:p w:rsidR="009B699D" w:rsidRDefault="009B699D" w:rsidP="006E4B02">
      <w:pPr>
        <w:pStyle w:val="NoSpacing"/>
        <w:spacing w:line="360" w:lineRule="auto"/>
        <w:jc w:val="both"/>
        <w:rPr>
          <w:rFonts w:ascii="Arial" w:hAnsi="Arial" w:cs="Arial"/>
          <w:sz w:val="24"/>
        </w:rPr>
      </w:pPr>
    </w:p>
    <w:p w:rsidR="009B699D" w:rsidRDefault="009B699D" w:rsidP="006E4B02">
      <w:pPr>
        <w:pStyle w:val="NoSpacing"/>
        <w:spacing w:line="360" w:lineRule="auto"/>
        <w:jc w:val="both"/>
        <w:rPr>
          <w:rFonts w:ascii="Arial" w:hAnsi="Arial" w:cs="Arial"/>
          <w:sz w:val="24"/>
        </w:rPr>
      </w:pPr>
      <w:r>
        <w:rPr>
          <w:rFonts w:ascii="Arial" w:hAnsi="Arial" w:cs="Arial"/>
          <w:sz w:val="24"/>
        </w:rPr>
        <w:t>Developmental supervision concerns itself with the education, training and personal development of the supervisee (Sapin, 2013: 223).</w:t>
      </w:r>
      <w:r w:rsidR="00044675">
        <w:rPr>
          <w:rFonts w:ascii="Arial" w:hAnsi="Arial" w:cs="Arial"/>
          <w:sz w:val="24"/>
        </w:rPr>
        <w:t xml:space="preserve">  This requires support for the supervise to reflect on their work, consider skills, professional practice and judgement against outcomes for young people.  I achieve this in practice by requesting reflective accounts in advance of sessions and reviewing them during supervision.  The supervise is encouraged to draw out learning and conclusions.</w:t>
      </w:r>
    </w:p>
    <w:p w:rsidR="00044675" w:rsidRDefault="00044675" w:rsidP="006E4B02">
      <w:pPr>
        <w:pStyle w:val="NoSpacing"/>
        <w:spacing w:line="360" w:lineRule="auto"/>
        <w:jc w:val="both"/>
        <w:rPr>
          <w:rFonts w:ascii="Arial" w:hAnsi="Arial" w:cs="Arial"/>
          <w:sz w:val="24"/>
        </w:rPr>
      </w:pPr>
    </w:p>
    <w:p w:rsidR="00044675" w:rsidRPr="006132EC" w:rsidRDefault="00044675" w:rsidP="006E4B02">
      <w:pPr>
        <w:pStyle w:val="NoSpacing"/>
        <w:spacing w:line="360" w:lineRule="auto"/>
        <w:jc w:val="both"/>
        <w:rPr>
          <w:rFonts w:ascii="Arial" w:hAnsi="Arial" w:cs="Arial"/>
          <w:sz w:val="24"/>
        </w:rPr>
      </w:pPr>
      <w:bookmarkStart w:id="0" w:name="_GoBack"/>
      <w:bookmarkEnd w:id="0"/>
    </w:p>
    <w:p w:rsidR="00855521" w:rsidRPr="00855521" w:rsidRDefault="00855521" w:rsidP="006E4B02">
      <w:pPr>
        <w:pStyle w:val="NoSpacing"/>
        <w:spacing w:line="360" w:lineRule="auto"/>
        <w:jc w:val="both"/>
        <w:rPr>
          <w:rFonts w:ascii="Arial" w:hAnsi="Arial" w:cs="Arial"/>
          <w:sz w:val="24"/>
          <w:szCs w:val="24"/>
        </w:rPr>
      </w:pPr>
    </w:p>
    <w:p w:rsidR="00855521" w:rsidRPr="00855521" w:rsidRDefault="00855521" w:rsidP="006E4B02">
      <w:pPr>
        <w:pStyle w:val="NoSpacing"/>
        <w:spacing w:line="360" w:lineRule="auto"/>
        <w:jc w:val="both"/>
        <w:rPr>
          <w:rFonts w:ascii="Arial" w:hAnsi="Arial" w:cs="Arial"/>
          <w:sz w:val="24"/>
          <w:szCs w:val="24"/>
        </w:rPr>
      </w:pPr>
    </w:p>
    <w:p w:rsidR="00855521" w:rsidRPr="00855521" w:rsidRDefault="00855521" w:rsidP="006E4B02">
      <w:pPr>
        <w:pStyle w:val="NoSpacing"/>
        <w:jc w:val="both"/>
        <w:rPr>
          <w:rFonts w:ascii="Arial" w:hAnsi="Arial" w:cs="Arial"/>
          <w:sz w:val="24"/>
          <w:szCs w:val="24"/>
        </w:rPr>
      </w:pPr>
    </w:p>
    <w:p w:rsidR="00855521" w:rsidRPr="00855521" w:rsidRDefault="00855521" w:rsidP="006E4B02">
      <w:pPr>
        <w:pStyle w:val="NoSpacing"/>
        <w:jc w:val="both"/>
        <w:rPr>
          <w:rFonts w:ascii="Arial" w:hAnsi="Arial" w:cs="Arial"/>
          <w:sz w:val="24"/>
          <w:szCs w:val="24"/>
        </w:rPr>
      </w:pPr>
    </w:p>
    <w:p w:rsidR="00855521" w:rsidRPr="00855521" w:rsidRDefault="00855521" w:rsidP="006E4B02">
      <w:pPr>
        <w:pStyle w:val="NoSpacing"/>
        <w:jc w:val="both"/>
        <w:rPr>
          <w:rFonts w:ascii="Arial" w:hAnsi="Arial" w:cs="Arial"/>
          <w:sz w:val="24"/>
          <w:szCs w:val="24"/>
        </w:rPr>
      </w:pPr>
    </w:p>
    <w:p w:rsidR="00855521" w:rsidRPr="00855521" w:rsidRDefault="00855521" w:rsidP="006E4B02">
      <w:pPr>
        <w:pStyle w:val="NoSpacing"/>
        <w:jc w:val="both"/>
        <w:rPr>
          <w:rFonts w:ascii="Arial" w:hAnsi="Arial" w:cs="Arial"/>
          <w:sz w:val="24"/>
          <w:szCs w:val="24"/>
        </w:rPr>
      </w:pPr>
    </w:p>
    <w:p w:rsidR="00855521" w:rsidRPr="00855521" w:rsidRDefault="00855521" w:rsidP="006E4B02">
      <w:pPr>
        <w:pStyle w:val="NoSpacing"/>
        <w:jc w:val="both"/>
        <w:rPr>
          <w:rFonts w:ascii="Arial" w:hAnsi="Arial" w:cs="Arial"/>
          <w:sz w:val="24"/>
          <w:szCs w:val="24"/>
        </w:rPr>
      </w:pPr>
    </w:p>
    <w:p w:rsidR="00855521" w:rsidRPr="00855521" w:rsidRDefault="00855521" w:rsidP="006E4B02">
      <w:pPr>
        <w:pStyle w:val="NoSpacing"/>
        <w:jc w:val="both"/>
        <w:rPr>
          <w:rFonts w:ascii="Arial" w:hAnsi="Arial" w:cs="Arial"/>
          <w:sz w:val="24"/>
          <w:szCs w:val="24"/>
        </w:rPr>
      </w:pPr>
    </w:p>
    <w:p w:rsidR="00855521" w:rsidRPr="00855521" w:rsidRDefault="00855521" w:rsidP="006E4B02">
      <w:pPr>
        <w:pStyle w:val="NoSpacing"/>
        <w:jc w:val="both"/>
        <w:rPr>
          <w:rFonts w:ascii="Arial" w:hAnsi="Arial" w:cs="Arial"/>
          <w:sz w:val="24"/>
          <w:szCs w:val="24"/>
        </w:rPr>
      </w:pPr>
    </w:p>
    <w:p w:rsidR="00855521" w:rsidRPr="00855521" w:rsidRDefault="00855521" w:rsidP="006E4B02">
      <w:pPr>
        <w:pStyle w:val="NoSpacing"/>
        <w:jc w:val="both"/>
        <w:rPr>
          <w:rFonts w:ascii="Arial" w:hAnsi="Arial" w:cs="Arial"/>
          <w:sz w:val="24"/>
          <w:szCs w:val="24"/>
        </w:rPr>
      </w:pPr>
    </w:p>
    <w:p w:rsidR="00855521" w:rsidRPr="00855521" w:rsidRDefault="00855521" w:rsidP="006E4B02">
      <w:pPr>
        <w:pStyle w:val="NoSpacing"/>
        <w:jc w:val="both"/>
        <w:rPr>
          <w:rFonts w:ascii="Arial" w:hAnsi="Arial" w:cs="Arial"/>
          <w:sz w:val="24"/>
          <w:szCs w:val="24"/>
        </w:rPr>
      </w:pPr>
    </w:p>
    <w:p w:rsidR="00855521" w:rsidRPr="00855521" w:rsidRDefault="00855521" w:rsidP="006E4B02">
      <w:pPr>
        <w:pStyle w:val="NoSpacing"/>
        <w:jc w:val="both"/>
        <w:rPr>
          <w:rFonts w:ascii="Arial" w:hAnsi="Arial" w:cs="Arial"/>
          <w:sz w:val="24"/>
          <w:szCs w:val="24"/>
        </w:rPr>
      </w:pPr>
    </w:p>
    <w:p w:rsidR="00855521" w:rsidRPr="00855521" w:rsidRDefault="00855521" w:rsidP="006E4B02">
      <w:pPr>
        <w:pStyle w:val="NoSpacing"/>
        <w:jc w:val="both"/>
        <w:rPr>
          <w:rFonts w:ascii="Arial" w:hAnsi="Arial" w:cs="Arial"/>
          <w:sz w:val="24"/>
          <w:szCs w:val="24"/>
        </w:rPr>
      </w:pPr>
    </w:p>
    <w:p w:rsidR="00855521" w:rsidRPr="00855521" w:rsidRDefault="00855521" w:rsidP="006E4B02">
      <w:pPr>
        <w:pStyle w:val="NoSpacing"/>
        <w:jc w:val="both"/>
        <w:rPr>
          <w:rFonts w:ascii="Arial" w:hAnsi="Arial" w:cs="Arial"/>
          <w:sz w:val="24"/>
          <w:szCs w:val="24"/>
        </w:rPr>
      </w:pPr>
    </w:p>
    <w:p w:rsidR="00855521" w:rsidRPr="00855521" w:rsidRDefault="00855521" w:rsidP="006E4B02">
      <w:pPr>
        <w:pStyle w:val="NoSpacing"/>
        <w:jc w:val="both"/>
        <w:rPr>
          <w:rFonts w:ascii="Arial" w:hAnsi="Arial" w:cs="Arial"/>
          <w:sz w:val="24"/>
          <w:szCs w:val="24"/>
        </w:rPr>
      </w:pPr>
    </w:p>
    <w:p w:rsidR="00855521" w:rsidRPr="00855521" w:rsidRDefault="00855521" w:rsidP="006E4B02">
      <w:pPr>
        <w:pStyle w:val="NoSpacing"/>
        <w:jc w:val="both"/>
        <w:rPr>
          <w:rFonts w:ascii="Arial" w:hAnsi="Arial" w:cs="Arial"/>
          <w:sz w:val="24"/>
          <w:szCs w:val="24"/>
        </w:rPr>
      </w:pPr>
    </w:p>
    <w:p w:rsidR="00855521" w:rsidRPr="00855521" w:rsidRDefault="00855521" w:rsidP="006E4B02">
      <w:pPr>
        <w:pStyle w:val="NoSpacing"/>
        <w:jc w:val="both"/>
        <w:rPr>
          <w:rFonts w:ascii="Arial" w:hAnsi="Arial" w:cs="Arial"/>
          <w:sz w:val="24"/>
          <w:szCs w:val="24"/>
        </w:rPr>
      </w:pPr>
    </w:p>
    <w:p w:rsidR="00855521" w:rsidRPr="00855521" w:rsidRDefault="00855521" w:rsidP="006E4B02">
      <w:pPr>
        <w:pStyle w:val="NoSpacing"/>
        <w:jc w:val="both"/>
        <w:rPr>
          <w:rFonts w:ascii="Arial" w:hAnsi="Arial" w:cs="Arial"/>
          <w:sz w:val="24"/>
          <w:szCs w:val="24"/>
        </w:rPr>
      </w:pPr>
    </w:p>
    <w:p w:rsidR="00855521" w:rsidRPr="00855521" w:rsidRDefault="00855521" w:rsidP="006E4B02">
      <w:pPr>
        <w:pStyle w:val="NoSpacing"/>
        <w:jc w:val="both"/>
        <w:rPr>
          <w:rFonts w:ascii="Arial" w:hAnsi="Arial" w:cs="Arial"/>
          <w:sz w:val="24"/>
          <w:szCs w:val="24"/>
        </w:rPr>
      </w:pPr>
    </w:p>
    <w:p w:rsidR="00855521" w:rsidRPr="00855521" w:rsidRDefault="00855521" w:rsidP="006E4B02">
      <w:pPr>
        <w:pStyle w:val="NoSpacing"/>
        <w:jc w:val="both"/>
        <w:rPr>
          <w:rFonts w:ascii="Arial" w:hAnsi="Arial" w:cs="Arial"/>
          <w:sz w:val="24"/>
          <w:szCs w:val="24"/>
        </w:rPr>
      </w:pPr>
    </w:p>
    <w:p w:rsidR="00855521" w:rsidRPr="00855521" w:rsidRDefault="00855521" w:rsidP="006E4B02">
      <w:pPr>
        <w:pStyle w:val="NoSpacing"/>
        <w:jc w:val="both"/>
        <w:rPr>
          <w:rFonts w:ascii="Arial" w:hAnsi="Arial" w:cs="Arial"/>
          <w:sz w:val="24"/>
          <w:szCs w:val="24"/>
        </w:rPr>
      </w:pPr>
    </w:p>
    <w:p w:rsidR="00855521" w:rsidRPr="00855521" w:rsidRDefault="00855521" w:rsidP="006E4B02">
      <w:pPr>
        <w:pStyle w:val="NoSpacing"/>
        <w:jc w:val="both"/>
        <w:rPr>
          <w:rFonts w:ascii="Arial" w:hAnsi="Arial" w:cs="Arial"/>
          <w:sz w:val="24"/>
          <w:szCs w:val="24"/>
        </w:rPr>
      </w:pPr>
    </w:p>
    <w:p w:rsidR="00855521" w:rsidRPr="00855521" w:rsidRDefault="00855521" w:rsidP="006E4B02">
      <w:pPr>
        <w:pStyle w:val="NoSpacing"/>
        <w:jc w:val="both"/>
        <w:rPr>
          <w:rFonts w:ascii="Arial" w:hAnsi="Arial" w:cs="Arial"/>
          <w:sz w:val="24"/>
          <w:szCs w:val="24"/>
        </w:rPr>
      </w:pPr>
    </w:p>
    <w:p w:rsidR="00855521" w:rsidRPr="00855521" w:rsidRDefault="00855521" w:rsidP="006E4B02">
      <w:pPr>
        <w:pStyle w:val="NoSpacing"/>
        <w:jc w:val="both"/>
        <w:rPr>
          <w:rFonts w:ascii="Arial" w:hAnsi="Arial" w:cs="Arial"/>
          <w:sz w:val="24"/>
          <w:szCs w:val="24"/>
        </w:rPr>
      </w:pPr>
    </w:p>
    <w:p w:rsidR="00855521" w:rsidRPr="00855521" w:rsidRDefault="00855521" w:rsidP="006E4B02">
      <w:pPr>
        <w:pStyle w:val="NoSpacing"/>
        <w:jc w:val="both"/>
        <w:rPr>
          <w:rFonts w:ascii="Arial" w:hAnsi="Arial" w:cs="Arial"/>
          <w:sz w:val="24"/>
          <w:szCs w:val="24"/>
        </w:rPr>
      </w:pPr>
    </w:p>
    <w:p w:rsidR="00855521" w:rsidRPr="00855521" w:rsidRDefault="00855521" w:rsidP="006E4B02">
      <w:pPr>
        <w:pStyle w:val="NoSpacing"/>
        <w:jc w:val="both"/>
        <w:rPr>
          <w:rFonts w:ascii="Arial" w:hAnsi="Arial" w:cs="Arial"/>
          <w:sz w:val="24"/>
          <w:szCs w:val="24"/>
        </w:rPr>
      </w:pPr>
    </w:p>
    <w:p w:rsidR="00855521" w:rsidRPr="00855521" w:rsidRDefault="00855521" w:rsidP="006E4B02">
      <w:pPr>
        <w:pStyle w:val="NoSpacing"/>
        <w:jc w:val="both"/>
        <w:rPr>
          <w:rFonts w:ascii="Arial" w:hAnsi="Arial" w:cs="Arial"/>
          <w:sz w:val="24"/>
          <w:szCs w:val="24"/>
        </w:rPr>
      </w:pPr>
    </w:p>
    <w:p w:rsidR="00855521" w:rsidRPr="00855521" w:rsidRDefault="00855521" w:rsidP="006E4B02">
      <w:pPr>
        <w:pStyle w:val="NoSpacing"/>
        <w:jc w:val="both"/>
        <w:rPr>
          <w:rFonts w:ascii="Arial" w:hAnsi="Arial" w:cs="Arial"/>
          <w:sz w:val="24"/>
          <w:szCs w:val="24"/>
        </w:rPr>
      </w:pPr>
    </w:p>
    <w:p w:rsidR="00855521" w:rsidRPr="00855521" w:rsidRDefault="00855521" w:rsidP="006E4B02">
      <w:pPr>
        <w:pStyle w:val="NoSpacing"/>
        <w:jc w:val="both"/>
        <w:rPr>
          <w:rFonts w:ascii="Arial" w:hAnsi="Arial" w:cs="Arial"/>
          <w:sz w:val="24"/>
          <w:szCs w:val="24"/>
        </w:rPr>
      </w:pPr>
    </w:p>
    <w:p w:rsidR="00855521" w:rsidRPr="00855521" w:rsidRDefault="00855521" w:rsidP="006E4B02">
      <w:pPr>
        <w:pStyle w:val="NoSpacing"/>
        <w:jc w:val="both"/>
        <w:rPr>
          <w:rFonts w:ascii="Arial" w:hAnsi="Arial" w:cs="Arial"/>
          <w:sz w:val="24"/>
          <w:szCs w:val="24"/>
        </w:rPr>
      </w:pPr>
    </w:p>
    <w:p w:rsidR="00855521" w:rsidRPr="00855521" w:rsidRDefault="00855521" w:rsidP="006E4B02">
      <w:pPr>
        <w:pStyle w:val="NoSpacing"/>
        <w:jc w:val="both"/>
        <w:rPr>
          <w:rFonts w:ascii="Arial" w:hAnsi="Arial" w:cs="Arial"/>
          <w:sz w:val="24"/>
          <w:szCs w:val="24"/>
        </w:rPr>
      </w:pPr>
    </w:p>
    <w:p w:rsidR="00855521" w:rsidRPr="00855521" w:rsidRDefault="00855521" w:rsidP="006E4B02">
      <w:pPr>
        <w:pStyle w:val="NoSpacing"/>
        <w:jc w:val="both"/>
        <w:rPr>
          <w:rFonts w:ascii="Arial" w:hAnsi="Arial" w:cs="Arial"/>
          <w:sz w:val="24"/>
          <w:szCs w:val="24"/>
        </w:rPr>
      </w:pPr>
    </w:p>
    <w:p w:rsidR="00855521" w:rsidRPr="00855521" w:rsidRDefault="00855521" w:rsidP="006E4B02">
      <w:pPr>
        <w:pStyle w:val="NoSpacing"/>
        <w:jc w:val="both"/>
        <w:rPr>
          <w:rFonts w:ascii="Arial" w:hAnsi="Arial" w:cs="Arial"/>
          <w:sz w:val="24"/>
          <w:szCs w:val="24"/>
        </w:rPr>
      </w:pPr>
    </w:p>
    <w:p w:rsidR="00855521" w:rsidRPr="00855521" w:rsidRDefault="00855521" w:rsidP="006E4B02">
      <w:pPr>
        <w:pStyle w:val="NoSpacing"/>
        <w:jc w:val="both"/>
        <w:rPr>
          <w:rFonts w:ascii="Arial" w:hAnsi="Arial" w:cs="Arial"/>
          <w:sz w:val="24"/>
          <w:szCs w:val="24"/>
        </w:rPr>
      </w:pPr>
    </w:p>
    <w:p w:rsidR="00855521" w:rsidRPr="00855521" w:rsidRDefault="00855521" w:rsidP="006E4B02">
      <w:pPr>
        <w:pStyle w:val="NoSpacing"/>
        <w:jc w:val="both"/>
        <w:rPr>
          <w:rFonts w:ascii="Arial" w:hAnsi="Arial" w:cs="Arial"/>
          <w:sz w:val="24"/>
          <w:szCs w:val="24"/>
        </w:rPr>
      </w:pPr>
    </w:p>
    <w:p w:rsidR="00855521" w:rsidRPr="00855521" w:rsidRDefault="00855521" w:rsidP="006E4B02">
      <w:pPr>
        <w:pStyle w:val="NoSpacing"/>
        <w:jc w:val="both"/>
        <w:rPr>
          <w:rFonts w:ascii="Arial" w:hAnsi="Arial" w:cs="Arial"/>
          <w:sz w:val="24"/>
          <w:szCs w:val="24"/>
        </w:rPr>
      </w:pPr>
    </w:p>
    <w:p w:rsidR="00855521" w:rsidRPr="00855521" w:rsidRDefault="00855521" w:rsidP="006E4B02">
      <w:pPr>
        <w:pStyle w:val="NoSpacing"/>
        <w:jc w:val="both"/>
        <w:rPr>
          <w:rFonts w:ascii="Arial" w:hAnsi="Arial" w:cs="Arial"/>
          <w:sz w:val="24"/>
          <w:szCs w:val="24"/>
        </w:rPr>
      </w:pPr>
    </w:p>
    <w:p w:rsidR="00855521" w:rsidRPr="00855521" w:rsidRDefault="00855521" w:rsidP="006E4B02">
      <w:pPr>
        <w:pStyle w:val="NoSpacing"/>
        <w:jc w:val="both"/>
        <w:rPr>
          <w:rFonts w:ascii="Arial" w:hAnsi="Arial" w:cs="Arial"/>
          <w:sz w:val="24"/>
          <w:szCs w:val="24"/>
        </w:rPr>
      </w:pPr>
    </w:p>
    <w:p w:rsidR="00855521" w:rsidRPr="00855521" w:rsidRDefault="00855521" w:rsidP="006E4B02">
      <w:pPr>
        <w:pStyle w:val="NoSpacing"/>
        <w:jc w:val="both"/>
        <w:rPr>
          <w:rFonts w:ascii="Arial" w:hAnsi="Arial" w:cs="Arial"/>
          <w:sz w:val="24"/>
          <w:szCs w:val="24"/>
        </w:rPr>
      </w:pPr>
    </w:p>
    <w:p w:rsidR="00855521" w:rsidRPr="00855521" w:rsidRDefault="00855521" w:rsidP="006E4B02">
      <w:pPr>
        <w:pStyle w:val="NoSpacing"/>
        <w:jc w:val="both"/>
        <w:rPr>
          <w:rFonts w:ascii="Arial" w:hAnsi="Arial" w:cs="Arial"/>
          <w:sz w:val="24"/>
          <w:szCs w:val="24"/>
        </w:rPr>
      </w:pPr>
    </w:p>
    <w:p w:rsidR="00855521" w:rsidRPr="00855521" w:rsidRDefault="00855521" w:rsidP="006E4B02">
      <w:pPr>
        <w:pStyle w:val="NoSpacing"/>
        <w:jc w:val="both"/>
        <w:rPr>
          <w:rFonts w:ascii="Arial" w:hAnsi="Arial" w:cs="Arial"/>
          <w:sz w:val="24"/>
          <w:szCs w:val="24"/>
        </w:rPr>
      </w:pPr>
      <w:r w:rsidRPr="00855521">
        <w:rPr>
          <w:rFonts w:ascii="Arial" w:hAnsi="Arial" w:cs="Arial"/>
          <w:sz w:val="24"/>
          <w:szCs w:val="24"/>
        </w:rPr>
        <w:t>REFERENCES</w:t>
      </w:r>
    </w:p>
    <w:p w:rsidR="00855521" w:rsidRDefault="00855521" w:rsidP="006E4B02">
      <w:pPr>
        <w:pStyle w:val="NoSpacing"/>
        <w:jc w:val="both"/>
        <w:rPr>
          <w:rFonts w:ascii="Arial" w:hAnsi="Arial" w:cs="Arial"/>
          <w:sz w:val="24"/>
          <w:szCs w:val="24"/>
        </w:rPr>
      </w:pPr>
    </w:p>
    <w:p w:rsidR="00855521" w:rsidRDefault="00855521" w:rsidP="006E4B02">
      <w:pPr>
        <w:pStyle w:val="NoSpacing"/>
        <w:spacing w:line="360" w:lineRule="auto"/>
        <w:jc w:val="both"/>
        <w:rPr>
          <w:rFonts w:ascii="Arial" w:hAnsi="Arial" w:cs="Arial"/>
          <w:sz w:val="24"/>
          <w:szCs w:val="24"/>
        </w:rPr>
      </w:pPr>
    </w:p>
    <w:p w:rsidR="00613169" w:rsidRDefault="00613169" w:rsidP="006E4B02">
      <w:pPr>
        <w:pStyle w:val="NoSpacing"/>
        <w:spacing w:line="360" w:lineRule="auto"/>
        <w:jc w:val="both"/>
        <w:rPr>
          <w:rFonts w:ascii="Arial" w:hAnsi="Arial" w:cs="Arial"/>
          <w:sz w:val="24"/>
          <w:szCs w:val="24"/>
        </w:rPr>
      </w:pPr>
    </w:p>
    <w:p w:rsidR="00613169" w:rsidRDefault="00613169" w:rsidP="006E4B02">
      <w:pPr>
        <w:pStyle w:val="NoSpacing"/>
        <w:spacing w:line="360" w:lineRule="auto"/>
        <w:jc w:val="both"/>
        <w:rPr>
          <w:rFonts w:ascii="Arial" w:hAnsi="Arial" w:cs="Arial"/>
          <w:sz w:val="24"/>
          <w:szCs w:val="24"/>
        </w:rPr>
      </w:pPr>
      <w:r w:rsidRPr="008E7C41">
        <w:rPr>
          <w:rFonts w:ascii="Arial" w:hAnsi="Arial" w:cs="Arial"/>
          <w:sz w:val="24"/>
          <w:szCs w:val="24"/>
        </w:rPr>
        <w:t>Ha</w:t>
      </w:r>
      <w:r>
        <w:rPr>
          <w:rFonts w:ascii="Arial" w:hAnsi="Arial" w:cs="Arial"/>
          <w:sz w:val="24"/>
          <w:szCs w:val="24"/>
        </w:rPr>
        <w:t>wkins, P. and Shohet, R. (2012</w:t>
      </w:r>
      <w:r w:rsidRPr="008E7C41">
        <w:rPr>
          <w:rFonts w:ascii="Arial" w:hAnsi="Arial" w:cs="Arial"/>
          <w:sz w:val="24"/>
          <w:szCs w:val="24"/>
        </w:rPr>
        <w:t xml:space="preserve">) </w:t>
      </w:r>
      <w:r w:rsidRPr="008E7C41">
        <w:rPr>
          <w:rFonts w:ascii="Arial" w:hAnsi="Arial" w:cs="Arial"/>
          <w:i/>
          <w:sz w:val="24"/>
          <w:szCs w:val="24"/>
        </w:rPr>
        <w:t xml:space="preserve">Supervision in the </w:t>
      </w:r>
      <w:r>
        <w:rPr>
          <w:rFonts w:ascii="Arial" w:hAnsi="Arial" w:cs="Arial"/>
          <w:i/>
          <w:sz w:val="24"/>
          <w:szCs w:val="24"/>
        </w:rPr>
        <w:t>H</w:t>
      </w:r>
      <w:r w:rsidRPr="008E7C41">
        <w:rPr>
          <w:rFonts w:ascii="Arial" w:hAnsi="Arial" w:cs="Arial"/>
          <w:i/>
          <w:sz w:val="24"/>
          <w:szCs w:val="24"/>
        </w:rPr>
        <w:t xml:space="preserve">elping </w:t>
      </w:r>
      <w:r>
        <w:rPr>
          <w:rFonts w:ascii="Arial" w:hAnsi="Arial" w:cs="Arial"/>
          <w:i/>
          <w:sz w:val="24"/>
          <w:szCs w:val="24"/>
        </w:rPr>
        <w:t>P</w:t>
      </w:r>
      <w:r w:rsidRPr="008E7C41">
        <w:rPr>
          <w:rFonts w:ascii="Arial" w:hAnsi="Arial" w:cs="Arial"/>
          <w:i/>
          <w:sz w:val="24"/>
          <w:szCs w:val="24"/>
        </w:rPr>
        <w:t>rofessions</w:t>
      </w:r>
      <w:r w:rsidRPr="008E7C41">
        <w:rPr>
          <w:rFonts w:ascii="Arial" w:hAnsi="Arial" w:cs="Arial"/>
          <w:sz w:val="24"/>
          <w:szCs w:val="24"/>
        </w:rPr>
        <w:t>,</w:t>
      </w:r>
      <w:r>
        <w:rPr>
          <w:rFonts w:ascii="Arial" w:hAnsi="Arial" w:cs="Arial"/>
          <w:sz w:val="24"/>
          <w:szCs w:val="24"/>
        </w:rPr>
        <w:t xml:space="preserve"> (4th edn.)</w:t>
      </w:r>
      <w:r w:rsidRPr="008E7C41">
        <w:rPr>
          <w:rFonts w:ascii="Arial" w:hAnsi="Arial" w:cs="Arial"/>
          <w:sz w:val="24"/>
          <w:szCs w:val="24"/>
        </w:rPr>
        <w:t xml:space="preserve"> </w:t>
      </w:r>
      <w:r>
        <w:rPr>
          <w:rFonts w:ascii="Arial" w:hAnsi="Arial" w:cs="Arial"/>
          <w:sz w:val="24"/>
          <w:szCs w:val="24"/>
        </w:rPr>
        <w:t>Maidenhead: Open University Press</w:t>
      </w:r>
      <w:r w:rsidRPr="008E7C41">
        <w:rPr>
          <w:rFonts w:ascii="Arial" w:hAnsi="Arial" w:cs="Arial"/>
          <w:sz w:val="24"/>
          <w:szCs w:val="24"/>
        </w:rPr>
        <w:t>.</w:t>
      </w:r>
    </w:p>
    <w:p w:rsidR="00613169" w:rsidRDefault="00613169" w:rsidP="006E4B02">
      <w:pPr>
        <w:pStyle w:val="NoSpacing"/>
        <w:spacing w:line="360" w:lineRule="auto"/>
        <w:jc w:val="both"/>
        <w:rPr>
          <w:rFonts w:ascii="Arial" w:hAnsi="Arial" w:cs="Arial"/>
          <w:sz w:val="24"/>
          <w:szCs w:val="24"/>
        </w:rPr>
      </w:pPr>
    </w:p>
    <w:p w:rsidR="00981470" w:rsidRPr="009D700F" w:rsidRDefault="00981470" w:rsidP="00981470">
      <w:pPr>
        <w:pStyle w:val="NoSpacing"/>
        <w:spacing w:line="360" w:lineRule="auto"/>
        <w:rPr>
          <w:rFonts w:ascii="Arial" w:hAnsi="Arial" w:cs="Arial"/>
          <w:sz w:val="24"/>
          <w:szCs w:val="24"/>
        </w:rPr>
      </w:pPr>
      <w:r>
        <w:rPr>
          <w:rFonts w:ascii="Arial" w:hAnsi="Arial" w:cs="Arial"/>
          <w:sz w:val="24"/>
          <w:szCs w:val="24"/>
        </w:rPr>
        <w:t xml:space="preserve">Hill, J. and Peaper, J. (2011) ‘Supervision: An Overview of Theory, Use, Impact and Purpose’ in B. Belton, J. Hill, T. Salter and J. Peaper, </w:t>
      </w:r>
      <w:r>
        <w:rPr>
          <w:rFonts w:ascii="Arial" w:hAnsi="Arial" w:cs="Arial"/>
          <w:i/>
          <w:sz w:val="24"/>
          <w:szCs w:val="24"/>
        </w:rPr>
        <w:t>Supervision: Praxis and Purpose</w:t>
      </w:r>
      <w:r>
        <w:rPr>
          <w:rFonts w:ascii="Arial" w:hAnsi="Arial" w:cs="Arial"/>
          <w:sz w:val="24"/>
          <w:szCs w:val="24"/>
        </w:rPr>
        <w:t>, Lyme Regis: Russell House.</w:t>
      </w:r>
    </w:p>
    <w:p w:rsidR="00981470" w:rsidRDefault="00981470" w:rsidP="006E4B02">
      <w:pPr>
        <w:pStyle w:val="NoSpacing"/>
        <w:spacing w:line="360" w:lineRule="auto"/>
        <w:jc w:val="both"/>
        <w:rPr>
          <w:rFonts w:ascii="Arial" w:hAnsi="Arial" w:cs="Arial"/>
          <w:sz w:val="24"/>
          <w:szCs w:val="24"/>
        </w:rPr>
      </w:pPr>
    </w:p>
    <w:p w:rsidR="001A0512" w:rsidRPr="001A0512" w:rsidRDefault="001A0512" w:rsidP="006E4B02">
      <w:pPr>
        <w:pStyle w:val="NoSpacing"/>
        <w:spacing w:line="360" w:lineRule="auto"/>
        <w:jc w:val="both"/>
        <w:rPr>
          <w:rFonts w:ascii="Arial" w:hAnsi="Arial" w:cs="Arial"/>
          <w:sz w:val="24"/>
          <w:szCs w:val="24"/>
        </w:rPr>
      </w:pPr>
      <w:r>
        <w:rPr>
          <w:rFonts w:ascii="Arial" w:hAnsi="Arial" w:cs="Arial"/>
          <w:sz w:val="24"/>
          <w:szCs w:val="24"/>
        </w:rPr>
        <w:t xml:space="preserve">Holton, G. (2010) ‘Wisdom’s Garden: A Metaphor for Cross-Professional Supervision Training’ in M. Benefiel and G. Holton (eds.), </w:t>
      </w:r>
      <w:r>
        <w:rPr>
          <w:rFonts w:ascii="Arial" w:hAnsi="Arial" w:cs="Arial"/>
          <w:i/>
          <w:sz w:val="24"/>
          <w:szCs w:val="24"/>
        </w:rPr>
        <w:t xml:space="preserve">The Soul of Supervision: Integrating Practice and Theory, </w:t>
      </w:r>
      <w:r>
        <w:rPr>
          <w:rFonts w:ascii="Arial" w:hAnsi="Arial" w:cs="Arial"/>
          <w:sz w:val="24"/>
          <w:szCs w:val="24"/>
        </w:rPr>
        <w:t>New York: Morehouse.</w:t>
      </w:r>
    </w:p>
    <w:p w:rsidR="001A0512" w:rsidRDefault="001A0512" w:rsidP="006E4B02">
      <w:pPr>
        <w:pStyle w:val="NoSpacing"/>
        <w:spacing w:line="360" w:lineRule="auto"/>
        <w:jc w:val="both"/>
        <w:rPr>
          <w:rFonts w:ascii="Arial" w:hAnsi="Arial" w:cs="Arial"/>
          <w:sz w:val="24"/>
          <w:szCs w:val="24"/>
        </w:rPr>
      </w:pPr>
    </w:p>
    <w:p w:rsidR="008B5811" w:rsidRPr="009A23D8" w:rsidRDefault="008B5811" w:rsidP="008B5811">
      <w:pPr>
        <w:spacing w:line="360" w:lineRule="auto"/>
      </w:pPr>
      <w:r>
        <w:t xml:space="preserve">Learning and Skills Improvement Service (2012) </w:t>
      </w:r>
      <w:r>
        <w:rPr>
          <w:i/>
        </w:rPr>
        <w:t>National Occupational Standards of Youth Work</w:t>
      </w:r>
      <w:r>
        <w:t>, Coventry: LSIS.</w:t>
      </w:r>
    </w:p>
    <w:p w:rsidR="008C2A69" w:rsidRPr="008C2A69" w:rsidRDefault="008C2A69" w:rsidP="006E4B02">
      <w:pPr>
        <w:pStyle w:val="NoSpacing"/>
        <w:spacing w:line="360" w:lineRule="auto"/>
        <w:jc w:val="both"/>
        <w:rPr>
          <w:rFonts w:ascii="Arial" w:hAnsi="Arial" w:cs="Arial"/>
          <w:i/>
          <w:sz w:val="24"/>
          <w:szCs w:val="24"/>
        </w:rPr>
      </w:pPr>
      <w:r>
        <w:rPr>
          <w:rFonts w:ascii="Arial" w:hAnsi="Arial" w:cs="Arial"/>
          <w:sz w:val="24"/>
          <w:szCs w:val="24"/>
        </w:rPr>
        <w:lastRenderedPageBreak/>
        <w:t xml:space="preserve">Sapin, K. (2013) </w:t>
      </w:r>
      <w:r>
        <w:rPr>
          <w:rFonts w:ascii="Arial" w:hAnsi="Arial" w:cs="Arial"/>
          <w:i/>
          <w:sz w:val="24"/>
          <w:szCs w:val="24"/>
        </w:rPr>
        <w:t xml:space="preserve">Essential Skills for Youth Work Practice, </w:t>
      </w:r>
      <w:r w:rsidRPr="008C2A69">
        <w:rPr>
          <w:rFonts w:ascii="Arial" w:hAnsi="Arial" w:cs="Arial"/>
          <w:sz w:val="24"/>
          <w:szCs w:val="24"/>
        </w:rPr>
        <w:t>(</w:t>
      </w:r>
      <w:r>
        <w:rPr>
          <w:rFonts w:ascii="Arial" w:hAnsi="Arial" w:cs="Arial"/>
          <w:sz w:val="24"/>
          <w:szCs w:val="24"/>
        </w:rPr>
        <w:t>2nd</w:t>
      </w:r>
      <w:r w:rsidRPr="008C2A69">
        <w:rPr>
          <w:rFonts w:ascii="Arial" w:hAnsi="Arial" w:cs="Arial"/>
          <w:sz w:val="24"/>
          <w:szCs w:val="24"/>
        </w:rPr>
        <w:t xml:space="preserve"> edn.)</w:t>
      </w:r>
      <w:r>
        <w:rPr>
          <w:rFonts w:ascii="Arial" w:hAnsi="Arial" w:cs="Arial"/>
          <w:sz w:val="24"/>
          <w:szCs w:val="24"/>
        </w:rPr>
        <w:t>, London: Sage.</w:t>
      </w:r>
    </w:p>
    <w:p w:rsidR="008C2A69" w:rsidRDefault="008C2A69" w:rsidP="006E4B02">
      <w:pPr>
        <w:pStyle w:val="NoSpacing"/>
        <w:spacing w:line="360" w:lineRule="auto"/>
        <w:jc w:val="both"/>
        <w:rPr>
          <w:rFonts w:ascii="Arial" w:hAnsi="Arial" w:cs="Arial"/>
          <w:sz w:val="24"/>
          <w:szCs w:val="24"/>
        </w:rPr>
      </w:pPr>
    </w:p>
    <w:p w:rsidR="00855521" w:rsidRDefault="00855521" w:rsidP="006E4B02">
      <w:pPr>
        <w:pStyle w:val="NoSpacing"/>
        <w:spacing w:line="360" w:lineRule="auto"/>
        <w:jc w:val="both"/>
        <w:rPr>
          <w:rFonts w:ascii="Arial" w:hAnsi="Arial" w:cs="Arial"/>
          <w:sz w:val="24"/>
          <w:szCs w:val="24"/>
        </w:rPr>
      </w:pPr>
      <w:r>
        <w:rPr>
          <w:rFonts w:ascii="Arial" w:hAnsi="Arial" w:cs="Arial"/>
          <w:sz w:val="24"/>
          <w:szCs w:val="24"/>
        </w:rPr>
        <w:t xml:space="preserve">Thompson, N. (2007) ‘Using Supervision’ in R. Harrison, C. Benjamin, S. Curran and R. Hunter, </w:t>
      </w:r>
      <w:r>
        <w:rPr>
          <w:rFonts w:ascii="Arial" w:hAnsi="Arial" w:cs="Arial"/>
          <w:i/>
          <w:sz w:val="24"/>
          <w:szCs w:val="24"/>
        </w:rPr>
        <w:t>Leading Work With Young People</w:t>
      </w:r>
      <w:r>
        <w:rPr>
          <w:rFonts w:ascii="Arial" w:hAnsi="Arial" w:cs="Arial"/>
          <w:sz w:val="24"/>
          <w:szCs w:val="24"/>
        </w:rPr>
        <w:t>, London: Sage.</w:t>
      </w:r>
    </w:p>
    <w:p w:rsidR="00855521" w:rsidRPr="00855521" w:rsidRDefault="00855521" w:rsidP="006E4B02">
      <w:pPr>
        <w:pStyle w:val="NoSpacing"/>
        <w:jc w:val="both"/>
        <w:rPr>
          <w:rFonts w:ascii="Arial" w:hAnsi="Arial" w:cs="Arial"/>
          <w:sz w:val="24"/>
          <w:szCs w:val="24"/>
        </w:rPr>
      </w:pPr>
    </w:p>
    <w:p w:rsidR="00855521" w:rsidRPr="00855521" w:rsidRDefault="00855521" w:rsidP="006E4B02">
      <w:pPr>
        <w:pStyle w:val="NoSpacing"/>
        <w:jc w:val="both"/>
        <w:rPr>
          <w:rFonts w:ascii="Arial" w:hAnsi="Arial" w:cs="Arial"/>
          <w:sz w:val="24"/>
          <w:szCs w:val="24"/>
        </w:rPr>
      </w:pPr>
    </w:p>
    <w:sectPr w:rsidR="00855521" w:rsidRPr="00855521">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59B4" w:rsidRDefault="008059B4" w:rsidP="00E24B8F">
      <w:pPr>
        <w:spacing w:after="0" w:line="240" w:lineRule="auto"/>
      </w:pPr>
      <w:r>
        <w:separator/>
      </w:r>
    </w:p>
  </w:endnote>
  <w:endnote w:type="continuationSeparator" w:id="0">
    <w:p w:rsidR="008059B4" w:rsidRDefault="008059B4" w:rsidP="00E24B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27245425"/>
      <w:docPartObj>
        <w:docPartGallery w:val="Page Numbers (Bottom of Page)"/>
        <w:docPartUnique/>
      </w:docPartObj>
    </w:sdtPr>
    <w:sdtEndPr>
      <w:rPr>
        <w:rFonts w:cs="Arial"/>
        <w:noProof/>
      </w:rPr>
    </w:sdtEndPr>
    <w:sdtContent>
      <w:p w:rsidR="00E24B8F" w:rsidRPr="00E24B8F" w:rsidRDefault="00E24B8F">
        <w:pPr>
          <w:pStyle w:val="Footer"/>
          <w:jc w:val="center"/>
          <w:rPr>
            <w:rFonts w:cs="Arial"/>
          </w:rPr>
        </w:pPr>
        <w:r w:rsidRPr="00E24B8F">
          <w:rPr>
            <w:rFonts w:cs="Arial"/>
          </w:rPr>
          <w:fldChar w:fldCharType="begin"/>
        </w:r>
        <w:r w:rsidRPr="00E24B8F">
          <w:rPr>
            <w:rFonts w:cs="Arial"/>
          </w:rPr>
          <w:instrText xml:space="preserve"> PAGE   \* MERGEFORMAT </w:instrText>
        </w:r>
        <w:r w:rsidRPr="00E24B8F">
          <w:rPr>
            <w:rFonts w:cs="Arial"/>
          </w:rPr>
          <w:fldChar w:fldCharType="separate"/>
        </w:r>
        <w:r w:rsidR="00044675">
          <w:rPr>
            <w:rFonts w:cs="Arial"/>
            <w:noProof/>
          </w:rPr>
          <w:t>4</w:t>
        </w:r>
        <w:r w:rsidRPr="00E24B8F">
          <w:rPr>
            <w:rFonts w:cs="Arial"/>
            <w:noProof/>
          </w:rPr>
          <w:fldChar w:fldCharType="end"/>
        </w:r>
      </w:p>
    </w:sdtContent>
  </w:sdt>
  <w:p w:rsidR="00E24B8F" w:rsidRDefault="00E24B8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59B4" w:rsidRDefault="008059B4" w:rsidP="00E24B8F">
      <w:pPr>
        <w:spacing w:after="0" w:line="240" w:lineRule="auto"/>
      </w:pPr>
      <w:r>
        <w:separator/>
      </w:r>
    </w:p>
  </w:footnote>
  <w:footnote w:type="continuationSeparator" w:id="0">
    <w:p w:rsidR="008059B4" w:rsidRDefault="008059B4" w:rsidP="00E24B8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587D"/>
    <w:rsid w:val="00044675"/>
    <w:rsid w:val="000568D8"/>
    <w:rsid w:val="000A5E8B"/>
    <w:rsid w:val="000F06B6"/>
    <w:rsid w:val="001A0512"/>
    <w:rsid w:val="001C1086"/>
    <w:rsid w:val="001F0297"/>
    <w:rsid w:val="002734B3"/>
    <w:rsid w:val="002F587D"/>
    <w:rsid w:val="002F5CB0"/>
    <w:rsid w:val="003077FB"/>
    <w:rsid w:val="00395F02"/>
    <w:rsid w:val="00410300"/>
    <w:rsid w:val="004458A4"/>
    <w:rsid w:val="005D4034"/>
    <w:rsid w:val="00613169"/>
    <w:rsid w:val="006132EC"/>
    <w:rsid w:val="00684E9F"/>
    <w:rsid w:val="00687BFA"/>
    <w:rsid w:val="006B1FEE"/>
    <w:rsid w:val="006E4B02"/>
    <w:rsid w:val="00721C82"/>
    <w:rsid w:val="007457FE"/>
    <w:rsid w:val="008059B4"/>
    <w:rsid w:val="00855521"/>
    <w:rsid w:val="008B5811"/>
    <w:rsid w:val="008C2A69"/>
    <w:rsid w:val="008F57F9"/>
    <w:rsid w:val="00981470"/>
    <w:rsid w:val="00995ADC"/>
    <w:rsid w:val="009B699D"/>
    <w:rsid w:val="009F6B86"/>
    <w:rsid w:val="00AC7432"/>
    <w:rsid w:val="00B43018"/>
    <w:rsid w:val="00B955E5"/>
    <w:rsid w:val="00C6426E"/>
    <w:rsid w:val="00C74BEC"/>
    <w:rsid w:val="00C7639F"/>
    <w:rsid w:val="00CF1741"/>
    <w:rsid w:val="00E23BD1"/>
    <w:rsid w:val="00E24B8F"/>
    <w:rsid w:val="00F53794"/>
    <w:rsid w:val="00F952E5"/>
    <w:rsid w:val="00FE4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DDDBB2-91F3-4303-B56D-A6DFAEA42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next w:val="NoSpacing"/>
    <w:qFormat/>
    <w:rsid w:val="00410300"/>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next w:val="NoSpacing"/>
    <w:autoRedefine/>
    <w:uiPriority w:val="34"/>
    <w:qFormat/>
    <w:rsid w:val="00410300"/>
    <w:pPr>
      <w:ind w:left="720"/>
      <w:contextualSpacing/>
    </w:pPr>
  </w:style>
  <w:style w:type="paragraph" w:styleId="NoSpacing">
    <w:name w:val="No Spacing"/>
    <w:uiPriority w:val="1"/>
    <w:qFormat/>
    <w:rsid w:val="00410300"/>
    <w:pPr>
      <w:spacing w:after="0" w:line="240" w:lineRule="auto"/>
    </w:pPr>
  </w:style>
  <w:style w:type="paragraph" w:styleId="Header">
    <w:name w:val="header"/>
    <w:basedOn w:val="Normal"/>
    <w:link w:val="HeaderChar"/>
    <w:uiPriority w:val="99"/>
    <w:unhideWhenUsed/>
    <w:rsid w:val="00E24B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4B8F"/>
    <w:rPr>
      <w:rFonts w:ascii="Arial" w:hAnsi="Arial"/>
      <w:sz w:val="24"/>
    </w:rPr>
  </w:style>
  <w:style w:type="paragraph" w:styleId="Footer">
    <w:name w:val="footer"/>
    <w:basedOn w:val="Normal"/>
    <w:link w:val="FooterChar"/>
    <w:uiPriority w:val="99"/>
    <w:unhideWhenUsed/>
    <w:rsid w:val="00E24B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4B8F"/>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190</TotalTime>
  <Pages>4</Pages>
  <Words>727</Words>
  <Characters>4148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 O'Grady</dc:creator>
  <cp:keywords/>
  <dc:description/>
  <cp:lastModifiedBy>Ken O'Grady</cp:lastModifiedBy>
  <cp:revision>38</cp:revision>
  <dcterms:created xsi:type="dcterms:W3CDTF">2018-02-15T23:49:00Z</dcterms:created>
  <dcterms:modified xsi:type="dcterms:W3CDTF">2018-04-26T13:58:00Z</dcterms:modified>
</cp:coreProperties>
</file>