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B3019A" wp14:paraId="35C11996" wp14:textId="477BCAFA">
      <w:pPr>
        <w:rPr>
          <w:rFonts w:ascii="Arial" w:hAnsi="Arial" w:eastAsia="Arial" w:cs="Arial"/>
          <w:noProof w:val="0"/>
          <w:color w:val="2F5496"/>
          <w:sz w:val="32"/>
          <w:szCs w:val="32"/>
          <w:lang w:val="en-US"/>
        </w:rPr>
      </w:pPr>
    </w:p>
    <w:p xmlns:wp14="http://schemas.microsoft.com/office/word/2010/wordml" w:rsidP="15B3019A" wp14:paraId="6AE25D69" wp14:textId="55949D1E">
      <w:pPr>
        <w:pStyle w:val="Heading1"/>
        <w:keepNext w:val="1"/>
        <w:keepLines w:val="1"/>
        <w:spacing w:before="240" w:after="0"/>
        <w:rPr>
          <w:rFonts w:ascii="Arial" w:hAnsi="Arial" w:eastAsia="Arial" w:cs="Arial"/>
          <w:noProof w:val="0"/>
          <w:color w:val="2F5496"/>
          <w:sz w:val="32"/>
          <w:szCs w:val="32"/>
          <w:lang w:val="en-US"/>
        </w:rPr>
      </w:pPr>
      <w:r w:rsidRPr="15B3019A" w:rsidR="3BADED6B">
        <w:rPr>
          <w:rFonts w:ascii="Arial" w:hAnsi="Arial" w:eastAsia="Arial" w:cs="Arial"/>
          <w:noProof w:val="0"/>
          <w:color w:val="2F5496"/>
          <w:sz w:val="32"/>
          <w:szCs w:val="32"/>
          <w:lang w:val="en-GB"/>
        </w:rPr>
        <w:t xml:space="preserve">Task 2: Research Proposal  </w:t>
      </w:r>
    </w:p>
    <w:p xmlns:wp14="http://schemas.microsoft.com/office/word/2010/wordml" w:rsidP="15B3019A" wp14:paraId="2D9E4D43" wp14:textId="474D84F6">
      <w:pPr>
        <w:pStyle w:val="Normal"/>
        <w:rPr>
          <w:rFonts w:ascii="Calibri" w:hAnsi="Calibri" w:eastAsia="Calibri" w:cs="Calibri"/>
          <w:noProof w:val="0"/>
          <w:sz w:val="22"/>
          <w:szCs w:val="22"/>
          <w:lang w:val="en-US"/>
        </w:rPr>
      </w:pPr>
    </w:p>
    <w:p xmlns:wp14="http://schemas.microsoft.com/office/word/2010/wordml" w:rsidP="15B3019A" wp14:paraId="7B745D36" wp14:textId="07386C14">
      <w:pPr>
        <w:jc w:val="center"/>
        <w:rPr>
          <w:rFonts w:ascii="Calibri" w:hAnsi="Calibri" w:eastAsia="Calibri" w:cs="Calibri"/>
          <w:noProof w:val="0"/>
          <w:sz w:val="22"/>
          <w:szCs w:val="22"/>
          <w:lang w:val="en-US"/>
        </w:rPr>
      </w:pPr>
    </w:p>
    <w:p xmlns:wp14="http://schemas.microsoft.com/office/word/2010/wordml" w:rsidP="15B3019A" wp14:paraId="0A73C622" wp14:textId="5A8436DA">
      <w:pPr>
        <w:jc w:val="center"/>
        <w:rPr>
          <w:rFonts w:ascii="Calibri" w:hAnsi="Calibri" w:eastAsia="Calibri" w:cs="Calibri"/>
          <w:noProof w:val="0"/>
          <w:sz w:val="22"/>
          <w:szCs w:val="22"/>
          <w:lang w:val="en-US"/>
        </w:rPr>
      </w:pPr>
      <w:r w:rsidRPr="15B3019A" w:rsidR="3BADED6B">
        <w:rPr>
          <w:rFonts w:ascii="Calibri" w:hAnsi="Calibri" w:eastAsia="Calibri" w:cs="Calibri"/>
          <w:b w:val="1"/>
          <w:bCs w:val="1"/>
          <w:noProof w:val="0"/>
          <w:sz w:val="22"/>
          <w:szCs w:val="22"/>
          <w:lang w:val="en-GB"/>
        </w:rPr>
        <w:t>UNDERGRADUATE DISSERTATION</w:t>
      </w:r>
    </w:p>
    <w:p xmlns:wp14="http://schemas.microsoft.com/office/word/2010/wordml" w:rsidP="15B3019A" wp14:paraId="16B39409" wp14:textId="7B12CB1B">
      <w:pPr>
        <w:jc w:val="center"/>
        <w:rPr>
          <w:rFonts w:ascii="Calibri" w:hAnsi="Calibri" w:eastAsia="Calibri" w:cs="Calibri"/>
          <w:noProof w:val="0"/>
          <w:sz w:val="22"/>
          <w:szCs w:val="22"/>
          <w:lang w:val="en-US"/>
        </w:rPr>
      </w:pPr>
      <w:r w:rsidRPr="15B3019A" w:rsidR="3BADED6B">
        <w:rPr>
          <w:rFonts w:ascii="Calibri" w:hAnsi="Calibri" w:eastAsia="Calibri" w:cs="Calibri"/>
          <w:b w:val="1"/>
          <w:bCs w:val="1"/>
          <w:noProof w:val="0"/>
          <w:sz w:val="22"/>
          <w:szCs w:val="22"/>
          <w:lang w:val="en-GB"/>
        </w:rPr>
        <w:t>RESEARCH PROPOSAL FORM</w:t>
      </w:r>
    </w:p>
    <w:p xmlns:wp14="http://schemas.microsoft.com/office/word/2010/wordml" w:rsidP="15B3019A" wp14:paraId="37FE3A30" wp14:textId="69BF29E1">
      <w:pPr>
        <w:jc w:val="center"/>
        <w:rPr>
          <w:rFonts w:ascii="Calibri" w:hAnsi="Calibri" w:eastAsia="Calibri" w:cs="Calibri"/>
          <w:noProof w:val="0"/>
          <w:sz w:val="22"/>
          <w:szCs w:val="22"/>
          <w:lang w:val="en-US"/>
        </w:rPr>
      </w:pPr>
    </w:p>
    <w:p xmlns:wp14="http://schemas.microsoft.com/office/word/2010/wordml" w:rsidP="15B3019A" wp14:paraId="0B6994AD" wp14:textId="59302454">
      <w:pPr>
        <w:ind w:right="-199"/>
        <w:rPr>
          <w:rFonts w:ascii="Calibri" w:hAnsi="Calibri" w:eastAsia="Calibri" w:cs="Calibri"/>
          <w:noProof w:val="0"/>
          <w:sz w:val="22"/>
          <w:szCs w:val="22"/>
          <w:lang w:val="en-US"/>
        </w:rPr>
      </w:pPr>
      <w:r w:rsidRPr="15B3019A" w:rsidR="3BADED6B">
        <w:rPr>
          <w:rFonts w:ascii="Calibri" w:hAnsi="Calibri" w:eastAsia="Calibri" w:cs="Calibri"/>
          <w:b w:val="1"/>
          <w:bCs w:val="1"/>
          <w:noProof w:val="0"/>
          <w:sz w:val="22"/>
          <w:szCs w:val="22"/>
          <w:lang w:val="en-GB"/>
        </w:rPr>
        <w:t xml:space="preserve"> </w:t>
      </w:r>
    </w:p>
    <w:tbl>
      <w:tblPr>
        <w:tblStyle w:val="TableNormal"/>
        <w:bidiVisual w:val="0"/>
        <w:tblW w:w="0" w:type="auto"/>
        <w:tblInd w:w="-15" w:type="dxa"/>
        <w:tblBorders>
          <w:top w:val="single" w:sz="6"/>
          <w:left w:val="single" w:sz="6"/>
          <w:bottom w:val="single" w:sz="6"/>
          <w:right w:val="single" w:sz="6"/>
        </w:tblBorders>
        <w:tblLook w:val="04A0" w:firstRow="1" w:lastRow="0" w:firstColumn="1" w:lastColumn="0" w:noHBand="0" w:noVBand="1"/>
      </w:tblPr>
      <w:tblGrid>
        <w:gridCol w:w="7031"/>
        <w:gridCol w:w="3199"/>
      </w:tblGrid>
      <w:tr w:rsidR="15B3019A" w:rsidTr="15B3019A" w14:paraId="7D51506A">
        <w:trPr>
          <w:trHeight w:val="495"/>
        </w:trPr>
        <w:tc>
          <w:tcPr>
            <w:tcW w:w="7031" w:type="dxa"/>
            <w:tcBorders>
              <w:top w:val="single" w:sz="6"/>
              <w:left w:val="single" w:sz="6"/>
              <w:bottom w:val="single" w:sz="6"/>
              <w:right w:val="single" w:sz="6"/>
            </w:tcBorders>
            <w:tcMar>
              <w:left w:w="90" w:type="dxa"/>
              <w:right w:w="90" w:type="dxa"/>
            </w:tcMar>
            <w:vAlign w:val="center"/>
          </w:tcPr>
          <w:p w:rsidR="15B3019A" w:rsidP="15B3019A" w:rsidRDefault="15B3019A" w14:paraId="3AAC6A29" w14:textId="5C8BF78A">
            <w:pPr>
              <w:pStyle w:val="BodyText"/>
              <w:spacing w:after="0" w:line="240" w:lineRule="auto"/>
              <w:jc w:val="both"/>
              <w:rPr>
                <w:rFonts w:ascii="Arial" w:hAnsi="Arial" w:eastAsia="Arial" w:cs="Arial"/>
                <w:sz w:val="22"/>
                <w:szCs w:val="22"/>
              </w:rPr>
            </w:pPr>
            <w:r w:rsidRPr="15B3019A" w:rsidR="15B3019A">
              <w:rPr>
                <w:rFonts w:ascii="Arial" w:hAnsi="Arial" w:eastAsia="Arial" w:cs="Arial"/>
                <w:b w:val="1"/>
                <w:bCs w:val="1"/>
                <w:sz w:val="22"/>
                <w:szCs w:val="22"/>
                <w:lang w:val="en-GB"/>
              </w:rPr>
              <w:t>NAME:  Tia Lewis</w:t>
            </w:r>
          </w:p>
        </w:tc>
        <w:tc>
          <w:tcPr>
            <w:tcW w:w="3199" w:type="dxa"/>
            <w:tcBorders>
              <w:top w:val="single" w:sz="6"/>
              <w:left w:val="single" w:sz="6"/>
              <w:bottom w:val="single" w:sz="6"/>
              <w:right w:val="single" w:sz="6"/>
            </w:tcBorders>
            <w:tcMar>
              <w:left w:w="105" w:type="dxa"/>
              <w:right w:w="105" w:type="dxa"/>
            </w:tcMar>
            <w:vAlign w:val="center"/>
          </w:tcPr>
          <w:p w:rsidR="15B3019A" w:rsidP="15B3019A" w:rsidRDefault="15B3019A" w14:paraId="4269C70F" w14:textId="068EFDC0">
            <w:pPr>
              <w:jc w:val="both"/>
              <w:rPr>
                <w:rFonts w:ascii="Calibri" w:hAnsi="Calibri" w:eastAsia="Calibri" w:cs="Calibri"/>
                <w:sz w:val="22"/>
                <w:szCs w:val="22"/>
              </w:rPr>
            </w:pPr>
            <w:r w:rsidRPr="15B3019A" w:rsidR="15B3019A">
              <w:rPr>
                <w:rFonts w:ascii="Calibri" w:hAnsi="Calibri" w:eastAsia="Calibri" w:cs="Calibri"/>
                <w:b w:val="1"/>
                <w:bCs w:val="1"/>
                <w:sz w:val="22"/>
                <w:szCs w:val="22"/>
                <w:lang w:val="en-GB"/>
              </w:rPr>
              <w:t xml:space="preserve"> ID No.:  2306465</w:t>
            </w:r>
          </w:p>
        </w:tc>
      </w:tr>
      <w:tr w:rsidR="15B3019A" w:rsidTr="15B3019A" w14:paraId="273A6E8A">
        <w:trPr>
          <w:trHeight w:val="2280"/>
        </w:trPr>
        <w:tc>
          <w:tcPr>
            <w:tcW w:w="10230" w:type="dxa"/>
            <w:gridSpan w:val="2"/>
            <w:tcBorders>
              <w:top w:val="single" w:sz="6"/>
              <w:left w:val="single" w:sz="6"/>
              <w:bottom w:val="single" w:sz="6"/>
              <w:right w:val="single" w:sz="6"/>
            </w:tcBorders>
            <w:tcMar>
              <w:left w:w="90" w:type="dxa"/>
              <w:right w:w="90" w:type="dxa"/>
            </w:tcMar>
            <w:vAlign w:val="center"/>
          </w:tcPr>
          <w:p w:rsidR="15B3019A" w:rsidP="15B3019A" w:rsidRDefault="15B3019A" w14:paraId="20125EAF" w14:textId="541CA87A">
            <w:pPr>
              <w:jc w:val="both"/>
              <w:rPr>
                <w:rFonts w:ascii="Calibri" w:hAnsi="Calibri" w:eastAsia="Calibri" w:cs="Calibri"/>
                <w:sz w:val="22"/>
                <w:szCs w:val="22"/>
              </w:rPr>
            </w:pPr>
            <w:r w:rsidRPr="15B3019A" w:rsidR="15B3019A">
              <w:rPr>
                <w:rFonts w:ascii="Calibri" w:hAnsi="Calibri" w:eastAsia="Calibri" w:cs="Calibri"/>
                <w:b w:val="1"/>
                <w:bCs w:val="1"/>
                <w:sz w:val="22"/>
                <w:szCs w:val="22"/>
                <w:lang w:val="en-GB"/>
              </w:rPr>
              <w:t>DRAFT RESEARCH TITLE QUESTION:</w:t>
            </w:r>
          </w:p>
          <w:p w:rsidR="15B3019A" w:rsidP="15B3019A" w:rsidRDefault="15B3019A" w14:paraId="19E5A940" w14:textId="61DEB668">
            <w:pPr>
              <w:tabs>
                <w:tab w:val="left" w:leader="none" w:pos="1860"/>
              </w:tabs>
              <w:jc w:val="both"/>
              <w:rPr>
                <w:rFonts w:ascii="Calibri" w:hAnsi="Calibri" w:eastAsia="Calibri" w:cs="Calibri"/>
                <w:sz w:val="22"/>
                <w:szCs w:val="22"/>
              </w:rPr>
            </w:pPr>
            <w:r w:rsidRPr="15B3019A" w:rsidR="15B3019A">
              <w:rPr>
                <w:rFonts w:ascii="Calibri" w:hAnsi="Calibri" w:eastAsia="Calibri" w:cs="Calibri"/>
                <w:sz w:val="22"/>
                <w:szCs w:val="22"/>
                <w:lang w:val="en-GB"/>
              </w:rPr>
              <w:t xml:space="preserve">I have decided that I will examine the effectiveness of current policing strategies and multi-agency safeguarding processes in tackling domestic abuse within the United Kingdom in this research project. Domestic abuse remains a significant and persistent social problem, representing a substantial proportion of police demand and serious risks to victims and their loved ones. Despite legislative reform and increased policy attention, concerns remainregarding repeat of victimisation and the consistency of safeguarding responses. This study will show an evaluation of current frameworks including the intervention of the domestic abuse act 2021, the role of multi-agency risk assessment tool and evidence-led prosecutions. It will analyse whether these strategies are effective and efficient.  this topic is appropriate for this research due to the available data, statistics, government policy documents showing policing responses to domestic abuse. By analysing this topic, it aims to assess whether current domestic abuse strategies demonstrate measurable positiveoutcomes or whether gaps remain between policy intentions and practical outcomes. </w:t>
            </w:r>
          </w:p>
          <w:p w:rsidR="15B3019A" w:rsidP="15B3019A" w:rsidRDefault="15B3019A" w14:paraId="3A4374DC" w14:textId="349D964D">
            <w:pPr>
              <w:tabs>
                <w:tab w:val="left" w:leader="none" w:pos="1860"/>
              </w:tabs>
              <w:jc w:val="both"/>
              <w:rPr>
                <w:rFonts w:ascii="Calibri" w:hAnsi="Calibri" w:eastAsia="Calibri" w:cs="Calibri"/>
                <w:sz w:val="22"/>
                <w:szCs w:val="22"/>
              </w:rPr>
            </w:pPr>
          </w:p>
          <w:p w:rsidR="15B3019A" w:rsidP="15B3019A" w:rsidRDefault="15B3019A" w14:paraId="431502FA" w14:textId="5530B2EE">
            <w:pPr>
              <w:tabs>
                <w:tab w:val="left" w:leader="none" w:pos="1860"/>
              </w:tabs>
              <w:jc w:val="both"/>
              <w:rPr>
                <w:rFonts w:ascii="Calibri" w:hAnsi="Calibri" w:eastAsia="Calibri" w:cs="Calibri"/>
                <w:sz w:val="22"/>
                <w:szCs w:val="22"/>
              </w:rPr>
            </w:pPr>
          </w:p>
        </w:tc>
      </w:tr>
      <w:tr w:rsidR="15B3019A" w:rsidTr="15B3019A" w14:paraId="79E51D03">
        <w:trPr>
          <w:trHeight w:val="2415"/>
        </w:trPr>
        <w:tc>
          <w:tcPr>
            <w:tcW w:w="10230" w:type="dxa"/>
            <w:gridSpan w:val="2"/>
            <w:tcBorders>
              <w:top w:val="single" w:sz="6"/>
              <w:left w:val="single" w:sz="6"/>
              <w:bottom w:val="single" w:sz="6"/>
              <w:right w:val="single" w:sz="6"/>
            </w:tcBorders>
            <w:tcMar>
              <w:left w:w="90" w:type="dxa"/>
              <w:right w:w="90" w:type="dxa"/>
            </w:tcMar>
            <w:vAlign w:val="center"/>
          </w:tcPr>
          <w:p w:rsidR="15B3019A" w:rsidP="15B3019A" w:rsidRDefault="15B3019A" w14:paraId="3072CA48" w14:textId="01544697">
            <w:pPr>
              <w:jc w:val="both"/>
              <w:rPr>
                <w:rFonts w:ascii="Calibri" w:hAnsi="Calibri" w:eastAsia="Calibri" w:cs="Calibri"/>
                <w:sz w:val="22"/>
                <w:szCs w:val="22"/>
              </w:rPr>
            </w:pPr>
            <w:r w:rsidRPr="15B3019A" w:rsidR="15B3019A">
              <w:rPr>
                <w:rFonts w:ascii="Calibri" w:hAnsi="Calibri" w:eastAsia="Calibri" w:cs="Calibri"/>
                <w:b w:val="1"/>
                <w:bCs w:val="1"/>
                <w:sz w:val="22"/>
                <w:szCs w:val="22"/>
                <w:lang w:val="en-GB"/>
              </w:rPr>
              <w:t xml:space="preserve">SUMMARY OF RESEARCH AIM &amp; OBJECTIVES: </w:t>
            </w:r>
          </w:p>
          <w:p w:rsidR="1F1270CE" w:rsidP="15B3019A" w:rsidRDefault="1F1270CE" w14:paraId="725F6647" w14:textId="141D75FB">
            <w:pPr>
              <w:spacing w:before="270" w:beforeAutospacing="off" w:after="270" w:afterAutospacing="off"/>
            </w:pPr>
            <w:r w:rsidRPr="15B3019A" w:rsidR="1F1270CE">
              <w:rPr>
                <w:rFonts w:ascii="Helvetica Neue" w:hAnsi="Helvetica Neue" w:eastAsia="Helvetica Neue" w:cs="Helvetica Neue"/>
                <w:i w:val="0"/>
                <w:iCs w:val="0"/>
                <w:noProof w:val="0"/>
                <w:sz w:val="19"/>
                <w:szCs w:val="19"/>
                <w:lang w:val="en-GB"/>
              </w:rPr>
              <w:t>The aim of this research is to critically assess the effectiveness of the police response to coercive and controlling behaviour in England and Wales, with particular consideration of physical, psychological and economic abuse. The research will examine whether current policing and safeguarding approaches are effective in identifying patterns of abuse, investigating offences, supporting progression through the criminal justice system and achieving victim-centred outcomes.</w:t>
            </w:r>
          </w:p>
          <w:p w:rsidR="1F1270CE" w:rsidP="15B3019A" w:rsidRDefault="1F1270CE" w14:paraId="36CA8B96" w14:textId="72BD46CE">
            <w:pPr>
              <w:pStyle w:val="Normal"/>
              <w:spacing w:before="270" w:beforeAutospacing="off" w:after="270" w:afterAutospacing="off"/>
            </w:pPr>
            <w:r w:rsidRPr="15B3019A" w:rsidR="1F1270CE">
              <w:rPr>
                <w:rFonts w:ascii="Helvetica Neue" w:hAnsi="Helvetica Neue" w:eastAsia="Helvetica Neue" w:cs="Helvetica Neue"/>
                <w:i w:val="0"/>
                <w:iCs w:val="0"/>
                <w:noProof w:val="0"/>
                <w:sz w:val="19"/>
                <w:szCs w:val="19"/>
                <w:lang w:val="en-GB"/>
              </w:rPr>
              <w:t>The research will consider how understandings of domestic abuse have developed from an incident-based approach towards recognising coercive control as an ongoing pattern of behaviour. It will examine the implications of the Serious Crime Act 2015, the Domestic Abuse Act 2021 and current policing and safeguarding guidance.</w:t>
            </w:r>
          </w:p>
          <w:p w:rsidR="1F1270CE" w:rsidP="15B3019A" w:rsidRDefault="1F1270CE" w14:paraId="61C9758E" w14:textId="751197C7">
            <w:pPr>
              <w:spacing w:before="270" w:beforeAutospacing="off" w:after="270" w:afterAutospacing="off"/>
            </w:pPr>
            <w:r w:rsidRPr="15B3019A" w:rsidR="1F1270CE">
              <w:rPr>
                <w:rFonts w:ascii="Helvetica Neue" w:hAnsi="Helvetica Neue" w:eastAsia="Helvetica Neue" w:cs="Helvetica Neue"/>
                <w:i w:val="0"/>
                <w:iCs w:val="0"/>
                <w:noProof w:val="0"/>
                <w:sz w:val="19"/>
                <w:szCs w:val="19"/>
                <w:lang w:val="en-GB"/>
              </w:rPr>
              <w:t xml:space="preserve">The </w:t>
            </w:r>
            <w:r w:rsidRPr="15B3019A" w:rsidR="1F1270CE">
              <w:rPr>
                <w:rFonts w:ascii="Helvetica Neue" w:hAnsi="Helvetica Neue" w:eastAsia="Helvetica Neue" w:cs="Helvetica Neue"/>
                <w:i w:val="0"/>
                <w:iCs w:val="0"/>
                <w:noProof w:val="0"/>
                <w:sz w:val="19"/>
                <w:szCs w:val="19"/>
                <w:lang w:val="en-GB"/>
              </w:rPr>
              <w:t>objectives</w:t>
            </w:r>
            <w:r w:rsidRPr="15B3019A" w:rsidR="1F1270CE">
              <w:rPr>
                <w:rFonts w:ascii="Helvetica Neue" w:hAnsi="Helvetica Neue" w:eastAsia="Helvetica Neue" w:cs="Helvetica Neue"/>
                <w:i w:val="0"/>
                <w:iCs w:val="0"/>
                <w:noProof w:val="0"/>
                <w:sz w:val="19"/>
                <w:szCs w:val="19"/>
                <w:lang w:val="en-GB"/>
              </w:rPr>
              <w:t xml:space="preserve"> of the research are:</w:t>
            </w:r>
          </w:p>
          <w:p w:rsidR="1F1270CE" w:rsidP="15B3019A" w:rsidRDefault="1F1270CE" w14:paraId="76F5DF68" w14:textId="311C08B1">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GB"/>
              </w:rPr>
            </w:pPr>
            <w:r w:rsidRPr="15B3019A" w:rsidR="1F1270CE">
              <w:rPr>
                <w:rFonts w:ascii="Helvetica Neue" w:hAnsi="Helvetica Neue" w:eastAsia="Helvetica Neue" w:cs="Helvetica Neue"/>
                <w:b w:val="1"/>
                <w:bCs w:val="1"/>
                <w:i w:val="0"/>
                <w:iCs w:val="0"/>
                <w:noProof w:val="0"/>
                <w:sz w:val="19"/>
                <w:szCs w:val="19"/>
                <w:lang w:val="en-GB"/>
              </w:rPr>
              <w:t>To examine</w:t>
            </w:r>
            <w:r w:rsidRPr="15B3019A" w:rsidR="1F1270CE">
              <w:rPr>
                <w:rFonts w:ascii="Helvetica Neue" w:hAnsi="Helvetica Neue" w:eastAsia="Helvetica Neue" w:cs="Helvetica Neue"/>
                <w:i w:val="0"/>
                <w:iCs w:val="0"/>
                <w:noProof w:val="0"/>
                <w:sz w:val="19"/>
                <w:szCs w:val="19"/>
                <w:lang w:val="en-GB"/>
              </w:rPr>
              <w:t xml:space="preserve"> the existing academic and policing literature surrounding coercive and controlling behaviour and the identification of physical, psychological and economic abuse.</w:t>
            </w:r>
          </w:p>
          <w:p w:rsidR="1F1270CE" w:rsidP="15B3019A" w:rsidRDefault="1F1270CE" w14:paraId="14B4CFE5" w14:textId="7D2015CB">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GB"/>
              </w:rPr>
            </w:pPr>
            <w:r w:rsidRPr="15B3019A" w:rsidR="1F1270CE">
              <w:rPr>
                <w:rFonts w:ascii="Helvetica Neue" w:hAnsi="Helvetica Neue" w:eastAsia="Helvetica Neue" w:cs="Helvetica Neue"/>
                <w:b w:val="1"/>
                <w:bCs w:val="1"/>
                <w:i w:val="0"/>
                <w:iCs w:val="0"/>
                <w:noProof w:val="0"/>
                <w:sz w:val="19"/>
                <w:szCs w:val="19"/>
                <w:lang w:val="en-GB"/>
              </w:rPr>
              <w:t>To critically assess</w:t>
            </w:r>
            <w:r w:rsidRPr="15B3019A" w:rsidR="1F1270CE">
              <w:rPr>
                <w:rFonts w:ascii="Helvetica Neue" w:hAnsi="Helvetica Neue" w:eastAsia="Helvetica Neue" w:cs="Helvetica Neue"/>
                <w:i w:val="0"/>
                <w:iCs w:val="0"/>
                <w:noProof w:val="0"/>
                <w:sz w:val="19"/>
                <w:szCs w:val="19"/>
                <w:lang w:val="en-GB"/>
              </w:rPr>
              <w:t xml:space="preserve"> the effectiveness of police identification and investigation practices, including risk assessment, evidence gathering, professional discretion and the recognition of patterns of controlling behaviour.</w:t>
            </w:r>
          </w:p>
          <w:p w:rsidR="1F1270CE" w:rsidP="15B3019A" w:rsidRDefault="1F1270CE" w14:paraId="628BF4EA" w14:textId="7D5369F7">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GB"/>
              </w:rPr>
            </w:pPr>
            <w:r w:rsidRPr="15B3019A" w:rsidR="1F1270CE">
              <w:rPr>
                <w:rFonts w:ascii="Helvetica Neue" w:hAnsi="Helvetica Neue" w:eastAsia="Helvetica Neue" w:cs="Helvetica Neue"/>
                <w:b w:val="1"/>
                <w:bCs w:val="1"/>
                <w:i w:val="0"/>
                <w:iCs w:val="0"/>
                <w:noProof w:val="0"/>
                <w:sz w:val="19"/>
                <w:szCs w:val="19"/>
                <w:lang w:val="en-GB"/>
              </w:rPr>
              <w:t>To examine</w:t>
            </w:r>
            <w:r w:rsidRPr="15B3019A" w:rsidR="1F1270CE">
              <w:rPr>
                <w:rFonts w:ascii="Helvetica Neue" w:hAnsi="Helvetica Neue" w:eastAsia="Helvetica Neue" w:cs="Helvetica Neue"/>
                <w:i w:val="0"/>
                <w:iCs w:val="0"/>
                <w:noProof w:val="0"/>
                <w:sz w:val="19"/>
                <w:szCs w:val="19"/>
                <w:lang w:val="en-GB"/>
              </w:rPr>
              <w:t xml:space="preserve"> criminal justice progression from reporting and investigation through to arrest, charging, prosecution and conviction, while considering evidential difficulties, victim withdrawal and attrition.</w:t>
            </w:r>
          </w:p>
          <w:p w:rsidR="1F1270CE" w:rsidP="15B3019A" w:rsidRDefault="1F1270CE" w14:paraId="474390FB" w14:textId="18464726">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GB"/>
              </w:rPr>
            </w:pPr>
            <w:r w:rsidRPr="15B3019A" w:rsidR="1F1270CE">
              <w:rPr>
                <w:rFonts w:ascii="Helvetica Neue" w:hAnsi="Helvetica Neue" w:eastAsia="Helvetica Neue" w:cs="Helvetica Neue"/>
                <w:b w:val="1"/>
                <w:bCs w:val="1"/>
                <w:i w:val="0"/>
                <w:iCs w:val="0"/>
                <w:noProof w:val="0"/>
                <w:sz w:val="19"/>
                <w:szCs w:val="19"/>
                <w:lang w:val="en-GB"/>
              </w:rPr>
              <w:t>To evaluate</w:t>
            </w:r>
            <w:r w:rsidRPr="15B3019A" w:rsidR="1F1270CE">
              <w:rPr>
                <w:rFonts w:ascii="Helvetica Neue" w:hAnsi="Helvetica Neue" w:eastAsia="Helvetica Neue" w:cs="Helvetica Neue"/>
                <w:i w:val="0"/>
                <w:iCs w:val="0"/>
                <w:noProof w:val="0"/>
                <w:sz w:val="19"/>
                <w:szCs w:val="19"/>
                <w:lang w:val="en-GB"/>
              </w:rPr>
              <w:t xml:space="preserve"> victim-centred outcomes, including safeguarding, communication, trust, victim confidence, risk management and repeat victimisation.</w:t>
            </w:r>
          </w:p>
          <w:p w:rsidR="1F1270CE" w:rsidP="15B3019A" w:rsidRDefault="1F1270CE" w14:paraId="3A8DE497" w14:textId="0E5B99AA">
            <w:pPr>
              <w:pStyle w:val="ListParagraph"/>
              <w:numPr>
                <w:ilvl w:val="0"/>
                <w:numId w:val="1"/>
              </w:numPr>
              <w:spacing w:before="0" w:beforeAutospacing="off" w:after="0" w:afterAutospacing="off"/>
              <w:rPr>
                <w:rFonts w:ascii="Helvetica Neue" w:hAnsi="Helvetica Neue" w:eastAsia="Helvetica Neue" w:cs="Helvetica Neue"/>
                <w:i w:val="0"/>
                <w:iCs w:val="0"/>
                <w:noProof w:val="0"/>
                <w:sz w:val="19"/>
                <w:szCs w:val="19"/>
                <w:lang w:val="en-GB"/>
              </w:rPr>
            </w:pPr>
            <w:r w:rsidRPr="15B3019A" w:rsidR="1F1270CE">
              <w:rPr>
                <w:rFonts w:ascii="Helvetica Neue" w:hAnsi="Helvetica Neue" w:eastAsia="Helvetica Neue" w:cs="Helvetica Neue"/>
                <w:b w:val="1"/>
                <w:bCs w:val="1"/>
                <w:i w:val="0"/>
                <w:iCs w:val="0"/>
                <w:noProof w:val="0"/>
                <w:sz w:val="19"/>
                <w:szCs w:val="19"/>
                <w:lang w:val="en-GB"/>
              </w:rPr>
              <w:t>To determine</w:t>
            </w:r>
            <w:r w:rsidRPr="15B3019A" w:rsidR="1F1270CE">
              <w:rPr>
                <w:rFonts w:ascii="Helvetica Neue" w:hAnsi="Helvetica Neue" w:eastAsia="Helvetica Neue" w:cs="Helvetica Neue"/>
                <w:i w:val="0"/>
                <w:iCs w:val="0"/>
                <w:noProof w:val="0"/>
                <w:sz w:val="19"/>
                <w:szCs w:val="19"/>
                <w:lang w:val="en-GB"/>
              </w:rPr>
              <w:t xml:space="preserve"> the extent to which criminal justice outcomes alone provide an appropriate measure of police effectiveness, compared with broader safeguarding and victim-centred outcomes.</w:t>
            </w:r>
          </w:p>
          <w:p w:rsidR="15B3019A" w:rsidP="15B3019A" w:rsidRDefault="15B3019A" w14:paraId="56ADABB0" w14:textId="6AAD7809">
            <w:pPr>
              <w:pStyle w:val="ListParagraph"/>
              <w:numPr>
                <w:ilvl w:val="0"/>
                <w:numId w:val="1"/>
              </w:numPr>
              <w:spacing w:before="270" w:beforeAutospacing="off" w:after="270" w:afterAutospacing="off"/>
              <w:rPr>
                <w:sz w:val="24"/>
                <w:szCs w:val="24"/>
              </w:rPr>
            </w:pPr>
          </w:p>
          <w:p w:rsidR="15B3019A" w:rsidP="15B3019A" w:rsidRDefault="15B3019A" w14:paraId="5E980C97" w14:textId="3DC77B39">
            <w:pPr>
              <w:pStyle w:val="Normal"/>
              <w:spacing w:before="270" w:beforeAutospacing="off" w:after="270" w:afterAutospacing="off"/>
              <w:rPr>
                <w:rFonts w:ascii="Helvetica Neue" w:hAnsi="Helvetica Neue" w:eastAsia="Helvetica Neue" w:cs="Helvetica Neue"/>
                <w:i w:val="0"/>
                <w:iCs w:val="0"/>
                <w:noProof w:val="0"/>
                <w:sz w:val="19"/>
                <w:szCs w:val="19"/>
                <w:lang w:val="en-GB"/>
              </w:rPr>
            </w:pPr>
          </w:p>
        </w:tc>
      </w:tr>
      <w:tr w:rsidR="15B3019A" w:rsidTr="15B3019A" w14:paraId="439F3479">
        <w:trPr>
          <w:trHeight w:val="2700"/>
        </w:trPr>
        <w:tc>
          <w:tcPr>
            <w:tcW w:w="10230" w:type="dxa"/>
            <w:gridSpan w:val="2"/>
            <w:tcBorders>
              <w:top w:val="single" w:sz="6"/>
              <w:left w:val="single" w:sz="6"/>
              <w:bottom w:val="single" w:sz="6"/>
              <w:right w:val="single" w:sz="6"/>
            </w:tcBorders>
            <w:tcMar>
              <w:left w:w="90" w:type="dxa"/>
              <w:right w:w="90" w:type="dxa"/>
            </w:tcMar>
            <w:vAlign w:val="center"/>
          </w:tcPr>
          <w:p w:rsidR="15B3019A" w:rsidP="15B3019A" w:rsidRDefault="15B3019A" w14:paraId="0CD03092" w14:textId="4C919457">
            <w:pPr>
              <w:rPr>
                <w:rFonts w:ascii="Calibri" w:hAnsi="Calibri" w:eastAsia="Calibri" w:cs="Calibri"/>
                <w:sz w:val="22"/>
                <w:szCs w:val="22"/>
              </w:rPr>
            </w:pPr>
            <w:r w:rsidRPr="15B3019A" w:rsidR="15B3019A">
              <w:rPr>
                <w:rFonts w:ascii="Calibri" w:hAnsi="Calibri" w:eastAsia="Calibri" w:cs="Calibri"/>
                <w:b w:val="1"/>
                <w:bCs w:val="1"/>
                <w:sz w:val="22"/>
                <w:szCs w:val="22"/>
                <w:lang w:val="en-GB"/>
              </w:rPr>
              <w:t>THEORETICAL CONTEXT:</w:t>
            </w:r>
          </w:p>
          <w:p w:rsidR="15B3019A" w:rsidP="15B3019A" w:rsidRDefault="15B3019A" w14:paraId="3EBC603B" w14:textId="4A5C6045">
            <w:pPr>
              <w:spacing w:before="240" w:beforeAutospacing="off" w:after="240" w:afterAutospacing="off"/>
              <w:rPr>
                <w:rFonts w:ascii="Calibri" w:hAnsi="Calibri" w:eastAsia="Calibri" w:cs="Calibri"/>
                <w:color w:val="000000" w:themeColor="text1" w:themeTint="FF" w:themeShade="FF"/>
                <w:sz w:val="22"/>
                <w:szCs w:val="22"/>
              </w:rPr>
            </w:pPr>
            <w:r w:rsidRPr="15B3019A" w:rsidR="15B3019A">
              <w:rPr>
                <w:rFonts w:ascii="Calibri" w:hAnsi="Calibri" w:eastAsia="Calibri" w:cs="Calibri"/>
                <w:color w:val="000000" w:themeColor="text1" w:themeTint="FF" w:themeShade="FF"/>
                <w:sz w:val="22"/>
                <w:szCs w:val="22"/>
                <w:lang w:val="en-GB"/>
              </w:rPr>
              <w:t>Domestic abuse is now more widely understood as a pattern of controlling and coercive behaviour rather than just isolated incidents, and it can include physical, emotional, financial, and sexual abuse. This shift in understanding has been influenced by feminist theory, social learning theory, the power and control model, and the cycle of abuse, all of which highlight power, control, and domination within relationships (Dobash and Dobash, 1979; Bandura, 1977; Pence and Paymar, 1993; Walker, 1979). Sociologist Evan Stark developed the concept of coercive control, which explains how abusers use ongoing tactics such as isolation, intimidation, surveillance, and financial restriction to limit a victim’s independence (Stark, 2007). This shows that abuse is not always physical and that non-physical forms can be just as harmful over time. Feminist perspectives also argue that this type of abuse is rooted in wider gender inequalities and patriarchal structures (DobashandDobash, 1979; Walby and Towers, 2018). These ideas have influenced UK law, particularly through the Serious Crime Act 2015 and the Domestic Abuse Act 2021, which recognise controlling and coercive behaviour as a form of abuse (Great Britain, 2015; Great Britain, 2021). However, there are still challenges, as responses often focus on single incidents rather than recognising abuse as a continuous pattern, despite evidence showing the complex nature of domestic abuse in England and Wales (Office for National Statistics, 2023).</w:t>
            </w:r>
          </w:p>
        </w:tc>
      </w:tr>
      <w:tr w:rsidR="15B3019A" w:rsidTr="15B3019A" w14:paraId="259DF951">
        <w:trPr>
          <w:trHeight w:val="1830"/>
        </w:trPr>
        <w:tc>
          <w:tcPr>
            <w:tcW w:w="10230" w:type="dxa"/>
            <w:gridSpan w:val="2"/>
            <w:tcBorders>
              <w:top w:val="single" w:sz="6"/>
              <w:left w:val="single" w:sz="6"/>
              <w:bottom w:val="single" w:sz="6"/>
              <w:right w:val="single" w:sz="6"/>
            </w:tcBorders>
            <w:tcMar>
              <w:left w:w="90" w:type="dxa"/>
              <w:right w:w="90" w:type="dxa"/>
            </w:tcMar>
            <w:vAlign w:val="center"/>
          </w:tcPr>
          <w:p w:rsidR="15B3019A" w:rsidP="15B3019A" w:rsidRDefault="15B3019A" w14:paraId="139D1A94" w14:textId="099D99E0">
            <w:pPr>
              <w:rPr>
                <w:rFonts w:ascii="Calibri" w:hAnsi="Calibri" w:eastAsia="Calibri" w:cs="Calibri"/>
                <w:sz w:val="22"/>
                <w:szCs w:val="22"/>
              </w:rPr>
            </w:pPr>
            <w:r w:rsidRPr="15B3019A" w:rsidR="15B3019A">
              <w:rPr>
                <w:rFonts w:ascii="Calibri" w:hAnsi="Calibri" w:eastAsia="Calibri" w:cs="Calibri"/>
                <w:b w:val="1"/>
                <w:bCs w:val="1"/>
                <w:sz w:val="22"/>
                <w:szCs w:val="22"/>
                <w:lang w:val="en-GB"/>
              </w:rPr>
              <w:t xml:space="preserve">SUMMARY OF RESEARCH –SURVEY METHOD: </w:t>
            </w:r>
          </w:p>
          <w:p w:rsidR="7248E984" w:rsidP="15B3019A" w:rsidRDefault="7248E984" w14:paraId="465E4FD3" w14:textId="4AECA369">
            <w:pPr>
              <w:spacing w:before="270" w:beforeAutospacing="off" w:after="270" w:afterAutospacing="off"/>
            </w:pPr>
            <w:r w:rsidRPr="15B3019A" w:rsidR="7248E984">
              <w:rPr>
                <w:rFonts w:ascii="Helvetica Neue" w:hAnsi="Helvetica Neue" w:eastAsia="Helvetica Neue" w:cs="Helvetica Neue"/>
                <w:i w:val="0"/>
                <w:iCs w:val="0"/>
                <w:noProof w:val="0"/>
                <w:sz w:val="19"/>
                <w:szCs w:val="19"/>
                <w:lang w:val="en-GB"/>
              </w:rPr>
              <w:t xml:space="preserve">The research will primarily use </w:t>
            </w:r>
            <w:r w:rsidRPr="15B3019A" w:rsidR="7248E984">
              <w:rPr>
                <w:rFonts w:ascii="Helvetica Neue" w:hAnsi="Helvetica Neue" w:eastAsia="Helvetica Neue" w:cs="Helvetica Neue"/>
                <w:b w:val="1"/>
                <w:bCs w:val="1"/>
                <w:i w:val="0"/>
                <w:iCs w:val="0"/>
                <w:noProof w:val="0"/>
                <w:sz w:val="19"/>
                <w:szCs w:val="19"/>
                <w:lang w:val="en-GB"/>
              </w:rPr>
              <w:t>secondary research and documentary analysis</w:t>
            </w:r>
            <w:r w:rsidRPr="15B3019A" w:rsidR="7248E984">
              <w:rPr>
                <w:rFonts w:ascii="Helvetica Neue" w:hAnsi="Helvetica Neue" w:eastAsia="Helvetica Neue" w:cs="Helvetica Neue"/>
                <w:i w:val="0"/>
                <w:iCs w:val="0"/>
                <w:noProof w:val="0"/>
                <w:sz w:val="19"/>
                <w:szCs w:val="19"/>
                <w:lang w:val="en-GB"/>
              </w:rPr>
              <w:t xml:space="preserve"> to critically assess the police response to coercive and controlling behaviour in England and Wales. Academic literature will be examined alongside relevant legislation, government publications, policing guidance, official </w:t>
            </w:r>
            <w:r w:rsidRPr="15B3019A" w:rsidR="7248E984">
              <w:rPr>
                <w:rFonts w:ascii="Helvetica Neue" w:hAnsi="Helvetica Neue" w:eastAsia="Helvetica Neue" w:cs="Helvetica Neue"/>
                <w:i w:val="0"/>
                <w:iCs w:val="0"/>
                <w:noProof w:val="0"/>
                <w:sz w:val="19"/>
                <w:szCs w:val="19"/>
                <w:lang w:val="en-GB"/>
              </w:rPr>
              <w:t>statistics</w:t>
            </w:r>
            <w:r w:rsidRPr="15B3019A" w:rsidR="7248E984">
              <w:rPr>
                <w:rFonts w:ascii="Helvetica Neue" w:hAnsi="Helvetica Neue" w:eastAsia="Helvetica Neue" w:cs="Helvetica Neue"/>
                <w:i w:val="0"/>
                <w:iCs w:val="0"/>
                <w:noProof w:val="0"/>
                <w:sz w:val="19"/>
                <w:szCs w:val="19"/>
                <w:lang w:val="en-GB"/>
              </w:rPr>
              <w:t xml:space="preserve"> and existing research concerning domestic abuse policing. Sources will include research concerning police identification and investigation, risk assessment, evidence gathering, criminal justice progression, victim withdrawal, </w:t>
            </w:r>
            <w:r w:rsidRPr="15B3019A" w:rsidR="7248E984">
              <w:rPr>
                <w:rFonts w:ascii="Helvetica Neue" w:hAnsi="Helvetica Neue" w:eastAsia="Helvetica Neue" w:cs="Helvetica Neue"/>
                <w:i w:val="0"/>
                <w:iCs w:val="0"/>
                <w:noProof w:val="0"/>
                <w:sz w:val="19"/>
                <w:szCs w:val="19"/>
                <w:lang w:val="en-GB"/>
              </w:rPr>
              <w:t>safeguarding</w:t>
            </w:r>
            <w:r w:rsidRPr="15B3019A" w:rsidR="7248E984">
              <w:rPr>
                <w:rFonts w:ascii="Helvetica Neue" w:hAnsi="Helvetica Neue" w:eastAsia="Helvetica Neue" w:cs="Helvetica Neue"/>
                <w:i w:val="0"/>
                <w:iCs w:val="0"/>
                <w:noProof w:val="0"/>
                <w:sz w:val="19"/>
                <w:szCs w:val="19"/>
                <w:lang w:val="en-GB"/>
              </w:rPr>
              <w:t xml:space="preserve"> and victim experiences. The research will be organised around three main measures of effectiveness: </w:t>
            </w:r>
            <w:r w:rsidRPr="15B3019A" w:rsidR="7248E984">
              <w:rPr>
                <w:rFonts w:ascii="Helvetica Neue" w:hAnsi="Helvetica Neue" w:eastAsia="Helvetica Neue" w:cs="Helvetica Neue"/>
                <w:b w:val="1"/>
                <w:bCs w:val="1"/>
                <w:i w:val="0"/>
                <w:iCs w:val="0"/>
                <w:noProof w:val="0"/>
                <w:sz w:val="19"/>
                <w:szCs w:val="19"/>
                <w:lang w:val="en-GB"/>
              </w:rPr>
              <w:t>identification and investigation, criminal justice progression, and victim-centred outcomes</w:t>
            </w:r>
            <w:r w:rsidRPr="15B3019A" w:rsidR="7248E984">
              <w:rPr>
                <w:rFonts w:ascii="Helvetica Neue" w:hAnsi="Helvetica Neue" w:eastAsia="Helvetica Neue" w:cs="Helvetica Neue"/>
                <w:i w:val="0"/>
                <w:iCs w:val="0"/>
                <w:noProof w:val="0"/>
                <w:sz w:val="19"/>
                <w:szCs w:val="19"/>
                <w:lang w:val="en-GB"/>
              </w:rPr>
              <w:t xml:space="preserve">. This will allow the study to move beyond simply examining arrest or conviction figures and consider the wider purpose of a police response to domestic abuse. The first area will consider whether police officers are able to </w:t>
            </w:r>
            <w:r w:rsidRPr="15B3019A" w:rsidR="7248E984">
              <w:rPr>
                <w:rFonts w:ascii="Helvetica Neue" w:hAnsi="Helvetica Neue" w:eastAsia="Helvetica Neue" w:cs="Helvetica Neue"/>
                <w:i w:val="0"/>
                <w:iCs w:val="0"/>
                <w:noProof w:val="0"/>
                <w:sz w:val="19"/>
                <w:szCs w:val="19"/>
                <w:lang w:val="en-GB"/>
              </w:rPr>
              <w:t>identify</w:t>
            </w:r>
            <w:r w:rsidRPr="15B3019A" w:rsidR="7248E984">
              <w:rPr>
                <w:rFonts w:ascii="Helvetica Neue" w:hAnsi="Helvetica Neue" w:eastAsia="Helvetica Neue" w:cs="Helvetica Neue"/>
                <w:i w:val="0"/>
                <w:iCs w:val="0"/>
                <w:noProof w:val="0"/>
                <w:sz w:val="19"/>
                <w:szCs w:val="19"/>
                <w:lang w:val="en-GB"/>
              </w:rPr>
              <w:t xml:space="preserve"> coercive and controlling behaviour, particularly where abuse is psychological or economic and may not produce obvious physical evidence. The second will examine progression through the criminal justice system, including reporting, investigation, arrest, charging, </w:t>
            </w:r>
            <w:r w:rsidRPr="15B3019A" w:rsidR="7248E984">
              <w:rPr>
                <w:rFonts w:ascii="Helvetica Neue" w:hAnsi="Helvetica Neue" w:eastAsia="Helvetica Neue" w:cs="Helvetica Neue"/>
                <w:i w:val="0"/>
                <w:iCs w:val="0"/>
                <w:noProof w:val="0"/>
                <w:sz w:val="19"/>
                <w:szCs w:val="19"/>
                <w:lang w:val="en-GB"/>
              </w:rPr>
              <w:t>prosecution</w:t>
            </w:r>
            <w:r w:rsidRPr="15B3019A" w:rsidR="7248E984">
              <w:rPr>
                <w:rFonts w:ascii="Helvetica Neue" w:hAnsi="Helvetica Neue" w:eastAsia="Helvetica Neue" w:cs="Helvetica Neue"/>
                <w:i w:val="0"/>
                <w:iCs w:val="0"/>
                <w:noProof w:val="0"/>
                <w:sz w:val="19"/>
                <w:szCs w:val="19"/>
                <w:lang w:val="en-GB"/>
              </w:rPr>
              <w:t xml:space="preserve"> and conviction. The final area will consider whether policing responses provide effective safeguarding and victim-centred outcomes, including communication, trust, confidence, risk </w:t>
            </w:r>
            <w:r w:rsidRPr="15B3019A" w:rsidR="7248E984">
              <w:rPr>
                <w:rFonts w:ascii="Helvetica Neue" w:hAnsi="Helvetica Neue" w:eastAsia="Helvetica Neue" w:cs="Helvetica Neue"/>
                <w:i w:val="0"/>
                <w:iCs w:val="0"/>
                <w:noProof w:val="0"/>
                <w:sz w:val="19"/>
                <w:szCs w:val="19"/>
                <w:lang w:val="en-GB"/>
              </w:rPr>
              <w:t>management</w:t>
            </w:r>
            <w:r w:rsidRPr="15B3019A" w:rsidR="7248E984">
              <w:rPr>
                <w:rFonts w:ascii="Helvetica Neue" w:hAnsi="Helvetica Neue" w:eastAsia="Helvetica Neue" w:cs="Helvetica Neue"/>
                <w:i w:val="0"/>
                <w:iCs w:val="0"/>
                <w:noProof w:val="0"/>
                <w:sz w:val="19"/>
                <w:szCs w:val="19"/>
                <w:lang w:val="en-GB"/>
              </w:rPr>
              <w:t xml:space="preserve"> and protection from repeat victimisation. A critical approach will be adopted because criminal justice progression cannot necessarily be treated as the only measure of effectiveness. A case may </w:t>
            </w:r>
            <w:r w:rsidRPr="15B3019A" w:rsidR="7248E984">
              <w:rPr>
                <w:rFonts w:ascii="Helvetica Neue" w:hAnsi="Helvetica Neue" w:eastAsia="Helvetica Neue" w:cs="Helvetica Neue"/>
                <w:i w:val="0"/>
                <w:iCs w:val="0"/>
                <w:noProof w:val="0"/>
                <w:sz w:val="19"/>
                <w:szCs w:val="19"/>
                <w:lang w:val="en-GB"/>
              </w:rPr>
              <w:t>fail to</w:t>
            </w:r>
            <w:r w:rsidRPr="15B3019A" w:rsidR="7248E984">
              <w:rPr>
                <w:rFonts w:ascii="Helvetica Neue" w:hAnsi="Helvetica Neue" w:eastAsia="Helvetica Neue" w:cs="Helvetica Neue"/>
                <w:i w:val="0"/>
                <w:iCs w:val="0"/>
                <w:noProof w:val="0"/>
                <w:sz w:val="19"/>
                <w:szCs w:val="19"/>
                <w:lang w:val="en-GB"/>
              </w:rPr>
              <w:t xml:space="preserve"> result in prosecution while police intervention may nevertheless contribute to victim safety, risk </w:t>
            </w:r>
            <w:r w:rsidRPr="15B3019A" w:rsidR="7248E984">
              <w:rPr>
                <w:rFonts w:ascii="Helvetica Neue" w:hAnsi="Helvetica Neue" w:eastAsia="Helvetica Neue" w:cs="Helvetica Neue"/>
                <w:i w:val="0"/>
                <w:iCs w:val="0"/>
                <w:noProof w:val="0"/>
                <w:sz w:val="19"/>
                <w:szCs w:val="19"/>
                <w:lang w:val="en-GB"/>
              </w:rPr>
              <w:t>management</w:t>
            </w:r>
            <w:r w:rsidRPr="15B3019A" w:rsidR="7248E984">
              <w:rPr>
                <w:rFonts w:ascii="Helvetica Neue" w:hAnsi="Helvetica Neue" w:eastAsia="Helvetica Neue" w:cs="Helvetica Neue"/>
                <w:i w:val="0"/>
                <w:iCs w:val="0"/>
                <w:noProof w:val="0"/>
                <w:sz w:val="19"/>
                <w:szCs w:val="19"/>
                <w:lang w:val="en-GB"/>
              </w:rPr>
              <w:t xml:space="preserve"> or safeguarding. Conversely, a prosecution may occur without necessarily </w:t>
            </w:r>
            <w:r w:rsidRPr="15B3019A" w:rsidR="7248E984">
              <w:rPr>
                <w:rFonts w:ascii="Helvetica Neue" w:hAnsi="Helvetica Neue" w:eastAsia="Helvetica Neue" w:cs="Helvetica Neue"/>
                <w:i w:val="0"/>
                <w:iCs w:val="0"/>
                <w:noProof w:val="0"/>
                <w:sz w:val="19"/>
                <w:szCs w:val="19"/>
                <w:lang w:val="en-GB"/>
              </w:rPr>
              <w:t>demonstrating</w:t>
            </w:r>
            <w:r w:rsidRPr="15B3019A" w:rsidR="7248E984">
              <w:rPr>
                <w:rFonts w:ascii="Helvetica Neue" w:hAnsi="Helvetica Neue" w:eastAsia="Helvetica Neue" w:cs="Helvetica Neue"/>
                <w:i w:val="0"/>
                <w:iCs w:val="0"/>
                <w:noProof w:val="0"/>
                <w:sz w:val="19"/>
                <w:szCs w:val="19"/>
                <w:lang w:val="en-GB"/>
              </w:rPr>
              <w:t xml:space="preserve"> a positive victim experience. The research will therefore compare different measures of effectiveness and consider the extent to which current policing approaches address the complex and ongoing nature of coercive control.</w:t>
            </w:r>
          </w:p>
        </w:tc>
      </w:tr>
      <w:tr w:rsidR="15B3019A" w:rsidTr="15B3019A" w14:paraId="645211B4">
        <w:trPr>
          <w:trHeight w:val="450"/>
        </w:trPr>
        <w:tc>
          <w:tcPr>
            <w:tcW w:w="10230" w:type="dxa"/>
            <w:gridSpan w:val="2"/>
            <w:tcBorders>
              <w:top w:val="single" w:sz="6"/>
              <w:left w:val="single" w:sz="6"/>
              <w:bottom w:val="single" w:sz="6"/>
              <w:right w:val="single" w:sz="6"/>
            </w:tcBorders>
            <w:tcMar>
              <w:left w:w="90" w:type="dxa"/>
              <w:right w:w="90" w:type="dxa"/>
            </w:tcMar>
            <w:vAlign w:val="center"/>
          </w:tcPr>
          <w:p w:rsidR="15B3019A" w:rsidP="15B3019A" w:rsidRDefault="15B3019A" w14:paraId="02DEBAC3" w14:textId="681B9416">
            <w:pPr>
              <w:rPr>
                <w:rFonts w:ascii="Calibri" w:hAnsi="Calibri" w:eastAsia="Calibri" w:cs="Calibri"/>
                <w:sz w:val="22"/>
                <w:szCs w:val="22"/>
              </w:rPr>
            </w:pPr>
            <w:r w:rsidRPr="15B3019A" w:rsidR="15B3019A">
              <w:rPr>
                <w:rFonts w:ascii="Calibri" w:hAnsi="Calibri" w:eastAsia="Calibri" w:cs="Calibri"/>
                <w:b w:val="1"/>
                <w:bCs w:val="1"/>
                <w:sz w:val="22"/>
                <w:szCs w:val="22"/>
                <w:lang w:val="en-GB"/>
              </w:rPr>
              <w:t>SUMMARY OF SAMPLING FRAMEWORK:</w:t>
            </w:r>
            <w:r w:rsidRPr="15B3019A" w:rsidR="15B3019A">
              <w:rPr>
                <w:rFonts w:ascii="Calibri" w:hAnsi="Calibri" w:eastAsia="Calibri" w:cs="Calibri"/>
                <w:sz w:val="22"/>
                <w:szCs w:val="22"/>
                <w:lang w:val="en-GB"/>
              </w:rPr>
              <w:t xml:space="preserve"> </w:t>
            </w:r>
          </w:p>
          <w:p w:rsidR="2030C3E2" w:rsidP="15B3019A" w:rsidRDefault="2030C3E2" w14:paraId="20F9320C" w14:textId="06035E80">
            <w:pPr>
              <w:spacing w:before="270" w:beforeAutospacing="off" w:after="270" w:afterAutospacing="off"/>
              <w:jc w:val="both"/>
            </w:pPr>
            <w:r w:rsidRPr="15B3019A" w:rsidR="2030C3E2">
              <w:rPr>
                <w:rFonts w:ascii="Helvetica Neue" w:hAnsi="Helvetica Neue" w:eastAsia="Helvetica Neue" w:cs="Helvetica Neue"/>
                <w:i w:val="0"/>
                <w:iCs w:val="0"/>
                <w:noProof w:val="0"/>
                <w:sz w:val="19"/>
                <w:szCs w:val="19"/>
                <w:lang w:val="en-GB"/>
              </w:rPr>
              <w:t xml:space="preserve">As the research will primarily use secondary sources, the study will not require a conventional participant sample. Instead, a structured source-selection framework will be used to </w:t>
            </w:r>
            <w:r w:rsidRPr="15B3019A" w:rsidR="2030C3E2">
              <w:rPr>
                <w:rFonts w:ascii="Helvetica Neue" w:hAnsi="Helvetica Neue" w:eastAsia="Helvetica Neue" w:cs="Helvetica Neue"/>
                <w:i w:val="0"/>
                <w:iCs w:val="0"/>
                <w:noProof w:val="0"/>
                <w:sz w:val="19"/>
                <w:szCs w:val="19"/>
                <w:lang w:val="en-GB"/>
              </w:rPr>
              <w:t>identify</w:t>
            </w:r>
            <w:r w:rsidRPr="15B3019A" w:rsidR="2030C3E2">
              <w:rPr>
                <w:rFonts w:ascii="Helvetica Neue" w:hAnsi="Helvetica Neue" w:eastAsia="Helvetica Neue" w:cs="Helvetica Neue"/>
                <w:i w:val="0"/>
                <w:iCs w:val="0"/>
                <w:noProof w:val="0"/>
                <w:sz w:val="19"/>
                <w:szCs w:val="19"/>
                <w:lang w:val="en-GB"/>
              </w:rPr>
              <w:t xml:space="preserve"> relevant academic, legal, </w:t>
            </w:r>
            <w:r w:rsidRPr="15B3019A" w:rsidR="2030C3E2">
              <w:rPr>
                <w:rFonts w:ascii="Helvetica Neue" w:hAnsi="Helvetica Neue" w:eastAsia="Helvetica Neue" w:cs="Helvetica Neue"/>
                <w:i w:val="0"/>
                <w:iCs w:val="0"/>
                <w:noProof w:val="0"/>
                <w:sz w:val="19"/>
                <w:szCs w:val="19"/>
                <w:lang w:val="en-GB"/>
              </w:rPr>
              <w:t>governmental</w:t>
            </w:r>
            <w:r w:rsidRPr="15B3019A" w:rsidR="2030C3E2">
              <w:rPr>
                <w:rFonts w:ascii="Helvetica Neue" w:hAnsi="Helvetica Neue" w:eastAsia="Helvetica Neue" w:cs="Helvetica Neue"/>
                <w:i w:val="0"/>
                <w:iCs w:val="0"/>
                <w:noProof w:val="0"/>
                <w:sz w:val="19"/>
                <w:szCs w:val="19"/>
                <w:lang w:val="en-GB"/>
              </w:rPr>
              <w:t xml:space="preserve"> and policing evidence. Academic sources will include peer-reviewed research and </w:t>
            </w:r>
            <w:r w:rsidRPr="15B3019A" w:rsidR="2030C3E2">
              <w:rPr>
                <w:rFonts w:ascii="Helvetica Neue" w:hAnsi="Helvetica Neue" w:eastAsia="Helvetica Neue" w:cs="Helvetica Neue"/>
                <w:i w:val="0"/>
                <w:iCs w:val="0"/>
                <w:noProof w:val="0"/>
                <w:sz w:val="19"/>
                <w:szCs w:val="19"/>
                <w:lang w:val="en-GB"/>
              </w:rPr>
              <w:t>established</w:t>
            </w:r>
            <w:r w:rsidRPr="15B3019A" w:rsidR="2030C3E2">
              <w:rPr>
                <w:rFonts w:ascii="Helvetica Neue" w:hAnsi="Helvetica Neue" w:eastAsia="Helvetica Neue" w:cs="Helvetica Neue"/>
                <w:i w:val="0"/>
                <w:iCs w:val="0"/>
                <w:noProof w:val="0"/>
                <w:sz w:val="19"/>
                <w:szCs w:val="19"/>
                <w:lang w:val="en-GB"/>
              </w:rPr>
              <w:t xml:space="preserve"> criminological literature concerning domestic abuse, coercive control, policing, </w:t>
            </w:r>
            <w:r w:rsidRPr="15B3019A" w:rsidR="2030C3E2">
              <w:rPr>
                <w:rFonts w:ascii="Helvetica Neue" w:hAnsi="Helvetica Neue" w:eastAsia="Helvetica Neue" w:cs="Helvetica Neue"/>
                <w:i w:val="0"/>
                <w:iCs w:val="0"/>
                <w:noProof w:val="0"/>
                <w:sz w:val="19"/>
                <w:szCs w:val="19"/>
                <w:lang w:val="en-GB"/>
              </w:rPr>
              <w:t>victimisation</w:t>
            </w:r>
            <w:r w:rsidRPr="15B3019A" w:rsidR="2030C3E2">
              <w:rPr>
                <w:rFonts w:ascii="Helvetica Neue" w:hAnsi="Helvetica Neue" w:eastAsia="Helvetica Neue" w:cs="Helvetica Neue"/>
                <w:i w:val="0"/>
                <w:iCs w:val="0"/>
                <w:noProof w:val="0"/>
                <w:sz w:val="19"/>
                <w:szCs w:val="19"/>
                <w:lang w:val="en-GB"/>
              </w:rPr>
              <w:t xml:space="preserve"> and criminal justice responses. Government and official sources will include relevant legislation, Home Office publications, Office for National Statistics </w:t>
            </w:r>
            <w:r w:rsidRPr="15B3019A" w:rsidR="2030C3E2">
              <w:rPr>
                <w:rFonts w:ascii="Helvetica Neue" w:hAnsi="Helvetica Neue" w:eastAsia="Helvetica Neue" w:cs="Helvetica Neue"/>
                <w:i w:val="0"/>
                <w:iCs w:val="0"/>
                <w:noProof w:val="0"/>
                <w:sz w:val="19"/>
                <w:szCs w:val="19"/>
                <w:lang w:val="en-GB"/>
              </w:rPr>
              <w:t>data</w:t>
            </w:r>
            <w:r w:rsidRPr="15B3019A" w:rsidR="2030C3E2">
              <w:rPr>
                <w:rFonts w:ascii="Helvetica Neue" w:hAnsi="Helvetica Neue" w:eastAsia="Helvetica Neue" w:cs="Helvetica Neue"/>
                <w:i w:val="0"/>
                <w:iCs w:val="0"/>
                <w:noProof w:val="0"/>
                <w:sz w:val="19"/>
                <w:szCs w:val="19"/>
                <w:lang w:val="en-GB"/>
              </w:rPr>
              <w:t xml:space="preserve"> and </w:t>
            </w:r>
            <w:r w:rsidRPr="15B3019A" w:rsidR="2030C3E2">
              <w:rPr>
                <w:rFonts w:ascii="Helvetica Neue" w:hAnsi="Helvetica Neue" w:eastAsia="Helvetica Neue" w:cs="Helvetica Neue"/>
                <w:i w:val="0"/>
                <w:iCs w:val="0"/>
                <w:noProof w:val="0"/>
                <w:sz w:val="19"/>
                <w:szCs w:val="19"/>
                <w:lang w:val="en-GB"/>
              </w:rPr>
              <w:t>appropriate policing</w:t>
            </w:r>
            <w:r w:rsidRPr="15B3019A" w:rsidR="2030C3E2">
              <w:rPr>
                <w:rFonts w:ascii="Helvetica Neue" w:hAnsi="Helvetica Neue" w:eastAsia="Helvetica Neue" w:cs="Helvetica Neue"/>
                <w:i w:val="0"/>
                <w:iCs w:val="0"/>
                <w:noProof w:val="0"/>
                <w:sz w:val="19"/>
                <w:szCs w:val="19"/>
                <w:lang w:val="en-GB"/>
              </w:rPr>
              <w:t xml:space="preserve"> guidance. The research will focus specifically on </w:t>
            </w:r>
            <w:r w:rsidRPr="15B3019A" w:rsidR="2030C3E2">
              <w:rPr>
                <w:rFonts w:ascii="Helvetica Neue" w:hAnsi="Helvetica Neue" w:eastAsia="Helvetica Neue" w:cs="Helvetica Neue"/>
                <w:b w:val="1"/>
                <w:bCs w:val="1"/>
                <w:i w:val="0"/>
                <w:iCs w:val="0"/>
                <w:noProof w:val="0"/>
                <w:sz w:val="19"/>
                <w:szCs w:val="19"/>
                <w:lang w:val="en-GB"/>
              </w:rPr>
              <w:t>England and Wales</w:t>
            </w:r>
            <w:r w:rsidRPr="15B3019A" w:rsidR="2030C3E2">
              <w:rPr>
                <w:rFonts w:ascii="Helvetica Neue" w:hAnsi="Helvetica Neue" w:eastAsia="Helvetica Neue" w:cs="Helvetica Neue"/>
                <w:i w:val="0"/>
                <w:iCs w:val="0"/>
                <w:noProof w:val="0"/>
                <w:sz w:val="19"/>
                <w:szCs w:val="19"/>
                <w:lang w:val="en-GB"/>
              </w:rPr>
              <w:t xml:space="preserve"> to ensure that the legal and policing framework </w:t>
            </w:r>
            <w:r w:rsidRPr="15B3019A" w:rsidR="2030C3E2">
              <w:rPr>
                <w:rFonts w:ascii="Helvetica Neue" w:hAnsi="Helvetica Neue" w:eastAsia="Helvetica Neue" w:cs="Helvetica Neue"/>
                <w:i w:val="0"/>
                <w:iCs w:val="0"/>
                <w:noProof w:val="0"/>
                <w:sz w:val="19"/>
                <w:szCs w:val="19"/>
                <w:lang w:val="en-GB"/>
              </w:rPr>
              <w:t>remains</w:t>
            </w:r>
            <w:r w:rsidRPr="15B3019A" w:rsidR="2030C3E2">
              <w:rPr>
                <w:rFonts w:ascii="Helvetica Neue" w:hAnsi="Helvetica Neue" w:eastAsia="Helvetica Neue" w:cs="Helvetica Neue"/>
                <w:i w:val="0"/>
                <w:iCs w:val="0"/>
                <w:noProof w:val="0"/>
                <w:sz w:val="19"/>
                <w:szCs w:val="19"/>
                <w:lang w:val="en-GB"/>
              </w:rPr>
              <w:t xml:space="preserve"> sufficiently focused. Evidence relating exclusively to other </w:t>
            </w:r>
            <w:r w:rsidRPr="15B3019A" w:rsidR="2030C3E2">
              <w:rPr>
                <w:rFonts w:ascii="Helvetica Neue" w:hAnsi="Helvetica Neue" w:eastAsia="Helvetica Neue" w:cs="Helvetica Neue"/>
                <w:i w:val="0"/>
                <w:iCs w:val="0"/>
                <w:noProof w:val="0"/>
                <w:sz w:val="19"/>
                <w:szCs w:val="19"/>
                <w:lang w:val="en-GB"/>
              </w:rPr>
              <w:t>jurisdictions</w:t>
            </w:r>
            <w:r w:rsidRPr="15B3019A" w:rsidR="2030C3E2">
              <w:rPr>
                <w:rFonts w:ascii="Helvetica Neue" w:hAnsi="Helvetica Neue" w:eastAsia="Helvetica Neue" w:cs="Helvetica Neue"/>
                <w:i w:val="0"/>
                <w:iCs w:val="0"/>
                <w:noProof w:val="0"/>
                <w:sz w:val="19"/>
                <w:szCs w:val="19"/>
                <w:lang w:val="en-GB"/>
              </w:rPr>
              <w:t xml:space="preserve"> will not be treated as directly representative of England and Wales, although relevant international research may be used where it provides useful theoretical or comparative context. The research will prioritise recent evidence where </w:t>
            </w:r>
            <w:r w:rsidRPr="15B3019A" w:rsidR="2030C3E2">
              <w:rPr>
                <w:rFonts w:ascii="Helvetica Neue" w:hAnsi="Helvetica Neue" w:eastAsia="Helvetica Neue" w:cs="Helvetica Neue"/>
                <w:i w:val="0"/>
                <w:iCs w:val="0"/>
                <w:noProof w:val="0"/>
                <w:sz w:val="19"/>
                <w:szCs w:val="19"/>
                <w:lang w:val="en-GB"/>
              </w:rPr>
              <w:t>appropriate</w:t>
            </w:r>
            <w:r w:rsidRPr="15B3019A" w:rsidR="2030C3E2">
              <w:rPr>
                <w:rFonts w:ascii="Helvetica Neue" w:hAnsi="Helvetica Neue" w:eastAsia="Helvetica Neue" w:cs="Helvetica Neue"/>
                <w:i w:val="0"/>
                <w:iCs w:val="0"/>
                <w:noProof w:val="0"/>
                <w:sz w:val="19"/>
                <w:szCs w:val="19"/>
                <w:lang w:val="en-GB"/>
              </w:rPr>
              <w:t xml:space="preserve">, while also using significant earlier theoretical literature, such as Stark’s (2007) work on coercive control and foundational theories of domestic abuse. Sources will be selected according to their relevance to the research question, </w:t>
            </w:r>
            <w:r w:rsidRPr="15B3019A" w:rsidR="2030C3E2">
              <w:rPr>
                <w:rFonts w:ascii="Helvetica Neue" w:hAnsi="Helvetica Neue" w:eastAsia="Helvetica Neue" w:cs="Helvetica Neue"/>
                <w:i w:val="0"/>
                <w:iCs w:val="0"/>
                <w:noProof w:val="0"/>
                <w:sz w:val="19"/>
                <w:szCs w:val="19"/>
                <w:lang w:val="en-GB"/>
              </w:rPr>
              <w:t>credibility</w:t>
            </w:r>
            <w:r w:rsidRPr="15B3019A" w:rsidR="2030C3E2">
              <w:rPr>
                <w:rFonts w:ascii="Helvetica Neue" w:hAnsi="Helvetica Neue" w:eastAsia="Helvetica Neue" w:cs="Helvetica Neue"/>
                <w:i w:val="0"/>
                <w:iCs w:val="0"/>
                <w:noProof w:val="0"/>
                <w:sz w:val="19"/>
                <w:szCs w:val="19"/>
                <w:lang w:val="en-GB"/>
              </w:rPr>
              <w:t xml:space="preserve"> and contribution to understanding police effectiveness. The research will consider evidence relating to physical, </w:t>
            </w:r>
            <w:r w:rsidRPr="15B3019A" w:rsidR="2030C3E2">
              <w:rPr>
                <w:rFonts w:ascii="Helvetica Neue" w:hAnsi="Helvetica Neue" w:eastAsia="Helvetica Neue" w:cs="Helvetica Neue"/>
                <w:i w:val="0"/>
                <w:iCs w:val="0"/>
                <w:noProof w:val="0"/>
                <w:sz w:val="19"/>
                <w:szCs w:val="19"/>
                <w:lang w:val="en-GB"/>
              </w:rPr>
              <w:t>psychological</w:t>
            </w:r>
            <w:r w:rsidRPr="15B3019A" w:rsidR="2030C3E2">
              <w:rPr>
                <w:rFonts w:ascii="Helvetica Neue" w:hAnsi="Helvetica Neue" w:eastAsia="Helvetica Neue" w:cs="Helvetica Neue"/>
                <w:i w:val="0"/>
                <w:iCs w:val="0"/>
                <w:noProof w:val="0"/>
                <w:sz w:val="19"/>
                <w:szCs w:val="19"/>
                <w:lang w:val="en-GB"/>
              </w:rPr>
              <w:t xml:space="preserve"> and economic abuse, particularly where these forms of abuse occur within patterns of coercive and controlling behaviour.</w:t>
            </w:r>
          </w:p>
        </w:tc>
      </w:tr>
      <w:tr w:rsidR="15B3019A" w:rsidTr="15B3019A" w14:paraId="26AFB3EF">
        <w:trPr>
          <w:trHeight w:val="1830"/>
        </w:trPr>
        <w:tc>
          <w:tcPr>
            <w:tcW w:w="10230" w:type="dxa"/>
            <w:gridSpan w:val="2"/>
            <w:tcBorders>
              <w:top w:val="single" w:sz="6"/>
              <w:left w:val="single" w:sz="6"/>
              <w:bottom w:val="single" w:sz="6"/>
              <w:right w:val="single" w:sz="6"/>
            </w:tcBorders>
            <w:tcMar>
              <w:left w:w="90" w:type="dxa"/>
              <w:right w:w="90" w:type="dxa"/>
            </w:tcMar>
            <w:vAlign w:val="center"/>
          </w:tcPr>
          <w:p w:rsidR="15B3019A" w:rsidP="15B3019A" w:rsidRDefault="15B3019A" w14:paraId="709621CA" w14:textId="53F124DA">
            <w:pPr>
              <w:jc w:val="both"/>
              <w:rPr>
                <w:rFonts w:ascii="Calibri" w:hAnsi="Calibri" w:eastAsia="Calibri" w:cs="Calibri"/>
                <w:sz w:val="22"/>
                <w:szCs w:val="22"/>
              </w:rPr>
            </w:pPr>
            <w:r w:rsidRPr="15B3019A" w:rsidR="15B3019A">
              <w:rPr>
                <w:rFonts w:ascii="Calibri" w:hAnsi="Calibri" w:eastAsia="Calibri" w:cs="Calibri"/>
                <w:b w:val="1"/>
                <w:bCs w:val="1"/>
                <w:sz w:val="22"/>
                <w:szCs w:val="22"/>
                <w:lang w:val="en-GB"/>
              </w:rPr>
              <w:t>INITIAL REFERENCE LIST:</w:t>
            </w:r>
          </w:p>
          <w:p w:rsidR="15B3019A" w:rsidP="15B3019A" w:rsidRDefault="15B3019A" w14:paraId="41DF887B" w14:textId="178054AE">
            <w:pPr>
              <w:jc w:val="both"/>
              <w:rPr>
                <w:rFonts w:ascii="Calibri" w:hAnsi="Calibri" w:eastAsia="Calibri" w:cs="Calibri"/>
                <w:color w:val="000000" w:themeColor="text1" w:themeTint="FF" w:themeShade="FF"/>
                <w:sz w:val="22"/>
                <w:szCs w:val="22"/>
              </w:rPr>
            </w:pPr>
            <w:r w:rsidRPr="15B3019A" w:rsidR="15B3019A">
              <w:rPr>
                <w:rFonts w:ascii="Calibri" w:hAnsi="Calibri" w:eastAsia="Calibri" w:cs="Calibri"/>
                <w:color w:val="000000" w:themeColor="text1" w:themeTint="FF" w:themeShade="FF"/>
                <w:sz w:val="22"/>
                <w:szCs w:val="22"/>
                <w:lang w:val="en-GB"/>
              </w:rPr>
              <w:t xml:space="preserve">Bandura, A. (1977) </w:t>
            </w:r>
            <w:r w:rsidRPr="15B3019A" w:rsidR="15B3019A">
              <w:rPr>
                <w:rFonts w:ascii="Calibri" w:hAnsi="Calibri" w:eastAsia="Calibri" w:cs="Calibri"/>
                <w:i w:val="1"/>
                <w:iCs w:val="1"/>
                <w:color w:val="000000" w:themeColor="text1" w:themeTint="FF" w:themeShade="FF"/>
                <w:sz w:val="22"/>
                <w:szCs w:val="22"/>
                <w:lang w:val="en-GB"/>
              </w:rPr>
              <w:t>Social learning theory</w:t>
            </w:r>
            <w:r w:rsidRPr="15B3019A" w:rsidR="15B3019A">
              <w:rPr>
                <w:rFonts w:ascii="Calibri" w:hAnsi="Calibri" w:eastAsia="Calibri" w:cs="Calibri"/>
                <w:color w:val="000000" w:themeColor="text1" w:themeTint="FF" w:themeShade="FF"/>
                <w:sz w:val="22"/>
                <w:szCs w:val="22"/>
                <w:lang w:val="en-GB"/>
              </w:rPr>
              <w:t>. Englewood Cliffs, NJ: Prentice Hall.</w:t>
            </w:r>
            <w:r>
              <w:br/>
            </w:r>
            <w:r w:rsidRPr="15B3019A" w:rsidR="15B3019A">
              <w:rPr>
                <w:rFonts w:ascii="Calibri" w:hAnsi="Calibri" w:eastAsia="Calibri" w:cs="Calibri"/>
                <w:color w:val="000000" w:themeColor="text1" w:themeTint="FF" w:themeShade="FF"/>
                <w:sz w:val="22"/>
                <w:szCs w:val="22"/>
                <w:lang w:val="en-GB"/>
              </w:rPr>
              <w:t xml:space="preserve">Dobash, R.E. and Dobash, R.P. (1979) </w:t>
            </w:r>
            <w:r w:rsidRPr="15B3019A" w:rsidR="15B3019A">
              <w:rPr>
                <w:rFonts w:ascii="Calibri" w:hAnsi="Calibri" w:eastAsia="Calibri" w:cs="Calibri"/>
                <w:i w:val="1"/>
                <w:iCs w:val="1"/>
                <w:color w:val="000000" w:themeColor="text1" w:themeTint="FF" w:themeShade="FF"/>
                <w:sz w:val="22"/>
                <w:szCs w:val="22"/>
                <w:lang w:val="en-GB"/>
              </w:rPr>
              <w:t>Violence against wives: A case against the patriarchy</w:t>
            </w:r>
            <w:r w:rsidRPr="15B3019A" w:rsidR="15B3019A">
              <w:rPr>
                <w:rFonts w:ascii="Calibri" w:hAnsi="Calibri" w:eastAsia="Calibri" w:cs="Calibri"/>
                <w:color w:val="000000" w:themeColor="text1" w:themeTint="FF" w:themeShade="FF"/>
                <w:sz w:val="22"/>
                <w:szCs w:val="22"/>
                <w:lang w:val="en-GB"/>
              </w:rPr>
              <w:t>. New York: Free Press.</w:t>
            </w:r>
            <w:r>
              <w:br/>
            </w:r>
            <w:r w:rsidRPr="15B3019A" w:rsidR="15B3019A">
              <w:rPr>
                <w:rFonts w:ascii="Calibri" w:hAnsi="Calibri" w:eastAsia="Calibri" w:cs="Calibri"/>
                <w:color w:val="000000" w:themeColor="text1" w:themeTint="FF" w:themeShade="FF"/>
                <w:sz w:val="22"/>
                <w:szCs w:val="22"/>
                <w:lang w:val="en-GB"/>
              </w:rPr>
              <w:t xml:space="preserve">Great Britain (2015) </w:t>
            </w:r>
            <w:r w:rsidRPr="15B3019A" w:rsidR="15B3019A">
              <w:rPr>
                <w:rFonts w:ascii="Calibri" w:hAnsi="Calibri" w:eastAsia="Calibri" w:cs="Calibri"/>
                <w:i w:val="1"/>
                <w:iCs w:val="1"/>
                <w:color w:val="000000" w:themeColor="text1" w:themeTint="FF" w:themeShade="FF"/>
                <w:sz w:val="22"/>
                <w:szCs w:val="22"/>
                <w:lang w:val="en-GB"/>
              </w:rPr>
              <w:t>Serious Crime Act 2015</w:t>
            </w:r>
            <w:r w:rsidRPr="15B3019A" w:rsidR="15B3019A">
              <w:rPr>
                <w:rFonts w:ascii="Calibri" w:hAnsi="Calibri" w:eastAsia="Calibri" w:cs="Calibri"/>
                <w:color w:val="000000" w:themeColor="text1" w:themeTint="FF" w:themeShade="FF"/>
                <w:sz w:val="22"/>
                <w:szCs w:val="22"/>
                <w:lang w:val="en-GB"/>
              </w:rPr>
              <w:t>. London: The Stationery Office.</w:t>
            </w:r>
            <w:r>
              <w:br/>
            </w:r>
            <w:r w:rsidRPr="15B3019A" w:rsidR="15B3019A">
              <w:rPr>
                <w:rFonts w:ascii="Calibri" w:hAnsi="Calibri" w:eastAsia="Calibri" w:cs="Calibri"/>
                <w:color w:val="000000" w:themeColor="text1" w:themeTint="FF" w:themeShade="FF"/>
                <w:sz w:val="22"/>
                <w:szCs w:val="22"/>
                <w:lang w:val="en-GB"/>
              </w:rPr>
              <w:t xml:space="preserve">Great Britain (2021) </w:t>
            </w:r>
            <w:r w:rsidRPr="15B3019A" w:rsidR="15B3019A">
              <w:rPr>
                <w:rFonts w:ascii="Calibri" w:hAnsi="Calibri" w:eastAsia="Calibri" w:cs="Calibri"/>
                <w:i w:val="1"/>
                <w:iCs w:val="1"/>
                <w:color w:val="000000" w:themeColor="text1" w:themeTint="FF" w:themeShade="FF"/>
                <w:sz w:val="22"/>
                <w:szCs w:val="22"/>
                <w:lang w:val="en-GB"/>
              </w:rPr>
              <w:t>Domestic Abuse Act 2021</w:t>
            </w:r>
            <w:r w:rsidRPr="15B3019A" w:rsidR="15B3019A">
              <w:rPr>
                <w:rFonts w:ascii="Calibri" w:hAnsi="Calibri" w:eastAsia="Calibri" w:cs="Calibri"/>
                <w:color w:val="000000" w:themeColor="text1" w:themeTint="FF" w:themeShade="FF"/>
                <w:sz w:val="22"/>
                <w:szCs w:val="22"/>
                <w:lang w:val="en-GB"/>
              </w:rPr>
              <w:t>. London: The Stationery Office.</w:t>
            </w:r>
            <w:r>
              <w:br/>
            </w:r>
            <w:r w:rsidRPr="15B3019A" w:rsidR="15B3019A">
              <w:rPr>
                <w:rFonts w:ascii="Calibri" w:hAnsi="Calibri" w:eastAsia="Calibri" w:cs="Calibri"/>
                <w:color w:val="000000" w:themeColor="text1" w:themeTint="FF" w:themeShade="FF"/>
                <w:sz w:val="22"/>
                <w:szCs w:val="22"/>
                <w:lang w:val="en-GB"/>
              </w:rPr>
              <w:t xml:space="preserve">Office for National Statistics (2023) </w:t>
            </w:r>
            <w:r w:rsidRPr="15B3019A" w:rsidR="15B3019A">
              <w:rPr>
                <w:rFonts w:ascii="Calibri" w:hAnsi="Calibri" w:eastAsia="Calibri" w:cs="Calibri"/>
                <w:i w:val="1"/>
                <w:iCs w:val="1"/>
                <w:color w:val="000000" w:themeColor="text1" w:themeTint="FF" w:themeShade="FF"/>
                <w:sz w:val="22"/>
                <w:szCs w:val="22"/>
                <w:lang w:val="en-GB"/>
              </w:rPr>
              <w:t>Domestic abuse in England and Wales overview</w:t>
            </w:r>
            <w:r w:rsidRPr="15B3019A" w:rsidR="15B3019A">
              <w:rPr>
                <w:rFonts w:ascii="Calibri" w:hAnsi="Calibri" w:eastAsia="Calibri" w:cs="Calibri"/>
                <w:color w:val="000000" w:themeColor="text1" w:themeTint="FF" w:themeShade="FF"/>
                <w:sz w:val="22"/>
                <w:szCs w:val="22"/>
                <w:lang w:val="en-GB"/>
              </w:rPr>
              <w:t xml:space="preserve">. Available at: </w:t>
            </w:r>
            <w:hyperlink r:id="R79f0e6216a6c4698">
              <w:r w:rsidRPr="15B3019A" w:rsidR="15B3019A">
                <w:rPr>
                  <w:rStyle w:val="Hyperlink"/>
                  <w:strike w:val="0"/>
                  <w:dstrike w:val="0"/>
                  <w:lang w:val="en-GB"/>
                </w:rPr>
                <w:t>https://www.ons.gov.uk</w:t>
              </w:r>
            </w:hyperlink>
            <w:r>
              <w:br/>
            </w:r>
            <w:r w:rsidRPr="15B3019A" w:rsidR="15B3019A">
              <w:rPr>
                <w:rFonts w:ascii="Calibri" w:hAnsi="Calibri" w:eastAsia="Calibri" w:cs="Calibri"/>
                <w:color w:val="000000" w:themeColor="text1" w:themeTint="FF" w:themeShade="FF"/>
                <w:sz w:val="22"/>
                <w:szCs w:val="22"/>
                <w:lang w:val="en-GB"/>
              </w:rPr>
              <w:t xml:space="preserve">Pence, E. and Paymar, M. (1993) </w:t>
            </w:r>
            <w:r w:rsidRPr="15B3019A" w:rsidR="15B3019A">
              <w:rPr>
                <w:rFonts w:ascii="Calibri" w:hAnsi="Calibri" w:eastAsia="Calibri" w:cs="Calibri"/>
                <w:i w:val="1"/>
                <w:iCs w:val="1"/>
                <w:color w:val="000000" w:themeColor="text1" w:themeTint="FF" w:themeShade="FF"/>
                <w:sz w:val="22"/>
                <w:szCs w:val="22"/>
                <w:lang w:val="en-GB"/>
              </w:rPr>
              <w:t>Education groups for men who batter: The Duluth model</w:t>
            </w:r>
            <w:r w:rsidRPr="15B3019A" w:rsidR="15B3019A">
              <w:rPr>
                <w:rFonts w:ascii="Calibri" w:hAnsi="Calibri" w:eastAsia="Calibri" w:cs="Calibri"/>
                <w:color w:val="000000" w:themeColor="text1" w:themeTint="FF" w:themeShade="FF"/>
                <w:sz w:val="22"/>
                <w:szCs w:val="22"/>
                <w:lang w:val="en-GB"/>
              </w:rPr>
              <w:t>. New York: Springer.</w:t>
            </w:r>
            <w:r>
              <w:br/>
            </w:r>
            <w:r w:rsidRPr="15B3019A" w:rsidR="15B3019A">
              <w:rPr>
                <w:rFonts w:ascii="Calibri" w:hAnsi="Calibri" w:eastAsia="Calibri" w:cs="Calibri"/>
                <w:color w:val="000000" w:themeColor="text1" w:themeTint="FF" w:themeShade="FF"/>
                <w:sz w:val="22"/>
                <w:szCs w:val="22"/>
                <w:lang w:val="en-GB"/>
              </w:rPr>
              <w:t xml:space="preserve">Stark, E. (2007) </w:t>
            </w:r>
            <w:r w:rsidRPr="15B3019A" w:rsidR="15B3019A">
              <w:rPr>
                <w:rFonts w:ascii="Calibri" w:hAnsi="Calibri" w:eastAsia="Calibri" w:cs="Calibri"/>
                <w:i w:val="1"/>
                <w:iCs w:val="1"/>
                <w:color w:val="000000" w:themeColor="text1" w:themeTint="FF" w:themeShade="FF"/>
                <w:sz w:val="22"/>
                <w:szCs w:val="22"/>
                <w:lang w:val="en-GB"/>
              </w:rPr>
              <w:t>Coercive control: How men entrap women in personal life</w:t>
            </w:r>
            <w:r w:rsidRPr="15B3019A" w:rsidR="15B3019A">
              <w:rPr>
                <w:rFonts w:ascii="Calibri" w:hAnsi="Calibri" w:eastAsia="Calibri" w:cs="Calibri"/>
                <w:color w:val="000000" w:themeColor="text1" w:themeTint="FF" w:themeShade="FF"/>
                <w:sz w:val="22"/>
                <w:szCs w:val="22"/>
                <w:lang w:val="en-GB"/>
              </w:rPr>
              <w:t>. New York: Oxford University Press.</w:t>
            </w:r>
            <w:r>
              <w:br/>
            </w:r>
            <w:r w:rsidRPr="15B3019A" w:rsidR="15B3019A">
              <w:rPr>
                <w:rFonts w:ascii="Calibri" w:hAnsi="Calibri" w:eastAsia="Calibri" w:cs="Calibri"/>
                <w:color w:val="000000" w:themeColor="text1" w:themeTint="FF" w:themeShade="FF"/>
                <w:sz w:val="22"/>
                <w:szCs w:val="22"/>
                <w:lang w:val="en-GB"/>
              </w:rPr>
              <w:t xml:space="preserve">Walby, S. and Towers, J. (2018) ‘Untangling the concept of coercive control: Theorising domestic violent crime’, </w:t>
            </w:r>
            <w:r w:rsidRPr="15B3019A" w:rsidR="15B3019A">
              <w:rPr>
                <w:rFonts w:ascii="Calibri" w:hAnsi="Calibri" w:eastAsia="Calibri" w:cs="Calibri"/>
                <w:i w:val="1"/>
                <w:iCs w:val="1"/>
                <w:color w:val="000000" w:themeColor="text1" w:themeTint="FF" w:themeShade="FF"/>
                <w:sz w:val="22"/>
                <w:szCs w:val="22"/>
                <w:lang w:val="en-GB"/>
              </w:rPr>
              <w:t>Criminology &amp; Criminal Justice</w:t>
            </w:r>
            <w:r w:rsidRPr="15B3019A" w:rsidR="15B3019A">
              <w:rPr>
                <w:rFonts w:ascii="Calibri" w:hAnsi="Calibri" w:eastAsia="Calibri" w:cs="Calibri"/>
                <w:color w:val="000000" w:themeColor="text1" w:themeTint="FF" w:themeShade="FF"/>
                <w:sz w:val="22"/>
                <w:szCs w:val="22"/>
                <w:lang w:val="en-GB"/>
              </w:rPr>
              <w:t>, 18(1), pp. 7–28.</w:t>
            </w:r>
            <w:r>
              <w:br/>
            </w:r>
            <w:r w:rsidRPr="15B3019A" w:rsidR="15B3019A">
              <w:rPr>
                <w:rFonts w:ascii="Calibri" w:hAnsi="Calibri" w:eastAsia="Calibri" w:cs="Calibri"/>
                <w:color w:val="000000" w:themeColor="text1" w:themeTint="FF" w:themeShade="FF"/>
                <w:sz w:val="22"/>
                <w:szCs w:val="22"/>
                <w:lang w:val="en-GB"/>
              </w:rPr>
              <w:t xml:space="preserve">Walker, L.E. (1979) </w:t>
            </w:r>
            <w:r w:rsidRPr="15B3019A" w:rsidR="15B3019A">
              <w:rPr>
                <w:rFonts w:ascii="Calibri" w:hAnsi="Calibri" w:eastAsia="Calibri" w:cs="Calibri"/>
                <w:i w:val="1"/>
                <w:iCs w:val="1"/>
                <w:color w:val="000000" w:themeColor="text1" w:themeTint="FF" w:themeShade="FF"/>
                <w:sz w:val="22"/>
                <w:szCs w:val="22"/>
                <w:lang w:val="en-GB"/>
              </w:rPr>
              <w:t>The battered woman</w:t>
            </w:r>
            <w:r w:rsidRPr="15B3019A" w:rsidR="15B3019A">
              <w:rPr>
                <w:rFonts w:ascii="Calibri" w:hAnsi="Calibri" w:eastAsia="Calibri" w:cs="Calibri"/>
                <w:color w:val="000000" w:themeColor="text1" w:themeTint="FF" w:themeShade="FF"/>
                <w:sz w:val="22"/>
                <w:szCs w:val="22"/>
                <w:lang w:val="en-GB"/>
              </w:rPr>
              <w:t>. New York: Harper &amp; Row.</w:t>
            </w:r>
          </w:p>
          <w:p w:rsidR="15B3019A" w:rsidP="15B3019A" w:rsidRDefault="15B3019A" w14:paraId="4F35D9F3" w14:textId="2393DAB4">
            <w:pPr>
              <w:spacing w:before="195" w:beforeAutospacing="off" w:after="195" w:afterAutospacing="off"/>
              <w:jc w:val="both"/>
              <w:rPr>
                <w:rFonts w:ascii="Helvetica Neue" w:hAnsi="Helvetica Neue" w:eastAsia="Helvetica Neue" w:cs="Helvetica Neue"/>
                <w:sz w:val="19"/>
                <w:szCs w:val="19"/>
              </w:rPr>
            </w:pPr>
            <w:r w:rsidRPr="15B3019A" w:rsidR="15B3019A">
              <w:rPr>
                <w:rFonts w:ascii="Helvetica Neue" w:hAnsi="Helvetica Neue" w:eastAsia="Helvetica Neue" w:cs="Helvetica Neue"/>
                <w:sz w:val="19"/>
                <w:szCs w:val="19"/>
                <w:lang w:val="en-GB"/>
              </w:rPr>
              <w:t xml:space="preserve">Bryman, A. (2016) </w:t>
            </w:r>
            <w:r w:rsidRPr="15B3019A" w:rsidR="15B3019A">
              <w:rPr>
                <w:rFonts w:ascii="Helvetica Neue" w:hAnsi="Helvetica Neue" w:eastAsia="Helvetica Neue" w:cs="Helvetica Neue"/>
                <w:i w:val="1"/>
                <w:iCs w:val="1"/>
                <w:sz w:val="19"/>
                <w:szCs w:val="19"/>
                <w:lang w:val="en-GB"/>
              </w:rPr>
              <w:t>Social research methods</w:t>
            </w:r>
            <w:r w:rsidRPr="15B3019A" w:rsidR="15B3019A">
              <w:rPr>
                <w:rFonts w:ascii="Helvetica Neue" w:hAnsi="Helvetica Neue" w:eastAsia="Helvetica Neue" w:cs="Helvetica Neue"/>
                <w:sz w:val="19"/>
                <w:szCs w:val="19"/>
                <w:lang w:val="en-GB"/>
              </w:rPr>
              <w:t>. 5th edn. Oxford: Oxford University Press.</w:t>
            </w:r>
          </w:p>
          <w:p w:rsidR="15B3019A" w:rsidP="15B3019A" w:rsidRDefault="15B3019A" w14:paraId="78AA0B10" w14:textId="448D315E">
            <w:pPr>
              <w:spacing w:before="195" w:beforeAutospacing="off" w:after="195" w:afterAutospacing="off"/>
              <w:jc w:val="both"/>
              <w:rPr>
                <w:rFonts w:ascii="Helvetica Neue" w:hAnsi="Helvetica Neue" w:eastAsia="Helvetica Neue" w:cs="Helvetica Neue"/>
                <w:sz w:val="19"/>
                <w:szCs w:val="19"/>
              </w:rPr>
            </w:pPr>
            <w:r w:rsidRPr="15B3019A" w:rsidR="15B3019A">
              <w:rPr>
                <w:rFonts w:ascii="Helvetica Neue" w:hAnsi="Helvetica Neue" w:eastAsia="Helvetica Neue" w:cs="Helvetica Neue"/>
                <w:sz w:val="19"/>
                <w:szCs w:val="19"/>
                <w:lang w:val="en-GB"/>
              </w:rPr>
              <w:t xml:space="preserve">Creswell, J.W. (2014) </w:t>
            </w:r>
            <w:r w:rsidRPr="15B3019A" w:rsidR="15B3019A">
              <w:rPr>
                <w:rFonts w:ascii="Helvetica Neue" w:hAnsi="Helvetica Neue" w:eastAsia="Helvetica Neue" w:cs="Helvetica Neue"/>
                <w:i w:val="1"/>
                <w:iCs w:val="1"/>
                <w:sz w:val="19"/>
                <w:szCs w:val="19"/>
                <w:lang w:val="en-GB"/>
              </w:rPr>
              <w:t>Research design: Qualitative, quantitative, and mixed methods approaches</w:t>
            </w:r>
            <w:r w:rsidRPr="15B3019A" w:rsidR="15B3019A">
              <w:rPr>
                <w:rFonts w:ascii="Helvetica Neue" w:hAnsi="Helvetica Neue" w:eastAsia="Helvetica Neue" w:cs="Helvetica Neue"/>
                <w:sz w:val="19"/>
                <w:szCs w:val="19"/>
                <w:lang w:val="en-GB"/>
              </w:rPr>
              <w:t>. 4th edn. London: Sage.</w:t>
            </w:r>
          </w:p>
          <w:p w:rsidR="15B3019A" w:rsidP="15B3019A" w:rsidRDefault="15B3019A" w14:paraId="37E218C0" w14:textId="365AD345">
            <w:pPr>
              <w:spacing w:before="195" w:beforeAutospacing="off" w:after="195" w:afterAutospacing="off"/>
              <w:jc w:val="both"/>
              <w:rPr>
                <w:rFonts w:ascii="Helvetica Neue" w:hAnsi="Helvetica Neue" w:eastAsia="Helvetica Neue" w:cs="Helvetica Neue"/>
                <w:sz w:val="19"/>
                <w:szCs w:val="19"/>
              </w:rPr>
            </w:pPr>
            <w:r w:rsidRPr="15B3019A" w:rsidR="15B3019A">
              <w:rPr>
                <w:rFonts w:ascii="Helvetica Neue" w:hAnsi="Helvetica Neue" w:eastAsia="Helvetica Neue" w:cs="Helvetica Neue"/>
                <w:sz w:val="19"/>
                <w:szCs w:val="19"/>
                <w:lang w:val="en-GB"/>
              </w:rPr>
              <w:t xml:space="preserve">Denscombe, M. (2017) </w:t>
            </w:r>
            <w:r w:rsidRPr="15B3019A" w:rsidR="15B3019A">
              <w:rPr>
                <w:rFonts w:ascii="Helvetica Neue" w:hAnsi="Helvetica Neue" w:eastAsia="Helvetica Neue" w:cs="Helvetica Neue"/>
                <w:i w:val="1"/>
                <w:iCs w:val="1"/>
                <w:sz w:val="19"/>
                <w:szCs w:val="19"/>
                <w:lang w:val="en-GB"/>
              </w:rPr>
              <w:t>The good research guide: For small-scale social research projects</w:t>
            </w:r>
            <w:r w:rsidRPr="15B3019A" w:rsidR="15B3019A">
              <w:rPr>
                <w:rFonts w:ascii="Helvetica Neue" w:hAnsi="Helvetica Neue" w:eastAsia="Helvetica Neue" w:cs="Helvetica Neue"/>
                <w:sz w:val="19"/>
                <w:szCs w:val="19"/>
                <w:lang w:val="en-GB"/>
              </w:rPr>
              <w:t>. 6th edn. Maidenhead: Open University Press.</w:t>
            </w:r>
          </w:p>
          <w:p w:rsidR="15B3019A" w:rsidP="15B3019A" w:rsidRDefault="15B3019A" w14:paraId="7FA36D28" w14:textId="53157B7A">
            <w:pPr>
              <w:spacing w:before="195" w:beforeAutospacing="off" w:after="195" w:afterAutospacing="off"/>
              <w:jc w:val="both"/>
              <w:rPr>
                <w:rFonts w:ascii="Helvetica Neue" w:hAnsi="Helvetica Neue" w:eastAsia="Helvetica Neue" w:cs="Helvetica Neue"/>
                <w:sz w:val="19"/>
                <w:szCs w:val="19"/>
              </w:rPr>
            </w:pPr>
            <w:r w:rsidRPr="15B3019A" w:rsidR="15B3019A">
              <w:rPr>
                <w:rFonts w:ascii="Helvetica Neue" w:hAnsi="Helvetica Neue" w:eastAsia="Helvetica Neue" w:cs="Helvetica Neue"/>
                <w:sz w:val="19"/>
                <w:szCs w:val="19"/>
                <w:lang w:val="en-GB"/>
              </w:rPr>
              <w:t xml:space="preserve">Stark, E. (2007) </w:t>
            </w:r>
            <w:r w:rsidRPr="15B3019A" w:rsidR="15B3019A">
              <w:rPr>
                <w:rFonts w:ascii="Helvetica Neue" w:hAnsi="Helvetica Neue" w:eastAsia="Helvetica Neue" w:cs="Helvetica Neue"/>
                <w:i w:val="1"/>
                <w:iCs w:val="1"/>
                <w:sz w:val="19"/>
                <w:szCs w:val="19"/>
                <w:lang w:val="en-GB"/>
              </w:rPr>
              <w:t>Coercive control: How men entrap women in personal life</w:t>
            </w:r>
            <w:r w:rsidRPr="15B3019A" w:rsidR="15B3019A">
              <w:rPr>
                <w:rFonts w:ascii="Helvetica Neue" w:hAnsi="Helvetica Neue" w:eastAsia="Helvetica Neue" w:cs="Helvetica Neue"/>
                <w:sz w:val="19"/>
                <w:szCs w:val="19"/>
                <w:lang w:val="en-GB"/>
              </w:rPr>
              <w:t>. New York: Oxford University Press.</w:t>
            </w:r>
          </w:p>
          <w:p w:rsidR="15B3019A" w:rsidP="15B3019A" w:rsidRDefault="15B3019A" w14:paraId="454D5D2E" w14:textId="02ECA671">
            <w:pPr>
              <w:spacing w:before="195" w:beforeAutospacing="off" w:after="195" w:afterAutospacing="off"/>
              <w:jc w:val="both"/>
              <w:rPr>
                <w:rFonts w:ascii="Helvetica Neue" w:hAnsi="Helvetica Neue" w:eastAsia="Helvetica Neue" w:cs="Helvetica Neue"/>
                <w:sz w:val="19"/>
                <w:szCs w:val="19"/>
              </w:rPr>
            </w:pPr>
            <w:r w:rsidRPr="15B3019A" w:rsidR="15B3019A">
              <w:rPr>
                <w:rFonts w:ascii="Helvetica Neue" w:hAnsi="Helvetica Neue" w:eastAsia="Helvetica Neue" w:cs="Helvetica Neue"/>
                <w:strike w:val="0"/>
                <w:dstrike w:val="0"/>
                <w:sz w:val="19"/>
                <w:szCs w:val="19"/>
                <w:u w:val="single"/>
                <w:lang w:val="en-GB"/>
              </w:rPr>
              <w:t>Office for National Statistics</w:t>
            </w:r>
            <w:r w:rsidRPr="15B3019A" w:rsidR="15B3019A">
              <w:rPr>
                <w:rFonts w:ascii="Helvetica Neue" w:hAnsi="Helvetica Neue" w:eastAsia="Helvetica Neue" w:cs="Helvetica Neue"/>
                <w:sz w:val="19"/>
                <w:szCs w:val="19"/>
                <w:lang w:val="en-GB"/>
              </w:rPr>
              <w:t xml:space="preserve"> (2023) </w:t>
            </w:r>
            <w:r w:rsidRPr="15B3019A" w:rsidR="15B3019A">
              <w:rPr>
                <w:rFonts w:ascii="Helvetica Neue" w:hAnsi="Helvetica Neue" w:eastAsia="Helvetica Neue" w:cs="Helvetica Neue"/>
                <w:i w:val="1"/>
                <w:iCs w:val="1"/>
                <w:sz w:val="19"/>
                <w:szCs w:val="19"/>
                <w:lang w:val="en-GB"/>
              </w:rPr>
              <w:t>Domestic abuse in England and Wales overview</w:t>
            </w:r>
            <w:r w:rsidRPr="15B3019A" w:rsidR="15B3019A">
              <w:rPr>
                <w:rFonts w:ascii="Helvetica Neue" w:hAnsi="Helvetica Neue" w:eastAsia="Helvetica Neue" w:cs="Helvetica Neue"/>
                <w:sz w:val="19"/>
                <w:szCs w:val="19"/>
                <w:lang w:val="en-GB"/>
              </w:rPr>
              <w:t xml:space="preserve">. Available at: </w:t>
            </w:r>
            <w:hyperlink r:id="R11abd629184b4cc4">
              <w:r w:rsidRPr="15B3019A" w:rsidR="15B3019A">
                <w:rPr>
                  <w:rStyle w:val="Hyperlink"/>
                  <w:strike w:val="0"/>
                  <w:dstrike w:val="0"/>
                  <w:lang w:val="en-GB"/>
                </w:rPr>
                <w:t>https://www.ons.gov.uk</w:t>
              </w:r>
            </w:hyperlink>
            <w:r w:rsidRPr="15B3019A" w:rsidR="15B3019A">
              <w:rPr>
                <w:rFonts w:ascii="Helvetica Neue" w:hAnsi="Helvetica Neue" w:eastAsia="Helvetica Neue" w:cs="Helvetica Neue"/>
                <w:sz w:val="19"/>
                <w:szCs w:val="19"/>
                <w:lang w:val="en-GB"/>
              </w:rPr>
              <w:t xml:space="preserve"> (Accessed: [insert date]).</w:t>
            </w:r>
          </w:p>
        </w:tc>
      </w:tr>
    </w:tbl>
    <w:p xmlns:wp14="http://schemas.microsoft.com/office/word/2010/wordml" wp14:paraId="2C078E63" wp14:textId="66E844A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97d5f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63B98D"/>
    <w:rsid w:val="0A63B98D"/>
    <w:rsid w:val="1314B83B"/>
    <w:rsid w:val="15B3019A"/>
    <w:rsid w:val="1F1270CE"/>
    <w:rsid w:val="2030C3E2"/>
    <w:rsid w:val="353C4E4B"/>
    <w:rsid w:val="3BADED6B"/>
    <w:rsid w:val="4E698DB8"/>
    <w:rsid w:val="5D60907B"/>
    <w:rsid w:val="60B7022D"/>
    <w:rsid w:val="7248E984"/>
    <w:rsid w:val="7838CA6A"/>
    <w:rsid w:val="7838C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3B812"/>
  <w15:chartTrackingRefBased/>
  <w15:docId w15:val="{FCD10B57-5675-40E7-952C-425717AEBB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5B3019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5B3019A"/>
    <w:rPr>
      <w:color w:val="467886"/>
      <w:u w:val="single"/>
    </w:rPr>
  </w:style>
  <w:style w:type="paragraph" w:styleId="BodyText">
    <w:uiPriority w:val="99"/>
    <w:name w:val="Body Text"/>
    <w:basedOn w:val="Normal"/>
    <w:unhideWhenUsed/>
    <w:rsid w:val="15B3019A"/>
    <w:pPr>
      <w:spacing w:after="120"/>
    </w:pPr>
  </w:style>
  <w:style w:type="paragraph" w:styleId="ListParagraph">
    <w:uiPriority w:val="34"/>
    <w:name w:val="List Paragraph"/>
    <w:basedOn w:val="Normal"/>
    <w:qFormat/>
    <w:rsid w:val="15B3019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ns.gov.uk/" TargetMode="External" Id="R79f0e6216a6c4698" /><Relationship Type="http://schemas.openxmlformats.org/officeDocument/2006/relationships/hyperlink" Target="https://www.ons.gov.uk/" TargetMode="External" Id="R11abd629184b4cc4" /><Relationship Type="http://schemas.openxmlformats.org/officeDocument/2006/relationships/numbering" Target="numbering.xml" Id="R27ac0e13b30e4c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2026-10-02T15:05:51.9109192Z</dcterms:created>
  <dcterms:modified xsi:type="dcterms:W3CDTF">2026-10-02T15:14:29.3359510Z</dcterms:modified>
  <dc:creator>Tia Lewis (2306465)</dc:creator>
  <lastModifiedBy>Tia Lewis (2306465)</lastModifiedBy>
</coreProperties>
</file>