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F8655" w14:textId="77777777" w:rsidR="00461DA7" w:rsidRPr="00461DA7" w:rsidRDefault="00461DA7">
      <w:pPr>
        <w:rPr>
          <w:rFonts w:ascii="Arial" w:hAnsi="Arial" w:cs="Arial"/>
          <w:b/>
          <w:bCs/>
          <w:sz w:val="20"/>
          <w:szCs w:val="20"/>
        </w:rPr>
      </w:pPr>
      <w:bookmarkStart w:id="0" w:name="_Hlk167531090"/>
    </w:p>
    <w:p w14:paraId="24706808" w14:textId="50FC262B" w:rsidR="00461DA7" w:rsidRPr="00461DA7" w:rsidRDefault="00461DA7">
      <w:pPr>
        <w:rPr>
          <w:rFonts w:ascii="Arial" w:hAnsi="Arial" w:cs="Arial"/>
          <w:b/>
          <w:bCs/>
        </w:rPr>
      </w:pPr>
      <w:r w:rsidRPr="00461DA7">
        <w:rPr>
          <w:rFonts w:ascii="Arial" w:hAnsi="Arial" w:cs="Arial"/>
          <w:b/>
          <w:bCs/>
        </w:rPr>
        <w:t>Graduate Diploma in Policing (GDIP)</w:t>
      </w:r>
    </w:p>
    <w:p w14:paraId="4CC560B5" w14:textId="52511EA6" w:rsidR="00461DA7" w:rsidRPr="00461DA7" w:rsidRDefault="00461DA7">
      <w:pPr>
        <w:rPr>
          <w:rFonts w:ascii="Arial" w:hAnsi="Arial" w:cs="Arial"/>
          <w:b/>
          <w:bCs/>
        </w:rPr>
      </w:pPr>
      <w:r w:rsidRPr="00461DA7">
        <w:rPr>
          <w:rFonts w:ascii="Arial" w:hAnsi="Arial" w:cs="Arial"/>
          <w:b/>
          <w:bCs/>
        </w:rPr>
        <w:t>Operational Policing Practice 3</w:t>
      </w:r>
    </w:p>
    <w:p w14:paraId="5A8A860E" w14:textId="77777777" w:rsidR="00461DA7" w:rsidRPr="00461DA7" w:rsidRDefault="00461DA7">
      <w:pPr>
        <w:rPr>
          <w:rFonts w:ascii="Arial" w:hAnsi="Arial" w:cs="Arial"/>
        </w:rPr>
      </w:pPr>
    </w:p>
    <w:p w14:paraId="01ECFFB7" w14:textId="1A842253" w:rsidR="00461DA7" w:rsidRPr="00461DA7" w:rsidRDefault="00461DA7">
      <w:pPr>
        <w:rPr>
          <w:rFonts w:ascii="Arial" w:hAnsi="Arial" w:cs="Arial"/>
        </w:rPr>
      </w:pPr>
      <w:r w:rsidRPr="00461DA7">
        <w:rPr>
          <w:rFonts w:ascii="Arial" w:hAnsi="Arial" w:cs="Arial"/>
        </w:rPr>
        <w:t>Student Name: Mollie Jenkins</w:t>
      </w:r>
    </w:p>
    <w:p w14:paraId="6AD8A097" w14:textId="31CF8285" w:rsidR="00461DA7" w:rsidRPr="00461DA7" w:rsidRDefault="00461DA7">
      <w:pPr>
        <w:rPr>
          <w:rFonts w:ascii="Arial" w:hAnsi="Arial" w:cs="Arial"/>
          <w:b/>
          <w:bCs/>
          <w:sz w:val="20"/>
          <w:szCs w:val="20"/>
        </w:rPr>
      </w:pPr>
      <w:r w:rsidRPr="00461DA7">
        <w:rPr>
          <w:rFonts w:ascii="Arial" w:hAnsi="Arial" w:cs="Arial"/>
        </w:rPr>
        <w:t xml:space="preserve">Student Number: 2222273 </w:t>
      </w:r>
    </w:p>
    <w:p w14:paraId="3512C0B3" w14:textId="77777777" w:rsidR="00461DA7" w:rsidRPr="00461DA7" w:rsidRDefault="00461DA7">
      <w:pPr>
        <w:rPr>
          <w:rFonts w:ascii="Arial" w:hAnsi="Arial" w:cs="Arial"/>
          <w:b/>
          <w:bCs/>
          <w:sz w:val="20"/>
          <w:szCs w:val="20"/>
        </w:rPr>
      </w:pPr>
    </w:p>
    <w:p w14:paraId="1D9E6916" w14:textId="77777777" w:rsidR="00461DA7" w:rsidRDefault="00461DA7">
      <w:pPr>
        <w:rPr>
          <w:rFonts w:ascii="Arial" w:hAnsi="Arial" w:cs="Arial"/>
          <w:b/>
          <w:bCs/>
          <w:sz w:val="20"/>
          <w:szCs w:val="20"/>
        </w:rPr>
      </w:pPr>
    </w:p>
    <w:p w14:paraId="5B12A83F" w14:textId="77777777" w:rsidR="00461DA7" w:rsidRDefault="00461DA7">
      <w:pPr>
        <w:rPr>
          <w:rFonts w:ascii="Arial" w:hAnsi="Arial" w:cs="Arial"/>
          <w:b/>
          <w:bCs/>
          <w:sz w:val="20"/>
          <w:szCs w:val="20"/>
        </w:rPr>
      </w:pPr>
    </w:p>
    <w:p w14:paraId="6574C6FE" w14:textId="77777777" w:rsidR="00461DA7" w:rsidRDefault="00461DA7">
      <w:pPr>
        <w:rPr>
          <w:rFonts w:ascii="Arial" w:hAnsi="Arial" w:cs="Arial"/>
          <w:b/>
          <w:bCs/>
          <w:sz w:val="20"/>
          <w:szCs w:val="20"/>
        </w:rPr>
      </w:pPr>
    </w:p>
    <w:p w14:paraId="09D1ECF2" w14:textId="77777777" w:rsidR="00461DA7" w:rsidRPr="00461DA7" w:rsidRDefault="00461DA7" w:rsidP="00461DA7">
      <w:pPr>
        <w:pStyle w:val="ListParagraph"/>
        <w:numPr>
          <w:ilvl w:val="0"/>
          <w:numId w:val="3"/>
        </w:numPr>
        <w:rPr>
          <w:rFonts w:ascii="Arial" w:hAnsi="Arial" w:cs="Arial"/>
          <w:b/>
          <w:bCs/>
          <w:sz w:val="20"/>
          <w:szCs w:val="20"/>
        </w:rPr>
      </w:pPr>
      <w:r w:rsidRPr="00461DA7">
        <w:rPr>
          <w:rFonts w:ascii="Arial" w:hAnsi="Arial" w:cs="Arial"/>
          <w:b/>
          <w:bCs/>
          <w:sz w:val="20"/>
          <w:szCs w:val="20"/>
        </w:rPr>
        <w:t>How effective are cognitive interviews as a means of obtaining initial accounts from victims and witnesses? Your answer must be based on academic research. Word limit: 1000 words</w:t>
      </w:r>
    </w:p>
    <w:p w14:paraId="27937AE5" w14:textId="224995DA" w:rsidR="00461DA7" w:rsidRDefault="00DC2C6E" w:rsidP="00DC2C6E">
      <w:pPr>
        <w:pStyle w:val="ListParagraph"/>
        <w:numPr>
          <w:ilvl w:val="0"/>
          <w:numId w:val="3"/>
        </w:numPr>
        <w:rPr>
          <w:rFonts w:ascii="Arial" w:hAnsi="Arial" w:cs="Arial"/>
          <w:b/>
          <w:bCs/>
          <w:sz w:val="20"/>
          <w:szCs w:val="20"/>
        </w:rPr>
      </w:pPr>
      <w:r w:rsidRPr="00DC2C6E">
        <w:rPr>
          <w:rFonts w:ascii="Arial" w:hAnsi="Arial" w:cs="Arial"/>
          <w:b/>
          <w:bCs/>
          <w:sz w:val="20"/>
          <w:szCs w:val="20"/>
        </w:rPr>
        <w:t>Examine the various socio-economic and psychological characteristics which can make people vulnerable to exploitation by criminal gangs. Your answer must be based on academic research rather than personal experience. Word limit: 1000 word</w:t>
      </w:r>
    </w:p>
    <w:p w14:paraId="1F25FA6F" w14:textId="0109008B" w:rsidR="00DC2C6E" w:rsidRDefault="00DC2C6E" w:rsidP="00DC2C6E">
      <w:pPr>
        <w:pStyle w:val="ListParagraph"/>
        <w:numPr>
          <w:ilvl w:val="0"/>
          <w:numId w:val="3"/>
        </w:numPr>
        <w:rPr>
          <w:rFonts w:ascii="Arial" w:hAnsi="Arial" w:cs="Arial"/>
          <w:b/>
          <w:bCs/>
          <w:sz w:val="20"/>
          <w:szCs w:val="20"/>
        </w:rPr>
      </w:pPr>
      <w:r w:rsidRPr="00DC2C6E">
        <w:rPr>
          <w:rFonts w:ascii="Arial" w:hAnsi="Arial" w:cs="Arial"/>
          <w:b/>
          <w:bCs/>
          <w:sz w:val="20"/>
          <w:szCs w:val="20"/>
        </w:rPr>
        <w:t>Response policing – Assess the extent of response officers’ role in dealing with critical and major incidents.</w:t>
      </w:r>
    </w:p>
    <w:p w14:paraId="7F6C8B1F" w14:textId="77777777" w:rsidR="00DC2C6E" w:rsidRPr="00DC2C6E" w:rsidRDefault="00DC2C6E" w:rsidP="00DC2C6E">
      <w:pPr>
        <w:pStyle w:val="ListParagraph"/>
        <w:numPr>
          <w:ilvl w:val="0"/>
          <w:numId w:val="3"/>
        </w:numPr>
        <w:rPr>
          <w:rFonts w:ascii="Arial" w:hAnsi="Arial" w:cs="Arial"/>
          <w:b/>
          <w:bCs/>
          <w:sz w:val="20"/>
          <w:szCs w:val="20"/>
        </w:rPr>
      </w:pPr>
      <w:r w:rsidRPr="00DC2C6E">
        <w:rPr>
          <w:rFonts w:ascii="Arial" w:hAnsi="Arial" w:cs="Arial"/>
          <w:b/>
          <w:bCs/>
          <w:sz w:val="20"/>
          <w:szCs w:val="20"/>
        </w:rPr>
        <w:t>Critically assess the effectiveness of options available to reduce re-offending Your answer must be based on academic research, but you may make reference to relevant case studies. Word limit: 1000 words</w:t>
      </w:r>
    </w:p>
    <w:p w14:paraId="65AC0AEE" w14:textId="77777777" w:rsidR="00DC2C6E" w:rsidRPr="00DC2C6E" w:rsidRDefault="00DC2C6E" w:rsidP="00DC2C6E">
      <w:pPr>
        <w:ind w:left="360"/>
        <w:rPr>
          <w:rFonts w:ascii="Arial" w:hAnsi="Arial" w:cs="Arial"/>
          <w:b/>
          <w:bCs/>
          <w:sz w:val="20"/>
          <w:szCs w:val="20"/>
        </w:rPr>
      </w:pPr>
    </w:p>
    <w:p w14:paraId="719859CE" w14:textId="77777777" w:rsidR="00461DA7" w:rsidRDefault="00461DA7">
      <w:pPr>
        <w:rPr>
          <w:rFonts w:ascii="Arial" w:hAnsi="Arial" w:cs="Arial"/>
          <w:b/>
          <w:bCs/>
          <w:sz w:val="20"/>
          <w:szCs w:val="20"/>
        </w:rPr>
      </w:pPr>
    </w:p>
    <w:p w14:paraId="0CD8C77D" w14:textId="77777777" w:rsidR="00461DA7" w:rsidRDefault="00461DA7">
      <w:pPr>
        <w:rPr>
          <w:rFonts w:ascii="Arial" w:hAnsi="Arial" w:cs="Arial"/>
          <w:b/>
          <w:bCs/>
          <w:sz w:val="20"/>
          <w:szCs w:val="20"/>
        </w:rPr>
      </w:pPr>
    </w:p>
    <w:p w14:paraId="3B437D2C" w14:textId="77777777" w:rsidR="00461DA7" w:rsidRDefault="00461DA7">
      <w:pPr>
        <w:rPr>
          <w:rFonts w:ascii="Arial" w:hAnsi="Arial" w:cs="Arial"/>
          <w:b/>
          <w:bCs/>
          <w:sz w:val="20"/>
          <w:szCs w:val="20"/>
        </w:rPr>
      </w:pPr>
    </w:p>
    <w:p w14:paraId="6EC7CAAC" w14:textId="77777777" w:rsidR="00461DA7" w:rsidRDefault="00461DA7">
      <w:pPr>
        <w:rPr>
          <w:rFonts w:ascii="Arial" w:hAnsi="Arial" w:cs="Arial"/>
          <w:b/>
          <w:bCs/>
          <w:sz w:val="20"/>
          <w:szCs w:val="20"/>
        </w:rPr>
      </w:pPr>
    </w:p>
    <w:p w14:paraId="67C69A88" w14:textId="77777777" w:rsidR="00461DA7" w:rsidRDefault="00461DA7">
      <w:pPr>
        <w:rPr>
          <w:rFonts w:ascii="Arial" w:hAnsi="Arial" w:cs="Arial"/>
          <w:b/>
          <w:bCs/>
          <w:sz w:val="20"/>
          <w:szCs w:val="20"/>
        </w:rPr>
      </w:pPr>
    </w:p>
    <w:p w14:paraId="6829746D" w14:textId="77777777" w:rsidR="00461DA7" w:rsidRDefault="00461DA7">
      <w:pPr>
        <w:rPr>
          <w:rFonts w:ascii="Arial" w:hAnsi="Arial" w:cs="Arial"/>
          <w:b/>
          <w:bCs/>
          <w:sz w:val="20"/>
          <w:szCs w:val="20"/>
        </w:rPr>
      </w:pPr>
    </w:p>
    <w:p w14:paraId="3D095182" w14:textId="77777777" w:rsidR="00461DA7" w:rsidRDefault="00461DA7">
      <w:pPr>
        <w:rPr>
          <w:rFonts w:ascii="Arial" w:hAnsi="Arial" w:cs="Arial"/>
          <w:b/>
          <w:bCs/>
          <w:sz w:val="20"/>
          <w:szCs w:val="20"/>
        </w:rPr>
      </w:pPr>
    </w:p>
    <w:p w14:paraId="7FEE47CF" w14:textId="77777777" w:rsidR="00461DA7" w:rsidRDefault="00461DA7">
      <w:pPr>
        <w:rPr>
          <w:rFonts w:ascii="Arial" w:hAnsi="Arial" w:cs="Arial"/>
          <w:b/>
          <w:bCs/>
          <w:sz w:val="20"/>
          <w:szCs w:val="20"/>
        </w:rPr>
      </w:pPr>
    </w:p>
    <w:p w14:paraId="56702726" w14:textId="77777777" w:rsidR="00461DA7" w:rsidRDefault="00461DA7">
      <w:pPr>
        <w:rPr>
          <w:rFonts w:ascii="Arial" w:hAnsi="Arial" w:cs="Arial"/>
          <w:b/>
          <w:bCs/>
          <w:sz w:val="20"/>
          <w:szCs w:val="20"/>
        </w:rPr>
      </w:pPr>
    </w:p>
    <w:p w14:paraId="77DBCCE6" w14:textId="77777777" w:rsidR="00461DA7" w:rsidRDefault="00461DA7">
      <w:pPr>
        <w:rPr>
          <w:rFonts w:ascii="Arial" w:hAnsi="Arial" w:cs="Arial"/>
          <w:b/>
          <w:bCs/>
          <w:sz w:val="20"/>
          <w:szCs w:val="20"/>
        </w:rPr>
      </w:pPr>
    </w:p>
    <w:p w14:paraId="1D1041EA" w14:textId="77777777" w:rsidR="00461DA7" w:rsidRDefault="00461DA7">
      <w:pPr>
        <w:rPr>
          <w:rFonts w:ascii="Arial" w:hAnsi="Arial" w:cs="Arial"/>
          <w:b/>
          <w:bCs/>
          <w:sz w:val="20"/>
          <w:szCs w:val="20"/>
        </w:rPr>
      </w:pPr>
    </w:p>
    <w:p w14:paraId="65D2A6E1" w14:textId="77777777" w:rsidR="00461DA7" w:rsidRDefault="00461DA7">
      <w:pPr>
        <w:rPr>
          <w:rFonts w:ascii="Arial" w:hAnsi="Arial" w:cs="Arial"/>
          <w:b/>
          <w:bCs/>
          <w:sz w:val="20"/>
          <w:szCs w:val="20"/>
        </w:rPr>
      </w:pPr>
    </w:p>
    <w:p w14:paraId="35B6E03D" w14:textId="77777777" w:rsidR="00461DA7" w:rsidRDefault="00461DA7">
      <w:pPr>
        <w:rPr>
          <w:rFonts w:ascii="Arial" w:hAnsi="Arial" w:cs="Arial"/>
          <w:b/>
          <w:bCs/>
          <w:sz w:val="20"/>
          <w:szCs w:val="20"/>
        </w:rPr>
      </w:pPr>
    </w:p>
    <w:p w14:paraId="06A28CF1" w14:textId="77777777" w:rsidR="00461DA7" w:rsidRDefault="00461DA7">
      <w:pPr>
        <w:rPr>
          <w:rFonts w:ascii="Arial" w:hAnsi="Arial" w:cs="Arial"/>
          <w:b/>
          <w:bCs/>
          <w:sz w:val="20"/>
          <w:szCs w:val="20"/>
        </w:rPr>
      </w:pPr>
    </w:p>
    <w:p w14:paraId="6636126E" w14:textId="77777777" w:rsidR="00461DA7" w:rsidRDefault="00461DA7">
      <w:pPr>
        <w:rPr>
          <w:rFonts w:ascii="Arial" w:hAnsi="Arial" w:cs="Arial"/>
          <w:b/>
          <w:bCs/>
          <w:sz w:val="20"/>
          <w:szCs w:val="20"/>
        </w:rPr>
      </w:pPr>
    </w:p>
    <w:p w14:paraId="6943AC3D" w14:textId="77777777" w:rsidR="00461DA7" w:rsidRDefault="00461DA7">
      <w:pPr>
        <w:rPr>
          <w:rFonts w:ascii="Arial" w:hAnsi="Arial" w:cs="Arial"/>
          <w:b/>
          <w:bCs/>
          <w:sz w:val="20"/>
          <w:szCs w:val="20"/>
        </w:rPr>
      </w:pPr>
    </w:p>
    <w:p w14:paraId="2737F406" w14:textId="77777777" w:rsidR="00461DA7" w:rsidRDefault="00461DA7">
      <w:pPr>
        <w:rPr>
          <w:rFonts w:ascii="Arial" w:hAnsi="Arial" w:cs="Arial"/>
          <w:b/>
          <w:bCs/>
          <w:sz w:val="20"/>
          <w:szCs w:val="20"/>
        </w:rPr>
      </w:pPr>
    </w:p>
    <w:p w14:paraId="1F908623" w14:textId="77777777" w:rsidR="00461DA7" w:rsidRDefault="00461DA7">
      <w:pPr>
        <w:rPr>
          <w:rFonts w:ascii="Arial" w:hAnsi="Arial" w:cs="Arial"/>
          <w:b/>
          <w:bCs/>
          <w:sz w:val="20"/>
          <w:szCs w:val="20"/>
        </w:rPr>
      </w:pPr>
    </w:p>
    <w:p w14:paraId="12F186B0" w14:textId="77777777" w:rsidR="00461DA7" w:rsidRDefault="00461DA7">
      <w:pPr>
        <w:rPr>
          <w:rFonts w:ascii="Arial" w:hAnsi="Arial" w:cs="Arial"/>
          <w:b/>
          <w:bCs/>
          <w:sz w:val="20"/>
          <w:szCs w:val="20"/>
        </w:rPr>
      </w:pPr>
    </w:p>
    <w:p w14:paraId="6F37EB19" w14:textId="77777777" w:rsidR="00461DA7" w:rsidRDefault="00461DA7">
      <w:pPr>
        <w:rPr>
          <w:rFonts w:ascii="Arial" w:hAnsi="Arial" w:cs="Arial"/>
          <w:b/>
          <w:bCs/>
          <w:sz w:val="20"/>
          <w:szCs w:val="20"/>
        </w:rPr>
      </w:pPr>
    </w:p>
    <w:p w14:paraId="5C948C33" w14:textId="77777777" w:rsidR="00461DA7" w:rsidRDefault="00461DA7">
      <w:pPr>
        <w:rPr>
          <w:rFonts w:ascii="Arial" w:hAnsi="Arial" w:cs="Arial"/>
          <w:b/>
          <w:bCs/>
          <w:sz w:val="20"/>
          <w:szCs w:val="20"/>
        </w:rPr>
      </w:pPr>
    </w:p>
    <w:p w14:paraId="4E1324BD" w14:textId="77777777" w:rsidR="00461DA7" w:rsidRDefault="00461DA7">
      <w:pPr>
        <w:rPr>
          <w:rFonts w:ascii="Arial" w:hAnsi="Arial" w:cs="Arial"/>
          <w:b/>
          <w:bCs/>
          <w:sz w:val="20"/>
          <w:szCs w:val="20"/>
        </w:rPr>
      </w:pPr>
    </w:p>
    <w:p w14:paraId="62F8807C" w14:textId="77777777" w:rsidR="00461DA7" w:rsidRDefault="00461DA7">
      <w:pPr>
        <w:rPr>
          <w:rFonts w:ascii="Arial" w:hAnsi="Arial" w:cs="Arial"/>
          <w:b/>
          <w:bCs/>
          <w:sz w:val="20"/>
          <w:szCs w:val="20"/>
        </w:rPr>
      </w:pPr>
    </w:p>
    <w:p w14:paraId="4F643FC7" w14:textId="77777777" w:rsidR="00461DA7" w:rsidRDefault="00461DA7">
      <w:pPr>
        <w:rPr>
          <w:rFonts w:ascii="Arial" w:hAnsi="Arial" w:cs="Arial"/>
          <w:b/>
          <w:bCs/>
          <w:sz w:val="20"/>
          <w:szCs w:val="20"/>
        </w:rPr>
      </w:pPr>
    </w:p>
    <w:p w14:paraId="29279374" w14:textId="77777777" w:rsidR="00461DA7" w:rsidRDefault="00461DA7">
      <w:pPr>
        <w:rPr>
          <w:rFonts w:ascii="Arial" w:hAnsi="Arial" w:cs="Arial"/>
          <w:b/>
          <w:bCs/>
          <w:sz w:val="20"/>
          <w:szCs w:val="20"/>
        </w:rPr>
      </w:pPr>
    </w:p>
    <w:p w14:paraId="26C2C645" w14:textId="77777777" w:rsidR="00461DA7" w:rsidRDefault="00461DA7">
      <w:pPr>
        <w:rPr>
          <w:rFonts w:ascii="Arial" w:hAnsi="Arial" w:cs="Arial"/>
          <w:b/>
          <w:bCs/>
          <w:sz w:val="20"/>
          <w:szCs w:val="20"/>
        </w:rPr>
      </w:pPr>
    </w:p>
    <w:p w14:paraId="57F1864C" w14:textId="77777777" w:rsidR="00461DA7" w:rsidRDefault="00461DA7">
      <w:pPr>
        <w:rPr>
          <w:rFonts w:ascii="Arial" w:hAnsi="Arial" w:cs="Arial"/>
          <w:b/>
          <w:bCs/>
          <w:sz w:val="20"/>
          <w:szCs w:val="20"/>
        </w:rPr>
      </w:pPr>
    </w:p>
    <w:p w14:paraId="65E305E8" w14:textId="77777777" w:rsidR="00461DA7" w:rsidRDefault="00461DA7">
      <w:pPr>
        <w:rPr>
          <w:rFonts w:ascii="Arial" w:hAnsi="Arial" w:cs="Arial"/>
          <w:b/>
          <w:bCs/>
          <w:sz w:val="20"/>
          <w:szCs w:val="20"/>
        </w:rPr>
      </w:pPr>
    </w:p>
    <w:p w14:paraId="675F0945" w14:textId="77777777" w:rsidR="00461DA7" w:rsidRDefault="00461DA7">
      <w:pPr>
        <w:rPr>
          <w:rFonts w:ascii="Arial" w:hAnsi="Arial" w:cs="Arial"/>
          <w:b/>
          <w:bCs/>
          <w:sz w:val="20"/>
          <w:szCs w:val="20"/>
        </w:rPr>
      </w:pPr>
    </w:p>
    <w:p w14:paraId="6F974496" w14:textId="77777777" w:rsidR="00461DA7" w:rsidRDefault="00461DA7">
      <w:pPr>
        <w:rPr>
          <w:rFonts w:ascii="Arial" w:hAnsi="Arial" w:cs="Arial"/>
          <w:b/>
          <w:bCs/>
          <w:sz w:val="20"/>
          <w:szCs w:val="20"/>
        </w:rPr>
      </w:pPr>
    </w:p>
    <w:p w14:paraId="40984600" w14:textId="77777777" w:rsidR="00461DA7" w:rsidRDefault="00461DA7">
      <w:pPr>
        <w:rPr>
          <w:rFonts w:ascii="Arial" w:hAnsi="Arial" w:cs="Arial"/>
          <w:b/>
          <w:bCs/>
          <w:sz w:val="20"/>
          <w:szCs w:val="20"/>
        </w:rPr>
      </w:pPr>
    </w:p>
    <w:p w14:paraId="33060364" w14:textId="77777777" w:rsidR="00461DA7" w:rsidRDefault="00461DA7">
      <w:pPr>
        <w:rPr>
          <w:rFonts w:ascii="Arial" w:hAnsi="Arial" w:cs="Arial"/>
          <w:b/>
          <w:bCs/>
          <w:sz w:val="20"/>
          <w:szCs w:val="20"/>
        </w:rPr>
      </w:pPr>
    </w:p>
    <w:p w14:paraId="539E33E3" w14:textId="77777777" w:rsidR="00461DA7" w:rsidRDefault="00461DA7">
      <w:pPr>
        <w:rPr>
          <w:rFonts w:ascii="Arial" w:hAnsi="Arial" w:cs="Arial"/>
          <w:b/>
          <w:bCs/>
          <w:sz w:val="20"/>
          <w:szCs w:val="20"/>
        </w:rPr>
      </w:pPr>
    </w:p>
    <w:p w14:paraId="4007954E" w14:textId="77777777" w:rsidR="00461DA7" w:rsidRDefault="00461DA7">
      <w:pPr>
        <w:rPr>
          <w:rFonts w:ascii="Arial" w:hAnsi="Arial" w:cs="Arial"/>
          <w:b/>
          <w:bCs/>
          <w:sz w:val="20"/>
          <w:szCs w:val="20"/>
        </w:rPr>
      </w:pPr>
    </w:p>
    <w:p w14:paraId="38BDB79B" w14:textId="77777777" w:rsidR="00DC2C6E" w:rsidRDefault="00DC2C6E">
      <w:pPr>
        <w:rPr>
          <w:rFonts w:ascii="Arial" w:hAnsi="Arial" w:cs="Arial"/>
          <w:b/>
          <w:bCs/>
          <w:sz w:val="20"/>
          <w:szCs w:val="20"/>
        </w:rPr>
      </w:pPr>
    </w:p>
    <w:p w14:paraId="7597B49B" w14:textId="77777777" w:rsidR="00DC2C6E" w:rsidRDefault="00DC2C6E">
      <w:pPr>
        <w:rPr>
          <w:rFonts w:ascii="Arial" w:hAnsi="Arial" w:cs="Arial"/>
          <w:b/>
          <w:bCs/>
          <w:sz w:val="20"/>
          <w:szCs w:val="20"/>
        </w:rPr>
      </w:pPr>
    </w:p>
    <w:p w14:paraId="146B6658" w14:textId="77777777" w:rsidR="00DC2C6E" w:rsidRDefault="00DC2C6E">
      <w:pPr>
        <w:rPr>
          <w:rFonts w:ascii="Arial" w:hAnsi="Arial" w:cs="Arial"/>
          <w:b/>
          <w:bCs/>
          <w:sz w:val="20"/>
          <w:szCs w:val="20"/>
        </w:rPr>
      </w:pPr>
    </w:p>
    <w:p w14:paraId="1075E8BE" w14:textId="7DF79A8A" w:rsidR="00E23AE0" w:rsidRPr="004D0313" w:rsidRDefault="00E23AE0">
      <w:pPr>
        <w:rPr>
          <w:rFonts w:ascii="Arial" w:hAnsi="Arial" w:cs="Arial"/>
          <w:b/>
          <w:bCs/>
          <w:sz w:val="20"/>
          <w:szCs w:val="20"/>
        </w:rPr>
      </w:pPr>
      <w:r w:rsidRPr="004D0313">
        <w:rPr>
          <w:rFonts w:ascii="Arial" w:hAnsi="Arial" w:cs="Arial"/>
          <w:b/>
          <w:bCs/>
          <w:sz w:val="20"/>
          <w:szCs w:val="20"/>
        </w:rPr>
        <w:lastRenderedPageBreak/>
        <w:t>How effective are cognitive interviews as a means of obtaining initial accounts from victims and witnesses? Your answer must be based on academic research. Word limit: 1000 words</w:t>
      </w:r>
    </w:p>
    <w:p w14:paraId="08621ECE" w14:textId="77777777" w:rsidR="004E7633" w:rsidRPr="004D0313" w:rsidRDefault="004E7633">
      <w:pPr>
        <w:rPr>
          <w:rFonts w:ascii="Arial" w:hAnsi="Arial" w:cs="Arial"/>
          <w:b/>
          <w:bCs/>
          <w:sz w:val="20"/>
          <w:szCs w:val="20"/>
        </w:rPr>
      </w:pPr>
    </w:p>
    <w:p w14:paraId="39BB49EE" w14:textId="73EF7FCA" w:rsidR="00F1678A" w:rsidRPr="004D0313" w:rsidRDefault="003D29C4">
      <w:pPr>
        <w:rPr>
          <w:rFonts w:ascii="Arial" w:hAnsi="Arial" w:cs="Arial"/>
          <w:sz w:val="20"/>
          <w:szCs w:val="20"/>
        </w:rPr>
      </w:pPr>
      <w:r w:rsidRPr="004D0313">
        <w:rPr>
          <w:rFonts w:ascii="Arial" w:hAnsi="Arial" w:cs="Arial"/>
          <w:sz w:val="20"/>
          <w:szCs w:val="20"/>
        </w:rPr>
        <w:t xml:space="preserve">Cognitive interviews are regarded as an effective method of obtaining initial accounts from victims and witnesses. Memon and Gawrylowicz (2018) define cognitive interviews as </w:t>
      </w:r>
      <w:r w:rsidR="004E7633" w:rsidRPr="004D0313">
        <w:rPr>
          <w:rFonts w:ascii="Arial" w:hAnsi="Arial" w:cs="Arial"/>
          <w:sz w:val="20"/>
          <w:szCs w:val="20"/>
        </w:rPr>
        <w:t>a</w:t>
      </w:r>
      <w:r w:rsidR="004E7633" w:rsidRPr="004D0313">
        <w:rPr>
          <w:rFonts w:ascii="Arial" w:hAnsi="Arial" w:cs="Arial"/>
          <w:sz w:val="20"/>
          <w:szCs w:val="20"/>
        </w:rPr>
        <w:t xml:space="preserve"> set of memory recall strategies used to maximise the amount of information that can be </w:t>
      </w:r>
      <w:r w:rsidR="004E7633" w:rsidRPr="004D0313">
        <w:rPr>
          <w:rFonts w:ascii="Arial" w:hAnsi="Arial" w:cs="Arial"/>
          <w:sz w:val="20"/>
          <w:szCs w:val="20"/>
        </w:rPr>
        <w:t>obtained</w:t>
      </w:r>
      <w:r w:rsidR="004E7633" w:rsidRPr="004D0313">
        <w:rPr>
          <w:rFonts w:ascii="Arial" w:hAnsi="Arial" w:cs="Arial"/>
          <w:sz w:val="20"/>
          <w:szCs w:val="20"/>
        </w:rPr>
        <w:t xml:space="preserve"> from an eyewitness. Thus, it can assist investigators in getting more accurate and thorough reports from interview subjects. </w:t>
      </w:r>
      <w:r w:rsidR="004E7633" w:rsidRPr="004D0313">
        <w:rPr>
          <w:rFonts w:ascii="Arial" w:hAnsi="Arial" w:cs="Arial"/>
          <w:sz w:val="20"/>
          <w:szCs w:val="20"/>
        </w:rPr>
        <w:t xml:space="preserve">Cognitive interviews were first introduced in the late 1980s by the psychologists Ed Geiselman and Ron Fisher to assist in improving witnesses’ interviews for the police. Memon et al (2010) conducted meta-analysis of research which found that police officers who are trained to use this method of extracting detailed accounts from witnesses enabled witnesses to provide over 40% of valid information. </w:t>
      </w:r>
    </w:p>
    <w:p w14:paraId="0017C689" w14:textId="77777777" w:rsidR="004E7633" w:rsidRPr="004D0313" w:rsidRDefault="004E7633">
      <w:pPr>
        <w:rPr>
          <w:rFonts w:ascii="Arial" w:hAnsi="Arial" w:cs="Arial"/>
          <w:sz w:val="20"/>
          <w:szCs w:val="20"/>
        </w:rPr>
      </w:pPr>
    </w:p>
    <w:p w14:paraId="08536CAD" w14:textId="6A7E9268" w:rsidR="008617EC" w:rsidRPr="004D0313" w:rsidRDefault="004E7633">
      <w:pPr>
        <w:rPr>
          <w:rFonts w:ascii="Arial" w:hAnsi="Arial" w:cs="Arial"/>
          <w:sz w:val="20"/>
          <w:szCs w:val="20"/>
        </w:rPr>
      </w:pPr>
      <w:r w:rsidRPr="004D0313">
        <w:rPr>
          <w:rFonts w:ascii="Arial" w:hAnsi="Arial" w:cs="Arial"/>
          <w:sz w:val="20"/>
          <w:szCs w:val="20"/>
        </w:rPr>
        <w:t xml:space="preserve">Ginet and Verkampt (2007) conducted research on the benefits of cognitive interviews and whether witnesses’ emotions affected the interview process. The witnesses within the study were shown a video lasting 3 minutes of 38 seconds of a road accident, and then </w:t>
      </w:r>
      <w:r w:rsidR="008617EC" w:rsidRPr="004D0313">
        <w:rPr>
          <w:rFonts w:ascii="Arial" w:hAnsi="Arial" w:cs="Arial"/>
          <w:sz w:val="20"/>
          <w:szCs w:val="20"/>
        </w:rPr>
        <w:t xml:space="preserve">two interview techniques were used, cognitive interview and structured interviews with two low arousal and two high arousals. It was predicted that the high level of arousal compared to low </w:t>
      </w:r>
      <w:r w:rsidR="008617EC" w:rsidRPr="004D0313">
        <w:rPr>
          <w:rFonts w:ascii="Arial" w:hAnsi="Arial" w:cs="Arial"/>
          <w:sz w:val="20"/>
          <w:szCs w:val="20"/>
        </w:rPr>
        <w:t>was anticipated to result in improved recollection for the key elements of the incident</w:t>
      </w:r>
      <w:r w:rsidR="008617EC" w:rsidRPr="004D0313">
        <w:rPr>
          <w:rFonts w:ascii="Arial" w:hAnsi="Arial" w:cs="Arial"/>
          <w:sz w:val="20"/>
          <w:szCs w:val="20"/>
        </w:rPr>
        <w:t>.</w:t>
      </w:r>
    </w:p>
    <w:p w14:paraId="2B59CC36" w14:textId="77777777" w:rsidR="008617EC" w:rsidRPr="004D0313" w:rsidRDefault="008617EC">
      <w:pPr>
        <w:rPr>
          <w:rFonts w:ascii="Arial" w:hAnsi="Arial" w:cs="Arial"/>
          <w:sz w:val="20"/>
          <w:szCs w:val="20"/>
        </w:rPr>
      </w:pPr>
    </w:p>
    <w:p w14:paraId="1FD21348" w14:textId="1971098F" w:rsidR="008617EC" w:rsidRPr="004D0313" w:rsidRDefault="008617EC" w:rsidP="008617EC">
      <w:pPr>
        <w:rPr>
          <w:rFonts w:ascii="Arial" w:hAnsi="Arial" w:cs="Arial"/>
          <w:sz w:val="20"/>
          <w:szCs w:val="20"/>
        </w:rPr>
      </w:pPr>
      <w:r w:rsidRPr="004D0313">
        <w:rPr>
          <w:rFonts w:ascii="Arial" w:hAnsi="Arial" w:cs="Arial"/>
          <w:sz w:val="20"/>
          <w:szCs w:val="20"/>
        </w:rPr>
        <w:t xml:space="preserve">The findings validated the hypothesis and demonstrated that, without increasing confabulations, the </w:t>
      </w:r>
      <w:r w:rsidR="00A15F75" w:rsidRPr="004D0313">
        <w:rPr>
          <w:rFonts w:ascii="Arial" w:hAnsi="Arial" w:cs="Arial"/>
          <w:sz w:val="20"/>
          <w:szCs w:val="20"/>
        </w:rPr>
        <w:t>cognitive interview</w:t>
      </w:r>
      <w:r w:rsidRPr="004D0313">
        <w:rPr>
          <w:rFonts w:ascii="Arial" w:hAnsi="Arial" w:cs="Arial"/>
          <w:sz w:val="20"/>
          <w:szCs w:val="20"/>
        </w:rPr>
        <w:t xml:space="preserve"> elicited more accurate details than the </w:t>
      </w:r>
      <w:r w:rsidR="00A15F75" w:rsidRPr="004D0313">
        <w:rPr>
          <w:rFonts w:ascii="Arial" w:hAnsi="Arial" w:cs="Arial"/>
          <w:sz w:val="20"/>
          <w:szCs w:val="20"/>
        </w:rPr>
        <w:t xml:space="preserve">structured interview. </w:t>
      </w:r>
      <w:r w:rsidRPr="004D0313">
        <w:rPr>
          <w:rFonts w:ascii="Arial" w:hAnsi="Arial" w:cs="Arial"/>
          <w:sz w:val="20"/>
          <w:szCs w:val="20"/>
        </w:rPr>
        <w:t xml:space="preserve">In the free recall phase, it was discovered that the </w:t>
      </w:r>
      <w:r w:rsidR="00A15F75" w:rsidRPr="004D0313">
        <w:rPr>
          <w:rFonts w:ascii="Arial" w:hAnsi="Arial" w:cs="Arial"/>
          <w:sz w:val="20"/>
          <w:szCs w:val="20"/>
        </w:rPr>
        <w:t>cognitive interviews</w:t>
      </w:r>
      <w:r w:rsidRPr="004D0313">
        <w:rPr>
          <w:rFonts w:ascii="Arial" w:hAnsi="Arial" w:cs="Arial"/>
          <w:sz w:val="20"/>
          <w:szCs w:val="20"/>
        </w:rPr>
        <w:t xml:space="preserve"> worked especially well. This advantage included both primary and secondary details. </w:t>
      </w:r>
    </w:p>
    <w:p w14:paraId="37A94036" w14:textId="77777777" w:rsidR="00A15F75" w:rsidRPr="004D0313" w:rsidRDefault="00A15F75" w:rsidP="008617EC">
      <w:pPr>
        <w:rPr>
          <w:rFonts w:ascii="Arial" w:hAnsi="Arial" w:cs="Arial"/>
          <w:sz w:val="20"/>
          <w:szCs w:val="20"/>
        </w:rPr>
      </w:pPr>
    </w:p>
    <w:p w14:paraId="2599A7DA" w14:textId="7FCAEA3D" w:rsidR="00FF69AA" w:rsidRPr="004D0313" w:rsidRDefault="00A15F75">
      <w:pPr>
        <w:rPr>
          <w:rFonts w:ascii="Arial" w:hAnsi="Arial" w:cs="Arial"/>
          <w:sz w:val="20"/>
          <w:szCs w:val="20"/>
        </w:rPr>
      </w:pPr>
      <w:r w:rsidRPr="004D0313">
        <w:rPr>
          <w:rFonts w:ascii="Arial" w:hAnsi="Arial" w:cs="Arial"/>
          <w:sz w:val="20"/>
          <w:szCs w:val="20"/>
        </w:rPr>
        <w:t>However, it can be argued that cognitive interviews can be criticised due to the level of information recalled. A possible criticism is that the technique can provide irrelevant details for the police investigation. This critique has been supported by a myriad of studies, specifically, Fisher et al (1987) who’s research found that whilst cognitive interviews do recall more detail to an investigation, the research has omitted any details on how the data was categorised in relation to significant detail to the investigation and non-significant detail.</w:t>
      </w:r>
    </w:p>
    <w:p w14:paraId="760D557A" w14:textId="77777777" w:rsidR="00FF69AA" w:rsidRPr="004D0313" w:rsidRDefault="00FF69AA">
      <w:pPr>
        <w:rPr>
          <w:rFonts w:ascii="Arial" w:hAnsi="Arial" w:cs="Arial"/>
          <w:sz w:val="20"/>
          <w:szCs w:val="20"/>
        </w:rPr>
      </w:pPr>
    </w:p>
    <w:p w14:paraId="36A7F24B" w14:textId="5EAED360" w:rsidR="00A15F75" w:rsidRPr="004D0313" w:rsidRDefault="00FF69AA">
      <w:pPr>
        <w:rPr>
          <w:rFonts w:ascii="Arial" w:hAnsi="Arial" w:cs="Arial"/>
          <w:sz w:val="20"/>
          <w:szCs w:val="20"/>
        </w:rPr>
      </w:pPr>
      <w:r w:rsidRPr="004D0313">
        <w:rPr>
          <w:rFonts w:ascii="Arial" w:hAnsi="Arial" w:cs="Arial"/>
          <w:sz w:val="20"/>
          <w:szCs w:val="20"/>
        </w:rPr>
        <w:t xml:space="preserve">Cognitive interview techniques can be used all ages to try and recall information and events for initial accounts for victims and witnesses. Holiday (2003) conducted research on the impact and effectiveness of a cognitive interview on four- to eight-year-old children’s recall and the subsequent of reporting misinformation. </w:t>
      </w:r>
    </w:p>
    <w:p w14:paraId="57C2D556" w14:textId="77777777" w:rsidR="00FF69AA" w:rsidRPr="004D0313" w:rsidRDefault="00FF69AA">
      <w:pPr>
        <w:rPr>
          <w:rFonts w:ascii="Arial" w:hAnsi="Arial" w:cs="Arial"/>
          <w:sz w:val="20"/>
          <w:szCs w:val="20"/>
        </w:rPr>
      </w:pPr>
    </w:p>
    <w:p w14:paraId="72EDB80D" w14:textId="29EED9BB" w:rsidR="00FF69AA" w:rsidRPr="004D0313" w:rsidRDefault="00FF69AA">
      <w:pPr>
        <w:rPr>
          <w:rFonts w:ascii="Arial" w:hAnsi="Arial" w:cs="Arial"/>
          <w:sz w:val="20"/>
          <w:szCs w:val="20"/>
        </w:rPr>
      </w:pPr>
      <w:r w:rsidRPr="004D0313">
        <w:rPr>
          <w:rFonts w:ascii="Arial" w:hAnsi="Arial" w:cs="Arial"/>
          <w:sz w:val="20"/>
          <w:szCs w:val="20"/>
        </w:rPr>
        <w:t xml:space="preserve">Within the experiment, children were shown an event which was then followed by misinformation that they have either read or created themselves and they were then given a test to recall their memory. The results indicated that compared to a controlled interview, a cognitive interview produced more accurate details. It was noted that there were age-related differences, whereby the 8-year-old children were reporting more accurate details around people, actions, objects, and locations in comparison to the 4-year-old children. Following the dissemination of false information following the event, a cognitive interview showed that the children reported less false information. </w:t>
      </w:r>
    </w:p>
    <w:p w14:paraId="314AC724" w14:textId="77777777" w:rsidR="00FF69AA" w:rsidRPr="004D0313" w:rsidRDefault="00FF69AA">
      <w:pPr>
        <w:rPr>
          <w:rFonts w:ascii="Arial" w:hAnsi="Arial" w:cs="Arial"/>
          <w:sz w:val="20"/>
          <w:szCs w:val="20"/>
        </w:rPr>
      </w:pPr>
    </w:p>
    <w:p w14:paraId="05138BAA" w14:textId="341E87DC" w:rsidR="00FF69AA" w:rsidRPr="004D0313" w:rsidRDefault="00226C15">
      <w:pPr>
        <w:rPr>
          <w:rFonts w:ascii="Arial" w:hAnsi="Arial" w:cs="Arial"/>
          <w:sz w:val="20"/>
          <w:szCs w:val="20"/>
        </w:rPr>
      </w:pPr>
      <w:r w:rsidRPr="004D0313">
        <w:rPr>
          <w:rFonts w:ascii="Arial" w:hAnsi="Arial" w:cs="Arial"/>
          <w:sz w:val="20"/>
          <w:szCs w:val="20"/>
        </w:rPr>
        <w:t xml:space="preserve">Despite research illustrating that cognitive interviews are an effective technique to obtain initial accounts from witnesses and victims. </w:t>
      </w:r>
      <w:r w:rsidR="00FF69AA" w:rsidRPr="004D0313">
        <w:rPr>
          <w:rFonts w:ascii="Arial" w:hAnsi="Arial" w:cs="Arial"/>
          <w:sz w:val="20"/>
          <w:szCs w:val="20"/>
        </w:rPr>
        <w:t xml:space="preserve">A key </w:t>
      </w:r>
      <w:r w:rsidRPr="004D0313">
        <w:rPr>
          <w:rFonts w:ascii="Arial" w:hAnsi="Arial" w:cs="Arial"/>
          <w:sz w:val="20"/>
          <w:szCs w:val="20"/>
        </w:rPr>
        <w:t xml:space="preserve">component of success of cognitive interviews is dependent on the interviewer’s training and adherence to the protocol. Ensuring that officers have had the correct training is essential to ensure interviewers can effectively apply the techniques. Dando </w:t>
      </w:r>
      <w:r w:rsidRPr="004D0313">
        <w:rPr>
          <w:rFonts w:ascii="Arial" w:hAnsi="Arial" w:cs="Arial"/>
          <w:i/>
          <w:iCs/>
          <w:sz w:val="20"/>
          <w:szCs w:val="20"/>
        </w:rPr>
        <w:t>et al (</w:t>
      </w:r>
      <w:r w:rsidRPr="004D0313">
        <w:rPr>
          <w:rFonts w:ascii="Arial" w:hAnsi="Arial" w:cs="Arial"/>
          <w:sz w:val="20"/>
          <w:szCs w:val="20"/>
        </w:rPr>
        <w:t xml:space="preserve">2008) conducted research into inexperienced police officer’s perception of their witness and victims interviewing practices. </w:t>
      </w:r>
    </w:p>
    <w:p w14:paraId="763B9939" w14:textId="77777777" w:rsidR="00226C15" w:rsidRPr="004D0313" w:rsidRDefault="00226C15">
      <w:pPr>
        <w:rPr>
          <w:rFonts w:ascii="Arial" w:hAnsi="Arial" w:cs="Arial"/>
          <w:sz w:val="20"/>
          <w:szCs w:val="20"/>
        </w:rPr>
      </w:pPr>
    </w:p>
    <w:p w14:paraId="68425D95" w14:textId="7EF8BF2C" w:rsidR="00BE5913" w:rsidRPr="004D0313" w:rsidRDefault="00BE5913">
      <w:pPr>
        <w:rPr>
          <w:rFonts w:ascii="Arial" w:hAnsi="Arial" w:cs="Arial"/>
          <w:sz w:val="20"/>
          <w:szCs w:val="20"/>
        </w:rPr>
      </w:pPr>
      <w:r w:rsidRPr="004D0313">
        <w:rPr>
          <w:rFonts w:ascii="Arial" w:hAnsi="Arial" w:cs="Arial"/>
          <w:sz w:val="20"/>
          <w:szCs w:val="20"/>
        </w:rPr>
        <w:t>Within England and Wales, police forces use the PEACE model to interview witnesses and victims. The PEACE model strategy is derived from the enhanced cognitive interview procedure coined by Fisher and Geiselman. NSLEC (2004) clarifies the PEACE model as</w:t>
      </w:r>
      <w:r w:rsidRPr="004D0313">
        <w:rPr>
          <w:rFonts w:ascii="Arial" w:hAnsi="Arial" w:cs="Arial"/>
          <w:sz w:val="20"/>
          <w:szCs w:val="20"/>
        </w:rPr>
        <w:t xml:space="preserve"> </w:t>
      </w:r>
      <w:r w:rsidR="00913843">
        <w:rPr>
          <w:rFonts w:ascii="Arial" w:hAnsi="Arial" w:cs="Arial"/>
          <w:sz w:val="20"/>
          <w:szCs w:val="20"/>
        </w:rPr>
        <w:t>“</w:t>
      </w:r>
      <w:r w:rsidRPr="004D0313">
        <w:rPr>
          <w:rFonts w:ascii="Arial" w:hAnsi="Arial" w:cs="Arial"/>
          <w:sz w:val="20"/>
          <w:szCs w:val="20"/>
        </w:rPr>
        <w:t xml:space="preserve">explain the aims of the interview, rapport, report everything, never guess, uninterrupted </w:t>
      </w:r>
      <w:r w:rsidR="00BF1E27" w:rsidRPr="004D0313">
        <w:rPr>
          <w:rFonts w:ascii="Arial" w:hAnsi="Arial" w:cs="Arial"/>
          <w:sz w:val="20"/>
          <w:szCs w:val="20"/>
        </w:rPr>
        <w:t>free recall</w:t>
      </w:r>
      <w:r w:rsidRPr="004D0313">
        <w:rPr>
          <w:rFonts w:ascii="Arial" w:hAnsi="Arial" w:cs="Arial"/>
          <w:sz w:val="20"/>
          <w:szCs w:val="20"/>
        </w:rPr>
        <w:t>, encourage concentration, recall in a variety of orders, change perspective, mental reinstatement of context and witness compatible questioning</w:t>
      </w:r>
      <w:r w:rsidR="00913843">
        <w:rPr>
          <w:rFonts w:ascii="Arial" w:hAnsi="Arial" w:cs="Arial"/>
          <w:sz w:val="20"/>
          <w:szCs w:val="20"/>
        </w:rPr>
        <w:t>”.</w:t>
      </w:r>
    </w:p>
    <w:p w14:paraId="7B73DE27" w14:textId="5D37184A" w:rsidR="00A15F75" w:rsidRPr="004D0313" w:rsidRDefault="00A15F75">
      <w:pPr>
        <w:rPr>
          <w:rFonts w:ascii="Arial" w:hAnsi="Arial" w:cs="Arial"/>
          <w:sz w:val="20"/>
          <w:szCs w:val="20"/>
        </w:rPr>
      </w:pPr>
    </w:p>
    <w:p w14:paraId="573EFBB4" w14:textId="79E8F1FD" w:rsidR="00A15F75" w:rsidRPr="004D0313" w:rsidRDefault="00BE5913">
      <w:pPr>
        <w:rPr>
          <w:rFonts w:ascii="Arial" w:hAnsi="Arial" w:cs="Arial"/>
          <w:sz w:val="20"/>
          <w:szCs w:val="20"/>
        </w:rPr>
      </w:pPr>
      <w:r w:rsidRPr="004D0313">
        <w:rPr>
          <w:rFonts w:ascii="Arial" w:hAnsi="Arial" w:cs="Arial"/>
          <w:sz w:val="20"/>
          <w:szCs w:val="20"/>
        </w:rPr>
        <w:lastRenderedPageBreak/>
        <w:t xml:space="preserve">The study took a sample of around 200 young in-service officers from give UK police forces who completed a self-report on their perceived witness interviewing techniques and their use of the PEACE cognitive techniques. </w:t>
      </w:r>
    </w:p>
    <w:p w14:paraId="094FC59E" w14:textId="77777777" w:rsidR="00BE5913" w:rsidRPr="004D0313" w:rsidRDefault="00BE5913">
      <w:pPr>
        <w:rPr>
          <w:rFonts w:ascii="Arial" w:hAnsi="Arial" w:cs="Arial"/>
          <w:sz w:val="20"/>
          <w:szCs w:val="20"/>
        </w:rPr>
      </w:pPr>
    </w:p>
    <w:p w14:paraId="0E744142" w14:textId="1E67D21D" w:rsidR="00666835" w:rsidRPr="004D0313" w:rsidRDefault="00BE5913">
      <w:pPr>
        <w:rPr>
          <w:rFonts w:ascii="Arial" w:hAnsi="Arial" w:cs="Arial"/>
          <w:sz w:val="20"/>
          <w:szCs w:val="20"/>
        </w:rPr>
      </w:pPr>
      <w:r w:rsidRPr="004D0313">
        <w:rPr>
          <w:rFonts w:ascii="Arial" w:hAnsi="Arial" w:cs="Arial"/>
          <w:sz w:val="20"/>
          <w:szCs w:val="20"/>
        </w:rPr>
        <w:t xml:space="preserve">The results indicated that officers who participated within the study felt that they were inadequately trained and ill equipped to conduct a PEACE cognitive interview. </w:t>
      </w:r>
      <w:r w:rsidR="00666835" w:rsidRPr="004D0313">
        <w:rPr>
          <w:rFonts w:ascii="Arial" w:hAnsi="Arial" w:cs="Arial"/>
          <w:sz w:val="20"/>
          <w:szCs w:val="20"/>
        </w:rPr>
        <w:t xml:space="preserve">Home Office (2024) statistical evidence found that in police forces in England and Wales in the year ending 2023, 16,328 police officers joined the police force. This is noted at the highest number of police officer joiners in a financial year since records began. Consequently, whilst the method of cognitive interviews is successful it can be recognised that without adequate training and experience from officers then model is only as good as the officer implementing it. Therefore, with statistics showing the level of new officers within the force it can be said that cognitive interview for witness and victim initial accounts is not as effective as it could be. </w:t>
      </w:r>
    </w:p>
    <w:p w14:paraId="365AB322" w14:textId="369428A3" w:rsidR="00666835" w:rsidRPr="004D0313" w:rsidRDefault="00666835">
      <w:pPr>
        <w:rPr>
          <w:rFonts w:ascii="Arial" w:hAnsi="Arial" w:cs="Arial"/>
          <w:sz w:val="20"/>
          <w:szCs w:val="20"/>
        </w:rPr>
      </w:pPr>
    </w:p>
    <w:p w14:paraId="114D3CCD" w14:textId="251E28E3" w:rsidR="00666835" w:rsidRPr="004D0313" w:rsidRDefault="00666835">
      <w:pPr>
        <w:rPr>
          <w:rFonts w:ascii="Arial" w:hAnsi="Arial" w:cs="Arial"/>
          <w:sz w:val="20"/>
          <w:szCs w:val="20"/>
        </w:rPr>
      </w:pPr>
      <w:r w:rsidRPr="004D0313">
        <w:rPr>
          <w:rFonts w:ascii="Arial" w:hAnsi="Arial" w:cs="Arial"/>
          <w:sz w:val="20"/>
          <w:szCs w:val="20"/>
        </w:rPr>
        <w:t xml:space="preserve">In conclusion, academic research supports that the use of cognitive interviews are effective for getting first accounts from witnesses and victims. They can be tailored for different age demographics, improve memory </w:t>
      </w:r>
      <w:r w:rsidR="004D0313" w:rsidRPr="004D0313">
        <w:rPr>
          <w:rFonts w:ascii="Arial" w:hAnsi="Arial" w:cs="Arial"/>
          <w:sz w:val="20"/>
          <w:szCs w:val="20"/>
        </w:rPr>
        <w:t>recall,</w:t>
      </w:r>
      <w:r w:rsidRPr="004D0313">
        <w:rPr>
          <w:rFonts w:ascii="Arial" w:hAnsi="Arial" w:cs="Arial"/>
          <w:sz w:val="20"/>
          <w:szCs w:val="20"/>
        </w:rPr>
        <w:t xml:space="preserve"> and provide more accurate information. The effectiveness of cognitive interviews is dependent on appropriate training and execution</w:t>
      </w:r>
      <w:r w:rsidR="004D0313" w:rsidRPr="004D0313">
        <w:rPr>
          <w:rFonts w:ascii="Arial" w:hAnsi="Arial" w:cs="Arial"/>
          <w:sz w:val="20"/>
          <w:szCs w:val="20"/>
        </w:rPr>
        <w:t>. Overall, cognitive interviews are an invaluable instrument in investigations and is supported widely</w:t>
      </w:r>
      <w:r w:rsidR="008012E0">
        <w:rPr>
          <w:rFonts w:ascii="Arial" w:hAnsi="Arial" w:cs="Arial"/>
          <w:sz w:val="20"/>
          <w:szCs w:val="20"/>
        </w:rPr>
        <w:t xml:space="preserve"> however as outlined above there are minor critiques for cognitive interviews. These mainly refer to the level officers’ service and retrieving information that is not relevant to the case. It can be argued that in comparison to the benefits of cognitive interviews that these disadvantages are trivial, as police officers’ who are new in service can be offered more support in obtaining accounts, and investigators can focus on the relevant details of the account. </w:t>
      </w:r>
    </w:p>
    <w:p w14:paraId="50411268" w14:textId="77777777" w:rsidR="00BE5913" w:rsidRPr="004D0313" w:rsidRDefault="00BE5913">
      <w:pPr>
        <w:rPr>
          <w:rFonts w:ascii="Arial" w:hAnsi="Arial" w:cs="Arial"/>
          <w:sz w:val="20"/>
          <w:szCs w:val="20"/>
        </w:rPr>
      </w:pPr>
    </w:p>
    <w:p w14:paraId="295BE3AE" w14:textId="77777777" w:rsidR="00A15F75" w:rsidRPr="004D0313" w:rsidRDefault="00A15F75">
      <w:pPr>
        <w:rPr>
          <w:rFonts w:ascii="Arial" w:hAnsi="Arial" w:cs="Arial"/>
          <w:b/>
          <w:bCs/>
          <w:sz w:val="20"/>
          <w:szCs w:val="20"/>
        </w:rPr>
      </w:pPr>
    </w:p>
    <w:p w14:paraId="67121F06" w14:textId="0B4527E0" w:rsidR="00F1678A" w:rsidRPr="004D0313" w:rsidRDefault="003D29C4">
      <w:pPr>
        <w:rPr>
          <w:rFonts w:ascii="Arial" w:hAnsi="Arial" w:cs="Arial"/>
          <w:b/>
          <w:bCs/>
          <w:sz w:val="20"/>
          <w:szCs w:val="20"/>
        </w:rPr>
      </w:pPr>
      <w:r w:rsidRPr="004D0313">
        <w:rPr>
          <w:rFonts w:ascii="Arial" w:hAnsi="Arial" w:cs="Arial"/>
          <w:b/>
          <w:bCs/>
          <w:sz w:val="20"/>
          <w:szCs w:val="20"/>
        </w:rPr>
        <w:t>Bibliography</w:t>
      </w:r>
    </w:p>
    <w:p w14:paraId="44998AF1" w14:textId="77777777" w:rsidR="00226C15" w:rsidRPr="004D0313" w:rsidRDefault="00226C15">
      <w:pPr>
        <w:rPr>
          <w:rFonts w:ascii="Arial" w:hAnsi="Arial" w:cs="Arial"/>
          <w:color w:val="222222"/>
          <w:sz w:val="20"/>
          <w:szCs w:val="20"/>
          <w:shd w:val="clear" w:color="auto" w:fill="FFFFFF"/>
        </w:rPr>
      </w:pPr>
    </w:p>
    <w:p w14:paraId="6F9710A2" w14:textId="0D0055F0" w:rsidR="00226C15" w:rsidRPr="004D0313" w:rsidRDefault="00226C15">
      <w:pPr>
        <w:rPr>
          <w:rFonts w:ascii="Arial" w:hAnsi="Arial" w:cs="Arial"/>
          <w:color w:val="222222"/>
          <w:sz w:val="20"/>
          <w:szCs w:val="20"/>
          <w:shd w:val="clear" w:color="auto" w:fill="FFFFFF"/>
        </w:rPr>
      </w:pPr>
      <w:r w:rsidRPr="004D0313">
        <w:rPr>
          <w:rFonts w:ascii="Arial" w:hAnsi="Arial" w:cs="Arial"/>
          <w:color w:val="222222"/>
          <w:sz w:val="20"/>
          <w:szCs w:val="20"/>
          <w:shd w:val="clear" w:color="auto" w:fill="FFFFFF"/>
        </w:rPr>
        <w:t>Dando, C., Wilcock, R. and Milne, R., 2008. The cognitive interview: Inexperienced police officers' perceptions of their witness/victim interviewing practices. </w:t>
      </w:r>
      <w:r w:rsidRPr="004D0313">
        <w:rPr>
          <w:rFonts w:ascii="Arial" w:hAnsi="Arial" w:cs="Arial"/>
          <w:i/>
          <w:iCs/>
          <w:color w:val="222222"/>
          <w:sz w:val="20"/>
          <w:szCs w:val="20"/>
          <w:shd w:val="clear" w:color="auto" w:fill="FFFFFF"/>
        </w:rPr>
        <w:t>Legal and Criminological Psychology</w:t>
      </w:r>
      <w:r w:rsidRPr="004D0313">
        <w:rPr>
          <w:rFonts w:ascii="Arial" w:hAnsi="Arial" w:cs="Arial"/>
          <w:color w:val="222222"/>
          <w:sz w:val="20"/>
          <w:szCs w:val="20"/>
          <w:shd w:val="clear" w:color="auto" w:fill="FFFFFF"/>
        </w:rPr>
        <w:t>, </w:t>
      </w:r>
      <w:r w:rsidRPr="004D0313">
        <w:rPr>
          <w:rFonts w:ascii="Arial" w:hAnsi="Arial" w:cs="Arial"/>
          <w:i/>
          <w:iCs/>
          <w:color w:val="222222"/>
          <w:sz w:val="20"/>
          <w:szCs w:val="20"/>
          <w:shd w:val="clear" w:color="auto" w:fill="FFFFFF"/>
        </w:rPr>
        <w:t>13</w:t>
      </w:r>
      <w:r w:rsidRPr="004D0313">
        <w:rPr>
          <w:rFonts w:ascii="Arial" w:hAnsi="Arial" w:cs="Arial"/>
          <w:color w:val="222222"/>
          <w:sz w:val="20"/>
          <w:szCs w:val="20"/>
          <w:shd w:val="clear" w:color="auto" w:fill="FFFFFF"/>
        </w:rPr>
        <w:t>(1), pp.59-70.</w:t>
      </w:r>
    </w:p>
    <w:p w14:paraId="1308576D" w14:textId="77777777" w:rsidR="00226C15" w:rsidRPr="004D0313" w:rsidRDefault="00226C15">
      <w:pPr>
        <w:rPr>
          <w:rFonts w:ascii="Arial" w:hAnsi="Arial" w:cs="Arial"/>
          <w:color w:val="222222"/>
          <w:sz w:val="20"/>
          <w:szCs w:val="20"/>
          <w:shd w:val="clear" w:color="auto" w:fill="FFFFFF"/>
        </w:rPr>
      </w:pPr>
    </w:p>
    <w:p w14:paraId="4673EA2F" w14:textId="77777777" w:rsidR="00226C15" w:rsidRPr="004D0313" w:rsidRDefault="00226C15" w:rsidP="00226C15">
      <w:pPr>
        <w:rPr>
          <w:rFonts w:ascii="Arial" w:hAnsi="Arial" w:cs="Arial"/>
          <w:b/>
          <w:bCs/>
          <w:sz w:val="20"/>
          <w:szCs w:val="20"/>
        </w:rPr>
      </w:pPr>
      <w:r w:rsidRPr="004D0313">
        <w:rPr>
          <w:rFonts w:ascii="Arial" w:hAnsi="Arial" w:cs="Arial"/>
          <w:color w:val="222222"/>
          <w:sz w:val="20"/>
          <w:szCs w:val="20"/>
          <w:shd w:val="clear" w:color="auto" w:fill="FFFFFF"/>
        </w:rPr>
        <w:t>Ginet, M. and Verkampt, F., 2007. The cognitive interview: Is its benefit affected by the level of witness emotion?. </w:t>
      </w:r>
      <w:r w:rsidRPr="004D0313">
        <w:rPr>
          <w:rFonts w:ascii="Arial" w:hAnsi="Arial" w:cs="Arial"/>
          <w:i/>
          <w:iCs/>
          <w:color w:val="222222"/>
          <w:sz w:val="20"/>
          <w:szCs w:val="20"/>
          <w:shd w:val="clear" w:color="auto" w:fill="FFFFFF"/>
        </w:rPr>
        <w:t>Memory</w:t>
      </w:r>
      <w:r w:rsidRPr="004D0313">
        <w:rPr>
          <w:rFonts w:ascii="Arial" w:hAnsi="Arial" w:cs="Arial"/>
          <w:color w:val="222222"/>
          <w:sz w:val="20"/>
          <w:szCs w:val="20"/>
          <w:shd w:val="clear" w:color="auto" w:fill="FFFFFF"/>
        </w:rPr>
        <w:t>, </w:t>
      </w:r>
      <w:r w:rsidRPr="004D0313">
        <w:rPr>
          <w:rFonts w:ascii="Arial" w:hAnsi="Arial" w:cs="Arial"/>
          <w:i/>
          <w:iCs/>
          <w:color w:val="222222"/>
          <w:sz w:val="20"/>
          <w:szCs w:val="20"/>
          <w:shd w:val="clear" w:color="auto" w:fill="FFFFFF"/>
        </w:rPr>
        <w:t>15</w:t>
      </w:r>
      <w:r w:rsidRPr="004D0313">
        <w:rPr>
          <w:rFonts w:ascii="Arial" w:hAnsi="Arial" w:cs="Arial"/>
          <w:color w:val="222222"/>
          <w:sz w:val="20"/>
          <w:szCs w:val="20"/>
          <w:shd w:val="clear" w:color="auto" w:fill="FFFFFF"/>
        </w:rPr>
        <w:t>(4), pp.450-464.</w:t>
      </w:r>
    </w:p>
    <w:p w14:paraId="67EBF24D" w14:textId="77777777" w:rsidR="00226C15" w:rsidRPr="004D0313" w:rsidRDefault="00226C15" w:rsidP="00226C15">
      <w:pPr>
        <w:rPr>
          <w:rFonts w:ascii="Arial" w:hAnsi="Arial" w:cs="Arial"/>
          <w:b/>
          <w:bCs/>
          <w:sz w:val="20"/>
          <w:szCs w:val="20"/>
        </w:rPr>
      </w:pPr>
    </w:p>
    <w:p w14:paraId="61BB5D05" w14:textId="77777777" w:rsidR="00226C15" w:rsidRPr="004D0313" w:rsidRDefault="00226C15" w:rsidP="00226C15">
      <w:pPr>
        <w:rPr>
          <w:rFonts w:ascii="Arial" w:hAnsi="Arial" w:cs="Arial"/>
          <w:sz w:val="20"/>
          <w:szCs w:val="20"/>
        </w:rPr>
      </w:pPr>
      <w:r w:rsidRPr="004D0313">
        <w:rPr>
          <w:rFonts w:ascii="Arial" w:hAnsi="Arial" w:cs="Arial"/>
          <w:color w:val="222222"/>
          <w:sz w:val="20"/>
          <w:szCs w:val="20"/>
          <w:shd w:val="clear" w:color="auto" w:fill="FFFFFF"/>
        </w:rPr>
        <w:t>Holliday, R.E., 2003. Reducing misinformation effects in children with cognitive interviews: Dissociating recollection and familiarity. </w:t>
      </w:r>
      <w:r w:rsidRPr="004D0313">
        <w:rPr>
          <w:rFonts w:ascii="Arial" w:hAnsi="Arial" w:cs="Arial"/>
          <w:i/>
          <w:iCs/>
          <w:color w:val="222222"/>
          <w:sz w:val="20"/>
          <w:szCs w:val="20"/>
          <w:shd w:val="clear" w:color="auto" w:fill="FFFFFF"/>
        </w:rPr>
        <w:t>Child development</w:t>
      </w:r>
      <w:r w:rsidRPr="004D0313">
        <w:rPr>
          <w:rFonts w:ascii="Arial" w:hAnsi="Arial" w:cs="Arial"/>
          <w:color w:val="222222"/>
          <w:sz w:val="20"/>
          <w:szCs w:val="20"/>
          <w:shd w:val="clear" w:color="auto" w:fill="FFFFFF"/>
        </w:rPr>
        <w:t>, </w:t>
      </w:r>
      <w:r w:rsidRPr="004D0313">
        <w:rPr>
          <w:rFonts w:ascii="Arial" w:hAnsi="Arial" w:cs="Arial"/>
          <w:i/>
          <w:iCs/>
          <w:color w:val="222222"/>
          <w:sz w:val="20"/>
          <w:szCs w:val="20"/>
          <w:shd w:val="clear" w:color="auto" w:fill="FFFFFF"/>
        </w:rPr>
        <w:t>74</w:t>
      </w:r>
      <w:r w:rsidRPr="004D0313">
        <w:rPr>
          <w:rFonts w:ascii="Arial" w:hAnsi="Arial" w:cs="Arial"/>
          <w:color w:val="222222"/>
          <w:sz w:val="20"/>
          <w:szCs w:val="20"/>
          <w:shd w:val="clear" w:color="auto" w:fill="FFFFFF"/>
        </w:rPr>
        <w:t xml:space="preserve">(3), pp.728-751. </w:t>
      </w:r>
    </w:p>
    <w:p w14:paraId="45746D30" w14:textId="77777777" w:rsidR="00226C15" w:rsidRPr="004D0313" w:rsidRDefault="00226C15">
      <w:pPr>
        <w:rPr>
          <w:rFonts w:ascii="Arial" w:hAnsi="Arial" w:cs="Arial"/>
          <w:color w:val="222222"/>
          <w:sz w:val="20"/>
          <w:szCs w:val="20"/>
          <w:shd w:val="clear" w:color="auto" w:fill="FFFFFF"/>
        </w:rPr>
      </w:pPr>
    </w:p>
    <w:p w14:paraId="3B9EE10F" w14:textId="77777777" w:rsidR="00226C15" w:rsidRPr="004D0313" w:rsidRDefault="00226C15">
      <w:pPr>
        <w:rPr>
          <w:rFonts w:ascii="Arial" w:hAnsi="Arial" w:cs="Arial"/>
          <w:color w:val="222222"/>
          <w:sz w:val="20"/>
          <w:szCs w:val="20"/>
          <w:shd w:val="clear" w:color="auto" w:fill="FFFFFF"/>
        </w:rPr>
      </w:pPr>
    </w:p>
    <w:p w14:paraId="5872D825" w14:textId="1E8DA926" w:rsidR="003D29C4" w:rsidRPr="004D0313" w:rsidRDefault="003D29C4">
      <w:pPr>
        <w:rPr>
          <w:rFonts w:ascii="Arial" w:hAnsi="Arial" w:cs="Arial"/>
          <w:b/>
          <w:bCs/>
          <w:sz w:val="20"/>
          <w:szCs w:val="20"/>
        </w:rPr>
      </w:pPr>
      <w:r w:rsidRPr="004D0313">
        <w:rPr>
          <w:rFonts w:ascii="Arial" w:hAnsi="Arial" w:cs="Arial"/>
          <w:color w:val="222222"/>
          <w:sz w:val="20"/>
          <w:szCs w:val="20"/>
          <w:shd w:val="clear" w:color="auto" w:fill="FFFFFF"/>
        </w:rPr>
        <w:t>Memon, A. and Gawrylowicz, J., 2018. The cognitive interview. </w:t>
      </w:r>
      <w:r w:rsidRPr="004D0313">
        <w:rPr>
          <w:rFonts w:ascii="Arial" w:hAnsi="Arial" w:cs="Arial"/>
          <w:i/>
          <w:iCs/>
          <w:color w:val="222222"/>
          <w:sz w:val="20"/>
          <w:szCs w:val="20"/>
          <w:shd w:val="clear" w:color="auto" w:fill="FFFFFF"/>
        </w:rPr>
        <w:t>The handbook of communication skills</w:t>
      </w:r>
      <w:r w:rsidRPr="004D0313">
        <w:rPr>
          <w:rFonts w:ascii="Arial" w:hAnsi="Arial" w:cs="Arial"/>
          <w:color w:val="222222"/>
          <w:sz w:val="20"/>
          <w:szCs w:val="20"/>
          <w:shd w:val="clear" w:color="auto" w:fill="FFFFFF"/>
        </w:rPr>
        <w:t>, pp.511-530.</w:t>
      </w:r>
    </w:p>
    <w:p w14:paraId="6AD18FA8" w14:textId="77777777" w:rsidR="00F1678A" w:rsidRPr="004D0313" w:rsidRDefault="00F1678A">
      <w:pPr>
        <w:rPr>
          <w:rFonts w:ascii="Arial" w:hAnsi="Arial" w:cs="Arial"/>
          <w:b/>
          <w:bCs/>
          <w:sz w:val="20"/>
          <w:szCs w:val="20"/>
        </w:rPr>
      </w:pPr>
    </w:p>
    <w:p w14:paraId="651559B4" w14:textId="5CC24429" w:rsidR="00F1678A" w:rsidRPr="004D0313" w:rsidRDefault="004E7633">
      <w:pPr>
        <w:rPr>
          <w:rFonts w:ascii="Arial" w:hAnsi="Arial" w:cs="Arial"/>
          <w:color w:val="222222"/>
          <w:sz w:val="20"/>
          <w:szCs w:val="20"/>
          <w:shd w:val="clear" w:color="auto" w:fill="FFFFFF"/>
        </w:rPr>
      </w:pPr>
      <w:r w:rsidRPr="004D0313">
        <w:rPr>
          <w:rFonts w:ascii="Arial" w:hAnsi="Arial" w:cs="Arial"/>
          <w:color w:val="222222"/>
          <w:sz w:val="20"/>
          <w:szCs w:val="20"/>
          <w:shd w:val="clear" w:color="auto" w:fill="FFFFFF"/>
        </w:rPr>
        <w:t>Memon, A., Meissner, C.A. and Fraser, J., 2010. The Cognitive Interview: A meta-analytic review and study space analysis of the past 25 years. </w:t>
      </w:r>
      <w:r w:rsidRPr="004D0313">
        <w:rPr>
          <w:rFonts w:ascii="Arial" w:hAnsi="Arial" w:cs="Arial"/>
          <w:i/>
          <w:iCs/>
          <w:color w:val="222222"/>
          <w:sz w:val="20"/>
          <w:szCs w:val="20"/>
          <w:shd w:val="clear" w:color="auto" w:fill="FFFFFF"/>
        </w:rPr>
        <w:t>Psychology, public policy, and law</w:t>
      </w:r>
      <w:r w:rsidRPr="004D0313">
        <w:rPr>
          <w:rFonts w:ascii="Arial" w:hAnsi="Arial" w:cs="Arial"/>
          <w:color w:val="222222"/>
          <w:sz w:val="20"/>
          <w:szCs w:val="20"/>
          <w:shd w:val="clear" w:color="auto" w:fill="FFFFFF"/>
        </w:rPr>
        <w:t>, </w:t>
      </w:r>
      <w:r w:rsidRPr="004D0313">
        <w:rPr>
          <w:rFonts w:ascii="Arial" w:hAnsi="Arial" w:cs="Arial"/>
          <w:i/>
          <w:iCs/>
          <w:color w:val="222222"/>
          <w:sz w:val="20"/>
          <w:szCs w:val="20"/>
          <w:shd w:val="clear" w:color="auto" w:fill="FFFFFF"/>
        </w:rPr>
        <w:t>16</w:t>
      </w:r>
      <w:r w:rsidRPr="004D0313">
        <w:rPr>
          <w:rFonts w:ascii="Arial" w:hAnsi="Arial" w:cs="Arial"/>
          <w:color w:val="222222"/>
          <w:sz w:val="20"/>
          <w:szCs w:val="20"/>
          <w:shd w:val="clear" w:color="auto" w:fill="FFFFFF"/>
        </w:rPr>
        <w:t>(4), p.340.</w:t>
      </w:r>
      <w:r w:rsidRPr="004D0313">
        <w:rPr>
          <w:rFonts w:ascii="Arial" w:hAnsi="Arial" w:cs="Arial"/>
          <w:color w:val="222222"/>
          <w:sz w:val="20"/>
          <w:szCs w:val="20"/>
          <w:shd w:val="clear" w:color="auto" w:fill="FFFFFF"/>
        </w:rPr>
        <w:t xml:space="preserve"> </w:t>
      </w:r>
    </w:p>
    <w:p w14:paraId="7502D0D7" w14:textId="77777777" w:rsidR="004E7633" w:rsidRPr="004D0313" w:rsidRDefault="004E7633">
      <w:pPr>
        <w:rPr>
          <w:rFonts w:ascii="Arial" w:hAnsi="Arial" w:cs="Arial"/>
          <w:color w:val="222222"/>
          <w:sz w:val="20"/>
          <w:szCs w:val="20"/>
          <w:shd w:val="clear" w:color="auto" w:fill="FFFFFF"/>
        </w:rPr>
      </w:pPr>
    </w:p>
    <w:p w14:paraId="7D91F57C" w14:textId="4F0F088F" w:rsidR="00FF29C2" w:rsidRPr="004D0313" w:rsidRDefault="00BE5913">
      <w:pPr>
        <w:rPr>
          <w:rFonts w:ascii="Arial" w:hAnsi="Arial" w:cs="Arial"/>
          <w:sz w:val="20"/>
          <w:szCs w:val="20"/>
        </w:rPr>
      </w:pPr>
      <w:r w:rsidRPr="004D0313">
        <w:rPr>
          <w:rFonts w:ascii="Arial" w:hAnsi="Arial" w:cs="Arial"/>
          <w:sz w:val="20"/>
          <w:szCs w:val="20"/>
        </w:rPr>
        <w:t>NSLEC (2004). Practical guide to investigative interviewing. Wybosten: National Centre for Policing Excellence.</w:t>
      </w:r>
    </w:p>
    <w:p w14:paraId="33A15006" w14:textId="77777777" w:rsidR="00666835" w:rsidRPr="004D0313" w:rsidRDefault="00666835">
      <w:pPr>
        <w:rPr>
          <w:rFonts w:ascii="Arial" w:hAnsi="Arial" w:cs="Arial"/>
          <w:sz w:val="20"/>
          <w:szCs w:val="20"/>
        </w:rPr>
      </w:pPr>
    </w:p>
    <w:p w14:paraId="4BDC7AA2" w14:textId="4EDCA805" w:rsidR="00666835" w:rsidRPr="004D0313" w:rsidRDefault="00666835">
      <w:pPr>
        <w:rPr>
          <w:rFonts w:ascii="Arial" w:hAnsi="Arial" w:cs="Arial"/>
          <w:sz w:val="20"/>
          <w:szCs w:val="20"/>
        </w:rPr>
      </w:pPr>
      <w:r w:rsidRPr="004D0313">
        <w:rPr>
          <w:rFonts w:ascii="Arial" w:hAnsi="Arial" w:cs="Arial"/>
          <w:sz w:val="20"/>
          <w:szCs w:val="20"/>
        </w:rPr>
        <w:t xml:space="preserve">Home Office. (2024) Police Workforce, England and Wales: 31 March 2023. Available at: </w:t>
      </w:r>
      <w:hyperlink w:history="1">
        <w:r w:rsidRPr="004D0313">
          <w:rPr>
            <w:rStyle w:val="Hyperlink"/>
            <w:rFonts w:ascii="Arial" w:hAnsi="Arial" w:cs="Arial"/>
            <w:sz w:val="20"/>
            <w:szCs w:val="20"/>
          </w:rPr>
          <w:t>Police workforce, England and Wales: 31 March 2023 (second edition) - GOV.UK (www.gov.uk)</w:t>
        </w:r>
      </w:hyperlink>
    </w:p>
    <w:p w14:paraId="227FE348" w14:textId="1C920F9D" w:rsidR="00666835" w:rsidRPr="004D0313" w:rsidRDefault="00666835">
      <w:pPr>
        <w:rPr>
          <w:rFonts w:ascii="Arial" w:hAnsi="Arial" w:cs="Arial"/>
          <w:sz w:val="20"/>
          <w:szCs w:val="20"/>
        </w:rPr>
      </w:pPr>
    </w:p>
    <w:bookmarkEnd w:id="0"/>
    <w:p w14:paraId="4D38E5AA" w14:textId="2617C226" w:rsidR="00666835" w:rsidRDefault="008012E0" w:rsidP="008012E0">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(Accessed 1</w:t>
      </w:r>
      <w:r>
        <w:rPr>
          <w:rFonts w:ascii="Arial" w:hAnsi="Arial" w:cs="Arial"/>
          <w:color w:val="222222"/>
          <w:sz w:val="20"/>
          <w:szCs w:val="20"/>
          <w:shd w:val="clear" w:color="auto" w:fill="FFFFFF"/>
        </w:rPr>
        <w:t>3</w:t>
      </w:r>
      <w:r w:rsidRPr="001324CD">
        <w:rPr>
          <w:rFonts w:ascii="Arial" w:hAnsi="Arial" w:cs="Arial"/>
          <w:color w:val="222222"/>
          <w:sz w:val="20"/>
          <w:szCs w:val="20"/>
          <w:shd w:val="clear" w:color="auto" w:fill="FFFFFF"/>
        </w:rPr>
        <w:t>/04/2024)</w:t>
      </w:r>
    </w:p>
    <w:p w14:paraId="38D288D6" w14:textId="77777777" w:rsidR="00DC2C6E" w:rsidRDefault="00DC2C6E" w:rsidP="008012E0">
      <w:pPr>
        <w:rPr>
          <w:rFonts w:ascii="Arial" w:hAnsi="Arial" w:cs="Arial"/>
          <w:color w:val="222222"/>
          <w:sz w:val="20"/>
          <w:szCs w:val="20"/>
          <w:shd w:val="clear" w:color="auto" w:fill="FFFFFF"/>
        </w:rPr>
      </w:pPr>
    </w:p>
    <w:p w14:paraId="27002457" w14:textId="77777777" w:rsidR="00DC2C6E" w:rsidRDefault="00DC2C6E" w:rsidP="008012E0">
      <w:pPr>
        <w:rPr>
          <w:rFonts w:ascii="Arial" w:hAnsi="Arial" w:cs="Arial"/>
          <w:color w:val="222222"/>
          <w:sz w:val="20"/>
          <w:szCs w:val="20"/>
          <w:shd w:val="clear" w:color="auto" w:fill="FFFFFF"/>
        </w:rPr>
      </w:pPr>
    </w:p>
    <w:p w14:paraId="5E41409B" w14:textId="77777777" w:rsidR="00DC2C6E" w:rsidRDefault="00DC2C6E" w:rsidP="008012E0">
      <w:pPr>
        <w:rPr>
          <w:rFonts w:ascii="Arial" w:hAnsi="Arial" w:cs="Arial"/>
          <w:color w:val="222222"/>
          <w:sz w:val="20"/>
          <w:szCs w:val="20"/>
          <w:shd w:val="clear" w:color="auto" w:fill="FFFFFF"/>
        </w:rPr>
      </w:pPr>
    </w:p>
    <w:p w14:paraId="419530F9" w14:textId="77777777" w:rsidR="00DC2C6E" w:rsidRDefault="00DC2C6E" w:rsidP="008012E0">
      <w:pPr>
        <w:rPr>
          <w:rFonts w:ascii="Arial" w:hAnsi="Arial" w:cs="Arial"/>
          <w:color w:val="222222"/>
          <w:sz w:val="20"/>
          <w:szCs w:val="20"/>
          <w:shd w:val="clear" w:color="auto" w:fill="FFFFFF"/>
        </w:rPr>
      </w:pPr>
    </w:p>
    <w:p w14:paraId="62D5139F" w14:textId="77777777" w:rsidR="00DC2C6E" w:rsidRDefault="00DC2C6E" w:rsidP="008012E0">
      <w:pPr>
        <w:rPr>
          <w:rFonts w:ascii="Arial" w:hAnsi="Arial" w:cs="Arial"/>
          <w:color w:val="222222"/>
          <w:sz w:val="20"/>
          <w:szCs w:val="20"/>
          <w:shd w:val="clear" w:color="auto" w:fill="FFFFFF"/>
        </w:rPr>
      </w:pPr>
    </w:p>
    <w:p w14:paraId="02433DE9" w14:textId="77777777" w:rsidR="00DC2C6E" w:rsidRDefault="00DC2C6E" w:rsidP="008012E0">
      <w:pPr>
        <w:rPr>
          <w:rFonts w:ascii="Arial" w:hAnsi="Arial" w:cs="Arial"/>
          <w:color w:val="222222"/>
          <w:sz w:val="20"/>
          <w:szCs w:val="20"/>
          <w:shd w:val="clear" w:color="auto" w:fill="FFFFFF"/>
        </w:rPr>
      </w:pPr>
    </w:p>
    <w:p w14:paraId="78CE5724" w14:textId="77777777" w:rsidR="00DC2C6E" w:rsidRDefault="00DC2C6E" w:rsidP="008012E0">
      <w:pPr>
        <w:rPr>
          <w:rFonts w:ascii="Arial" w:hAnsi="Arial" w:cs="Arial"/>
          <w:color w:val="222222"/>
          <w:sz w:val="20"/>
          <w:szCs w:val="20"/>
          <w:shd w:val="clear" w:color="auto" w:fill="FFFFFF"/>
        </w:rPr>
      </w:pPr>
    </w:p>
    <w:p w14:paraId="667C88D6" w14:textId="77777777" w:rsidR="00DC2C6E" w:rsidRDefault="00DC2C6E" w:rsidP="008012E0">
      <w:pPr>
        <w:rPr>
          <w:rFonts w:ascii="Arial" w:hAnsi="Arial" w:cs="Arial"/>
          <w:color w:val="222222"/>
          <w:sz w:val="20"/>
          <w:szCs w:val="20"/>
          <w:shd w:val="clear" w:color="auto" w:fill="FFFFFF"/>
        </w:rPr>
      </w:pPr>
    </w:p>
    <w:p w14:paraId="57F89F2F" w14:textId="77777777" w:rsidR="00DC2C6E" w:rsidRPr="001324CD" w:rsidRDefault="00DC2C6E" w:rsidP="00DC2C6E">
      <w:pPr>
        <w:rPr>
          <w:rFonts w:ascii="Arial" w:hAnsi="Arial" w:cs="Arial"/>
          <w:b/>
          <w:bCs/>
          <w:sz w:val="20"/>
          <w:szCs w:val="20"/>
        </w:rPr>
      </w:pPr>
      <w:r w:rsidRPr="001324CD">
        <w:rPr>
          <w:rFonts w:ascii="Arial" w:hAnsi="Arial" w:cs="Arial"/>
          <w:b/>
          <w:bCs/>
          <w:sz w:val="20"/>
          <w:szCs w:val="20"/>
        </w:rPr>
        <w:lastRenderedPageBreak/>
        <w:t>Examine the various socio-economic and psychological characteristics which can make people vulnerable to exploitation by criminal gangs. Your answer must be based on academic research rather than personal experience. Word limit: 1000 words</w:t>
      </w:r>
    </w:p>
    <w:p w14:paraId="77FFB818" w14:textId="77777777" w:rsidR="00DC2C6E" w:rsidRPr="001324CD" w:rsidRDefault="00DC2C6E" w:rsidP="00DC2C6E">
      <w:pPr>
        <w:rPr>
          <w:rFonts w:ascii="Arial" w:hAnsi="Arial" w:cs="Arial"/>
          <w:b/>
          <w:bCs/>
          <w:sz w:val="20"/>
          <w:szCs w:val="20"/>
        </w:rPr>
      </w:pPr>
    </w:p>
    <w:p w14:paraId="284671BF" w14:textId="77777777" w:rsidR="00DC2C6E" w:rsidRPr="001324CD" w:rsidRDefault="00DC2C6E" w:rsidP="00DC2C6E">
      <w:pPr>
        <w:rPr>
          <w:rFonts w:ascii="Arial" w:hAnsi="Arial" w:cs="Arial"/>
          <w:sz w:val="20"/>
          <w:szCs w:val="20"/>
        </w:rPr>
      </w:pPr>
      <w:r w:rsidRPr="001324CD">
        <w:rPr>
          <w:rFonts w:ascii="Arial" w:hAnsi="Arial" w:cs="Arial"/>
          <w:sz w:val="20"/>
          <w:szCs w:val="20"/>
        </w:rPr>
        <w:t>Criminal gangs target certain people within society who present themselves with various socio-economic and psychological characteristics and gangs capitalise on these characteristics for their own gain. Criminal gangs are now operating at a much larger scale within the UK and more and more persons are being exploited as a result. Wales Safer Communities Network (2024) states that criminal exploitation is the manipulation and coercion through abuse of power and controlling tactics over another. It is used to criminal person gain, and it can be used through slavery means and being controlled by a single person or a group of individuals.</w:t>
      </w:r>
    </w:p>
    <w:p w14:paraId="31867E22" w14:textId="77777777" w:rsidR="00DC2C6E" w:rsidRPr="001324CD" w:rsidRDefault="00DC2C6E" w:rsidP="00DC2C6E">
      <w:pPr>
        <w:rPr>
          <w:rFonts w:ascii="Arial" w:hAnsi="Arial" w:cs="Arial"/>
          <w:sz w:val="20"/>
          <w:szCs w:val="20"/>
        </w:rPr>
      </w:pPr>
    </w:p>
    <w:p w14:paraId="0FA1BEB6" w14:textId="27CAF498" w:rsidR="00DC2C6E" w:rsidRPr="001324CD" w:rsidRDefault="00DC2C6E" w:rsidP="00DC2C6E">
      <w:pPr>
        <w:rPr>
          <w:rFonts w:ascii="Arial" w:hAnsi="Arial" w:cs="Arial"/>
          <w:sz w:val="20"/>
          <w:szCs w:val="20"/>
        </w:rPr>
      </w:pPr>
      <w:r w:rsidRPr="001324CD">
        <w:rPr>
          <w:rFonts w:ascii="Arial" w:hAnsi="Arial" w:cs="Arial"/>
          <w:sz w:val="20"/>
          <w:szCs w:val="20"/>
        </w:rPr>
        <w:t>O’Hagan and Edmundson (2021) explored the exploitation of vulnerable members of society and county lines. The study found that within the UK the exploitation of young children, women, and local users was widely used. Specifically focusing on county lines exploitation, the research suggested that children between the ages of 15 to 17 years-old are the most used within criminal gangs. It found that the aspects which made children vulnerable to exploitation included poverty</w:t>
      </w:r>
      <w:r>
        <w:rPr>
          <w:rFonts w:ascii="Arial" w:hAnsi="Arial" w:cs="Arial"/>
          <w:sz w:val="20"/>
          <w:szCs w:val="20"/>
        </w:rPr>
        <w:t xml:space="preserve">, social exclusion, and many more factors. </w:t>
      </w:r>
      <w:r w:rsidRPr="001324CD">
        <w:rPr>
          <w:rFonts w:ascii="Arial" w:hAnsi="Arial" w:cs="Arial"/>
          <w:sz w:val="20"/>
          <w:szCs w:val="20"/>
        </w:rPr>
        <w:t>The young people fall victim</w:t>
      </w:r>
      <w:r>
        <w:rPr>
          <w:rFonts w:ascii="Arial" w:hAnsi="Arial" w:cs="Arial"/>
          <w:sz w:val="20"/>
          <w:szCs w:val="20"/>
        </w:rPr>
        <w:t xml:space="preserve"> criminal exploitation due to the gangs promoting an </w:t>
      </w:r>
      <w:r w:rsidRPr="001324CD">
        <w:rPr>
          <w:rFonts w:ascii="Arial" w:hAnsi="Arial" w:cs="Arial"/>
          <w:sz w:val="20"/>
          <w:szCs w:val="20"/>
        </w:rPr>
        <w:t>extravagant lifestyle which is posed as a rewar</w:t>
      </w:r>
      <w:r>
        <w:rPr>
          <w:rFonts w:ascii="Arial" w:hAnsi="Arial" w:cs="Arial"/>
          <w:sz w:val="20"/>
          <w:szCs w:val="20"/>
        </w:rPr>
        <w:t xml:space="preserve">d. Criminal </w:t>
      </w:r>
      <w:r w:rsidRPr="001324CD">
        <w:rPr>
          <w:rFonts w:ascii="Arial" w:hAnsi="Arial" w:cs="Arial"/>
          <w:sz w:val="20"/>
          <w:szCs w:val="20"/>
        </w:rPr>
        <w:t xml:space="preserve">gangs </w:t>
      </w:r>
      <w:r>
        <w:rPr>
          <w:rFonts w:ascii="Arial" w:hAnsi="Arial" w:cs="Arial"/>
          <w:sz w:val="20"/>
          <w:szCs w:val="20"/>
        </w:rPr>
        <w:t xml:space="preserve">often search for persons to target via social media platforms and will </w:t>
      </w:r>
      <w:r w:rsidRPr="001324CD">
        <w:rPr>
          <w:rFonts w:ascii="Arial" w:hAnsi="Arial" w:cs="Arial"/>
          <w:sz w:val="20"/>
          <w:szCs w:val="20"/>
        </w:rPr>
        <w:t xml:space="preserve">often target those who are in poverty or from a lower socio-economic status meaning they are easier to recruit. </w:t>
      </w:r>
    </w:p>
    <w:p w14:paraId="4B1E1639" w14:textId="77777777" w:rsidR="00DC2C6E" w:rsidRPr="001324CD" w:rsidRDefault="00DC2C6E" w:rsidP="00DC2C6E">
      <w:pPr>
        <w:rPr>
          <w:rFonts w:ascii="Arial" w:hAnsi="Arial" w:cs="Arial"/>
          <w:sz w:val="20"/>
          <w:szCs w:val="20"/>
        </w:rPr>
      </w:pPr>
    </w:p>
    <w:p w14:paraId="5C4754D5" w14:textId="77777777" w:rsidR="00DC2C6E" w:rsidRPr="001324CD" w:rsidRDefault="00DC2C6E" w:rsidP="00DC2C6E">
      <w:pPr>
        <w:rPr>
          <w:rFonts w:ascii="Arial" w:hAnsi="Arial" w:cs="Arial"/>
          <w:sz w:val="20"/>
          <w:szCs w:val="20"/>
        </w:rPr>
      </w:pPr>
      <w:r w:rsidRPr="001324CD">
        <w:rPr>
          <w:rFonts w:ascii="Arial" w:hAnsi="Arial" w:cs="Arial"/>
          <w:sz w:val="20"/>
          <w:szCs w:val="20"/>
        </w:rPr>
        <w:t xml:space="preserve">NSPCC (2024) also supports this idea and states that criminal gangs can groom and coerce young people into joining a gang by promising them rewards and that they will make money from this, often young people who are living in poverty will be targeted as the promise of financial gain can attract young people in and means they are for liable to exploitation. </w:t>
      </w:r>
    </w:p>
    <w:p w14:paraId="378E5E33" w14:textId="77777777" w:rsidR="00DC2C6E" w:rsidRPr="001324CD" w:rsidRDefault="00DC2C6E" w:rsidP="00DC2C6E">
      <w:pPr>
        <w:rPr>
          <w:rFonts w:ascii="Arial" w:hAnsi="Arial" w:cs="Arial"/>
          <w:sz w:val="20"/>
          <w:szCs w:val="20"/>
        </w:rPr>
      </w:pPr>
    </w:p>
    <w:p w14:paraId="6BC096CD" w14:textId="77777777" w:rsidR="00DC2C6E" w:rsidRPr="001324CD" w:rsidRDefault="00DC2C6E" w:rsidP="00DC2C6E">
      <w:pPr>
        <w:rPr>
          <w:rFonts w:ascii="Arial" w:hAnsi="Arial" w:cs="Arial"/>
          <w:sz w:val="20"/>
          <w:szCs w:val="20"/>
        </w:rPr>
      </w:pPr>
      <w:r w:rsidRPr="001324CD">
        <w:rPr>
          <w:rFonts w:ascii="Arial" w:hAnsi="Arial" w:cs="Arial"/>
          <w:sz w:val="20"/>
          <w:szCs w:val="20"/>
        </w:rPr>
        <w:t xml:space="preserve">Marginalised communities who face social exclusion can make themselves vulnerable to exploitation to criminal gangs. United Against Violence (2024) is an organisation which focuses on social and economic factors which lead people to become vulnerable to gang exploitation. It stated that people who experience emotions of isolation due to discrimination, prejudice, and restricted social integration may gravitate into gangs for safety, acceptance, and a sense of identity. These emotions of alienation are frequently used by gangs as a recruiting and retention tactic. </w:t>
      </w:r>
      <w:r>
        <w:rPr>
          <w:rFonts w:ascii="Arial" w:hAnsi="Arial" w:cs="Arial"/>
          <w:sz w:val="20"/>
          <w:szCs w:val="20"/>
        </w:rPr>
        <w:t xml:space="preserve">Gangs can use this by promising isolated people that they will protect them and that they will have loyalty and a sense of community by joining these criminal gangs as a way of coercing isolated individuals into joining a criminal gang. </w:t>
      </w:r>
    </w:p>
    <w:p w14:paraId="5666333A" w14:textId="77777777" w:rsidR="00DC2C6E" w:rsidRPr="001324CD" w:rsidRDefault="00DC2C6E" w:rsidP="00DC2C6E">
      <w:pPr>
        <w:rPr>
          <w:rFonts w:ascii="Arial" w:hAnsi="Arial" w:cs="Arial"/>
          <w:sz w:val="20"/>
          <w:szCs w:val="20"/>
        </w:rPr>
      </w:pPr>
    </w:p>
    <w:p w14:paraId="29C8228C" w14:textId="77777777" w:rsidR="00DC2C6E" w:rsidRPr="001324CD" w:rsidRDefault="00DC2C6E" w:rsidP="00DC2C6E">
      <w:pPr>
        <w:rPr>
          <w:rFonts w:ascii="Arial" w:hAnsi="Arial" w:cs="Arial"/>
          <w:sz w:val="20"/>
          <w:szCs w:val="20"/>
        </w:rPr>
      </w:pPr>
      <w:r>
        <w:rPr>
          <w:rFonts w:ascii="Arial" w:hAnsi="Arial" w:cs="Arial"/>
          <w:sz w:val="20"/>
          <w:szCs w:val="20"/>
        </w:rPr>
        <w:t>Whilst social factors do play a role in the exploitation of vulnerable persons, p</w:t>
      </w:r>
      <w:r w:rsidRPr="001324CD">
        <w:rPr>
          <w:rFonts w:ascii="Arial" w:hAnsi="Arial" w:cs="Arial"/>
          <w:sz w:val="20"/>
          <w:szCs w:val="20"/>
        </w:rPr>
        <w:t xml:space="preserve">sychological factors can </w:t>
      </w:r>
      <w:r>
        <w:rPr>
          <w:rFonts w:ascii="Arial" w:hAnsi="Arial" w:cs="Arial"/>
          <w:sz w:val="20"/>
          <w:szCs w:val="20"/>
        </w:rPr>
        <w:t xml:space="preserve">also </w:t>
      </w:r>
      <w:r w:rsidRPr="001324CD">
        <w:rPr>
          <w:rFonts w:ascii="Arial" w:hAnsi="Arial" w:cs="Arial"/>
          <w:sz w:val="20"/>
          <w:szCs w:val="20"/>
        </w:rPr>
        <w:t>have a big impact of gangs targeting those with these vulnerabilities. People who have experience trauma and abuse within their life are more likely to be targeted as they can be susceptible to manipulation and exploitation by gangs. Harvard et al (2023) examined street gangs and coercive control, specifically, focusing on young women and girls in criminal gang</w:t>
      </w:r>
      <w:r>
        <w:rPr>
          <w:rFonts w:ascii="Arial" w:hAnsi="Arial" w:cs="Arial"/>
          <w:sz w:val="20"/>
          <w:szCs w:val="20"/>
        </w:rPr>
        <w:t>s. T</w:t>
      </w:r>
      <w:r w:rsidRPr="001324CD">
        <w:rPr>
          <w:rFonts w:ascii="Arial" w:hAnsi="Arial" w:cs="Arial"/>
          <w:sz w:val="20"/>
          <w:szCs w:val="20"/>
        </w:rPr>
        <w:t xml:space="preserve">he findings suggested that young women who are targeted by gangs are likely to have experiences neglect and abuse whilst growing up in their family home in comparison to females not involved in criminal gangs. Sutton House Academy (2024) looks at the effects young people experiencing abuse as a child, it states that it has detrimental effects which are long-lasting. A key effect of abuse is a lack of self-confident and self-esteem which is carried into all aspects over their lives. </w:t>
      </w:r>
    </w:p>
    <w:p w14:paraId="7DE20C9A" w14:textId="77777777" w:rsidR="00DC2C6E" w:rsidRPr="001324CD" w:rsidRDefault="00DC2C6E" w:rsidP="00DC2C6E">
      <w:pPr>
        <w:rPr>
          <w:rFonts w:ascii="Arial" w:hAnsi="Arial" w:cs="Arial"/>
          <w:sz w:val="20"/>
          <w:szCs w:val="20"/>
        </w:rPr>
      </w:pPr>
    </w:p>
    <w:p w14:paraId="640A758A" w14:textId="77777777" w:rsidR="00DC2C6E" w:rsidRPr="001324CD" w:rsidRDefault="00DC2C6E" w:rsidP="00DC2C6E">
      <w:pPr>
        <w:rPr>
          <w:rFonts w:ascii="Arial" w:hAnsi="Arial" w:cs="Arial"/>
          <w:sz w:val="20"/>
          <w:szCs w:val="20"/>
        </w:rPr>
      </w:pPr>
      <w:r w:rsidRPr="001324CD">
        <w:rPr>
          <w:rFonts w:ascii="Arial" w:hAnsi="Arial" w:cs="Arial"/>
          <w:sz w:val="20"/>
          <w:szCs w:val="20"/>
        </w:rPr>
        <w:t>Dmitrieva (2014) supports the idea that low self-esteem is a psychological risk factor for the recruitment of criminal gangs</w:t>
      </w:r>
      <w:r>
        <w:rPr>
          <w:rFonts w:ascii="Arial" w:hAnsi="Arial" w:cs="Arial"/>
          <w:sz w:val="20"/>
          <w:szCs w:val="20"/>
        </w:rPr>
        <w:t xml:space="preserve">. Although, </w:t>
      </w:r>
      <w:r w:rsidRPr="001324CD">
        <w:rPr>
          <w:rFonts w:ascii="Arial" w:hAnsi="Arial" w:cs="Arial"/>
          <w:sz w:val="20"/>
          <w:szCs w:val="20"/>
        </w:rPr>
        <w:t>whilst the relationship between low self-esteem and gang membership is ambiguous</w:t>
      </w:r>
      <w:r>
        <w:rPr>
          <w:rFonts w:ascii="Arial" w:hAnsi="Arial" w:cs="Arial"/>
          <w:sz w:val="20"/>
          <w:szCs w:val="20"/>
        </w:rPr>
        <w:t xml:space="preserve"> and there is limited research to suggest that there is a causal link.</w:t>
      </w:r>
      <w:r w:rsidRPr="001324CD">
        <w:rPr>
          <w:rFonts w:ascii="Arial" w:hAnsi="Arial" w:cs="Arial"/>
          <w:sz w:val="20"/>
          <w:szCs w:val="20"/>
        </w:rPr>
        <w:t xml:space="preserve"> It is suggested that those who pose with low self-esteem are more likely to be exposed to antisocial peer pressures to feel a sense of belonging due to their failed attempts of positive self-worth. Therefore, those with low self-esteem </w:t>
      </w:r>
      <w:r>
        <w:rPr>
          <w:rFonts w:ascii="Arial" w:hAnsi="Arial" w:cs="Arial"/>
          <w:sz w:val="20"/>
          <w:szCs w:val="20"/>
        </w:rPr>
        <w:t>who are looking for acceptance into groups and are exposed to antisocial peer pressures are</w:t>
      </w:r>
      <w:r w:rsidRPr="001324CD">
        <w:rPr>
          <w:rFonts w:ascii="Arial" w:hAnsi="Arial" w:cs="Arial"/>
          <w:sz w:val="20"/>
          <w:szCs w:val="20"/>
        </w:rPr>
        <w:t xml:space="preserve"> easier to recruit into gang culture</w:t>
      </w:r>
      <w:r>
        <w:rPr>
          <w:rFonts w:ascii="Arial" w:hAnsi="Arial" w:cs="Arial"/>
          <w:sz w:val="20"/>
          <w:szCs w:val="20"/>
        </w:rPr>
        <w:t xml:space="preserve"> as they are</w:t>
      </w:r>
      <w:r w:rsidRPr="001324CD">
        <w:rPr>
          <w:rFonts w:ascii="Arial" w:hAnsi="Arial" w:cs="Arial"/>
          <w:sz w:val="20"/>
          <w:szCs w:val="20"/>
        </w:rPr>
        <w:t xml:space="preserve"> in an attempt to gain approval and desire for belonging. </w:t>
      </w:r>
    </w:p>
    <w:p w14:paraId="004C2A3F" w14:textId="77777777" w:rsidR="00DC2C6E" w:rsidRPr="001324CD" w:rsidRDefault="00DC2C6E" w:rsidP="00DC2C6E">
      <w:pPr>
        <w:rPr>
          <w:rFonts w:ascii="Arial" w:hAnsi="Arial" w:cs="Arial"/>
          <w:sz w:val="20"/>
          <w:szCs w:val="20"/>
        </w:rPr>
      </w:pPr>
    </w:p>
    <w:p w14:paraId="04FD50B6" w14:textId="77777777" w:rsidR="00DC2C6E" w:rsidRPr="001324CD" w:rsidRDefault="00DC2C6E" w:rsidP="00DC2C6E">
      <w:pPr>
        <w:rPr>
          <w:rFonts w:ascii="Arial" w:hAnsi="Arial" w:cs="Arial"/>
          <w:sz w:val="20"/>
          <w:szCs w:val="20"/>
        </w:rPr>
      </w:pPr>
      <w:r w:rsidRPr="001324CD">
        <w:rPr>
          <w:rFonts w:ascii="Arial" w:hAnsi="Arial" w:cs="Arial"/>
          <w:sz w:val="20"/>
          <w:szCs w:val="20"/>
        </w:rPr>
        <w:t xml:space="preserve">Mental health disorders and issues can make individuals vulnerable to exploitation of gangs, Calderoni et al (2022) conducted qualitative and quantitative research on a systematic review of individual-level risk factors related to criminal gang recruitment. Focusing on mental health issues, studies examined that there was no significant link between persons suffering with anxiety and </w:t>
      </w:r>
      <w:r w:rsidRPr="001324CD">
        <w:rPr>
          <w:rFonts w:ascii="Arial" w:hAnsi="Arial" w:cs="Arial"/>
          <w:sz w:val="20"/>
          <w:szCs w:val="20"/>
        </w:rPr>
        <w:lastRenderedPageBreak/>
        <w:t>organised crime gang membership. However, when the research looked at the link between depression which indicated there was a positive and significant link between those who are suffering with depression and their involvement in criminal gangs. This suggest</w:t>
      </w:r>
      <w:r>
        <w:rPr>
          <w:rFonts w:ascii="Arial" w:hAnsi="Arial" w:cs="Arial"/>
          <w:sz w:val="20"/>
          <w:szCs w:val="20"/>
        </w:rPr>
        <w:t>s</w:t>
      </w:r>
      <w:r w:rsidRPr="001324CD">
        <w:rPr>
          <w:rFonts w:ascii="Arial" w:hAnsi="Arial" w:cs="Arial"/>
          <w:sz w:val="20"/>
          <w:szCs w:val="20"/>
        </w:rPr>
        <w:t xml:space="preserve"> that those who suffer with depression are more likely to be targeted by gangs when recruiting and exploiting people</w:t>
      </w:r>
      <w:r>
        <w:rPr>
          <w:rFonts w:ascii="Arial" w:hAnsi="Arial" w:cs="Arial"/>
          <w:sz w:val="20"/>
          <w:szCs w:val="20"/>
        </w:rPr>
        <w:t xml:space="preserve">, this can be a variety of reasons but one being that it gives the person a sense of well-being or purpose that they are involved in a group who supposedly looks after them through financial gain. </w:t>
      </w:r>
    </w:p>
    <w:p w14:paraId="050E14D6" w14:textId="77777777" w:rsidR="00DC2C6E" w:rsidRPr="001324CD" w:rsidRDefault="00DC2C6E" w:rsidP="00DC2C6E">
      <w:pPr>
        <w:rPr>
          <w:rFonts w:ascii="Arial" w:hAnsi="Arial" w:cs="Arial"/>
          <w:sz w:val="20"/>
          <w:szCs w:val="20"/>
        </w:rPr>
      </w:pPr>
    </w:p>
    <w:p w14:paraId="084218DE" w14:textId="77777777" w:rsidR="00DC2C6E" w:rsidRPr="001324CD" w:rsidRDefault="00DC2C6E" w:rsidP="00DC2C6E">
      <w:pPr>
        <w:rPr>
          <w:rFonts w:ascii="Arial" w:hAnsi="Arial" w:cs="Arial"/>
          <w:sz w:val="20"/>
          <w:szCs w:val="20"/>
        </w:rPr>
      </w:pPr>
      <w:r w:rsidRPr="001324CD">
        <w:rPr>
          <w:rFonts w:ascii="Arial" w:hAnsi="Arial" w:cs="Arial"/>
          <w:sz w:val="20"/>
          <w:szCs w:val="20"/>
        </w:rPr>
        <w:t xml:space="preserve">To conclude, criminal gangs seek out those in the communities who shows signs of vulnerabilities as outlined above and capitalise on these to gain control and power of individuals. Once these gangs have control over one aspect of </w:t>
      </w:r>
      <w:r>
        <w:rPr>
          <w:rFonts w:ascii="Arial" w:hAnsi="Arial" w:cs="Arial"/>
          <w:sz w:val="20"/>
          <w:szCs w:val="20"/>
        </w:rPr>
        <w:t>people’s lives</w:t>
      </w:r>
      <w:r w:rsidRPr="001324CD">
        <w:rPr>
          <w:rFonts w:ascii="Arial" w:hAnsi="Arial" w:cs="Arial"/>
          <w:sz w:val="20"/>
          <w:szCs w:val="20"/>
        </w:rPr>
        <w:t xml:space="preserve">, they begin to use coercive control and deception means to control </w:t>
      </w:r>
      <w:r>
        <w:rPr>
          <w:rFonts w:ascii="Arial" w:hAnsi="Arial" w:cs="Arial"/>
          <w:sz w:val="20"/>
          <w:szCs w:val="20"/>
        </w:rPr>
        <w:t>their</w:t>
      </w:r>
      <w:r w:rsidRPr="001324CD">
        <w:rPr>
          <w:rFonts w:ascii="Arial" w:hAnsi="Arial" w:cs="Arial"/>
          <w:sz w:val="20"/>
          <w:szCs w:val="20"/>
        </w:rPr>
        <w:t xml:space="preserve"> li</w:t>
      </w:r>
      <w:r>
        <w:rPr>
          <w:rFonts w:ascii="Arial" w:hAnsi="Arial" w:cs="Arial"/>
          <w:sz w:val="20"/>
          <w:szCs w:val="20"/>
        </w:rPr>
        <w:t xml:space="preserve">ves </w:t>
      </w:r>
      <w:r w:rsidRPr="001324CD">
        <w:rPr>
          <w:rFonts w:ascii="Arial" w:hAnsi="Arial" w:cs="Arial"/>
          <w:sz w:val="20"/>
          <w:szCs w:val="20"/>
        </w:rPr>
        <w:t xml:space="preserve">and force the individual to </w:t>
      </w:r>
      <w:r>
        <w:rPr>
          <w:rFonts w:ascii="Arial" w:hAnsi="Arial" w:cs="Arial"/>
          <w:sz w:val="20"/>
          <w:szCs w:val="20"/>
        </w:rPr>
        <w:t xml:space="preserve">become </w:t>
      </w:r>
      <w:r w:rsidRPr="001324CD">
        <w:rPr>
          <w:rFonts w:ascii="Arial" w:hAnsi="Arial" w:cs="Arial"/>
          <w:sz w:val="20"/>
          <w:szCs w:val="20"/>
        </w:rPr>
        <w:t>isolated to that gang, preventing them to leave</w:t>
      </w:r>
      <w:r>
        <w:rPr>
          <w:rFonts w:ascii="Arial" w:hAnsi="Arial" w:cs="Arial"/>
          <w:sz w:val="20"/>
          <w:szCs w:val="20"/>
        </w:rPr>
        <w:t xml:space="preserve">. </w:t>
      </w:r>
    </w:p>
    <w:p w14:paraId="6AC0B602" w14:textId="77777777" w:rsidR="00DC2C6E" w:rsidRPr="001324CD" w:rsidRDefault="00DC2C6E" w:rsidP="00DC2C6E">
      <w:pPr>
        <w:rPr>
          <w:rFonts w:ascii="Arial" w:hAnsi="Arial" w:cs="Arial"/>
          <w:sz w:val="20"/>
          <w:szCs w:val="20"/>
        </w:rPr>
      </w:pPr>
    </w:p>
    <w:p w14:paraId="7E136121" w14:textId="77777777" w:rsidR="00DC2C6E" w:rsidRPr="001324CD" w:rsidRDefault="00DC2C6E" w:rsidP="00DC2C6E">
      <w:pPr>
        <w:rPr>
          <w:rFonts w:ascii="Arial" w:hAnsi="Arial" w:cs="Arial"/>
          <w:sz w:val="20"/>
          <w:szCs w:val="20"/>
        </w:rPr>
      </w:pPr>
    </w:p>
    <w:p w14:paraId="48822706" w14:textId="77777777" w:rsidR="00DC2C6E" w:rsidRPr="001324CD" w:rsidRDefault="00DC2C6E" w:rsidP="00DC2C6E">
      <w:pPr>
        <w:rPr>
          <w:rFonts w:ascii="Arial" w:hAnsi="Arial" w:cs="Arial"/>
          <w:b/>
          <w:bCs/>
          <w:sz w:val="20"/>
          <w:szCs w:val="20"/>
        </w:rPr>
      </w:pPr>
      <w:r w:rsidRPr="001324CD">
        <w:rPr>
          <w:rFonts w:ascii="Arial" w:hAnsi="Arial" w:cs="Arial"/>
          <w:b/>
          <w:bCs/>
          <w:sz w:val="20"/>
          <w:szCs w:val="20"/>
        </w:rPr>
        <w:t>Bibliography:</w:t>
      </w:r>
    </w:p>
    <w:p w14:paraId="441FEAB8" w14:textId="77777777" w:rsidR="00DC2C6E" w:rsidRPr="001324CD" w:rsidRDefault="00DC2C6E" w:rsidP="00DC2C6E">
      <w:pPr>
        <w:rPr>
          <w:rFonts w:ascii="Arial" w:hAnsi="Arial" w:cs="Arial"/>
          <w:sz w:val="20"/>
          <w:szCs w:val="20"/>
        </w:rPr>
      </w:pPr>
    </w:p>
    <w:p w14:paraId="177C7102" w14:textId="77777777" w:rsidR="00DC2C6E" w:rsidRPr="001324CD" w:rsidRDefault="00DC2C6E" w:rsidP="00DC2C6E">
      <w:pPr>
        <w:rPr>
          <w:rFonts w:ascii="Arial" w:hAnsi="Arial" w:cs="Arial"/>
          <w:sz w:val="20"/>
          <w:szCs w:val="20"/>
        </w:rPr>
      </w:pPr>
    </w:p>
    <w:p w14:paraId="1C081D3D" w14:textId="77777777" w:rsidR="00DC2C6E" w:rsidRPr="001324CD" w:rsidRDefault="00DC2C6E" w:rsidP="00DC2C6E">
      <w:pPr>
        <w:rPr>
          <w:rFonts w:ascii="Arial" w:hAnsi="Arial" w:cs="Arial"/>
          <w:sz w:val="20"/>
          <w:szCs w:val="20"/>
        </w:rPr>
      </w:pPr>
      <w:r w:rsidRPr="001324CD">
        <w:rPr>
          <w:rFonts w:ascii="Arial" w:hAnsi="Arial" w:cs="Arial"/>
          <w:color w:val="222222"/>
          <w:sz w:val="20"/>
          <w:szCs w:val="20"/>
          <w:shd w:val="clear" w:color="auto" w:fill="FFFFFF"/>
        </w:rPr>
        <w:t>Calderoni, F., Comunale, T., Campedelli, G.M., Marchesi, M., Manzi, D. and Frualdo, N., 2022. Organized crime groups: A systematic review of individual</w:t>
      </w:r>
      <w:r w:rsidRPr="001324CD">
        <w:rPr>
          <w:rFonts w:ascii="Cambria Math" w:hAnsi="Cambria Math" w:cs="Cambria Math"/>
          <w:color w:val="222222"/>
          <w:sz w:val="20"/>
          <w:szCs w:val="20"/>
          <w:shd w:val="clear" w:color="auto" w:fill="FFFFFF"/>
        </w:rPr>
        <w:t>‐</w:t>
      </w:r>
      <w:r w:rsidRPr="001324CD">
        <w:rPr>
          <w:rFonts w:ascii="Arial" w:hAnsi="Arial" w:cs="Arial"/>
          <w:color w:val="222222"/>
          <w:sz w:val="20"/>
          <w:szCs w:val="20"/>
          <w:shd w:val="clear" w:color="auto" w:fill="FFFFFF"/>
        </w:rPr>
        <w:t>level risk factors related to recruitment. </w:t>
      </w:r>
      <w:r w:rsidRPr="001324CD">
        <w:rPr>
          <w:rFonts w:ascii="Arial" w:hAnsi="Arial" w:cs="Arial"/>
          <w:i/>
          <w:iCs/>
          <w:color w:val="222222"/>
          <w:sz w:val="20"/>
          <w:szCs w:val="20"/>
          <w:shd w:val="clear" w:color="auto" w:fill="FFFFFF"/>
        </w:rPr>
        <w:t>Campbell systematic reviews</w:t>
      </w:r>
      <w:r w:rsidRPr="001324CD">
        <w:rPr>
          <w:rFonts w:ascii="Arial" w:hAnsi="Arial" w:cs="Arial"/>
          <w:color w:val="222222"/>
          <w:sz w:val="20"/>
          <w:szCs w:val="20"/>
          <w:shd w:val="clear" w:color="auto" w:fill="FFFFFF"/>
        </w:rPr>
        <w:t>, </w:t>
      </w:r>
      <w:r w:rsidRPr="001324CD">
        <w:rPr>
          <w:rFonts w:ascii="Arial" w:hAnsi="Arial" w:cs="Arial"/>
          <w:i/>
          <w:iCs/>
          <w:color w:val="222222"/>
          <w:sz w:val="20"/>
          <w:szCs w:val="20"/>
          <w:shd w:val="clear" w:color="auto" w:fill="FFFFFF"/>
        </w:rPr>
        <w:t>18</w:t>
      </w:r>
      <w:r w:rsidRPr="001324CD">
        <w:rPr>
          <w:rFonts w:ascii="Arial" w:hAnsi="Arial" w:cs="Arial"/>
          <w:color w:val="222222"/>
          <w:sz w:val="20"/>
          <w:szCs w:val="20"/>
          <w:shd w:val="clear" w:color="auto" w:fill="FFFFFF"/>
        </w:rPr>
        <w:t>(1), p.e1218</w:t>
      </w:r>
    </w:p>
    <w:p w14:paraId="7E5679E2" w14:textId="77777777" w:rsidR="00DC2C6E" w:rsidRPr="001324CD" w:rsidRDefault="00DC2C6E" w:rsidP="00DC2C6E">
      <w:pPr>
        <w:rPr>
          <w:rFonts w:ascii="Arial" w:hAnsi="Arial" w:cs="Arial"/>
          <w:sz w:val="20"/>
          <w:szCs w:val="20"/>
        </w:rPr>
      </w:pPr>
    </w:p>
    <w:p w14:paraId="568ED34E" w14:textId="77777777" w:rsidR="00DC2C6E" w:rsidRPr="001324CD" w:rsidRDefault="00DC2C6E" w:rsidP="00DC2C6E">
      <w:pPr>
        <w:rPr>
          <w:rFonts w:ascii="Arial" w:hAnsi="Arial" w:cs="Arial"/>
          <w:sz w:val="20"/>
          <w:szCs w:val="20"/>
        </w:rPr>
      </w:pPr>
      <w:r w:rsidRPr="001324CD">
        <w:rPr>
          <w:rFonts w:ascii="Arial" w:hAnsi="Arial" w:cs="Arial"/>
          <w:color w:val="222222"/>
          <w:sz w:val="20"/>
          <w:szCs w:val="20"/>
          <w:shd w:val="clear" w:color="auto" w:fill="FFFFFF"/>
        </w:rPr>
        <w:t>Dmitrieva, J., Gibson, L., Steinberg, L., Piquero, A. and Fagan, J., 2014. Predictors and consequences of gang membership: Comparing gang members, gang leaders, and non–gang</w:t>
      </w:r>
      <w:r w:rsidRPr="001324CD">
        <w:rPr>
          <w:rFonts w:ascii="Cambria Math" w:hAnsi="Cambria Math" w:cs="Cambria Math"/>
          <w:color w:val="222222"/>
          <w:sz w:val="20"/>
          <w:szCs w:val="20"/>
          <w:shd w:val="clear" w:color="auto" w:fill="FFFFFF"/>
        </w:rPr>
        <w:t>‐</w:t>
      </w:r>
      <w:r w:rsidRPr="001324CD">
        <w:rPr>
          <w:rFonts w:ascii="Arial" w:hAnsi="Arial" w:cs="Arial"/>
          <w:color w:val="222222"/>
          <w:sz w:val="20"/>
          <w:szCs w:val="20"/>
          <w:shd w:val="clear" w:color="auto" w:fill="FFFFFF"/>
        </w:rPr>
        <w:t>affiliated adjudicated youth. </w:t>
      </w:r>
      <w:r w:rsidRPr="001324CD">
        <w:rPr>
          <w:rFonts w:ascii="Arial" w:hAnsi="Arial" w:cs="Arial"/>
          <w:i/>
          <w:iCs/>
          <w:color w:val="222222"/>
          <w:sz w:val="20"/>
          <w:szCs w:val="20"/>
          <w:shd w:val="clear" w:color="auto" w:fill="FFFFFF"/>
        </w:rPr>
        <w:t>Journal of Research on Adolescence</w:t>
      </w:r>
      <w:r w:rsidRPr="001324CD">
        <w:rPr>
          <w:rFonts w:ascii="Arial" w:hAnsi="Arial" w:cs="Arial"/>
          <w:color w:val="222222"/>
          <w:sz w:val="20"/>
          <w:szCs w:val="20"/>
          <w:shd w:val="clear" w:color="auto" w:fill="FFFFFF"/>
        </w:rPr>
        <w:t>, </w:t>
      </w:r>
      <w:r w:rsidRPr="001324CD">
        <w:rPr>
          <w:rFonts w:ascii="Arial" w:hAnsi="Arial" w:cs="Arial"/>
          <w:i/>
          <w:iCs/>
          <w:color w:val="222222"/>
          <w:sz w:val="20"/>
          <w:szCs w:val="20"/>
          <w:shd w:val="clear" w:color="auto" w:fill="FFFFFF"/>
        </w:rPr>
        <w:t>24</w:t>
      </w:r>
      <w:r w:rsidRPr="001324CD">
        <w:rPr>
          <w:rFonts w:ascii="Arial" w:hAnsi="Arial" w:cs="Arial"/>
          <w:color w:val="222222"/>
          <w:sz w:val="20"/>
          <w:szCs w:val="20"/>
          <w:shd w:val="clear" w:color="auto" w:fill="FFFFFF"/>
        </w:rPr>
        <w:t>(2), pp.220-234.</w:t>
      </w:r>
    </w:p>
    <w:p w14:paraId="404D2915" w14:textId="77777777" w:rsidR="00DC2C6E" w:rsidRPr="001324CD" w:rsidRDefault="00DC2C6E" w:rsidP="00DC2C6E">
      <w:pPr>
        <w:rPr>
          <w:rFonts w:ascii="Arial" w:hAnsi="Arial" w:cs="Arial"/>
          <w:sz w:val="20"/>
          <w:szCs w:val="20"/>
        </w:rPr>
      </w:pPr>
    </w:p>
    <w:p w14:paraId="6B2DEAFC"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Havard, T.E., Densley, J.A., Whittaker, A. and Wills, J., 2023. Street gangs and coercive control: The gendered exploitation of young women and girls in county lines. </w:t>
      </w:r>
      <w:r w:rsidRPr="001324CD">
        <w:rPr>
          <w:rFonts w:ascii="Arial" w:hAnsi="Arial" w:cs="Arial"/>
          <w:i/>
          <w:iCs/>
          <w:color w:val="222222"/>
          <w:sz w:val="20"/>
          <w:szCs w:val="20"/>
          <w:shd w:val="clear" w:color="auto" w:fill="FFFFFF"/>
        </w:rPr>
        <w:t>Criminology &amp; Criminal Justice</w:t>
      </w:r>
      <w:r w:rsidRPr="001324CD">
        <w:rPr>
          <w:rFonts w:ascii="Arial" w:hAnsi="Arial" w:cs="Arial"/>
          <w:color w:val="222222"/>
          <w:sz w:val="20"/>
          <w:szCs w:val="20"/>
          <w:shd w:val="clear" w:color="auto" w:fill="FFFFFF"/>
        </w:rPr>
        <w:t>, </w:t>
      </w:r>
      <w:r w:rsidRPr="001324CD">
        <w:rPr>
          <w:rFonts w:ascii="Arial" w:hAnsi="Arial" w:cs="Arial"/>
          <w:i/>
          <w:iCs/>
          <w:color w:val="222222"/>
          <w:sz w:val="20"/>
          <w:szCs w:val="20"/>
          <w:shd w:val="clear" w:color="auto" w:fill="FFFFFF"/>
        </w:rPr>
        <w:t>23</w:t>
      </w:r>
      <w:r w:rsidRPr="001324CD">
        <w:rPr>
          <w:rFonts w:ascii="Arial" w:hAnsi="Arial" w:cs="Arial"/>
          <w:color w:val="222222"/>
          <w:sz w:val="20"/>
          <w:szCs w:val="20"/>
          <w:shd w:val="clear" w:color="auto" w:fill="FFFFFF"/>
        </w:rPr>
        <w:t>(3), pp.313-329.</w:t>
      </w:r>
    </w:p>
    <w:p w14:paraId="5B9CB603" w14:textId="77777777" w:rsidR="00DC2C6E" w:rsidRPr="001324CD" w:rsidRDefault="00DC2C6E" w:rsidP="00DC2C6E">
      <w:pPr>
        <w:rPr>
          <w:rFonts w:ascii="Arial" w:hAnsi="Arial" w:cs="Arial"/>
          <w:color w:val="222222"/>
          <w:sz w:val="20"/>
          <w:szCs w:val="20"/>
          <w:shd w:val="clear" w:color="auto" w:fill="FFFFFF"/>
        </w:rPr>
      </w:pPr>
    </w:p>
    <w:p w14:paraId="25FF83A8" w14:textId="77777777" w:rsidR="00DC2C6E" w:rsidRPr="001324CD" w:rsidRDefault="00DC2C6E" w:rsidP="00DC2C6E">
      <w:pPr>
        <w:rPr>
          <w:rFonts w:ascii="Arial" w:hAnsi="Arial" w:cs="Arial"/>
          <w:color w:val="222222"/>
          <w:sz w:val="20"/>
          <w:szCs w:val="20"/>
          <w:shd w:val="clear" w:color="auto" w:fill="FFFFFF"/>
        </w:rPr>
      </w:pPr>
    </w:p>
    <w:p w14:paraId="566A9374"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 xml:space="preserve">National Society for the Prevention of Cruelty to Children. (2024) Criminal Exploitation and Gangs. Available at: </w:t>
      </w:r>
      <w:hyperlink r:id="rId5" w:history="1">
        <w:r w:rsidRPr="001324CD">
          <w:rPr>
            <w:rStyle w:val="Hyperlink"/>
            <w:rFonts w:ascii="Arial" w:hAnsi="Arial" w:cs="Arial"/>
            <w:sz w:val="20"/>
            <w:szCs w:val="20"/>
            <w:shd w:val="clear" w:color="auto" w:fill="FFFFFF"/>
          </w:rPr>
          <w:t>https://www.nspcc.org.uk/what-is-child-abuse/types-of-abuse/gangs-criminal-exploitation/</w:t>
        </w:r>
      </w:hyperlink>
      <w:r w:rsidRPr="001324CD">
        <w:rPr>
          <w:rFonts w:ascii="Arial" w:hAnsi="Arial" w:cs="Arial"/>
          <w:color w:val="222222"/>
          <w:sz w:val="20"/>
          <w:szCs w:val="20"/>
          <w:shd w:val="clear" w:color="auto" w:fill="FFFFFF"/>
        </w:rPr>
        <w:t xml:space="preserve"> </w:t>
      </w:r>
    </w:p>
    <w:p w14:paraId="51A7B7A9"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(Accessed 14/04/2024)</w:t>
      </w:r>
    </w:p>
    <w:p w14:paraId="2A3DA52A" w14:textId="77777777" w:rsidR="00DC2C6E" w:rsidRPr="001324CD" w:rsidRDefault="00DC2C6E" w:rsidP="00DC2C6E">
      <w:pPr>
        <w:rPr>
          <w:rFonts w:ascii="Arial" w:hAnsi="Arial" w:cs="Arial"/>
          <w:color w:val="222222"/>
          <w:sz w:val="20"/>
          <w:szCs w:val="20"/>
          <w:shd w:val="clear" w:color="auto" w:fill="FFFFFF"/>
        </w:rPr>
      </w:pPr>
    </w:p>
    <w:p w14:paraId="19F5FCC6" w14:textId="77777777" w:rsidR="00DC2C6E" w:rsidRPr="001324CD" w:rsidRDefault="00DC2C6E" w:rsidP="00DC2C6E">
      <w:pPr>
        <w:rPr>
          <w:rFonts w:ascii="Arial" w:hAnsi="Arial" w:cs="Arial"/>
          <w:sz w:val="20"/>
          <w:szCs w:val="20"/>
        </w:rPr>
      </w:pPr>
    </w:p>
    <w:p w14:paraId="0CEEFA78"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O'Hagan, A. and Edmundson, C.J., 2021. County lines: the exploitation of vulnerable members of society. </w:t>
      </w:r>
      <w:r w:rsidRPr="001324CD">
        <w:rPr>
          <w:rFonts w:ascii="Arial" w:hAnsi="Arial" w:cs="Arial"/>
          <w:i/>
          <w:iCs/>
          <w:color w:val="222222"/>
          <w:sz w:val="20"/>
          <w:szCs w:val="20"/>
          <w:shd w:val="clear" w:color="auto" w:fill="FFFFFF"/>
        </w:rPr>
        <w:t>Forensic research &amp; criminology international journal</w:t>
      </w:r>
      <w:r w:rsidRPr="001324CD">
        <w:rPr>
          <w:rFonts w:ascii="Arial" w:hAnsi="Arial" w:cs="Arial"/>
          <w:color w:val="222222"/>
          <w:sz w:val="20"/>
          <w:szCs w:val="20"/>
          <w:shd w:val="clear" w:color="auto" w:fill="FFFFFF"/>
        </w:rPr>
        <w:t>, </w:t>
      </w:r>
      <w:r w:rsidRPr="001324CD">
        <w:rPr>
          <w:rFonts w:ascii="Arial" w:hAnsi="Arial" w:cs="Arial"/>
          <w:i/>
          <w:iCs/>
          <w:color w:val="222222"/>
          <w:sz w:val="20"/>
          <w:szCs w:val="20"/>
          <w:shd w:val="clear" w:color="auto" w:fill="FFFFFF"/>
        </w:rPr>
        <w:t>9</w:t>
      </w:r>
      <w:r w:rsidRPr="001324CD">
        <w:rPr>
          <w:rFonts w:ascii="Arial" w:hAnsi="Arial" w:cs="Arial"/>
          <w:color w:val="222222"/>
          <w:sz w:val="20"/>
          <w:szCs w:val="20"/>
          <w:shd w:val="clear" w:color="auto" w:fill="FFFFFF"/>
        </w:rPr>
        <w:t>(2), pp.47-57.</w:t>
      </w:r>
    </w:p>
    <w:p w14:paraId="470B8C75" w14:textId="77777777" w:rsidR="00DC2C6E" w:rsidRPr="001324CD" w:rsidRDefault="00DC2C6E" w:rsidP="00DC2C6E">
      <w:pPr>
        <w:rPr>
          <w:rFonts w:ascii="Arial" w:hAnsi="Arial" w:cs="Arial"/>
          <w:color w:val="222222"/>
          <w:sz w:val="20"/>
          <w:szCs w:val="20"/>
          <w:shd w:val="clear" w:color="auto" w:fill="FFFFFF"/>
        </w:rPr>
      </w:pPr>
    </w:p>
    <w:p w14:paraId="21184D8E" w14:textId="77777777" w:rsidR="00DC2C6E" w:rsidRPr="001324CD" w:rsidRDefault="00DC2C6E" w:rsidP="00DC2C6E">
      <w:pPr>
        <w:rPr>
          <w:rFonts w:ascii="Arial" w:hAnsi="Arial" w:cs="Arial"/>
          <w:color w:val="222222"/>
          <w:sz w:val="20"/>
          <w:szCs w:val="20"/>
          <w:shd w:val="clear" w:color="auto" w:fill="FFFFFF"/>
        </w:rPr>
      </w:pPr>
    </w:p>
    <w:p w14:paraId="3C640D63"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 xml:space="preserve">Sutton House Academy. (2024) Abuse. Available at: </w:t>
      </w:r>
      <w:hyperlink r:id="rId6" w:history="1">
        <w:r w:rsidRPr="001324CD">
          <w:rPr>
            <w:rStyle w:val="Hyperlink"/>
            <w:rFonts w:ascii="Arial" w:hAnsi="Arial" w:cs="Arial"/>
            <w:sz w:val="20"/>
            <w:szCs w:val="20"/>
            <w:shd w:val="clear" w:color="auto" w:fill="FFFFFF"/>
          </w:rPr>
          <w:t>https://suttonhouse.org.uk/our-academy/safeguarding/abuse</w:t>
        </w:r>
      </w:hyperlink>
    </w:p>
    <w:p w14:paraId="65626FC5" w14:textId="77777777" w:rsidR="00DC2C6E" w:rsidRPr="001324CD" w:rsidRDefault="00DC2C6E" w:rsidP="00DC2C6E">
      <w:pPr>
        <w:rPr>
          <w:rFonts w:ascii="Arial" w:hAnsi="Arial" w:cs="Arial"/>
          <w:color w:val="222222"/>
          <w:sz w:val="20"/>
          <w:szCs w:val="20"/>
          <w:shd w:val="clear" w:color="auto" w:fill="FFFFFF"/>
        </w:rPr>
      </w:pPr>
      <w:bookmarkStart w:id="1" w:name="_Hlk167717194"/>
      <w:r w:rsidRPr="001324CD">
        <w:rPr>
          <w:rFonts w:ascii="Arial" w:hAnsi="Arial" w:cs="Arial"/>
          <w:color w:val="222222"/>
          <w:sz w:val="20"/>
          <w:szCs w:val="20"/>
          <w:shd w:val="clear" w:color="auto" w:fill="FFFFFF"/>
        </w:rPr>
        <w:t>(Accessed 14/04/2024)</w:t>
      </w:r>
      <w:bookmarkEnd w:id="1"/>
    </w:p>
    <w:p w14:paraId="0C66CC7C" w14:textId="77777777" w:rsidR="00DC2C6E" w:rsidRDefault="00DC2C6E" w:rsidP="00DC2C6E">
      <w:pPr>
        <w:rPr>
          <w:rFonts w:ascii="Arial" w:hAnsi="Arial" w:cs="Arial"/>
          <w:color w:val="222222"/>
          <w:sz w:val="20"/>
          <w:szCs w:val="20"/>
          <w:shd w:val="clear" w:color="auto" w:fill="FFFFFF"/>
        </w:rPr>
      </w:pPr>
    </w:p>
    <w:p w14:paraId="5EBF6472" w14:textId="77777777" w:rsidR="00DC2C6E" w:rsidRDefault="00DC2C6E" w:rsidP="00DC2C6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Wales Safer Communities Network. (2024) Criminal Exploitation. Available at:</w:t>
      </w:r>
      <w:r>
        <w:rPr>
          <w:rFonts w:ascii="Arial" w:hAnsi="Arial" w:cs="Arial"/>
          <w:color w:val="222222"/>
          <w:sz w:val="20"/>
          <w:szCs w:val="20"/>
          <w:shd w:val="clear" w:color="auto" w:fill="FFFFFF"/>
        </w:rPr>
        <w:br/>
      </w:r>
      <w:hyperlink r:id="rId7" w:history="1">
        <w:r w:rsidRPr="00E15459">
          <w:rPr>
            <w:rStyle w:val="Hyperlink"/>
            <w:rFonts w:ascii="Arial" w:hAnsi="Arial" w:cs="Arial"/>
            <w:sz w:val="20"/>
            <w:szCs w:val="20"/>
            <w:shd w:val="clear" w:color="auto" w:fill="FFFFFF"/>
          </w:rPr>
          <w:t>https://www.bing.com/search?q=safer+wales+netowrk+criminal+exploitation&amp;qs=n&amp;form=QBRE&amp;sp=-1&amp;ghc=1&amp;lq=0&amp;pq=safer+wales+netowrk+criminal+exploitation&amp;sc=3-41&amp;sk=&amp;cvid=61988146F2104E06898FFCBB3F288E64&amp;ghsh=0&amp;ghacc=0&amp;ghpl=</w:t>
        </w:r>
      </w:hyperlink>
      <w:r>
        <w:rPr>
          <w:rFonts w:ascii="Arial" w:hAnsi="Arial" w:cs="Arial"/>
          <w:color w:val="222222"/>
          <w:sz w:val="20"/>
          <w:szCs w:val="20"/>
          <w:shd w:val="clear" w:color="auto" w:fill="FFFFFF"/>
        </w:rPr>
        <w:t xml:space="preserve"> </w:t>
      </w:r>
    </w:p>
    <w:p w14:paraId="6F7D5A7A" w14:textId="77777777" w:rsidR="00DC2C6E"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(Accessed 14/04/2024)</w:t>
      </w:r>
    </w:p>
    <w:p w14:paraId="3704FE32" w14:textId="77777777" w:rsidR="00DC2C6E" w:rsidRDefault="00DC2C6E" w:rsidP="00DC2C6E">
      <w:pPr>
        <w:rPr>
          <w:rFonts w:ascii="Arial" w:hAnsi="Arial" w:cs="Arial"/>
          <w:color w:val="222222"/>
          <w:sz w:val="20"/>
          <w:szCs w:val="20"/>
          <w:shd w:val="clear" w:color="auto" w:fill="FFFFFF"/>
        </w:rPr>
      </w:pPr>
    </w:p>
    <w:p w14:paraId="55989203" w14:textId="77777777" w:rsidR="00DC2C6E" w:rsidRPr="001324CD" w:rsidRDefault="00DC2C6E" w:rsidP="00DC2C6E">
      <w:pPr>
        <w:rPr>
          <w:rFonts w:ascii="Arial" w:hAnsi="Arial" w:cs="Arial"/>
          <w:color w:val="222222"/>
          <w:sz w:val="20"/>
          <w:szCs w:val="20"/>
          <w:shd w:val="clear" w:color="auto" w:fill="FFFFFF"/>
        </w:rPr>
      </w:pPr>
    </w:p>
    <w:p w14:paraId="592672BA"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United Against Violence. (2024) Social and Economic Factors Contributing to Gang Culture. Available at:</w:t>
      </w:r>
      <w:r w:rsidRPr="001324CD">
        <w:rPr>
          <w:rFonts w:ascii="Arial" w:hAnsi="Arial" w:cs="Arial"/>
          <w:sz w:val="20"/>
          <w:szCs w:val="20"/>
        </w:rPr>
        <w:t xml:space="preserve"> </w:t>
      </w:r>
      <w:hyperlink r:id="rId8" w:history="1">
        <w:r w:rsidRPr="001324CD">
          <w:rPr>
            <w:rStyle w:val="Hyperlink"/>
            <w:rFonts w:ascii="Arial" w:hAnsi="Arial" w:cs="Arial"/>
            <w:sz w:val="20"/>
            <w:szCs w:val="20"/>
            <w:shd w:val="clear" w:color="auto" w:fill="FFFFFF"/>
          </w:rPr>
          <w:t>https://unitedagainstviolence.co.uk/social-and-economic-factors-contributing-to-gang-culture/#:~:text=Social%20Exclusion%20and%20Marginalisation%3A&amp;text=Discrimination%2C%20prejudice%2C%20and%20limited%20social,recruit%20and%20maintain%20their%20membership</w:t>
        </w:r>
      </w:hyperlink>
      <w:r w:rsidRPr="001324CD">
        <w:rPr>
          <w:rFonts w:ascii="Arial" w:hAnsi="Arial" w:cs="Arial"/>
          <w:color w:val="222222"/>
          <w:sz w:val="20"/>
          <w:szCs w:val="20"/>
          <w:shd w:val="clear" w:color="auto" w:fill="FFFFFF"/>
        </w:rPr>
        <w:t>.</w:t>
      </w:r>
    </w:p>
    <w:p w14:paraId="330C2A27" w14:textId="77777777" w:rsidR="00DC2C6E" w:rsidRPr="001324CD" w:rsidRDefault="00DC2C6E" w:rsidP="00DC2C6E">
      <w:pPr>
        <w:rPr>
          <w:rFonts w:ascii="Arial" w:hAnsi="Arial" w:cs="Arial"/>
          <w:color w:val="222222"/>
          <w:sz w:val="20"/>
          <w:szCs w:val="20"/>
          <w:shd w:val="clear" w:color="auto" w:fill="FFFFFF"/>
        </w:rPr>
      </w:pPr>
      <w:r w:rsidRPr="001324CD">
        <w:rPr>
          <w:rFonts w:ascii="Arial" w:hAnsi="Arial" w:cs="Arial"/>
          <w:color w:val="222222"/>
          <w:sz w:val="20"/>
          <w:szCs w:val="20"/>
          <w:shd w:val="clear" w:color="auto" w:fill="FFFFFF"/>
        </w:rPr>
        <w:t>(Accessed 14/04/2024)</w:t>
      </w:r>
    </w:p>
    <w:p w14:paraId="74B9F92D" w14:textId="77777777" w:rsidR="00DC2C6E" w:rsidRPr="001324CD" w:rsidRDefault="00DC2C6E" w:rsidP="00DC2C6E">
      <w:pPr>
        <w:rPr>
          <w:rFonts w:ascii="Arial" w:hAnsi="Arial" w:cs="Arial"/>
          <w:color w:val="222222"/>
          <w:sz w:val="20"/>
          <w:szCs w:val="20"/>
          <w:shd w:val="clear" w:color="auto" w:fill="FFFFFF"/>
        </w:rPr>
      </w:pPr>
    </w:p>
    <w:p w14:paraId="1D99197A" w14:textId="77777777" w:rsidR="00DC2C6E" w:rsidRPr="001324CD" w:rsidRDefault="00DC2C6E" w:rsidP="00DC2C6E">
      <w:pPr>
        <w:rPr>
          <w:rFonts w:ascii="Arial" w:hAnsi="Arial" w:cs="Arial"/>
          <w:sz w:val="20"/>
          <w:szCs w:val="20"/>
        </w:rPr>
      </w:pPr>
    </w:p>
    <w:p w14:paraId="157326FA" w14:textId="77777777" w:rsidR="00DC2C6E" w:rsidRPr="001324CD" w:rsidRDefault="00DC2C6E" w:rsidP="00DC2C6E">
      <w:pPr>
        <w:rPr>
          <w:rFonts w:ascii="Arial" w:hAnsi="Arial" w:cs="Arial"/>
          <w:sz w:val="20"/>
          <w:szCs w:val="20"/>
        </w:rPr>
      </w:pPr>
    </w:p>
    <w:p w14:paraId="7DAB0D7F" w14:textId="77777777" w:rsidR="00DC2C6E" w:rsidRPr="00B500D5" w:rsidRDefault="00DC2C6E" w:rsidP="00DC2C6E">
      <w:pPr>
        <w:rPr>
          <w:rFonts w:ascii="Arial" w:hAnsi="Arial" w:cs="Arial"/>
          <w:sz w:val="20"/>
          <w:szCs w:val="20"/>
        </w:rPr>
      </w:pPr>
    </w:p>
    <w:p w14:paraId="608878D1" w14:textId="77777777" w:rsidR="00DC2C6E" w:rsidRDefault="00DC2C6E" w:rsidP="008012E0">
      <w:pPr>
        <w:rPr>
          <w:rFonts w:ascii="Arial" w:hAnsi="Arial" w:cs="Arial"/>
          <w:sz w:val="20"/>
          <w:szCs w:val="20"/>
        </w:rPr>
      </w:pPr>
    </w:p>
    <w:p w14:paraId="5335FE7B" w14:textId="77777777" w:rsidR="00DC2C6E" w:rsidRPr="00DF5606" w:rsidRDefault="00DC2C6E" w:rsidP="00DC2C6E">
      <w:pPr>
        <w:rPr>
          <w:rFonts w:ascii="Arial" w:hAnsi="Arial" w:cs="Arial"/>
          <w:b/>
          <w:bCs/>
          <w:sz w:val="20"/>
          <w:szCs w:val="20"/>
        </w:rPr>
      </w:pPr>
      <w:r w:rsidRPr="00DF5606">
        <w:rPr>
          <w:rFonts w:ascii="Arial" w:hAnsi="Arial" w:cs="Arial"/>
          <w:b/>
          <w:bCs/>
          <w:sz w:val="20"/>
          <w:szCs w:val="20"/>
        </w:rPr>
        <w:lastRenderedPageBreak/>
        <w:t>Response policing – Assess the extent of response officers’ role in dealing with critical and major incidents.</w:t>
      </w:r>
    </w:p>
    <w:p w14:paraId="59709F4E" w14:textId="77777777" w:rsidR="00DC2C6E" w:rsidRPr="00DF5606" w:rsidRDefault="00DC2C6E" w:rsidP="00DC2C6E">
      <w:pPr>
        <w:rPr>
          <w:rFonts w:ascii="Arial" w:hAnsi="Arial" w:cs="Arial"/>
          <w:sz w:val="20"/>
          <w:szCs w:val="20"/>
        </w:rPr>
      </w:pPr>
    </w:p>
    <w:p w14:paraId="509C5F62"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Response officers have a complex and vital role in handling significant and severe crises. Their duties include the preliminary evaluation, prompt intervention, arranging continuous assistance during the incident. Response officers are normally the first on the scene during critical and major incidents and therefore their primary role is to assess the situation and ascertain quickly what the severity and nature of the incident is and identify any immediate threats. </w:t>
      </w:r>
    </w:p>
    <w:p w14:paraId="1A040999" w14:textId="77777777" w:rsidR="00DC2C6E" w:rsidRPr="00DF5606" w:rsidRDefault="00DC2C6E" w:rsidP="00DC2C6E">
      <w:pPr>
        <w:rPr>
          <w:rFonts w:ascii="Arial" w:hAnsi="Arial" w:cs="Arial"/>
          <w:sz w:val="20"/>
          <w:szCs w:val="20"/>
        </w:rPr>
      </w:pPr>
    </w:p>
    <w:p w14:paraId="27F0E1A4" w14:textId="77777777" w:rsidR="00DC2C6E" w:rsidRPr="00DF5606" w:rsidRDefault="00DC2C6E" w:rsidP="00DC2C6E">
      <w:pPr>
        <w:rPr>
          <w:rFonts w:ascii="Arial" w:hAnsi="Arial" w:cs="Arial"/>
          <w:sz w:val="20"/>
          <w:szCs w:val="20"/>
        </w:rPr>
      </w:pPr>
      <w:r w:rsidRPr="00DF5606">
        <w:rPr>
          <w:rFonts w:ascii="Arial" w:hAnsi="Arial" w:cs="Arial"/>
          <w:sz w:val="20"/>
          <w:szCs w:val="20"/>
        </w:rPr>
        <w:t>Being the first on scene at a major incident requires a lot of pressure in order to pass the correct information across the radio to the control room, therefore, the Joint Emergency Service Interoperability Programme have devised a model called METHANE model which assists first responding officers to major incidents.</w:t>
      </w:r>
    </w:p>
    <w:p w14:paraId="5F0D06C0" w14:textId="77777777" w:rsidR="00DC2C6E" w:rsidRPr="00DF5606" w:rsidRDefault="00DC2C6E" w:rsidP="00DC2C6E">
      <w:pPr>
        <w:rPr>
          <w:rFonts w:ascii="Arial" w:hAnsi="Arial" w:cs="Arial"/>
          <w:sz w:val="20"/>
          <w:szCs w:val="20"/>
        </w:rPr>
      </w:pPr>
    </w:p>
    <w:p w14:paraId="11C8DA1B"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College of Policing (2024) states that response officers should use the model METHANE which is an organised framework which aids in efficient communication of critical information which is effective for incident management and co-ordination between all the emergency services. </w:t>
      </w:r>
    </w:p>
    <w:p w14:paraId="52DE872C" w14:textId="77777777" w:rsidR="00DC2C6E" w:rsidRPr="00DF5606" w:rsidRDefault="00DC2C6E" w:rsidP="00DC2C6E">
      <w:pPr>
        <w:rPr>
          <w:rFonts w:ascii="Arial" w:hAnsi="Arial" w:cs="Arial"/>
          <w:sz w:val="20"/>
          <w:szCs w:val="20"/>
        </w:rPr>
      </w:pPr>
    </w:p>
    <w:p w14:paraId="3DF48969"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JESIP (2024) discusses the breakdown of the model and states that the first action response officers need to take is declaring a major incident, by declaring a major incident this can mobilize additional recourses and clarifies whether all services need to be involved or whether it is just a major incident for the police service. The next action to be taken at the scene by response officers is the exact location of the incident. This is critical role for response officers to provide to the control room as it allows extra resources to be directed to the specific location of the incident. In addition, this can be significant when dealing with major incidents in cities where there is massive threat, risk, and harm to the wider public. </w:t>
      </w:r>
    </w:p>
    <w:p w14:paraId="69486698" w14:textId="77777777" w:rsidR="00DC2C6E" w:rsidRPr="00DF5606" w:rsidRDefault="00DC2C6E" w:rsidP="00DC2C6E">
      <w:pPr>
        <w:rPr>
          <w:rFonts w:ascii="Arial" w:hAnsi="Arial" w:cs="Arial"/>
          <w:sz w:val="20"/>
          <w:szCs w:val="20"/>
        </w:rPr>
      </w:pPr>
    </w:p>
    <w:p w14:paraId="1994D32D"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Providing the type of incident is a key role for response officers. Response officers notifying the control room and additional resources the nature of the incident allows all services and agencies to prepare appropriately and deploy the correct resources. As response officers are the initial responders to the scene, they are the eyes and ears of what is going, it is critical for them to assess and identify the hazards. By response officers providing the information regarding any hazards at the scene this can ensure all safety measurements are implemented and ensure the safety of both responders and the public is addressed. </w:t>
      </w:r>
    </w:p>
    <w:p w14:paraId="7D7625C8" w14:textId="77777777" w:rsidR="00DC2C6E" w:rsidRPr="00DF5606" w:rsidRDefault="00DC2C6E" w:rsidP="00DC2C6E">
      <w:pPr>
        <w:rPr>
          <w:rFonts w:ascii="Arial" w:hAnsi="Arial" w:cs="Arial"/>
          <w:sz w:val="20"/>
          <w:szCs w:val="20"/>
        </w:rPr>
      </w:pPr>
    </w:p>
    <w:p w14:paraId="389471F4" w14:textId="77777777" w:rsidR="00DC2C6E" w:rsidRPr="00DF5606" w:rsidRDefault="00DC2C6E" w:rsidP="00DC2C6E">
      <w:pPr>
        <w:rPr>
          <w:rFonts w:ascii="Arial" w:hAnsi="Arial" w:cs="Arial"/>
          <w:sz w:val="20"/>
          <w:szCs w:val="20"/>
        </w:rPr>
      </w:pPr>
      <w:r w:rsidRPr="00DF5606">
        <w:rPr>
          <w:rFonts w:ascii="Arial" w:hAnsi="Arial" w:cs="Arial"/>
          <w:sz w:val="20"/>
          <w:szCs w:val="20"/>
        </w:rPr>
        <w:t>The fifth stage of the METHANE model details the access points for the incident scene including any road closures or obstructions with may impact access for emergency vehicles, in addition, response officer’s role in a major incident is to assess and estimate the number of casualties there are and the severity of their injuries. Whilst waiting for medical services to attend a scene, if there is no on-going threat response officer’s role overarching role is the preservation of life. Therefore, a major role of response officers at major incidents would be conduct the correct medical treatment to the causalities whether this be via CPR or treating injuries. The last key role within the METHANE model for response officers’ is providing details regarding what emergency services are currently on scene and what additional services are required.</w:t>
      </w:r>
    </w:p>
    <w:p w14:paraId="31E460B4" w14:textId="77777777" w:rsidR="00DC2C6E" w:rsidRPr="00DF5606" w:rsidRDefault="00DC2C6E" w:rsidP="00DC2C6E">
      <w:pPr>
        <w:rPr>
          <w:rFonts w:ascii="Arial" w:hAnsi="Arial" w:cs="Arial"/>
          <w:sz w:val="20"/>
          <w:szCs w:val="20"/>
        </w:rPr>
      </w:pPr>
    </w:p>
    <w:p w14:paraId="215EA2AC"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Once the METHANE model has been addressed, and the safety of victims, witnesses, and the wider public has been considered. Response officers must ensure they are able to manage the incident. Sugden (2019) discusses the importance of incident management and how response officers play a significant role in managing the incident as it unfolds. A key role in incident management is ensuring that the scene is secure. Securing the scene can involve response officers creating cordons, controlling the scene entry and exits points. When major incidents occur, it can attract a lot of attention and naturally crowds of people can form. To ensure that the police maintain order, it is imperative that response officers’ control the crowds to avoid any further threats which may result in public disorder. </w:t>
      </w:r>
    </w:p>
    <w:p w14:paraId="46936CB0" w14:textId="77777777" w:rsidR="00DC2C6E" w:rsidRPr="00DF5606" w:rsidRDefault="00DC2C6E" w:rsidP="00DC2C6E">
      <w:pPr>
        <w:rPr>
          <w:rFonts w:ascii="Arial" w:hAnsi="Arial" w:cs="Arial"/>
          <w:sz w:val="20"/>
          <w:szCs w:val="20"/>
        </w:rPr>
      </w:pPr>
    </w:p>
    <w:p w14:paraId="20BD6B5D" w14:textId="77777777" w:rsidR="00DC2C6E" w:rsidRPr="00DF5606" w:rsidRDefault="00DC2C6E" w:rsidP="00DC2C6E">
      <w:pPr>
        <w:rPr>
          <w:rFonts w:ascii="Arial" w:hAnsi="Arial" w:cs="Arial"/>
          <w:sz w:val="20"/>
          <w:szCs w:val="20"/>
        </w:rPr>
      </w:pPr>
      <w:r w:rsidRPr="00DF5606">
        <w:rPr>
          <w:rFonts w:ascii="Arial" w:hAnsi="Arial" w:cs="Arial"/>
          <w:sz w:val="20"/>
          <w:szCs w:val="20"/>
        </w:rPr>
        <w:t xml:space="preserve">Although, the response officers’ role is focused on the initial incident it extends beyond the immediate incident and their role then focuses on supporting the victims of the incident. Response officers’ who initially attend the incident build a rapport with the victims, and therefore they provide continued support to the victims. In addition, this links in with the further role of response officers in relation to assisting in the investigation. Once the major incident has been resolved, response officers’ role may </w:t>
      </w:r>
      <w:r w:rsidRPr="00DF5606">
        <w:rPr>
          <w:rFonts w:ascii="Arial" w:hAnsi="Arial" w:cs="Arial"/>
          <w:sz w:val="20"/>
          <w:szCs w:val="20"/>
        </w:rPr>
        <w:lastRenderedPageBreak/>
        <w:t xml:space="preserve">include gathering of evidence such as the golden hour enquiries. Response officers’ will be required to secure witnesses to the incident, any digital evidence which may have recorded the incident whereby that be CCTV, Ring doorbell footage or videos of social media platforms. This initial action can be critical in shaping the direction and effectiveness of the investigative process. </w:t>
      </w:r>
    </w:p>
    <w:p w14:paraId="1DCC96F2" w14:textId="77777777" w:rsidR="00DC2C6E" w:rsidRPr="00DF5606" w:rsidRDefault="00DC2C6E" w:rsidP="00DC2C6E">
      <w:pPr>
        <w:rPr>
          <w:rFonts w:ascii="Arial" w:hAnsi="Arial" w:cs="Arial"/>
          <w:sz w:val="20"/>
          <w:szCs w:val="20"/>
        </w:rPr>
      </w:pPr>
    </w:p>
    <w:p w14:paraId="4CC77251" w14:textId="03AF1383" w:rsidR="00DC2C6E" w:rsidRPr="00DF5606" w:rsidRDefault="00DC2C6E" w:rsidP="00DC2C6E">
      <w:pPr>
        <w:pStyle w:val="PlainText"/>
        <w:rPr>
          <w:rFonts w:ascii="Arial" w:hAnsi="Arial" w:cs="Arial"/>
          <w:sz w:val="20"/>
          <w:szCs w:val="20"/>
        </w:rPr>
      </w:pPr>
      <w:r w:rsidRPr="00DF5606">
        <w:rPr>
          <w:rFonts w:ascii="Arial" w:hAnsi="Arial" w:cs="Arial"/>
          <w:sz w:val="20"/>
          <w:szCs w:val="20"/>
        </w:rPr>
        <w:t>Response officers have a wide range of responsibilities in handling serious and critical situations, and their work is essential to the overall efficiency of emergency response. They are the first responders; their duties include assessment, quick action, coordination, and continuing assistance. Their actions have the potential to greatly impact an incident's outcome, underscoring the necessity of thorough training and sufficient resources to support their vital role. Response officers have a wide range of responsibilities in handling serious and critical situations, and their work is essential to the overall efficiency of emergency response. They are the first responders; their duties include assessment, quick action, coordination, and continuing assistance. Their actions have the potential to greatly impact an incident's outcome</w:t>
      </w:r>
      <w:r w:rsidR="001D52D6">
        <w:rPr>
          <w:rFonts w:ascii="Arial" w:hAnsi="Arial" w:cs="Arial"/>
          <w:sz w:val="20"/>
          <w:szCs w:val="20"/>
        </w:rPr>
        <w:t>.</w:t>
      </w:r>
    </w:p>
    <w:p w14:paraId="1A79744E" w14:textId="77777777" w:rsidR="00DC2C6E" w:rsidRPr="00DF5606" w:rsidRDefault="00DC2C6E" w:rsidP="00DC2C6E">
      <w:pPr>
        <w:rPr>
          <w:rFonts w:ascii="Arial" w:hAnsi="Arial" w:cs="Arial"/>
          <w:sz w:val="20"/>
          <w:szCs w:val="20"/>
        </w:rPr>
      </w:pPr>
    </w:p>
    <w:p w14:paraId="406F96DF" w14:textId="77777777" w:rsidR="00DC2C6E" w:rsidRPr="00DF5606" w:rsidRDefault="00DC2C6E" w:rsidP="00DC2C6E">
      <w:pPr>
        <w:rPr>
          <w:rFonts w:ascii="Arial" w:hAnsi="Arial" w:cs="Arial"/>
          <w:b/>
          <w:bCs/>
          <w:sz w:val="20"/>
          <w:szCs w:val="20"/>
        </w:rPr>
      </w:pPr>
    </w:p>
    <w:p w14:paraId="13FBCE3E" w14:textId="77777777" w:rsidR="00DC2C6E" w:rsidRPr="00DF5606" w:rsidRDefault="00DC2C6E" w:rsidP="00DC2C6E">
      <w:pPr>
        <w:rPr>
          <w:rFonts w:ascii="Arial" w:hAnsi="Arial" w:cs="Arial"/>
          <w:b/>
          <w:bCs/>
          <w:sz w:val="20"/>
          <w:szCs w:val="20"/>
        </w:rPr>
      </w:pPr>
      <w:r w:rsidRPr="00DF5606">
        <w:rPr>
          <w:rFonts w:ascii="Arial" w:hAnsi="Arial" w:cs="Arial"/>
          <w:b/>
          <w:bCs/>
          <w:sz w:val="20"/>
          <w:szCs w:val="20"/>
        </w:rPr>
        <w:t>Bibliography:</w:t>
      </w:r>
    </w:p>
    <w:p w14:paraId="3E23E336" w14:textId="77777777" w:rsidR="00DC2C6E" w:rsidRPr="00DF5606" w:rsidRDefault="00DC2C6E" w:rsidP="00DC2C6E">
      <w:pPr>
        <w:rPr>
          <w:rFonts w:ascii="Arial" w:hAnsi="Arial" w:cs="Arial"/>
          <w:sz w:val="20"/>
          <w:szCs w:val="20"/>
        </w:rPr>
      </w:pPr>
    </w:p>
    <w:p w14:paraId="01D05B6C" w14:textId="77777777" w:rsidR="00DC2C6E" w:rsidRPr="00DF5606" w:rsidRDefault="00DC2C6E" w:rsidP="00DC2C6E">
      <w:pPr>
        <w:rPr>
          <w:rFonts w:ascii="Arial" w:hAnsi="Arial" w:cs="Arial"/>
          <w:sz w:val="20"/>
          <w:szCs w:val="20"/>
        </w:rPr>
      </w:pPr>
      <w:r w:rsidRPr="00DF5606">
        <w:rPr>
          <w:rFonts w:ascii="Arial" w:hAnsi="Arial" w:cs="Arial"/>
          <w:sz w:val="20"/>
          <w:szCs w:val="20"/>
        </w:rPr>
        <w:t>Joint Emergency Services Interoperability Programme. (2024) Methane. Available at:</w:t>
      </w:r>
    </w:p>
    <w:p w14:paraId="314FF8AE" w14:textId="77777777" w:rsidR="00DC2C6E" w:rsidRPr="00DF5606" w:rsidRDefault="00DC2C6E" w:rsidP="00DC2C6E">
      <w:pPr>
        <w:rPr>
          <w:rFonts w:ascii="Arial" w:hAnsi="Arial" w:cs="Arial"/>
          <w:sz w:val="20"/>
          <w:szCs w:val="20"/>
        </w:rPr>
      </w:pPr>
      <w:hyperlink r:id="rId9" w:history="1">
        <w:r w:rsidRPr="00DF5606">
          <w:rPr>
            <w:rStyle w:val="Hyperlink"/>
            <w:rFonts w:ascii="Arial" w:hAnsi="Arial" w:cs="Arial"/>
            <w:sz w:val="20"/>
            <w:szCs w:val="20"/>
          </w:rPr>
          <w:t>https://www.jesip.org.uk/joint-doctrine/m-ethane/</w:t>
        </w:r>
      </w:hyperlink>
      <w:r w:rsidRPr="00DF5606">
        <w:rPr>
          <w:rFonts w:ascii="Arial" w:hAnsi="Arial" w:cs="Arial"/>
          <w:sz w:val="20"/>
          <w:szCs w:val="20"/>
        </w:rPr>
        <w:t xml:space="preserve"> </w:t>
      </w:r>
    </w:p>
    <w:p w14:paraId="6403F8C3" w14:textId="77777777" w:rsidR="00DC2C6E" w:rsidRPr="00DF5606" w:rsidRDefault="00DC2C6E" w:rsidP="00DC2C6E">
      <w:pPr>
        <w:rPr>
          <w:rFonts w:ascii="Arial" w:hAnsi="Arial" w:cs="Arial"/>
          <w:sz w:val="20"/>
          <w:szCs w:val="20"/>
        </w:rPr>
      </w:pPr>
      <w:r w:rsidRPr="00DF5606">
        <w:rPr>
          <w:rFonts w:ascii="Arial" w:hAnsi="Arial" w:cs="Arial"/>
          <w:sz w:val="20"/>
          <w:szCs w:val="20"/>
        </w:rPr>
        <w:t>(Accessed: 14/04/2024)</w:t>
      </w:r>
    </w:p>
    <w:p w14:paraId="076B419C" w14:textId="77777777" w:rsidR="00DC2C6E" w:rsidRPr="00DF5606" w:rsidRDefault="00DC2C6E" w:rsidP="00DC2C6E">
      <w:pPr>
        <w:rPr>
          <w:rFonts w:ascii="Arial" w:hAnsi="Arial" w:cs="Arial"/>
          <w:sz w:val="20"/>
          <w:szCs w:val="20"/>
        </w:rPr>
      </w:pPr>
    </w:p>
    <w:p w14:paraId="38C0BF4F" w14:textId="77777777" w:rsidR="00DC2C6E" w:rsidRPr="00DF5606" w:rsidRDefault="00DC2C6E" w:rsidP="00DC2C6E">
      <w:pPr>
        <w:rPr>
          <w:rFonts w:ascii="Arial" w:hAnsi="Arial" w:cs="Arial"/>
          <w:sz w:val="20"/>
          <w:szCs w:val="20"/>
        </w:rPr>
      </w:pPr>
      <w:r w:rsidRPr="00DF5606">
        <w:rPr>
          <w:rFonts w:ascii="Arial" w:hAnsi="Arial" w:cs="Arial"/>
          <w:sz w:val="20"/>
          <w:szCs w:val="20"/>
        </w:rPr>
        <w:t>College of Policing. (2014) Response. Available at:</w:t>
      </w:r>
      <w:r w:rsidRPr="00DF5606">
        <w:rPr>
          <w:sz w:val="20"/>
          <w:szCs w:val="20"/>
        </w:rPr>
        <w:t xml:space="preserve"> </w:t>
      </w:r>
      <w:hyperlink r:id="rId10" w:history="1">
        <w:r w:rsidRPr="00DF5606">
          <w:rPr>
            <w:rStyle w:val="Hyperlink"/>
            <w:rFonts w:ascii="Arial" w:hAnsi="Arial" w:cs="Arial"/>
            <w:sz w:val="20"/>
            <w:szCs w:val="20"/>
          </w:rPr>
          <w:t>https://www.college.police.uk/app/civil-emergencies/civil-contingencies/response#methane-e059b494-0e79-4af5-b515-b4615168845b</w:t>
        </w:r>
      </w:hyperlink>
      <w:r w:rsidRPr="00DF5606">
        <w:rPr>
          <w:rFonts w:ascii="Arial" w:hAnsi="Arial" w:cs="Arial"/>
          <w:sz w:val="20"/>
          <w:szCs w:val="20"/>
        </w:rPr>
        <w:t xml:space="preserve"> </w:t>
      </w:r>
    </w:p>
    <w:p w14:paraId="55781808" w14:textId="77777777" w:rsidR="00DC2C6E" w:rsidRPr="00DF5606" w:rsidRDefault="00DC2C6E" w:rsidP="00DC2C6E">
      <w:pPr>
        <w:rPr>
          <w:rFonts w:ascii="Arial" w:hAnsi="Arial" w:cs="Arial"/>
          <w:sz w:val="20"/>
          <w:szCs w:val="20"/>
        </w:rPr>
      </w:pPr>
      <w:r w:rsidRPr="00DF5606">
        <w:rPr>
          <w:rFonts w:ascii="Arial" w:hAnsi="Arial" w:cs="Arial"/>
          <w:sz w:val="20"/>
          <w:szCs w:val="20"/>
        </w:rPr>
        <w:t>(Accessed: 14/04/2024)</w:t>
      </w:r>
    </w:p>
    <w:p w14:paraId="7B3EDF0B" w14:textId="77777777" w:rsidR="00DC2C6E" w:rsidRPr="00DF5606" w:rsidRDefault="00DC2C6E" w:rsidP="00DC2C6E">
      <w:pPr>
        <w:rPr>
          <w:sz w:val="20"/>
          <w:szCs w:val="20"/>
        </w:rPr>
      </w:pPr>
    </w:p>
    <w:p w14:paraId="35FF97AB" w14:textId="77777777" w:rsidR="00DC2C6E" w:rsidRPr="00DF5606" w:rsidRDefault="00DC2C6E" w:rsidP="00DC2C6E">
      <w:pPr>
        <w:rPr>
          <w:rFonts w:ascii="Arial" w:hAnsi="Arial" w:cs="Arial"/>
          <w:sz w:val="20"/>
          <w:szCs w:val="20"/>
        </w:rPr>
      </w:pPr>
      <w:r w:rsidRPr="00DF5606">
        <w:rPr>
          <w:rFonts w:ascii="Arial" w:hAnsi="Arial" w:cs="Arial"/>
          <w:color w:val="222222"/>
          <w:sz w:val="20"/>
          <w:szCs w:val="20"/>
          <w:shd w:val="clear" w:color="auto" w:fill="FFFFFF"/>
        </w:rPr>
        <w:t>Sugden, K., 2019. Major incident management. </w:t>
      </w:r>
      <w:r w:rsidRPr="00DF5606">
        <w:rPr>
          <w:rFonts w:ascii="Arial" w:hAnsi="Arial" w:cs="Arial"/>
          <w:i/>
          <w:iCs/>
          <w:color w:val="222222"/>
          <w:sz w:val="20"/>
          <w:szCs w:val="20"/>
          <w:shd w:val="clear" w:color="auto" w:fill="FFFFFF"/>
        </w:rPr>
        <w:t>Fundamentals of Paramedic Practice: A Systems Approach</w:t>
      </w:r>
      <w:r w:rsidRPr="00DF5606">
        <w:rPr>
          <w:rFonts w:ascii="Arial" w:hAnsi="Arial" w:cs="Arial"/>
          <w:color w:val="222222"/>
          <w:sz w:val="20"/>
          <w:szCs w:val="20"/>
          <w:shd w:val="clear" w:color="auto" w:fill="FFFFFF"/>
        </w:rPr>
        <w:t>, </w:t>
      </w:r>
      <w:r w:rsidRPr="00DF5606">
        <w:rPr>
          <w:rFonts w:ascii="Arial" w:hAnsi="Arial" w:cs="Arial"/>
          <w:i/>
          <w:iCs/>
          <w:color w:val="222222"/>
          <w:sz w:val="20"/>
          <w:szCs w:val="20"/>
          <w:shd w:val="clear" w:color="auto" w:fill="FFFFFF"/>
        </w:rPr>
        <w:t>390</w:t>
      </w:r>
      <w:r w:rsidRPr="00DF5606">
        <w:rPr>
          <w:rFonts w:ascii="Arial" w:hAnsi="Arial" w:cs="Arial"/>
          <w:color w:val="222222"/>
          <w:sz w:val="20"/>
          <w:szCs w:val="20"/>
          <w:shd w:val="clear" w:color="auto" w:fill="FFFFFF"/>
        </w:rPr>
        <w:t xml:space="preserve">, p.393. </w:t>
      </w:r>
    </w:p>
    <w:p w14:paraId="61B40BCF" w14:textId="77777777" w:rsidR="00DC2C6E" w:rsidRDefault="00DC2C6E" w:rsidP="008012E0">
      <w:pPr>
        <w:rPr>
          <w:rFonts w:ascii="Arial" w:hAnsi="Arial" w:cs="Arial"/>
          <w:sz w:val="20"/>
          <w:szCs w:val="20"/>
        </w:rPr>
      </w:pPr>
    </w:p>
    <w:p w14:paraId="402A3690" w14:textId="77777777" w:rsidR="00DC2C6E" w:rsidRDefault="00DC2C6E" w:rsidP="008012E0">
      <w:pPr>
        <w:rPr>
          <w:rFonts w:ascii="Arial" w:hAnsi="Arial" w:cs="Arial"/>
          <w:sz w:val="20"/>
          <w:szCs w:val="20"/>
        </w:rPr>
      </w:pPr>
    </w:p>
    <w:p w14:paraId="69DC4F77" w14:textId="77777777" w:rsidR="00DC2C6E" w:rsidRDefault="00DC2C6E" w:rsidP="008012E0">
      <w:pPr>
        <w:rPr>
          <w:rFonts w:ascii="Arial" w:hAnsi="Arial" w:cs="Arial"/>
          <w:sz w:val="20"/>
          <w:szCs w:val="20"/>
        </w:rPr>
      </w:pPr>
    </w:p>
    <w:p w14:paraId="3ACF2371" w14:textId="77777777" w:rsidR="00DC2C6E" w:rsidRDefault="00DC2C6E" w:rsidP="008012E0">
      <w:pPr>
        <w:rPr>
          <w:rFonts w:ascii="Arial" w:hAnsi="Arial" w:cs="Arial"/>
          <w:sz w:val="20"/>
          <w:szCs w:val="20"/>
        </w:rPr>
      </w:pPr>
    </w:p>
    <w:p w14:paraId="15BD0FED" w14:textId="77777777" w:rsidR="00DC2C6E" w:rsidRDefault="00DC2C6E" w:rsidP="008012E0">
      <w:pPr>
        <w:rPr>
          <w:rFonts w:ascii="Arial" w:hAnsi="Arial" w:cs="Arial"/>
          <w:sz w:val="20"/>
          <w:szCs w:val="20"/>
        </w:rPr>
      </w:pPr>
    </w:p>
    <w:p w14:paraId="7DF5114C" w14:textId="77777777" w:rsidR="00DC2C6E" w:rsidRDefault="00DC2C6E" w:rsidP="008012E0">
      <w:pPr>
        <w:rPr>
          <w:rFonts w:ascii="Arial" w:hAnsi="Arial" w:cs="Arial"/>
          <w:sz w:val="20"/>
          <w:szCs w:val="20"/>
        </w:rPr>
      </w:pPr>
    </w:p>
    <w:p w14:paraId="155D99F8" w14:textId="77777777" w:rsidR="00DC2C6E" w:rsidRDefault="00DC2C6E" w:rsidP="008012E0">
      <w:pPr>
        <w:rPr>
          <w:rFonts w:ascii="Arial" w:hAnsi="Arial" w:cs="Arial"/>
          <w:sz w:val="20"/>
          <w:szCs w:val="20"/>
        </w:rPr>
      </w:pPr>
    </w:p>
    <w:p w14:paraId="6A663DDF" w14:textId="77777777" w:rsidR="00DC2C6E" w:rsidRDefault="00DC2C6E" w:rsidP="008012E0">
      <w:pPr>
        <w:rPr>
          <w:rFonts w:ascii="Arial" w:hAnsi="Arial" w:cs="Arial"/>
          <w:sz w:val="20"/>
          <w:szCs w:val="20"/>
        </w:rPr>
      </w:pPr>
    </w:p>
    <w:p w14:paraId="66E0B6A0" w14:textId="77777777" w:rsidR="00DC2C6E" w:rsidRDefault="00DC2C6E" w:rsidP="008012E0">
      <w:pPr>
        <w:rPr>
          <w:rFonts w:ascii="Arial" w:hAnsi="Arial" w:cs="Arial"/>
          <w:sz w:val="20"/>
          <w:szCs w:val="20"/>
        </w:rPr>
      </w:pPr>
    </w:p>
    <w:p w14:paraId="6857C3E1" w14:textId="77777777" w:rsidR="00DC2C6E" w:rsidRDefault="00DC2C6E" w:rsidP="008012E0">
      <w:pPr>
        <w:rPr>
          <w:rFonts w:ascii="Arial" w:hAnsi="Arial" w:cs="Arial"/>
          <w:sz w:val="20"/>
          <w:szCs w:val="20"/>
        </w:rPr>
      </w:pPr>
    </w:p>
    <w:p w14:paraId="1D1BDD48" w14:textId="77777777" w:rsidR="00DC2C6E" w:rsidRDefault="00DC2C6E" w:rsidP="008012E0">
      <w:pPr>
        <w:rPr>
          <w:rFonts w:ascii="Arial" w:hAnsi="Arial" w:cs="Arial"/>
          <w:sz w:val="20"/>
          <w:szCs w:val="20"/>
        </w:rPr>
      </w:pPr>
    </w:p>
    <w:p w14:paraId="3F170898" w14:textId="77777777" w:rsidR="00DC2C6E" w:rsidRDefault="00DC2C6E" w:rsidP="008012E0">
      <w:pPr>
        <w:rPr>
          <w:rFonts w:ascii="Arial" w:hAnsi="Arial" w:cs="Arial"/>
          <w:sz w:val="20"/>
          <w:szCs w:val="20"/>
        </w:rPr>
      </w:pPr>
    </w:p>
    <w:p w14:paraId="4134A985" w14:textId="77777777" w:rsidR="00DC2C6E" w:rsidRDefault="00DC2C6E" w:rsidP="008012E0">
      <w:pPr>
        <w:rPr>
          <w:rFonts w:ascii="Arial" w:hAnsi="Arial" w:cs="Arial"/>
          <w:sz w:val="20"/>
          <w:szCs w:val="20"/>
        </w:rPr>
      </w:pPr>
    </w:p>
    <w:p w14:paraId="7E5EA27A" w14:textId="77777777" w:rsidR="00DC2C6E" w:rsidRDefault="00DC2C6E" w:rsidP="008012E0">
      <w:pPr>
        <w:rPr>
          <w:rFonts w:ascii="Arial" w:hAnsi="Arial" w:cs="Arial"/>
          <w:sz w:val="20"/>
          <w:szCs w:val="20"/>
        </w:rPr>
      </w:pPr>
    </w:p>
    <w:p w14:paraId="0AA5A801" w14:textId="77777777" w:rsidR="00DC2C6E" w:rsidRDefault="00DC2C6E" w:rsidP="008012E0">
      <w:pPr>
        <w:rPr>
          <w:rFonts w:ascii="Arial" w:hAnsi="Arial" w:cs="Arial"/>
          <w:sz w:val="20"/>
          <w:szCs w:val="20"/>
        </w:rPr>
      </w:pPr>
    </w:p>
    <w:p w14:paraId="5863240F" w14:textId="77777777" w:rsidR="00DC2C6E" w:rsidRDefault="00DC2C6E" w:rsidP="008012E0">
      <w:pPr>
        <w:rPr>
          <w:rFonts w:ascii="Arial" w:hAnsi="Arial" w:cs="Arial"/>
          <w:sz w:val="20"/>
          <w:szCs w:val="20"/>
        </w:rPr>
      </w:pPr>
    </w:p>
    <w:p w14:paraId="24EB310F" w14:textId="77777777" w:rsidR="00DC2C6E" w:rsidRDefault="00DC2C6E" w:rsidP="008012E0">
      <w:pPr>
        <w:rPr>
          <w:rFonts w:ascii="Arial" w:hAnsi="Arial" w:cs="Arial"/>
          <w:sz w:val="20"/>
          <w:szCs w:val="20"/>
        </w:rPr>
      </w:pPr>
    </w:p>
    <w:p w14:paraId="5A7149F4" w14:textId="77777777" w:rsidR="00DC2C6E" w:rsidRDefault="00DC2C6E" w:rsidP="008012E0">
      <w:pPr>
        <w:rPr>
          <w:rFonts w:ascii="Arial" w:hAnsi="Arial" w:cs="Arial"/>
          <w:sz w:val="20"/>
          <w:szCs w:val="20"/>
        </w:rPr>
      </w:pPr>
    </w:p>
    <w:p w14:paraId="6F3B8CA1" w14:textId="77777777" w:rsidR="00DC2C6E" w:rsidRDefault="00DC2C6E" w:rsidP="008012E0">
      <w:pPr>
        <w:rPr>
          <w:rFonts w:ascii="Arial" w:hAnsi="Arial" w:cs="Arial"/>
          <w:sz w:val="20"/>
          <w:szCs w:val="20"/>
        </w:rPr>
      </w:pPr>
    </w:p>
    <w:p w14:paraId="37114B9F" w14:textId="77777777" w:rsidR="00DC2C6E" w:rsidRDefault="00DC2C6E" w:rsidP="008012E0">
      <w:pPr>
        <w:rPr>
          <w:rFonts w:ascii="Arial" w:hAnsi="Arial" w:cs="Arial"/>
          <w:sz w:val="20"/>
          <w:szCs w:val="20"/>
        </w:rPr>
      </w:pPr>
    </w:p>
    <w:p w14:paraId="5F53FEE6" w14:textId="77777777" w:rsidR="00DC2C6E" w:rsidRDefault="00DC2C6E" w:rsidP="008012E0">
      <w:pPr>
        <w:rPr>
          <w:rFonts w:ascii="Arial" w:hAnsi="Arial" w:cs="Arial"/>
          <w:sz w:val="20"/>
          <w:szCs w:val="20"/>
        </w:rPr>
      </w:pPr>
    </w:p>
    <w:p w14:paraId="6300BEDD" w14:textId="77777777" w:rsidR="00DC2C6E" w:rsidRDefault="00DC2C6E" w:rsidP="008012E0">
      <w:pPr>
        <w:rPr>
          <w:rFonts w:ascii="Arial" w:hAnsi="Arial" w:cs="Arial"/>
          <w:sz w:val="20"/>
          <w:szCs w:val="20"/>
        </w:rPr>
      </w:pPr>
    </w:p>
    <w:p w14:paraId="5B7D949C" w14:textId="77777777" w:rsidR="00DC2C6E" w:rsidRDefault="00DC2C6E" w:rsidP="008012E0">
      <w:pPr>
        <w:rPr>
          <w:rFonts w:ascii="Arial" w:hAnsi="Arial" w:cs="Arial"/>
          <w:sz w:val="20"/>
          <w:szCs w:val="20"/>
        </w:rPr>
      </w:pPr>
    </w:p>
    <w:p w14:paraId="50F64B6C" w14:textId="77777777" w:rsidR="00DC2C6E" w:rsidRDefault="00DC2C6E" w:rsidP="008012E0">
      <w:pPr>
        <w:rPr>
          <w:rFonts w:ascii="Arial" w:hAnsi="Arial" w:cs="Arial"/>
          <w:sz w:val="20"/>
          <w:szCs w:val="20"/>
        </w:rPr>
      </w:pPr>
    </w:p>
    <w:p w14:paraId="228BF1BA" w14:textId="77777777" w:rsidR="00DC2C6E" w:rsidRDefault="00DC2C6E" w:rsidP="008012E0">
      <w:pPr>
        <w:rPr>
          <w:rFonts w:ascii="Arial" w:hAnsi="Arial" w:cs="Arial"/>
          <w:sz w:val="20"/>
          <w:szCs w:val="20"/>
        </w:rPr>
      </w:pPr>
    </w:p>
    <w:p w14:paraId="42760F79" w14:textId="77777777" w:rsidR="00DC2C6E" w:rsidRDefault="00DC2C6E" w:rsidP="008012E0">
      <w:pPr>
        <w:rPr>
          <w:rFonts w:ascii="Arial" w:hAnsi="Arial" w:cs="Arial"/>
          <w:sz w:val="20"/>
          <w:szCs w:val="20"/>
        </w:rPr>
      </w:pPr>
    </w:p>
    <w:p w14:paraId="194AC493" w14:textId="77777777" w:rsidR="00DC2C6E" w:rsidRDefault="00DC2C6E" w:rsidP="008012E0">
      <w:pPr>
        <w:rPr>
          <w:rFonts w:ascii="Arial" w:hAnsi="Arial" w:cs="Arial"/>
          <w:sz w:val="20"/>
          <w:szCs w:val="20"/>
        </w:rPr>
      </w:pPr>
    </w:p>
    <w:p w14:paraId="6AF226D6" w14:textId="77777777" w:rsidR="00DC2C6E" w:rsidRDefault="00DC2C6E" w:rsidP="008012E0">
      <w:pPr>
        <w:rPr>
          <w:rFonts w:ascii="Arial" w:hAnsi="Arial" w:cs="Arial"/>
          <w:sz w:val="20"/>
          <w:szCs w:val="20"/>
        </w:rPr>
      </w:pPr>
    </w:p>
    <w:p w14:paraId="40D73498" w14:textId="77777777" w:rsidR="00DC2C6E" w:rsidRDefault="00DC2C6E" w:rsidP="008012E0">
      <w:pPr>
        <w:rPr>
          <w:rFonts w:ascii="Arial" w:hAnsi="Arial" w:cs="Arial"/>
          <w:sz w:val="20"/>
          <w:szCs w:val="20"/>
        </w:rPr>
      </w:pPr>
    </w:p>
    <w:p w14:paraId="057DBE16" w14:textId="77777777" w:rsidR="00DC2C6E" w:rsidRDefault="00DC2C6E" w:rsidP="008012E0">
      <w:pPr>
        <w:rPr>
          <w:rFonts w:ascii="Arial" w:hAnsi="Arial" w:cs="Arial"/>
          <w:sz w:val="20"/>
          <w:szCs w:val="20"/>
        </w:rPr>
      </w:pPr>
    </w:p>
    <w:p w14:paraId="3B7A4BD8" w14:textId="77777777" w:rsidR="00DC2C6E" w:rsidRPr="00EF2542" w:rsidRDefault="00DC2C6E" w:rsidP="00DC2C6E">
      <w:pPr>
        <w:rPr>
          <w:rFonts w:ascii="Arial" w:hAnsi="Arial" w:cs="Arial"/>
          <w:b/>
          <w:bCs/>
          <w:sz w:val="20"/>
          <w:szCs w:val="20"/>
        </w:rPr>
      </w:pPr>
      <w:r w:rsidRPr="00EF2542">
        <w:rPr>
          <w:rFonts w:ascii="Arial" w:hAnsi="Arial" w:cs="Arial"/>
          <w:b/>
          <w:bCs/>
          <w:sz w:val="20"/>
          <w:szCs w:val="20"/>
        </w:rPr>
        <w:lastRenderedPageBreak/>
        <w:t>Critically assess the effectiveness of options available to reduce re-offending Your answer must be based on academic research, but you may make reference to relevant case studies. Word limit: 1000 words</w:t>
      </w:r>
    </w:p>
    <w:p w14:paraId="5DBC7296" w14:textId="77777777" w:rsidR="00DC2C6E" w:rsidRPr="00EF2542" w:rsidRDefault="00DC2C6E" w:rsidP="00DC2C6E">
      <w:pPr>
        <w:rPr>
          <w:rFonts w:ascii="Arial" w:hAnsi="Arial" w:cs="Arial"/>
          <w:sz w:val="20"/>
          <w:szCs w:val="20"/>
        </w:rPr>
      </w:pPr>
    </w:p>
    <w:p w14:paraId="2184CB85" w14:textId="77777777" w:rsidR="00DC2C6E" w:rsidRDefault="00DC2C6E" w:rsidP="00DC2C6E">
      <w:pPr>
        <w:rPr>
          <w:rFonts w:ascii="Arial" w:hAnsi="Arial" w:cs="Arial"/>
          <w:sz w:val="20"/>
          <w:szCs w:val="20"/>
        </w:rPr>
      </w:pPr>
      <w:r w:rsidRPr="00EF2542">
        <w:rPr>
          <w:rFonts w:ascii="Arial" w:hAnsi="Arial" w:cs="Arial"/>
          <w:sz w:val="20"/>
          <w:szCs w:val="20"/>
        </w:rPr>
        <w:t xml:space="preserve">Repeat domestic violence offending poses a significant challenge for the police. Recidivist offenders account for a sizeable proportion of overall domestic violence offending and associated harms. </w:t>
      </w:r>
      <w:r>
        <w:rPr>
          <w:rFonts w:ascii="Arial" w:hAnsi="Arial" w:cs="Arial"/>
          <w:sz w:val="20"/>
          <w:szCs w:val="20"/>
        </w:rPr>
        <w:t>The Ministry of Justice (2024) has provided statistical evidence on re-offending rates in England and Wales from January 2022 to March 2022. The statistics showed that the reoffending rate for that quarter was 25.5% which was an increased from the previous quarter in 2021. Consequently, there is a need for interventions and strategies to be implemented which tackle reducing reoffending effectively.</w:t>
      </w:r>
    </w:p>
    <w:p w14:paraId="7E807DC9" w14:textId="77777777" w:rsidR="00DC2C6E" w:rsidRPr="00EF2542" w:rsidRDefault="00DC2C6E" w:rsidP="00DC2C6E">
      <w:pPr>
        <w:rPr>
          <w:rFonts w:ascii="Arial" w:hAnsi="Arial" w:cs="Arial"/>
          <w:sz w:val="20"/>
          <w:szCs w:val="20"/>
        </w:rPr>
      </w:pPr>
    </w:p>
    <w:p w14:paraId="22668B5F" w14:textId="77777777" w:rsidR="00DC2C6E" w:rsidRPr="00EF2542" w:rsidRDefault="00DC2C6E" w:rsidP="00DC2C6E">
      <w:pPr>
        <w:rPr>
          <w:rFonts w:ascii="Arial" w:hAnsi="Arial" w:cs="Arial"/>
          <w:sz w:val="20"/>
          <w:szCs w:val="20"/>
        </w:rPr>
      </w:pPr>
      <w:r w:rsidRPr="00EF2542">
        <w:rPr>
          <w:rFonts w:ascii="Arial" w:hAnsi="Arial" w:cs="Arial"/>
          <w:sz w:val="20"/>
          <w:szCs w:val="20"/>
        </w:rPr>
        <w:t>The College of Policing (2015) explored criminal sanctions to prevent domestic violence and reduce re-offending. The research suggested that two mechanisms which criminal sanctions may have an impact on reoffending. Firstly, it looked at the specific deterrence and the fear of future sanctions hinders reoffending. The second mechanism relies upon victim empowerment and empowering victims to have a voice to report domestic violence.</w:t>
      </w:r>
    </w:p>
    <w:p w14:paraId="52FD7F05" w14:textId="77777777" w:rsidR="00DC2C6E" w:rsidRPr="00EF2542" w:rsidRDefault="00DC2C6E" w:rsidP="00DC2C6E">
      <w:pPr>
        <w:rPr>
          <w:rFonts w:ascii="Arial" w:hAnsi="Arial" w:cs="Arial"/>
          <w:sz w:val="20"/>
          <w:szCs w:val="20"/>
        </w:rPr>
      </w:pPr>
    </w:p>
    <w:p w14:paraId="61FED5E8" w14:textId="77777777" w:rsidR="00DC2C6E" w:rsidRPr="00EF2542" w:rsidRDefault="00DC2C6E" w:rsidP="00DC2C6E">
      <w:pPr>
        <w:rPr>
          <w:rFonts w:ascii="Arial" w:hAnsi="Arial" w:cs="Arial"/>
          <w:sz w:val="20"/>
          <w:szCs w:val="20"/>
        </w:rPr>
      </w:pPr>
      <w:r w:rsidRPr="00EF2542">
        <w:rPr>
          <w:rFonts w:ascii="Arial" w:hAnsi="Arial" w:cs="Arial"/>
          <w:sz w:val="20"/>
          <w:szCs w:val="20"/>
        </w:rPr>
        <w:t>A key role in tackling re-offending is being aware that the offences are taking place initially, within domestic violence incidents it can go un-reported because victims can feel isolated from their partners behaviour which causes them not to report incidents to the police. Birdsey and Snowball (2013) examined victims of domestic violence reporting incidents to the police which found that 50% of the victims did not report it to police. Statistical evidence showed that the top three reasons for domestic violence incidents not being reported was due to fear of revenge or further violence, victims feeling shame, or the incident feeling too trivial. The key barrier in reporting, according to the victims interviewed within the research was due to the fact they thought the police did not understand and are not proactive in handling domestic violence. This is one of the key issues in reducing re-offending, if victims did not feel empowered to report incidents then as a police force we do not know how many perpetrators there are and therefore cannot put the correct mechanisms and protocols in to reduce re-offending.</w:t>
      </w:r>
    </w:p>
    <w:p w14:paraId="0860FF20" w14:textId="77777777" w:rsidR="00DC2C6E" w:rsidRPr="00EF2542" w:rsidRDefault="00DC2C6E" w:rsidP="00DC2C6E">
      <w:pPr>
        <w:rPr>
          <w:rFonts w:ascii="Arial" w:hAnsi="Arial" w:cs="Arial"/>
          <w:sz w:val="20"/>
          <w:szCs w:val="20"/>
        </w:rPr>
      </w:pPr>
    </w:p>
    <w:p w14:paraId="0C2819F0" w14:textId="77777777" w:rsidR="00DC2C6E" w:rsidRPr="00EF2542" w:rsidRDefault="00DC2C6E" w:rsidP="00DC2C6E">
      <w:pPr>
        <w:rPr>
          <w:rFonts w:ascii="Arial" w:hAnsi="Arial" w:cs="Arial"/>
          <w:sz w:val="20"/>
          <w:szCs w:val="20"/>
        </w:rPr>
      </w:pPr>
      <w:r w:rsidRPr="00EF2542">
        <w:rPr>
          <w:rFonts w:ascii="Arial" w:hAnsi="Arial" w:cs="Arial"/>
          <w:sz w:val="20"/>
          <w:szCs w:val="20"/>
        </w:rPr>
        <w:t xml:space="preserve">Another key approach to reduce re-offending within domestic abuse is through the use of orders which prohibit the offender from contacting the victim. The police force in England and Wales are able to utilise civil orders such as Domestic Violence Protection Orders (DVPOs) and Domestic Violence Protection Notices (DVPNs). Home Office (2022) states that DVPNs can be used where victims of domestic violence can have protective measures put in place immediately after a domestic violence incident has taken place but at the time there is insufficient evidence to charge the suspect. Once a DVPN has been authorised by a Superintendent, a protection order must be present to court no later than 48 hours after the notice is made. Domestic Abuse Act (2021) states that a DVPO is an order which prevents the offender from being abusive towards a victim. </w:t>
      </w:r>
    </w:p>
    <w:p w14:paraId="7977BF36" w14:textId="77777777" w:rsidR="00DC2C6E" w:rsidRPr="00EF2542" w:rsidRDefault="00DC2C6E" w:rsidP="00DC2C6E">
      <w:pPr>
        <w:rPr>
          <w:rFonts w:ascii="Arial" w:hAnsi="Arial" w:cs="Arial"/>
          <w:sz w:val="20"/>
          <w:szCs w:val="20"/>
        </w:rPr>
      </w:pPr>
    </w:p>
    <w:p w14:paraId="01EF6F36" w14:textId="77777777" w:rsidR="00DC2C6E" w:rsidRPr="00EF2542" w:rsidRDefault="00DC2C6E" w:rsidP="00DC2C6E">
      <w:pPr>
        <w:rPr>
          <w:rFonts w:ascii="Arial" w:hAnsi="Arial" w:cs="Arial"/>
          <w:sz w:val="20"/>
          <w:szCs w:val="20"/>
        </w:rPr>
      </w:pPr>
      <w:r w:rsidRPr="00EF2542">
        <w:rPr>
          <w:rFonts w:ascii="Arial" w:hAnsi="Arial" w:cs="Arial"/>
          <w:sz w:val="20"/>
          <w:szCs w:val="20"/>
        </w:rPr>
        <w:t xml:space="preserve">Blackburn and Graca (2021) conducted academic research on the effectiveness of DVPOs and DVPNs and found whilst there is little evidence and research regarding their use and effectiveness, Kelly et al (2013) suggested that they were effective in reducing domestic violence and the re-victimisation which suggest that DVPOs and DVPNs are successful in reducing re-offending in domestic violence. </w:t>
      </w:r>
    </w:p>
    <w:p w14:paraId="598A1001" w14:textId="77777777" w:rsidR="00DC2C6E" w:rsidRPr="00EF2542" w:rsidRDefault="00DC2C6E" w:rsidP="00DC2C6E">
      <w:pPr>
        <w:rPr>
          <w:rFonts w:ascii="Arial" w:hAnsi="Arial" w:cs="Arial"/>
          <w:sz w:val="20"/>
          <w:szCs w:val="20"/>
        </w:rPr>
      </w:pPr>
    </w:p>
    <w:p w14:paraId="2094E8B5" w14:textId="77777777" w:rsidR="00DC2C6E" w:rsidRPr="00EF2542" w:rsidRDefault="00DC2C6E" w:rsidP="00DC2C6E">
      <w:pPr>
        <w:rPr>
          <w:rFonts w:ascii="Arial" w:hAnsi="Arial" w:cs="Arial"/>
          <w:sz w:val="20"/>
          <w:szCs w:val="20"/>
        </w:rPr>
      </w:pPr>
      <w:r w:rsidRPr="00EF2542">
        <w:rPr>
          <w:rFonts w:ascii="Arial" w:hAnsi="Arial" w:cs="Arial"/>
          <w:sz w:val="20"/>
          <w:szCs w:val="20"/>
        </w:rPr>
        <w:t xml:space="preserve">Another factor which can help reduce re-offending rates is utilising the resource of Clare’s law and promoting this widely, so all persons are aware of the law and how to use it. Clare’s Law (2024) discusses the use of domestic violence disclosure scheme which is commonly referred to as Clare’s Law. It is a police policy which gives people the right to know whether their partner or ex-partner has been involved in domestic abuse and violence. The scheme is based on right to know and right to ask, where if an individual is worried that their partner may have been abusive previously and they could be at risk of domestic abuse they can request information to ascertain whether their partner has a record of violence of abuse previously. This can be a great tool to prevent re-offending as it gives people the opportunity to assess their own risk before entering a relationship with someone who they think may have been abusive prior. This also acts as a deterrent to offenders as they will be aware that their new partners will have the right to ask to access their previous offending and have that potentially exposed. </w:t>
      </w:r>
      <w:r w:rsidRPr="00EF2542">
        <w:rPr>
          <w:rFonts w:ascii="Arial" w:hAnsi="Arial" w:cs="Arial"/>
          <w:color w:val="000000"/>
          <w:sz w:val="20"/>
          <w:szCs w:val="20"/>
        </w:rPr>
        <w:br/>
      </w:r>
    </w:p>
    <w:p w14:paraId="0BB03948" w14:textId="77777777" w:rsidR="00DC2C6E" w:rsidRPr="00EF2542" w:rsidRDefault="00DC2C6E" w:rsidP="00DC2C6E">
      <w:pPr>
        <w:rPr>
          <w:rFonts w:ascii="Arial" w:hAnsi="Arial" w:cs="Arial"/>
          <w:sz w:val="20"/>
          <w:szCs w:val="20"/>
        </w:rPr>
      </w:pPr>
      <w:r w:rsidRPr="00EF2542">
        <w:rPr>
          <w:rFonts w:ascii="Arial" w:hAnsi="Arial" w:cs="Arial"/>
          <w:sz w:val="20"/>
          <w:szCs w:val="20"/>
        </w:rPr>
        <w:lastRenderedPageBreak/>
        <w:t xml:space="preserve">There are a wide range of interventions, charities, and support agencies to reduce domestic violence which focuses on the reducing re-offending. Bowen et al (2008) conducted preliminary research on the effectiveness of rehabilitation programs for domestic violence offenders. Within the study, the data has been taken from a sample of 52 offenders who at court were required to attend a psycho-educational rehabilitation program in the West Midlands. The offenders were assess both pre and post treatment, the evidence sought that the program achieved a limited changes and the level of psychological change that had been ascertained had no association with the reduction of re-offending. </w:t>
      </w:r>
    </w:p>
    <w:p w14:paraId="02922440" w14:textId="77777777" w:rsidR="00DC2C6E" w:rsidRPr="00EF2542" w:rsidRDefault="00DC2C6E" w:rsidP="00DC2C6E">
      <w:pPr>
        <w:rPr>
          <w:rFonts w:ascii="Arial" w:hAnsi="Arial" w:cs="Arial"/>
          <w:sz w:val="20"/>
          <w:szCs w:val="20"/>
        </w:rPr>
      </w:pPr>
    </w:p>
    <w:p w14:paraId="3B855B5B" w14:textId="77777777" w:rsidR="00DC2C6E" w:rsidRPr="00EF2542" w:rsidRDefault="00DC2C6E" w:rsidP="00DC2C6E">
      <w:pPr>
        <w:rPr>
          <w:rFonts w:ascii="Arial" w:hAnsi="Arial" w:cs="Arial"/>
          <w:sz w:val="20"/>
          <w:szCs w:val="20"/>
        </w:rPr>
      </w:pPr>
      <w:r w:rsidRPr="00EF2542">
        <w:rPr>
          <w:rFonts w:ascii="Arial" w:hAnsi="Arial" w:cs="Arial"/>
          <w:sz w:val="20"/>
          <w:szCs w:val="20"/>
        </w:rPr>
        <w:t xml:space="preserve">To conclude, although there are a variety of options available to support and prevent further re-offending within domestic violence. It is apparent from research, that this is all based predominantly all is based predominantly on the victim protecting themselves against domestic abuse rather than focusing on the main cause which is the offender’s behaviour. The research on interventions on reducing re-offending was limited and found that those interventions that had been identified had no positive results. </w:t>
      </w:r>
    </w:p>
    <w:p w14:paraId="060E7D11" w14:textId="77777777" w:rsidR="00DC2C6E" w:rsidRPr="00EF2542" w:rsidRDefault="00DC2C6E" w:rsidP="00DC2C6E">
      <w:pPr>
        <w:rPr>
          <w:rFonts w:ascii="Arial" w:hAnsi="Arial" w:cs="Arial"/>
          <w:sz w:val="20"/>
          <w:szCs w:val="20"/>
        </w:rPr>
      </w:pPr>
    </w:p>
    <w:p w14:paraId="74E0B8D5" w14:textId="77777777" w:rsidR="00DC2C6E" w:rsidRPr="00EF2542" w:rsidRDefault="00DC2C6E" w:rsidP="00DC2C6E">
      <w:pPr>
        <w:rPr>
          <w:rFonts w:ascii="Arial" w:hAnsi="Arial" w:cs="Arial"/>
          <w:sz w:val="20"/>
          <w:szCs w:val="20"/>
        </w:rPr>
      </w:pPr>
    </w:p>
    <w:p w14:paraId="6C1FC467" w14:textId="77777777" w:rsidR="00DC2C6E" w:rsidRPr="00EF2542" w:rsidRDefault="00DC2C6E" w:rsidP="00DC2C6E">
      <w:pPr>
        <w:rPr>
          <w:rFonts w:ascii="Arial" w:hAnsi="Arial" w:cs="Arial"/>
          <w:sz w:val="20"/>
          <w:szCs w:val="20"/>
        </w:rPr>
      </w:pPr>
    </w:p>
    <w:p w14:paraId="19BE9B88" w14:textId="77777777" w:rsidR="00DC2C6E" w:rsidRPr="00EF2542" w:rsidRDefault="00DC2C6E" w:rsidP="00DC2C6E">
      <w:pPr>
        <w:rPr>
          <w:rFonts w:ascii="Arial" w:hAnsi="Arial" w:cs="Arial"/>
          <w:sz w:val="20"/>
          <w:szCs w:val="20"/>
        </w:rPr>
      </w:pPr>
    </w:p>
    <w:p w14:paraId="40616A7A" w14:textId="77777777" w:rsidR="00DC2C6E" w:rsidRPr="00EF2542" w:rsidRDefault="00DC2C6E" w:rsidP="00DC2C6E">
      <w:pPr>
        <w:rPr>
          <w:rFonts w:ascii="Arial" w:hAnsi="Arial" w:cs="Arial"/>
          <w:b/>
          <w:bCs/>
          <w:sz w:val="20"/>
          <w:szCs w:val="20"/>
        </w:rPr>
      </w:pPr>
      <w:r w:rsidRPr="00EF2542">
        <w:rPr>
          <w:rFonts w:ascii="Arial" w:hAnsi="Arial" w:cs="Arial"/>
          <w:b/>
          <w:bCs/>
          <w:sz w:val="20"/>
          <w:szCs w:val="20"/>
        </w:rPr>
        <w:t>Bibliography:</w:t>
      </w:r>
    </w:p>
    <w:p w14:paraId="743E9B64" w14:textId="77777777" w:rsidR="00DC2C6E" w:rsidRPr="00EF2542" w:rsidRDefault="00DC2C6E" w:rsidP="00DC2C6E">
      <w:pPr>
        <w:rPr>
          <w:rFonts w:ascii="Arial" w:hAnsi="Arial" w:cs="Arial"/>
          <w:sz w:val="20"/>
          <w:szCs w:val="20"/>
        </w:rPr>
      </w:pPr>
    </w:p>
    <w:p w14:paraId="20DC39B3" w14:textId="77777777" w:rsidR="00DC2C6E" w:rsidRPr="00EF2542" w:rsidRDefault="00DC2C6E" w:rsidP="00DC2C6E">
      <w:pPr>
        <w:rPr>
          <w:rFonts w:ascii="Arial" w:hAnsi="Arial" w:cs="Arial"/>
          <w:sz w:val="20"/>
          <w:szCs w:val="20"/>
        </w:rPr>
      </w:pPr>
    </w:p>
    <w:p w14:paraId="3B9E50EF" w14:textId="77777777" w:rsidR="00DC2C6E" w:rsidRPr="00EF2542" w:rsidRDefault="00DC2C6E" w:rsidP="00DC2C6E">
      <w:pPr>
        <w:rPr>
          <w:rFonts w:ascii="Arial" w:hAnsi="Arial" w:cs="Arial"/>
          <w:color w:val="222222"/>
          <w:sz w:val="20"/>
          <w:szCs w:val="20"/>
          <w:shd w:val="clear" w:color="auto" w:fill="FFFFFF"/>
        </w:rPr>
      </w:pPr>
      <w:r w:rsidRPr="00EF2542">
        <w:rPr>
          <w:rFonts w:ascii="Arial" w:hAnsi="Arial" w:cs="Arial"/>
          <w:color w:val="222222"/>
          <w:sz w:val="20"/>
          <w:szCs w:val="20"/>
          <w:shd w:val="clear" w:color="auto" w:fill="FFFFFF"/>
        </w:rPr>
        <w:t>Birdsey, E. and Snowball, L., 2013. Reporting violence to police: A survey of victims attending domestic violence services.</w:t>
      </w:r>
    </w:p>
    <w:p w14:paraId="4393B08C" w14:textId="77777777" w:rsidR="00DC2C6E" w:rsidRPr="00EF2542" w:rsidRDefault="00DC2C6E" w:rsidP="00DC2C6E">
      <w:pPr>
        <w:rPr>
          <w:rFonts w:ascii="Arial" w:hAnsi="Arial" w:cs="Arial"/>
          <w:sz w:val="20"/>
          <w:szCs w:val="20"/>
        </w:rPr>
      </w:pPr>
    </w:p>
    <w:p w14:paraId="13E8CEE4" w14:textId="77777777" w:rsidR="00DC2C6E" w:rsidRDefault="00DC2C6E" w:rsidP="00DC2C6E">
      <w:pPr>
        <w:rPr>
          <w:rFonts w:ascii="Arial" w:hAnsi="Arial" w:cs="Arial"/>
          <w:color w:val="222222"/>
          <w:sz w:val="20"/>
          <w:szCs w:val="20"/>
          <w:shd w:val="clear" w:color="auto" w:fill="FFFFFF"/>
        </w:rPr>
      </w:pPr>
      <w:r w:rsidRPr="00EF2542">
        <w:rPr>
          <w:rFonts w:ascii="Arial" w:hAnsi="Arial" w:cs="Arial"/>
          <w:color w:val="222222"/>
          <w:sz w:val="20"/>
          <w:szCs w:val="20"/>
          <w:shd w:val="clear" w:color="auto" w:fill="FFFFFF"/>
        </w:rPr>
        <w:t>Bowen, E., Gilchrist, E. and Beech, A.R., 2008. Change in treatment has no relationship with subsequent re-offending in UK domestic violence sample: A preliminary study. </w:t>
      </w:r>
      <w:r w:rsidRPr="00EF2542">
        <w:rPr>
          <w:rFonts w:ascii="Arial" w:hAnsi="Arial" w:cs="Arial"/>
          <w:i/>
          <w:iCs/>
          <w:color w:val="222222"/>
          <w:sz w:val="20"/>
          <w:szCs w:val="20"/>
          <w:shd w:val="clear" w:color="auto" w:fill="FFFFFF"/>
        </w:rPr>
        <w:t>International Journal of Offender Therapy and Comparative Criminology</w:t>
      </w:r>
      <w:r w:rsidRPr="00EF2542">
        <w:rPr>
          <w:rFonts w:ascii="Arial" w:hAnsi="Arial" w:cs="Arial"/>
          <w:color w:val="222222"/>
          <w:sz w:val="20"/>
          <w:szCs w:val="20"/>
          <w:shd w:val="clear" w:color="auto" w:fill="FFFFFF"/>
        </w:rPr>
        <w:t>, </w:t>
      </w:r>
      <w:r w:rsidRPr="00EF2542">
        <w:rPr>
          <w:rFonts w:ascii="Arial" w:hAnsi="Arial" w:cs="Arial"/>
          <w:i/>
          <w:iCs/>
          <w:color w:val="222222"/>
          <w:sz w:val="20"/>
          <w:szCs w:val="20"/>
          <w:shd w:val="clear" w:color="auto" w:fill="FFFFFF"/>
        </w:rPr>
        <w:t>52</w:t>
      </w:r>
      <w:r w:rsidRPr="00EF2542">
        <w:rPr>
          <w:rFonts w:ascii="Arial" w:hAnsi="Arial" w:cs="Arial"/>
          <w:color w:val="222222"/>
          <w:sz w:val="20"/>
          <w:szCs w:val="20"/>
          <w:shd w:val="clear" w:color="auto" w:fill="FFFFFF"/>
        </w:rPr>
        <w:t>(5), pp.598-614.</w:t>
      </w:r>
    </w:p>
    <w:p w14:paraId="6555C71C" w14:textId="77777777" w:rsidR="00DC2C6E" w:rsidRPr="00EF2542" w:rsidRDefault="00DC2C6E" w:rsidP="00DC2C6E">
      <w:pPr>
        <w:rPr>
          <w:rFonts w:ascii="Arial" w:hAnsi="Arial" w:cs="Arial"/>
          <w:sz w:val="20"/>
          <w:szCs w:val="20"/>
        </w:rPr>
      </w:pPr>
    </w:p>
    <w:p w14:paraId="26C4658D" w14:textId="77777777" w:rsidR="00DC2C6E" w:rsidRPr="00EF2542" w:rsidRDefault="00DC2C6E" w:rsidP="00DC2C6E">
      <w:pPr>
        <w:rPr>
          <w:rFonts w:ascii="Arial" w:hAnsi="Arial" w:cs="Arial"/>
          <w:sz w:val="20"/>
          <w:szCs w:val="20"/>
        </w:rPr>
      </w:pPr>
      <w:r w:rsidRPr="00EF2542">
        <w:rPr>
          <w:rFonts w:ascii="Arial" w:hAnsi="Arial" w:cs="Arial"/>
          <w:sz w:val="20"/>
          <w:szCs w:val="20"/>
        </w:rPr>
        <w:t xml:space="preserve">Blackburn, K. and Graca, S. (2021) ‘A critical reflection on the use and effectiveness of DVPNs and DVPOs’, Police Practice and Research, 22(1), pp. 23–39. </w:t>
      </w:r>
    </w:p>
    <w:p w14:paraId="577886AC" w14:textId="77777777" w:rsidR="00DC2C6E" w:rsidRDefault="00DC2C6E" w:rsidP="00DC2C6E">
      <w:pPr>
        <w:rPr>
          <w:rFonts w:ascii="Arial" w:hAnsi="Arial" w:cs="Arial"/>
          <w:color w:val="222222"/>
          <w:sz w:val="20"/>
          <w:szCs w:val="20"/>
          <w:shd w:val="clear" w:color="auto" w:fill="FFFFFF"/>
        </w:rPr>
      </w:pPr>
    </w:p>
    <w:p w14:paraId="45D35405" w14:textId="77777777" w:rsidR="00DC2C6E" w:rsidRPr="00EF2542" w:rsidRDefault="00DC2C6E" w:rsidP="00DC2C6E">
      <w:pPr>
        <w:rPr>
          <w:rFonts w:ascii="Arial" w:hAnsi="Arial" w:cs="Arial"/>
          <w:sz w:val="20"/>
          <w:szCs w:val="20"/>
        </w:rPr>
      </w:pPr>
      <w:r w:rsidRPr="00EF2542">
        <w:rPr>
          <w:rFonts w:ascii="Arial" w:hAnsi="Arial" w:cs="Arial"/>
          <w:sz w:val="20"/>
          <w:szCs w:val="20"/>
        </w:rPr>
        <w:t>Clare’s Law. (2024) The right to know if your partner has an abusive past. Available at:</w:t>
      </w:r>
    </w:p>
    <w:p w14:paraId="574B0DFF" w14:textId="77777777" w:rsidR="00DC2C6E" w:rsidRPr="00EF2542" w:rsidRDefault="00DC2C6E" w:rsidP="00DC2C6E">
      <w:pPr>
        <w:rPr>
          <w:rFonts w:ascii="Arial" w:hAnsi="Arial" w:cs="Arial"/>
          <w:sz w:val="20"/>
          <w:szCs w:val="20"/>
        </w:rPr>
      </w:pPr>
      <w:hyperlink r:id="rId11" w:history="1">
        <w:r w:rsidRPr="00EF2542">
          <w:rPr>
            <w:rStyle w:val="Hyperlink"/>
            <w:rFonts w:ascii="Arial" w:hAnsi="Arial" w:cs="Arial"/>
            <w:sz w:val="20"/>
            <w:szCs w:val="20"/>
          </w:rPr>
          <w:t>https://clares-law.com/</w:t>
        </w:r>
      </w:hyperlink>
    </w:p>
    <w:p w14:paraId="7564C2BB" w14:textId="77777777" w:rsidR="00DC2C6E" w:rsidRPr="00EF2542" w:rsidRDefault="00DC2C6E" w:rsidP="00DC2C6E">
      <w:pPr>
        <w:rPr>
          <w:rFonts w:ascii="Arial" w:hAnsi="Arial" w:cs="Arial"/>
          <w:sz w:val="20"/>
          <w:szCs w:val="20"/>
        </w:rPr>
      </w:pPr>
      <w:r w:rsidRPr="00EF2542">
        <w:rPr>
          <w:rFonts w:ascii="Arial" w:hAnsi="Arial" w:cs="Arial"/>
          <w:sz w:val="20"/>
          <w:szCs w:val="20"/>
        </w:rPr>
        <w:t>(Accessed on: 14/04/2024)</w:t>
      </w:r>
    </w:p>
    <w:p w14:paraId="358F6AA2" w14:textId="77777777" w:rsidR="00DC2C6E" w:rsidRPr="00EF2542" w:rsidRDefault="00DC2C6E" w:rsidP="00DC2C6E">
      <w:pPr>
        <w:rPr>
          <w:rFonts w:ascii="Arial" w:hAnsi="Arial" w:cs="Arial"/>
          <w:sz w:val="20"/>
          <w:szCs w:val="20"/>
        </w:rPr>
      </w:pPr>
    </w:p>
    <w:p w14:paraId="59FA9580" w14:textId="77777777" w:rsidR="00DC2C6E" w:rsidRDefault="00DC2C6E" w:rsidP="00DC2C6E">
      <w:pPr>
        <w:rPr>
          <w:rFonts w:ascii="Arial" w:hAnsi="Arial" w:cs="Arial"/>
          <w:sz w:val="20"/>
          <w:szCs w:val="20"/>
        </w:rPr>
      </w:pPr>
      <w:r w:rsidRPr="00EF2542">
        <w:rPr>
          <w:rFonts w:ascii="Arial" w:hAnsi="Arial" w:cs="Arial"/>
          <w:sz w:val="20"/>
          <w:szCs w:val="20"/>
        </w:rPr>
        <w:t xml:space="preserve">College of </w:t>
      </w:r>
      <w:r>
        <w:rPr>
          <w:rFonts w:ascii="Arial" w:hAnsi="Arial" w:cs="Arial"/>
          <w:sz w:val="20"/>
          <w:szCs w:val="20"/>
        </w:rPr>
        <w:t>P</w:t>
      </w:r>
      <w:r w:rsidRPr="00EF2542">
        <w:rPr>
          <w:rFonts w:ascii="Arial" w:hAnsi="Arial" w:cs="Arial"/>
          <w:sz w:val="20"/>
          <w:szCs w:val="20"/>
        </w:rPr>
        <w:t>olicing</w:t>
      </w:r>
      <w:r>
        <w:rPr>
          <w:rFonts w:ascii="Arial" w:hAnsi="Arial" w:cs="Arial"/>
          <w:sz w:val="20"/>
          <w:szCs w:val="20"/>
        </w:rPr>
        <w:t>. (</w:t>
      </w:r>
      <w:r w:rsidRPr="00EF2542">
        <w:rPr>
          <w:rFonts w:ascii="Arial" w:hAnsi="Arial" w:cs="Arial"/>
          <w:sz w:val="20"/>
          <w:szCs w:val="20"/>
        </w:rPr>
        <w:t>2015</w:t>
      </w:r>
      <w:r>
        <w:rPr>
          <w:rFonts w:ascii="Arial" w:hAnsi="Arial" w:cs="Arial"/>
          <w:sz w:val="20"/>
          <w:szCs w:val="20"/>
        </w:rPr>
        <w:t>) Criminal Sanctions to prevent domestic violence. Available at:</w:t>
      </w:r>
    </w:p>
    <w:p w14:paraId="7D4648BB" w14:textId="77777777" w:rsidR="00DC2C6E" w:rsidRDefault="00DC2C6E" w:rsidP="00DC2C6E">
      <w:pPr>
        <w:rPr>
          <w:rFonts w:ascii="Arial" w:hAnsi="Arial" w:cs="Arial"/>
          <w:sz w:val="20"/>
          <w:szCs w:val="20"/>
        </w:rPr>
      </w:pPr>
      <w:hyperlink r:id="rId12" w:history="1">
        <w:r w:rsidRPr="00E15459">
          <w:rPr>
            <w:rStyle w:val="Hyperlink"/>
            <w:rFonts w:ascii="Arial" w:hAnsi="Arial" w:cs="Arial"/>
            <w:sz w:val="20"/>
            <w:szCs w:val="20"/>
          </w:rPr>
          <w:t>https://www.college.police.uk/research/crime-reduction-toolkit/criminal-sanctions-prevent-domestic-violence#:~:text=The%20first%20of%20these%20is,more%20willing%20to%20do%20so</w:t>
        </w:r>
      </w:hyperlink>
      <w:r w:rsidRPr="00EF2542">
        <w:rPr>
          <w:rFonts w:ascii="Arial" w:hAnsi="Arial" w:cs="Arial"/>
          <w:sz w:val="20"/>
          <w:szCs w:val="20"/>
        </w:rPr>
        <w:t>.</w:t>
      </w:r>
    </w:p>
    <w:p w14:paraId="0C612A18" w14:textId="77777777" w:rsidR="00DC2C6E" w:rsidRDefault="00DC2C6E" w:rsidP="00DC2C6E">
      <w:pPr>
        <w:rPr>
          <w:rFonts w:ascii="Arial" w:hAnsi="Arial" w:cs="Arial"/>
          <w:sz w:val="20"/>
          <w:szCs w:val="20"/>
        </w:rPr>
      </w:pPr>
      <w:r>
        <w:rPr>
          <w:rFonts w:ascii="Arial" w:hAnsi="Arial" w:cs="Arial"/>
          <w:sz w:val="20"/>
          <w:szCs w:val="20"/>
        </w:rPr>
        <w:t>(Accessed on: 14/04/2024)</w:t>
      </w:r>
    </w:p>
    <w:p w14:paraId="06988D73" w14:textId="77777777" w:rsidR="00DC2C6E" w:rsidRDefault="00DC2C6E" w:rsidP="00DC2C6E">
      <w:pPr>
        <w:rPr>
          <w:rFonts w:ascii="Arial" w:hAnsi="Arial" w:cs="Arial"/>
          <w:sz w:val="20"/>
          <w:szCs w:val="20"/>
        </w:rPr>
      </w:pPr>
    </w:p>
    <w:p w14:paraId="25772722" w14:textId="77777777" w:rsidR="00DC2C6E" w:rsidRDefault="00DC2C6E" w:rsidP="00DC2C6E">
      <w:pPr>
        <w:rPr>
          <w:rFonts w:ascii="Arial" w:hAnsi="Arial" w:cs="Arial"/>
          <w:sz w:val="20"/>
          <w:szCs w:val="20"/>
        </w:rPr>
      </w:pPr>
      <w:r w:rsidRPr="00EF2542">
        <w:rPr>
          <w:rFonts w:ascii="Arial" w:hAnsi="Arial" w:cs="Arial"/>
          <w:sz w:val="20"/>
          <w:szCs w:val="20"/>
        </w:rPr>
        <w:t>Home office</w:t>
      </w:r>
      <w:r>
        <w:rPr>
          <w:rFonts w:ascii="Arial" w:hAnsi="Arial" w:cs="Arial"/>
          <w:sz w:val="20"/>
          <w:szCs w:val="20"/>
        </w:rPr>
        <w:t>. (</w:t>
      </w:r>
      <w:r w:rsidRPr="00EF2542">
        <w:rPr>
          <w:rFonts w:ascii="Arial" w:hAnsi="Arial" w:cs="Arial"/>
          <w:sz w:val="20"/>
          <w:szCs w:val="20"/>
        </w:rPr>
        <w:t>2022</w:t>
      </w:r>
      <w:r>
        <w:rPr>
          <w:rFonts w:ascii="Arial" w:hAnsi="Arial" w:cs="Arial"/>
          <w:sz w:val="20"/>
          <w:szCs w:val="20"/>
        </w:rPr>
        <w:t>) Domestic Violence Protection Notices and Domestic Violence Protection Orders. Available at:</w:t>
      </w:r>
    </w:p>
    <w:p w14:paraId="6724F939" w14:textId="77777777" w:rsidR="00DC2C6E" w:rsidRDefault="00DC2C6E" w:rsidP="00DC2C6E">
      <w:pPr>
        <w:rPr>
          <w:rFonts w:ascii="Arial" w:hAnsi="Arial" w:cs="Arial"/>
          <w:sz w:val="20"/>
          <w:szCs w:val="20"/>
        </w:rPr>
      </w:pPr>
      <w:hyperlink r:id="rId13" w:history="1">
        <w:r w:rsidRPr="00E15459">
          <w:rPr>
            <w:rStyle w:val="Hyperlink"/>
            <w:rFonts w:ascii="Arial" w:hAnsi="Arial" w:cs="Arial"/>
            <w:sz w:val="20"/>
            <w:szCs w:val="20"/>
          </w:rPr>
          <w:t>https://www.gov.uk/government/publications/domestic-violence-protection-orders/domestic-violence-protection-notices-dvpns-and-domestic-violence-protection-orders-dvpos-guidance-sections-24-33-crime-and-security-act-2010</w:t>
        </w:r>
      </w:hyperlink>
    </w:p>
    <w:p w14:paraId="1079F08D" w14:textId="77777777" w:rsidR="00DC2C6E" w:rsidRPr="00EF2542" w:rsidRDefault="00DC2C6E" w:rsidP="00DC2C6E">
      <w:pPr>
        <w:rPr>
          <w:rFonts w:ascii="Arial" w:hAnsi="Arial" w:cs="Arial"/>
          <w:sz w:val="20"/>
          <w:szCs w:val="20"/>
        </w:rPr>
      </w:pPr>
      <w:r w:rsidRPr="00EF2542">
        <w:rPr>
          <w:rFonts w:ascii="Arial" w:hAnsi="Arial" w:cs="Arial"/>
          <w:sz w:val="20"/>
          <w:szCs w:val="20"/>
        </w:rPr>
        <w:t>(Accessed on: 14/04/2024)</w:t>
      </w:r>
    </w:p>
    <w:p w14:paraId="310E19D4" w14:textId="77777777" w:rsidR="00DC2C6E" w:rsidRPr="00EF2542" w:rsidRDefault="00DC2C6E" w:rsidP="00DC2C6E">
      <w:pPr>
        <w:rPr>
          <w:rFonts w:ascii="Arial" w:hAnsi="Arial" w:cs="Arial"/>
          <w:color w:val="222222"/>
          <w:sz w:val="20"/>
          <w:szCs w:val="20"/>
          <w:shd w:val="clear" w:color="auto" w:fill="FFFFFF"/>
        </w:rPr>
      </w:pPr>
    </w:p>
    <w:p w14:paraId="0501B43C" w14:textId="77777777" w:rsidR="00DC2C6E" w:rsidRPr="00EF2542" w:rsidRDefault="00DC2C6E" w:rsidP="00DC2C6E">
      <w:pPr>
        <w:rPr>
          <w:rFonts w:ascii="Arial" w:hAnsi="Arial" w:cs="Arial"/>
          <w:sz w:val="20"/>
          <w:szCs w:val="20"/>
        </w:rPr>
      </w:pPr>
      <w:r>
        <w:rPr>
          <w:rFonts w:ascii="Arial" w:hAnsi="Arial" w:cs="Arial"/>
          <w:color w:val="222222"/>
          <w:sz w:val="20"/>
          <w:szCs w:val="20"/>
          <w:shd w:val="clear" w:color="auto" w:fill="FFFFFF"/>
        </w:rPr>
        <w:t>McKillop, N., Rayment-McHugh, S., Smallbone, S. and Bromham, Z., 2018. Understanding and preventing the onset of child sexual abuse in adolescence and adulthood. </w:t>
      </w:r>
      <w:r>
        <w:rPr>
          <w:rFonts w:ascii="Arial" w:hAnsi="Arial" w:cs="Arial"/>
          <w:i/>
          <w:iCs/>
          <w:color w:val="222222"/>
          <w:sz w:val="20"/>
          <w:szCs w:val="20"/>
          <w:shd w:val="clear" w:color="auto" w:fill="FFFFFF"/>
        </w:rPr>
        <w:t>Trends and Issues in Crime and Criminal Justice</w:t>
      </w:r>
      <w:r>
        <w:rPr>
          <w:rFonts w:ascii="Arial" w:hAnsi="Arial" w:cs="Arial"/>
          <w:color w:val="222222"/>
          <w:sz w:val="20"/>
          <w:szCs w:val="20"/>
          <w:shd w:val="clear" w:color="auto" w:fill="FFFFFF"/>
        </w:rPr>
        <w:t>, (554), pp.1-19.</w:t>
      </w:r>
    </w:p>
    <w:p w14:paraId="2D6C0996" w14:textId="77777777" w:rsidR="00DC2C6E" w:rsidRPr="00EF2542" w:rsidRDefault="00DC2C6E" w:rsidP="00DC2C6E">
      <w:pPr>
        <w:rPr>
          <w:rFonts w:ascii="Arial" w:hAnsi="Arial" w:cs="Arial"/>
          <w:sz w:val="20"/>
          <w:szCs w:val="20"/>
        </w:rPr>
      </w:pPr>
    </w:p>
    <w:p w14:paraId="24B88447" w14:textId="77777777" w:rsidR="00DC2C6E" w:rsidRPr="00EF2542" w:rsidRDefault="00DC2C6E" w:rsidP="00DC2C6E">
      <w:pPr>
        <w:rPr>
          <w:rFonts w:ascii="Arial" w:hAnsi="Arial" w:cs="Arial"/>
          <w:sz w:val="20"/>
          <w:szCs w:val="20"/>
        </w:rPr>
      </w:pPr>
      <w:r w:rsidRPr="00EF2542">
        <w:rPr>
          <w:rFonts w:ascii="Arial" w:hAnsi="Arial" w:cs="Arial"/>
          <w:color w:val="222222"/>
          <w:sz w:val="20"/>
          <w:szCs w:val="20"/>
          <w:shd w:val="clear" w:color="auto" w:fill="FFFFFF"/>
        </w:rPr>
        <w:t>Morgan, A., Boxall, H. and Brown, R., 2018. Targeting repeat domestic violence: Assessing short-term risk of reoffending. </w:t>
      </w:r>
      <w:r w:rsidRPr="00EF2542">
        <w:rPr>
          <w:rFonts w:ascii="Arial" w:hAnsi="Arial" w:cs="Arial"/>
          <w:i/>
          <w:iCs/>
          <w:color w:val="222222"/>
          <w:sz w:val="20"/>
          <w:szCs w:val="20"/>
          <w:shd w:val="clear" w:color="auto" w:fill="FFFFFF"/>
        </w:rPr>
        <w:t>Trends and issues in crime and criminal justice</w:t>
      </w:r>
      <w:r w:rsidRPr="00EF2542">
        <w:rPr>
          <w:rFonts w:ascii="Arial" w:hAnsi="Arial" w:cs="Arial"/>
          <w:color w:val="222222"/>
          <w:sz w:val="20"/>
          <w:szCs w:val="20"/>
          <w:shd w:val="clear" w:color="auto" w:fill="FFFFFF"/>
        </w:rPr>
        <w:t>, (552), pp.1-16.</w:t>
      </w:r>
    </w:p>
    <w:p w14:paraId="55B767E4" w14:textId="77777777" w:rsidR="00DC2C6E" w:rsidRPr="00EF2542" w:rsidRDefault="00DC2C6E" w:rsidP="00DC2C6E">
      <w:pPr>
        <w:rPr>
          <w:rFonts w:ascii="Arial" w:hAnsi="Arial" w:cs="Arial"/>
          <w:sz w:val="20"/>
          <w:szCs w:val="20"/>
        </w:rPr>
      </w:pPr>
    </w:p>
    <w:p w14:paraId="78197655" w14:textId="77777777" w:rsidR="00DC2C6E" w:rsidRPr="00EF2542" w:rsidRDefault="00DC2C6E" w:rsidP="00DC2C6E">
      <w:pPr>
        <w:rPr>
          <w:rFonts w:ascii="Arial" w:hAnsi="Arial" w:cs="Arial"/>
          <w:sz w:val="20"/>
          <w:szCs w:val="20"/>
        </w:rPr>
      </w:pPr>
    </w:p>
    <w:p w14:paraId="03DD9949" w14:textId="77777777" w:rsidR="00DC2C6E" w:rsidRDefault="00DC2C6E" w:rsidP="00DC2C6E">
      <w:pPr>
        <w:rPr>
          <w:rFonts w:ascii="Arial" w:hAnsi="Arial" w:cs="Arial"/>
          <w:sz w:val="20"/>
          <w:szCs w:val="20"/>
        </w:rPr>
      </w:pPr>
      <w:r>
        <w:rPr>
          <w:rFonts w:ascii="Arial" w:hAnsi="Arial" w:cs="Arial"/>
          <w:sz w:val="20"/>
          <w:szCs w:val="20"/>
        </w:rPr>
        <w:t>The Ministry of Justice. (2024) Proven reoffending statistics: January to March 2022.</w:t>
      </w:r>
    </w:p>
    <w:p w14:paraId="674E497A" w14:textId="77777777" w:rsidR="00DC2C6E" w:rsidRPr="003C12D7" w:rsidRDefault="00DC2C6E" w:rsidP="00DC2C6E">
      <w:pPr>
        <w:rPr>
          <w:rFonts w:ascii="Arial" w:hAnsi="Arial" w:cs="Arial"/>
          <w:sz w:val="20"/>
          <w:szCs w:val="20"/>
        </w:rPr>
      </w:pPr>
      <w:r>
        <w:rPr>
          <w:rFonts w:ascii="Arial" w:hAnsi="Arial" w:cs="Arial"/>
          <w:sz w:val="20"/>
          <w:szCs w:val="20"/>
        </w:rPr>
        <w:t xml:space="preserve">Available at: </w:t>
      </w:r>
    </w:p>
    <w:p w14:paraId="4165C3DB" w14:textId="77777777" w:rsidR="00DC2C6E" w:rsidRDefault="00DC2C6E" w:rsidP="00DC2C6E">
      <w:pPr>
        <w:rPr>
          <w:rFonts w:ascii="Arial" w:hAnsi="Arial" w:cs="Arial"/>
          <w:sz w:val="20"/>
          <w:szCs w:val="20"/>
        </w:rPr>
      </w:pPr>
      <w:hyperlink r:id="rId14" w:history="1">
        <w:r w:rsidRPr="00E15459">
          <w:rPr>
            <w:rStyle w:val="Hyperlink"/>
            <w:rFonts w:ascii="Arial" w:hAnsi="Arial" w:cs="Arial"/>
            <w:sz w:val="20"/>
            <w:szCs w:val="20"/>
          </w:rPr>
          <w:t>https://www.gov.uk/government/statistics/proven-reoffending-statistics-january-to-march-2022/proven-reoffending-statistics-january-to-march-</w:t>
        </w:r>
        <w:r w:rsidRPr="00E15459">
          <w:rPr>
            <w:rStyle w:val="Hyperlink"/>
            <w:rFonts w:ascii="Arial" w:hAnsi="Arial" w:cs="Arial"/>
            <w:sz w:val="20"/>
            <w:szCs w:val="20"/>
          </w:rPr>
          <w:lastRenderedPageBreak/>
          <w:t>2022#:~:text=The%20overall%20proven%20reoffending%20rate%20for%20this%20quarter%20was%2025.5,31.8%25%20(figure%202).&amp;text=Adult%20offenders%20had%20a%20proven%20reoffending%20rate%20of%2025.1%25.,-This%20is%20an</w:t>
        </w:r>
      </w:hyperlink>
    </w:p>
    <w:p w14:paraId="78179008" w14:textId="77777777" w:rsidR="00DC2C6E" w:rsidRPr="00EF2542" w:rsidRDefault="00DC2C6E" w:rsidP="00DC2C6E">
      <w:pPr>
        <w:rPr>
          <w:rFonts w:ascii="Arial" w:hAnsi="Arial" w:cs="Arial"/>
          <w:sz w:val="20"/>
          <w:szCs w:val="20"/>
        </w:rPr>
      </w:pPr>
      <w:r>
        <w:rPr>
          <w:rFonts w:ascii="Arial" w:hAnsi="Arial" w:cs="Arial"/>
          <w:sz w:val="20"/>
          <w:szCs w:val="20"/>
        </w:rPr>
        <w:t>(Accessed on:13/04/2024)</w:t>
      </w:r>
    </w:p>
    <w:p w14:paraId="3AFD7D31" w14:textId="77777777" w:rsidR="00DC2C6E" w:rsidRPr="00EF2542" w:rsidRDefault="00DC2C6E" w:rsidP="00DC2C6E">
      <w:pPr>
        <w:rPr>
          <w:rFonts w:ascii="Arial" w:hAnsi="Arial" w:cs="Arial"/>
          <w:sz w:val="20"/>
          <w:szCs w:val="20"/>
        </w:rPr>
      </w:pPr>
    </w:p>
    <w:p w14:paraId="3495379D" w14:textId="77777777" w:rsidR="00DC2C6E" w:rsidRPr="004D0313" w:rsidRDefault="00DC2C6E" w:rsidP="008012E0">
      <w:pPr>
        <w:rPr>
          <w:rFonts w:ascii="Arial" w:hAnsi="Arial" w:cs="Arial"/>
          <w:sz w:val="20"/>
          <w:szCs w:val="20"/>
        </w:rPr>
      </w:pPr>
    </w:p>
    <w:sectPr w:rsidR="00DC2C6E" w:rsidRPr="004D0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603"/>
    <w:multiLevelType w:val="multilevel"/>
    <w:tmpl w:val="33E2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997A0B"/>
    <w:multiLevelType w:val="multilevel"/>
    <w:tmpl w:val="7928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8E78DC"/>
    <w:multiLevelType w:val="hybridMultilevel"/>
    <w:tmpl w:val="4E7C84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4104621">
    <w:abstractNumId w:val="1"/>
  </w:num>
  <w:num w:numId="2" w16cid:durableId="124157672">
    <w:abstractNumId w:val="0"/>
  </w:num>
  <w:num w:numId="3" w16cid:durableId="1340736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AE0"/>
    <w:rsid w:val="001D52D6"/>
    <w:rsid w:val="00226C15"/>
    <w:rsid w:val="00273163"/>
    <w:rsid w:val="003D29C4"/>
    <w:rsid w:val="00425BE4"/>
    <w:rsid w:val="00461DA7"/>
    <w:rsid w:val="00492449"/>
    <w:rsid w:val="004D0313"/>
    <w:rsid w:val="004E7633"/>
    <w:rsid w:val="00666835"/>
    <w:rsid w:val="008012E0"/>
    <w:rsid w:val="008617EC"/>
    <w:rsid w:val="00913843"/>
    <w:rsid w:val="00A15F75"/>
    <w:rsid w:val="00BE5913"/>
    <w:rsid w:val="00BF1E27"/>
    <w:rsid w:val="00DC2C6E"/>
    <w:rsid w:val="00E23AE0"/>
    <w:rsid w:val="00F1678A"/>
    <w:rsid w:val="00FF29C2"/>
    <w:rsid w:val="00FF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B29C"/>
  <w15:chartTrackingRefBased/>
  <w15:docId w15:val="{F62886EE-9463-4690-A748-A900FFD5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633"/>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link w:val="Heading1Char"/>
    <w:uiPriority w:val="9"/>
    <w:qFormat/>
    <w:rsid w:val="0066683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6835"/>
    <w:rPr>
      <w:color w:val="0000FF"/>
      <w:u w:val="single"/>
    </w:rPr>
  </w:style>
  <w:style w:type="character" w:customStyle="1" w:styleId="Heading1Char">
    <w:name w:val="Heading 1 Char"/>
    <w:basedOn w:val="DefaultParagraphFont"/>
    <w:link w:val="Heading1"/>
    <w:uiPriority w:val="9"/>
    <w:rsid w:val="00666835"/>
    <w:rPr>
      <w:rFonts w:ascii="Times New Roman" w:eastAsia="Times New Roman" w:hAnsi="Times New Roman" w:cs="Times New Roman"/>
      <w:b/>
      <w:bCs/>
      <w:kern w:val="36"/>
      <w:sz w:val="48"/>
      <w:szCs w:val="48"/>
      <w:lang w:eastAsia="en-GB"/>
      <w14:ligatures w14:val="none"/>
    </w:rPr>
  </w:style>
  <w:style w:type="character" w:styleId="UnresolvedMention">
    <w:name w:val="Unresolved Mention"/>
    <w:basedOn w:val="DefaultParagraphFont"/>
    <w:uiPriority w:val="99"/>
    <w:semiHidden/>
    <w:unhideWhenUsed/>
    <w:rsid w:val="00666835"/>
    <w:rPr>
      <w:color w:val="605E5C"/>
      <w:shd w:val="clear" w:color="auto" w:fill="E1DFDD"/>
    </w:rPr>
  </w:style>
  <w:style w:type="paragraph" w:styleId="ListParagraph">
    <w:name w:val="List Paragraph"/>
    <w:basedOn w:val="Normal"/>
    <w:uiPriority w:val="34"/>
    <w:qFormat/>
    <w:rsid w:val="00461DA7"/>
    <w:pPr>
      <w:ind w:left="720"/>
      <w:contextualSpacing/>
    </w:pPr>
  </w:style>
  <w:style w:type="paragraph" w:styleId="PlainText">
    <w:name w:val="Plain Text"/>
    <w:basedOn w:val="Normal"/>
    <w:link w:val="PlainTextChar"/>
    <w:uiPriority w:val="99"/>
    <w:semiHidden/>
    <w:unhideWhenUsed/>
    <w:rsid w:val="00DC2C6E"/>
    <w:rPr>
      <w:rFonts w:ascii="Calibri" w:hAnsi="Calibri" w:cstheme="minorBidi"/>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DC2C6E"/>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8539">
      <w:bodyDiv w:val="1"/>
      <w:marLeft w:val="0"/>
      <w:marRight w:val="0"/>
      <w:marTop w:val="0"/>
      <w:marBottom w:val="0"/>
      <w:divBdr>
        <w:top w:val="none" w:sz="0" w:space="0" w:color="auto"/>
        <w:left w:val="none" w:sz="0" w:space="0" w:color="auto"/>
        <w:bottom w:val="none" w:sz="0" w:space="0" w:color="auto"/>
        <w:right w:val="none" w:sz="0" w:space="0" w:color="auto"/>
      </w:divBdr>
    </w:div>
    <w:div w:id="46416928">
      <w:bodyDiv w:val="1"/>
      <w:marLeft w:val="0"/>
      <w:marRight w:val="0"/>
      <w:marTop w:val="0"/>
      <w:marBottom w:val="0"/>
      <w:divBdr>
        <w:top w:val="none" w:sz="0" w:space="0" w:color="auto"/>
        <w:left w:val="none" w:sz="0" w:space="0" w:color="auto"/>
        <w:bottom w:val="none" w:sz="0" w:space="0" w:color="auto"/>
        <w:right w:val="none" w:sz="0" w:space="0" w:color="auto"/>
      </w:divBdr>
    </w:div>
    <w:div w:id="47455680">
      <w:bodyDiv w:val="1"/>
      <w:marLeft w:val="0"/>
      <w:marRight w:val="0"/>
      <w:marTop w:val="0"/>
      <w:marBottom w:val="0"/>
      <w:divBdr>
        <w:top w:val="none" w:sz="0" w:space="0" w:color="auto"/>
        <w:left w:val="none" w:sz="0" w:space="0" w:color="auto"/>
        <w:bottom w:val="none" w:sz="0" w:space="0" w:color="auto"/>
        <w:right w:val="none" w:sz="0" w:space="0" w:color="auto"/>
      </w:divBdr>
    </w:div>
    <w:div w:id="57170675">
      <w:bodyDiv w:val="1"/>
      <w:marLeft w:val="0"/>
      <w:marRight w:val="0"/>
      <w:marTop w:val="0"/>
      <w:marBottom w:val="0"/>
      <w:divBdr>
        <w:top w:val="none" w:sz="0" w:space="0" w:color="auto"/>
        <w:left w:val="none" w:sz="0" w:space="0" w:color="auto"/>
        <w:bottom w:val="none" w:sz="0" w:space="0" w:color="auto"/>
        <w:right w:val="none" w:sz="0" w:space="0" w:color="auto"/>
      </w:divBdr>
    </w:div>
    <w:div w:id="1531458525">
      <w:bodyDiv w:val="1"/>
      <w:marLeft w:val="0"/>
      <w:marRight w:val="0"/>
      <w:marTop w:val="0"/>
      <w:marBottom w:val="0"/>
      <w:divBdr>
        <w:top w:val="none" w:sz="0" w:space="0" w:color="auto"/>
        <w:left w:val="none" w:sz="0" w:space="0" w:color="auto"/>
        <w:bottom w:val="none" w:sz="0" w:space="0" w:color="auto"/>
        <w:right w:val="none" w:sz="0" w:space="0" w:color="auto"/>
      </w:divBdr>
    </w:div>
    <w:div w:id="1681543884">
      <w:bodyDiv w:val="1"/>
      <w:marLeft w:val="0"/>
      <w:marRight w:val="0"/>
      <w:marTop w:val="0"/>
      <w:marBottom w:val="0"/>
      <w:divBdr>
        <w:top w:val="none" w:sz="0" w:space="0" w:color="auto"/>
        <w:left w:val="none" w:sz="0" w:space="0" w:color="auto"/>
        <w:bottom w:val="none" w:sz="0" w:space="0" w:color="auto"/>
        <w:right w:val="none" w:sz="0" w:space="0" w:color="auto"/>
      </w:divBdr>
    </w:div>
    <w:div w:id="1804688771">
      <w:bodyDiv w:val="1"/>
      <w:marLeft w:val="0"/>
      <w:marRight w:val="0"/>
      <w:marTop w:val="0"/>
      <w:marBottom w:val="0"/>
      <w:divBdr>
        <w:top w:val="none" w:sz="0" w:space="0" w:color="auto"/>
        <w:left w:val="none" w:sz="0" w:space="0" w:color="auto"/>
        <w:bottom w:val="none" w:sz="0" w:space="0" w:color="auto"/>
        <w:right w:val="none" w:sz="0" w:space="0" w:color="auto"/>
      </w:divBdr>
    </w:div>
    <w:div w:id="204231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againstviolence.co.uk/social-and-economic-factors-contributing-to-gang-culture/#:~:text=Social%20Exclusion%20and%20Marginalisation%3A&amp;text=Discrimination%2C%20prejudice%2C%20and%20limited%20social,recruit%20and%20maintain%20their%20membership" TargetMode="External"/><Relationship Id="rId13"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 Type="http://schemas.openxmlformats.org/officeDocument/2006/relationships/settings" Target="settings.xml"/><Relationship Id="rId7" Type="http://schemas.openxmlformats.org/officeDocument/2006/relationships/hyperlink" Target="https://www.bing.com/search?q=safer+wales+netowrk+criminal+exploitation&amp;qs=n&amp;form=QBRE&amp;sp=-1&amp;ghc=1&amp;lq=0&amp;pq=safer+wales+netowrk+criminal+exploitation&amp;sc=3-41&amp;sk=&amp;cvid=61988146F2104E06898FFCBB3F288E64&amp;ghsh=0&amp;ghacc=0&amp;ghpl=" TargetMode="External"/><Relationship Id="rId12" Type="http://schemas.openxmlformats.org/officeDocument/2006/relationships/hyperlink" Target="https://www.college.police.uk/research/crime-reduction-toolkit/criminal-sanctions-prevent-domestic-violence#:~:text=The%20first%20of%20these%20is,more%20willing%20to%20do%20s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uttonhouse.org.uk/our-academy/safeguarding/abuse" TargetMode="External"/><Relationship Id="rId11" Type="http://schemas.openxmlformats.org/officeDocument/2006/relationships/hyperlink" Target="https://clares-law.com/" TargetMode="External"/><Relationship Id="rId5" Type="http://schemas.openxmlformats.org/officeDocument/2006/relationships/hyperlink" Target="https://www.nspcc.org.uk/what-is-child-abuse/types-of-abuse/gangs-criminal-exploitation/" TargetMode="External"/><Relationship Id="rId15" Type="http://schemas.openxmlformats.org/officeDocument/2006/relationships/fontTable" Target="fontTable.xml"/><Relationship Id="rId10" Type="http://schemas.openxmlformats.org/officeDocument/2006/relationships/hyperlink" Target="https://www.college.police.uk/app/civil-emergencies/civil-contingencies/response#methane-e059b494-0e79-4af5-b515-b4615168845b" TargetMode="External"/><Relationship Id="rId4" Type="http://schemas.openxmlformats.org/officeDocument/2006/relationships/webSettings" Target="webSettings.xml"/><Relationship Id="rId9" Type="http://schemas.openxmlformats.org/officeDocument/2006/relationships/hyperlink" Target="https://www.jesip.org.uk/joint-doctrine/m-ethane/" TargetMode="External"/><Relationship Id="rId14" Type="http://schemas.openxmlformats.org/officeDocument/2006/relationships/hyperlink" Target="https://www.gov.uk/government/statistics/proven-reoffending-statistics-january-to-march-2022/proven-reoffending-statistics-january-to-march-2022#:~:text=The%20overall%20proven%20reoffending%20rate%20for%20this%20quarter%20was%2025.5,31.8%25%20(figure%202).&amp;text=Adult%20offenders%20had%20a%20proven%20reoffending%20rate%20of%2025.1%25.,-This%20is%20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4923</Words>
  <Characters>28064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Jenkins,Mollie swp8494</dc:creator>
  <cp:keywords/>
  <dc:description/>
  <cp:lastModifiedBy>Jenkins,Mollie swp8494</cp:lastModifiedBy>
  <cp:revision>4</cp:revision>
  <dcterms:created xsi:type="dcterms:W3CDTF">2024-05-27T15:29:00Z</dcterms:created>
  <dcterms:modified xsi:type="dcterms:W3CDTF">2024-05-27T15:33:00Z</dcterms:modified>
</cp:coreProperties>
</file>