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2A1E" w:rsidRPr="000257E0" w:rsidRDefault="001D2A1E" w:rsidP="001D2A1E">
      <w:pPr>
        <w:jc w:val="both"/>
      </w:pPr>
      <w:bookmarkStart w:id="0" w:name="_GoBack"/>
      <w:bookmarkEnd w:id="0"/>
      <w:r w:rsidRPr="000257E0">
        <w:rPr>
          <w:noProof/>
          <w:lang w:val="en-GB"/>
        </w:rPr>
        <w:drawing>
          <wp:anchor distT="0" distB="0" distL="114300" distR="114300" simplePos="0" relativeHeight="251659264" behindDoc="1" locked="0" layoutInCell="1" allowOverlap="1" wp14:anchorId="2908E216" wp14:editId="54D62BE6">
            <wp:simplePos x="0" y="0"/>
            <wp:positionH relativeFrom="margin">
              <wp:posOffset>885190</wp:posOffset>
            </wp:positionH>
            <wp:positionV relativeFrom="paragraph">
              <wp:posOffset>591</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9">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1D2A1E" w:rsidRPr="000257E0" w:rsidRDefault="001D2A1E" w:rsidP="001D2A1E">
      <w:pPr>
        <w:jc w:val="both"/>
      </w:pPr>
    </w:p>
    <w:p w:rsidR="001D2A1E" w:rsidRPr="000257E0" w:rsidRDefault="001D2A1E" w:rsidP="001D2A1E">
      <w:pPr>
        <w:jc w:val="both"/>
      </w:pPr>
    </w:p>
    <w:p w:rsidR="001D2A1E" w:rsidRPr="000257E0" w:rsidRDefault="001D2A1E" w:rsidP="001D2A1E">
      <w:pPr>
        <w:jc w:val="both"/>
      </w:pPr>
    </w:p>
    <w:p w:rsidR="001D2A1E" w:rsidRPr="000257E0" w:rsidRDefault="001D2A1E" w:rsidP="001D2A1E">
      <w:pPr>
        <w:ind w:right="1229"/>
        <w:jc w:val="both"/>
      </w:pPr>
    </w:p>
    <w:p w:rsidR="001D2A1E" w:rsidRDefault="001D2A1E" w:rsidP="001D2A1E">
      <w:pPr>
        <w:ind w:right="1229"/>
        <w:jc w:val="both"/>
      </w:pPr>
    </w:p>
    <w:p w:rsidR="001D2A1E" w:rsidRDefault="001D2A1E" w:rsidP="001D2A1E">
      <w:pPr>
        <w:ind w:right="1229"/>
        <w:jc w:val="both"/>
      </w:pPr>
    </w:p>
    <w:p w:rsidR="001D2A1E" w:rsidRDefault="001D2A1E" w:rsidP="001D2A1E">
      <w:pPr>
        <w:ind w:right="1229"/>
        <w:jc w:val="both"/>
      </w:pPr>
    </w:p>
    <w:p w:rsidR="001D2A1E" w:rsidRPr="000257E0" w:rsidRDefault="001D2A1E" w:rsidP="001D2A1E">
      <w:pPr>
        <w:ind w:right="1229"/>
        <w:jc w:val="both"/>
      </w:pPr>
      <w:r w:rsidRPr="000257E0">
        <w:t>Institute of Inner-City Learning Birmingham Campus</w:t>
      </w:r>
    </w:p>
    <w:p w:rsidR="001D2A1E" w:rsidRPr="000257E0" w:rsidRDefault="001D2A1E" w:rsidP="001D2A1E">
      <w:pPr>
        <w:pStyle w:val="BodyText"/>
        <w:jc w:val="both"/>
        <w:rPr>
          <w:rFonts w:ascii="Times New Roman" w:hAnsi="Times New Roman" w:cs="Times New Roman"/>
          <w:sz w:val="24"/>
          <w:szCs w:val="24"/>
        </w:rPr>
      </w:pPr>
    </w:p>
    <w:p w:rsidR="001D2A1E" w:rsidRPr="000257E0" w:rsidRDefault="001D2A1E" w:rsidP="000935FF">
      <w:pPr>
        <w:spacing w:line="813" w:lineRule="exact"/>
      </w:pPr>
      <w:r w:rsidRPr="000257E0">
        <w:t>BSc (Hons) Health and Social Care</w:t>
      </w:r>
      <w:r w:rsidRPr="000257E0">
        <w:br/>
      </w:r>
    </w:p>
    <w:p w:rsidR="001D2A1E" w:rsidRPr="000257E0" w:rsidRDefault="001D2A1E" w:rsidP="001D2A1E">
      <w:pPr>
        <w:jc w:val="both"/>
        <w:rPr>
          <w:b/>
        </w:rPr>
      </w:pPr>
    </w:p>
    <w:p w:rsidR="001D2A1E" w:rsidRPr="000257E0" w:rsidRDefault="001D2A1E" w:rsidP="001D2A1E">
      <w:pPr>
        <w:spacing w:line="360" w:lineRule="auto"/>
        <w:rPr>
          <w:b/>
        </w:rPr>
      </w:pPr>
      <w:r w:rsidRPr="000257E0">
        <w:rPr>
          <w:b/>
        </w:rPr>
        <w:t>DECLARATION</w:t>
      </w:r>
    </w:p>
    <w:p w:rsidR="001D2A1E" w:rsidRPr="000257E0" w:rsidRDefault="001D2A1E" w:rsidP="001D2A1E">
      <w:pPr>
        <w:spacing w:line="360" w:lineRule="auto"/>
      </w:pPr>
      <w:r w:rsidRPr="000257E0">
        <w:t>This work has not previously been accepted in substance for any degree and is not being concurrently submitted in candidature for any degree</w:t>
      </w:r>
    </w:p>
    <w:p w:rsidR="001D2A1E" w:rsidRPr="000257E0" w:rsidRDefault="001D2A1E" w:rsidP="001D2A1E">
      <w:pPr>
        <w:spacing w:line="360" w:lineRule="auto"/>
      </w:pPr>
      <w:r w:rsidRPr="000257E0">
        <w:t>Signed………</w:t>
      </w:r>
      <w:r w:rsidR="000935FF">
        <w:t>Fasiha  Gul</w:t>
      </w:r>
      <w:r w:rsidRPr="000257E0">
        <w:t>……………………………………</w:t>
      </w:r>
    </w:p>
    <w:p w:rsidR="001D2A1E" w:rsidRPr="000257E0" w:rsidRDefault="001D2A1E" w:rsidP="001D2A1E">
      <w:pPr>
        <w:spacing w:line="360" w:lineRule="auto"/>
      </w:pPr>
      <w:r w:rsidRPr="000257E0">
        <w:t>Date…………</w:t>
      </w:r>
      <w:r w:rsidR="000935FF">
        <w:t>24/11/2025</w:t>
      </w:r>
      <w:r w:rsidRPr="000257E0">
        <w:t>……………………………………</w:t>
      </w:r>
    </w:p>
    <w:p w:rsidR="001D2A1E" w:rsidRPr="000257E0" w:rsidRDefault="001D2A1E" w:rsidP="001D2A1E">
      <w:pPr>
        <w:spacing w:line="360" w:lineRule="auto"/>
        <w:rPr>
          <w:bCs/>
          <w:kern w:val="32"/>
        </w:rPr>
      </w:pPr>
      <w:r w:rsidRPr="000257E0">
        <w:rPr>
          <w:b/>
        </w:rPr>
        <w:t xml:space="preserve">STATEMENT 1 </w:t>
      </w:r>
    </w:p>
    <w:p w:rsidR="001D2A1E" w:rsidRPr="000257E0" w:rsidRDefault="001D2A1E" w:rsidP="001D2A1E">
      <w:pPr>
        <w:spacing w:line="360" w:lineRule="auto"/>
      </w:pPr>
      <w:r w:rsidRPr="000257E0">
        <w:t>This dissertation is being submitted in partial fulfilment of the requirements for the degree of BSc.</w:t>
      </w:r>
    </w:p>
    <w:p w:rsidR="001D2A1E" w:rsidRPr="000257E0" w:rsidRDefault="001D2A1E" w:rsidP="001D2A1E">
      <w:pPr>
        <w:spacing w:line="360" w:lineRule="auto"/>
      </w:pPr>
      <w:r w:rsidRPr="000257E0">
        <w:t>Signed…………</w:t>
      </w:r>
      <w:r w:rsidR="000935FF">
        <w:t>Fasiha Gul</w:t>
      </w:r>
      <w:r w:rsidRPr="000257E0">
        <w:t xml:space="preserve">…………………………………. </w:t>
      </w:r>
    </w:p>
    <w:p w:rsidR="001D2A1E" w:rsidRPr="000257E0" w:rsidRDefault="001D2A1E" w:rsidP="001D2A1E">
      <w:pPr>
        <w:spacing w:line="360" w:lineRule="auto"/>
      </w:pPr>
      <w:r w:rsidRPr="000257E0">
        <w:t>Date……………</w:t>
      </w:r>
      <w:r w:rsidR="000935FF">
        <w:t>24/11/2025</w:t>
      </w:r>
      <w:r w:rsidRPr="000257E0">
        <w:t>…………………………………</w:t>
      </w:r>
    </w:p>
    <w:p w:rsidR="001D2A1E" w:rsidRPr="000257E0" w:rsidRDefault="001D2A1E" w:rsidP="001D2A1E">
      <w:pPr>
        <w:spacing w:line="360" w:lineRule="auto"/>
      </w:pPr>
      <w:r w:rsidRPr="000257E0">
        <w:rPr>
          <w:b/>
        </w:rPr>
        <w:t>STATEMENT 2</w:t>
      </w:r>
    </w:p>
    <w:p w:rsidR="001D2A1E" w:rsidRPr="000257E0" w:rsidRDefault="001D2A1E" w:rsidP="001D2A1E">
      <w:pPr>
        <w:spacing w:line="360" w:lineRule="auto"/>
      </w:pPr>
      <w:r w:rsidRPr="000257E0">
        <w:t>This dissertation is the result of my own independent work/investigation, except where otherwise stated. Other sources are acknowledged by footnotes giving explicit references.  A bibliography is appended.</w:t>
      </w:r>
    </w:p>
    <w:p w:rsidR="001D2A1E" w:rsidRPr="000257E0" w:rsidRDefault="001D2A1E" w:rsidP="001D2A1E">
      <w:pPr>
        <w:spacing w:line="360" w:lineRule="auto"/>
      </w:pPr>
      <w:r w:rsidRPr="000257E0">
        <w:t>Signed…………</w:t>
      </w:r>
      <w:r w:rsidR="000935FF">
        <w:t>Fasiha Gul</w:t>
      </w:r>
      <w:r w:rsidRPr="000257E0">
        <w:t>…………………………………</w:t>
      </w:r>
    </w:p>
    <w:p w:rsidR="001D2A1E" w:rsidRPr="000257E0" w:rsidRDefault="001D2A1E" w:rsidP="001D2A1E">
      <w:pPr>
        <w:spacing w:line="360" w:lineRule="auto"/>
      </w:pPr>
      <w:r w:rsidRPr="000257E0">
        <w:t>Date……………</w:t>
      </w:r>
      <w:r w:rsidR="000935FF">
        <w:t>24/11/2025</w:t>
      </w:r>
      <w:r w:rsidRPr="000257E0">
        <w:t xml:space="preserve">………………………………… </w:t>
      </w:r>
    </w:p>
    <w:p w:rsidR="001D2A1E" w:rsidRPr="000257E0" w:rsidRDefault="001D2A1E" w:rsidP="001D2A1E">
      <w:pPr>
        <w:spacing w:line="360" w:lineRule="auto"/>
      </w:pPr>
      <w:r w:rsidRPr="000257E0">
        <w:rPr>
          <w:b/>
        </w:rPr>
        <w:t>STATEMENT 3</w:t>
      </w:r>
    </w:p>
    <w:p w:rsidR="001D2A1E" w:rsidRPr="000257E0" w:rsidRDefault="001D2A1E" w:rsidP="001D2A1E">
      <w:pPr>
        <w:spacing w:line="360" w:lineRule="auto"/>
      </w:pPr>
      <w:r w:rsidRPr="000257E0">
        <w:t>I hereby give consent for my dissertation, if accepted, to be available for photocopying and for interlibrary loan, and for the title and summary to be made available to outside organisations.</w:t>
      </w:r>
    </w:p>
    <w:p w:rsidR="001D2A1E" w:rsidRPr="000257E0" w:rsidRDefault="001D2A1E" w:rsidP="001D2A1E">
      <w:pPr>
        <w:spacing w:line="360" w:lineRule="auto"/>
      </w:pPr>
      <w:r w:rsidRPr="000257E0">
        <w:t>Signed…………</w:t>
      </w:r>
      <w:r w:rsidR="000935FF">
        <w:t>Fasiha Gul</w:t>
      </w:r>
      <w:r w:rsidRPr="000257E0">
        <w:t>……………………………………</w:t>
      </w:r>
    </w:p>
    <w:p w:rsidR="001D2A1E" w:rsidRPr="000257E0" w:rsidRDefault="001D2A1E" w:rsidP="001D2A1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pPr>
      <w:r w:rsidRPr="000257E0">
        <w:lastRenderedPageBreak/>
        <w:t>Date……………</w:t>
      </w:r>
      <w:r w:rsidR="000935FF">
        <w:t>24/11/2025</w:t>
      </w:r>
      <w:r w:rsidRPr="000257E0">
        <w:t>……………………………………</w:t>
      </w:r>
    </w:p>
    <w:p w:rsidR="001D2A1E" w:rsidRPr="000257E0" w:rsidRDefault="001D2A1E" w:rsidP="001D2A1E">
      <w:pPr>
        <w:spacing w:line="360" w:lineRule="auto"/>
        <w:rPr>
          <w:b/>
        </w:rPr>
      </w:pPr>
      <w:r w:rsidRPr="000257E0">
        <w:rPr>
          <w:b/>
        </w:rPr>
        <w:t>STATEMENT 4</w:t>
      </w:r>
    </w:p>
    <w:p w:rsidR="001D2A1E" w:rsidRPr="000257E0" w:rsidRDefault="001D2A1E" w:rsidP="001D2A1E">
      <w:pPr>
        <w:spacing w:line="360" w:lineRule="auto"/>
      </w:pPr>
      <w:r w:rsidRPr="000257E0">
        <w:t>I hereby give consent for my dissertation, if accepted, to be available on the university’s IT system to those who have consent to use the system.</w:t>
      </w:r>
    </w:p>
    <w:p w:rsidR="001D2A1E" w:rsidRPr="000257E0" w:rsidRDefault="001D2A1E" w:rsidP="001D2A1E">
      <w:pPr>
        <w:spacing w:line="360" w:lineRule="auto"/>
      </w:pPr>
      <w:r w:rsidRPr="000257E0">
        <w:t>Signed…………</w:t>
      </w:r>
      <w:r w:rsidR="000935FF">
        <w:t>Fasiha Gul</w:t>
      </w:r>
      <w:r w:rsidRPr="000257E0">
        <w:t>……………………………………</w:t>
      </w:r>
    </w:p>
    <w:p w:rsidR="001D2A1E" w:rsidRPr="000257E0" w:rsidRDefault="001D2A1E" w:rsidP="001D2A1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pPr>
      <w:r w:rsidRPr="000257E0">
        <w:t>Date……………</w:t>
      </w:r>
      <w:r w:rsidR="000935FF">
        <w:t>24/11/2025</w:t>
      </w:r>
      <w:r w:rsidRPr="000257E0">
        <w:t>……………………………………</w:t>
      </w:r>
    </w:p>
    <w:p w:rsidR="001D2A1E" w:rsidRPr="000257E0" w:rsidRDefault="001D2A1E" w:rsidP="001D2A1E">
      <w:pPr>
        <w:spacing w:line="360" w:lineRule="auto"/>
      </w:pPr>
    </w:p>
    <w:p w:rsidR="001D2A1E" w:rsidRPr="000257E0" w:rsidRDefault="001D2A1E" w:rsidP="001D2A1E">
      <w:pPr>
        <w:spacing w:line="360" w:lineRule="auto"/>
      </w:pPr>
    </w:p>
    <w:p w:rsidR="001D2A1E" w:rsidRPr="000257E0" w:rsidRDefault="001D2A1E" w:rsidP="001D2A1E">
      <w:pPr>
        <w:spacing w:line="360" w:lineRule="auto"/>
        <w:rPr>
          <w:rFonts w:eastAsia="Arial Unicode MS"/>
          <w:b/>
        </w:rPr>
      </w:pPr>
    </w:p>
    <w:p w:rsidR="001D2A1E" w:rsidRPr="000257E0" w:rsidRDefault="001D2A1E" w:rsidP="001D2A1E">
      <w:pPr>
        <w:spacing w:line="360" w:lineRule="auto"/>
        <w:rPr>
          <w:rFonts w:eastAsia="Arial Unicode MS"/>
          <w:b/>
        </w:rPr>
      </w:pPr>
    </w:p>
    <w:p w:rsidR="001D2A1E" w:rsidRPr="000935FF" w:rsidRDefault="001D2A1E" w:rsidP="001D2A1E">
      <w:pPr>
        <w:spacing w:before="100" w:beforeAutospacing="1" w:after="100" w:afterAutospacing="1" w:line="360" w:lineRule="auto"/>
        <w:outlineLvl w:val="0"/>
        <w:rPr>
          <w:b/>
          <w:bCs/>
          <w:kern w:val="36"/>
          <w:u w:val="single"/>
        </w:rPr>
      </w:pPr>
      <w:r w:rsidRPr="000935FF">
        <w:rPr>
          <w:b/>
          <w:bCs/>
          <w:kern w:val="36"/>
          <w:u w:val="single"/>
        </w:rPr>
        <w:t>A Comparative Exploration of Quality of Life in Care Homes Versus Home Care Among Older Adults in the United Kingdom</w:t>
      </w:r>
    </w:p>
    <w:p w:rsidR="001D2A1E" w:rsidRPr="000257E0"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Arial Unicode MS"/>
          <w:b/>
        </w:rPr>
      </w:pPr>
    </w:p>
    <w:p w:rsidR="000935FF" w:rsidRPr="00CA30FA" w:rsidRDefault="000935FF" w:rsidP="00CA30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b/>
          <w:u w:val="single"/>
        </w:rPr>
      </w:pPr>
      <w:r w:rsidRPr="00CA30FA">
        <w:rPr>
          <w:rFonts w:eastAsia="Arial Unicode MS"/>
          <w:b/>
          <w:u w:val="single"/>
        </w:rPr>
        <w:t>Your Full Name: Fasiha Gul</w:t>
      </w:r>
    </w:p>
    <w:p w:rsidR="001D2A1E" w:rsidRPr="00CA30FA" w:rsidRDefault="001D2A1E" w:rsidP="00CA30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u w:val="single"/>
        </w:rPr>
      </w:pPr>
      <w:r w:rsidRPr="00CA30FA">
        <w:rPr>
          <w:rFonts w:eastAsia="Arial Unicode MS"/>
          <w:b/>
          <w:u w:val="single"/>
        </w:rPr>
        <w:t>Student Number</w:t>
      </w:r>
      <w:r w:rsidR="000935FF" w:rsidRPr="00CA30FA">
        <w:rPr>
          <w:rFonts w:eastAsia="Arial Unicode MS"/>
          <w:b/>
          <w:u w:val="single"/>
        </w:rPr>
        <w:t>: 2226970</w:t>
      </w:r>
    </w:p>
    <w:p w:rsidR="001D2A1E" w:rsidRPr="000257E0"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Arial Unicode MS"/>
          <w:b/>
          <w:i/>
        </w:rPr>
      </w:pPr>
    </w:p>
    <w:p w:rsidR="001D2A1E" w:rsidRPr="000257E0"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Arial Unicode MS"/>
        </w:rPr>
      </w:pPr>
      <w:r w:rsidRPr="000257E0">
        <w:rPr>
          <w:rFonts w:eastAsia="Arial Unicode MS"/>
        </w:rPr>
        <w:tab/>
      </w:r>
    </w:p>
    <w:p w:rsidR="001D2A1E" w:rsidRPr="000257E0"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rPr>
      </w:pPr>
    </w:p>
    <w:p w:rsidR="001D2A1E" w:rsidRPr="000257E0"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rPr>
      </w:pPr>
    </w:p>
    <w:p w:rsidR="001D2A1E" w:rsidRPr="00A9317E"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b/>
          <w:u w:val="single"/>
        </w:rPr>
      </w:pPr>
      <w:r w:rsidRPr="00A9317E">
        <w:rPr>
          <w:rFonts w:eastAsia="Arial Unicode MS"/>
          <w:b/>
          <w:u w:val="single"/>
        </w:rPr>
        <w:t>Dissertation submitted as part of the requirements for the award BSc (Hons) Health and Social Care</w:t>
      </w:r>
    </w:p>
    <w:p w:rsidR="001D2A1E"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b/>
        </w:rPr>
      </w:pPr>
    </w:p>
    <w:p w:rsidR="001D2A1E"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b/>
        </w:rPr>
      </w:pPr>
    </w:p>
    <w:p w:rsidR="001D2A1E"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b/>
        </w:rPr>
      </w:pPr>
    </w:p>
    <w:p w:rsidR="001D2A1E"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b/>
        </w:rPr>
      </w:pPr>
    </w:p>
    <w:p w:rsidR="001D2A1E" w:rsidRPr="000257E0"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bCs/>
        </w:rPr>
      </w:pPr>
      <w:r w:rsidRPr="000257E0">
        <w:rPr>
          <w:rFonts w:eastAsia="Arial Unicode MS"/>
          <w:b/>
        </w:rPr>
        <w:t xml:space="preserve">ACKNOWLEDGEMENTS </w:t>
      </w:r>
    </w:p>
    <w:p w:rsidR="001D2A1E" w:rsidRPr="000257E0" w:rsidRDefault="001D2A1E" w:rsidP="001D2A1E">
      <w:pPr>
        <w:pStyle w:val="NormalWeb"/>
        <w:spacing w:line="360" w:lineRule="auto"/>
        <w:jc w:val="both"/>
      </w:pPr>
      <w:r w:rsidRPr="000257E0">
        <w:t>I would like to give a big</w:t>
      </w:r>
      <w:r w:rsidRPr="000257E0">
        <w:t> </w:t>
      </w:r>
      <w:r w:rsidRPr="000257E0">
        <w:t>shout out and thanks to everyone that has helped me make it so far on this personal project. First, I</w:t>
      </w:r>
      <w:r w:rsidRPr="000257E0">
        <w:t> </w:t>
      </w:r>
      <w:r w:rsidRPr="000257E0">
        <w:t>would like to thank</w:t>
      </w:r>
      <w:r w:rsidR="000935FF">
        <w:t xml:space="preserve"> my academic supervisor for their </w:t>
      </w:r>
      <w:r w:rsidRPr="000257E0">
        <w:t>feedbacks, directions and continuous support. Their guidance oriented this research in terms of both the structure and</w:t>
      </w:r>
      <w:r w:rsidRPr="000257E0">
        <w:t> </w:t>
      </w:r>
      <w:r w:rsidRPr="000257E0">
        <w:t>focus as well, further giving me confidence to conduct academic research on my own.</w:t>
      </w:r>
    </w:p>
    <w:p w:rsidR="001D2A1E" w:rsidRPr="000257E0" w:rsidRDefault="001D2A1E" w:rsidP="001D2A1E">
      <w:pPr>
        <w:pStyle w:val="NormalWeb"/>
        <w:spacing w:line="360" w:lineRule="auto"/>
        <w:jc w:val="both"/>
      </w:pPr>
      <w:r w:rsidRPr="000257E0">
        <w:t>I also owe thanks to the academic librarians and research support staff</w:t>
      </w:r>
      <w:r w:rsidRPr="000257E0">
        <w:t> </w:t>
      </w:r>
      <w:r w:rsidRPr="000257E0">
        <w:t xml:space="preserve">at the University of Wales Trinity Saint David for help in obtaining literature and reference materials. Access to </w:t>
      </w:r>
      <w:r w:rsidRPr="000257E0">
        <w:lastRenderedPageBreak/>
        <w:t>comprehensive library resources and electronic databases were invaluably critical for a</w:t>
      </w:r>
      <w:r w:rsidRPr="000257E0">
        <w:t> </w:t>
      </w:r>
      <w:r w:rsidRPr="000257E0">
        <w:t>successful completion of the literature review/ thematic network analysis.</w:t>
      </w:r>
    </w:p>
    <w:p w:rsidR="001D2A1E" w:rsidRPr="000257E0" w:rsidRDefault="001D2A1E" w:rsidP="001D2A1E">
      <w:pPr>
        <w:pStyle w:val="NormalWeb"/>
        <w:spacing w:line="360" w:lineRule="auto"/>
        <w:jc w:val="both"/>
      </w:pPr>
      <w:r w:rsidRPr="000257E0">
        <w:t>This work would not have been possible without the</w:t>
      </w:r>
      <w:r w:rsidRPr="000257E0">
        <w:t> </w:t>
      </w:r>
      <w:r w:rsidRPr="000257E0">
        <w:t>infinite patience, and support with a minimum of understanding of my family &amp; friends. Their faith in me kept my spirits up when things were tough</w:t>
      </w:r>
      <w:r w:rsidRPr="000257E0">
        <w:t> </w:t>
      </w:r>
      <w:r w:rsidRPr="000257E0">
        <w:t>and I doubted myself. I also want to recognise the informal carers, care professionals and older people who I sampled for data in this study as well as those whose</w:t>
      </w:r>
      <w:r w:rsidRPr="000257E0">
        <w:t> </w:t>
      </w:r>
      <w:r w:rsidRPr="000257E0">
        <w:t>experiences were not directly collected - but which are reflected in the literature - that made up the fabric of this work.</w:t>
      </w:r>
    </w:p>
    <w:p w:rsidR="001D2A1E" w:rsidRPr="000257E0" w:rsidRDefault="001D2A1E" w:rsidP="001D2A1E">
      <w:pPr>
        <w:pStyle w:val="NormalWeb"/>
        <w:spacing w:line="360" w:lineRule="auto"/>
        <w:jc w:val="both"/>
      </w:pPr>
      <w:r w:rsidRPr="000257E0">
        <w:t>Last but not least, I am proud to have been able to contribute to a growing field of interest in our society and trust that this</w:t>
      </w:r>
      <w:r w:rsidRPr="000257E0">
        <w:t> </w:t>
      </w:r>
      <w:r w:rsidRPr="000257E0">
        <w:t>work might [in some small way] potentially lead to contribute for quality improvement in the care of older people.</w:t>
      </w:r>
    </w:p>
    <w:p w:rsidR="001D2A1E" w:rsidRPr="000257E0"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rPr>
      </w:pPr>
      <w:r w:rsidRPr="000257E0">
        <w:rPr>
          <w:rFonts w:eastAsia="Arial Unicode MS"/>
          <w:b/>
        </w:rPr>
        <w:t>ABSTRACT</w:t>
      </w:r>
      <w:r w:rsidRPr="000257E0">
        <w:rPr>
          <w:rFonts w:eastAsia="Arial Unicode MS"/>
        </w:rPr>
        <w:t xml:space="preserve"> </w:t>
      </w:r>
      <w:r w:rsidRPr="000257E0">
        <w:rPr>
          <w:rFonts w:eastAsia="Arial Unicode MS"/>
          <w:i/>
        </w:rPr>
        <w:t xml:space="preserve"> </w:t>
      </w:r>
    </w:p>
    <w:p w:rsidR="001D2A1E" w:rsidRPr="000257E0" w:rsidRDefault="001D2A1E" w:rsidP="001D2A1E">
      <w:pPr>
        <w:pStyle w:val="NormalWeb"/>
        <w:spacing w:line="360" w:lineRule="auto"/>
        <w:jc w:val="both"/>
      </w:pPr>
      <w:r w:rsidRPr="000257E0">
        <w:t xml:space="preserve">This dissertation aimed to explore the comparative quality of life of older adults living in the UK under two primary care models: residential care homes and domiciliary care. More specifically, I intended to explore the impact of different care environments on older adults’ wellbeing-including autonomy, emotional fulfilment, and continuity of care. My quest was to understand what each care setting looks like in real life and critically evaluate which factors promote high quality of life and which should be improved. The implications of this research are broad, as the professional discourse calls for delivering quality care to older adults that enhances life rather than diminishes it. With an ageing national population and increasing demand for person-centred support, more research is needed. A secondary research approach was deployed for investigating these cases, with a thematic analysis conducted on literature, policy documents, and theoretical frameworks emerging from the UK. Thematic analysis, following the Braun and Clarke model, involved an analysis of peer-reviewed journals, NICE and CQC reports, and relevant national statistics on older people’s care experiences. The thematic analysis detected three key themes: one, autonomy and independence; two, social interaction and emotional life; and, three, the quality and continuity of care. As the analysis demonstrated, domiciliary care allowed for autonomy and personal choice when delivered properly, as opposed to the benefits of structured social activities and 24/7 support in the residential care environment. Yet, both systems face similar issues with staff shortage, lack of </w:t>
      </w:r>
      <w:r w:rsidRPr="000257E0">
        <w:lastRenderedPageBreak/>
        <w:t>emphasis on emotion in contract-based care, and insufficient response to residents’ and clients’ identity. The quality of relationships with the carers was connected to quality of life most strongly. As the study was developed through a secondary analysis of UK’s literature on the subject and, thus, excluded older adults or carer voices, as well as relied on recent peer-reviewed press, some aspects of the problem were unveiled only partially. Therefore, successive participatory research is recommended. The policy improvement, as I suggest, should be aimed at increasing training in emotional and social care for the carers, increased flexibility in the care routines, and a tighter integration of community services. It is recommended for the future that the UK’s health care system is required to deliver a truly high-quality of care based on respect for the individual autonomy, identity, and emotional life.</w:t>
      </w: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1D2A1E" w:rsidRDefault="001D2A1E" w:rsidP="00C556CB">
      <w:pPr>
        <w:pStyle w:val="Heading1"/>
        <w:rPr>
          <w:rStyle w:val="Strong"/>
          <w:b/>
          <w:bCs/>
        </w:rPr>
      </w:pPr>
    </w:p>
    <w:p w:rsidR="00C556CB" w:rsidRDefault="00C556CB" w:rsidP="00C556CB">
      <w:pPr>
        <w:pStyle w:val="Heading1"/>
      </w:pPr>
      <w:r>
        <w:rPr>
          <w:rStyle w:val="Strong"/>
          <w:b/>
          <w:bCs/>
        </w:rPr>
        <w:t>TABLE OF CONTENTS</w:t>
      </w:r>
    </w:p>
    <w:p w:rsidR="00C556CB" w:rsidRDefault="00C556CB" w:rsidP="00C556CB">
      <w:pPr>
        <w:pStyle w:val="Heading2"/>
      </w:pPr>
      <w:r>
        <w:rPr>
          <w:rStyle w:val="Strong"/>
          <w:b/>
          <w:bCs/>
        </w:rPr>
        <w:t>Chapter 1: Introduction</w:t>
      </w:r>
    </w:p>
    <w:p w:rsidR="00C556CB" w:rsidRDefault="00C556CB" w:rsidP="00C556CB">
      <w:pPr>
        <w:pStyle w:val="NormalWeb"/>
      </w:pPr>
      <w:r>
        <w:t xml:space="preserve">1.1 Introduction ....................................................................................................... </w:t>
      </w:r>
      <w:r w:rsidR="00FC0218">
        <w:t>4</w:t>
      </w:r>
      <w:r>
        <w:br/>
        <w:t xml:space="preserve">1.2 Definitions and Terminology ............................................................................ </w:t>
      </w:r>
      <w:r w:rsidR="00FC0218">
        <w:t>4</w:t>
      </w:r>
      <w:r>
        <w:br/>
        <w:t>1.3 Rationale for Research .................................................................................... 5</w:t>
      </w:r>
      <w:r>
        <w:br/>
        <w:t xml:space="preserve">1.4 Aim and Objectives .......................................................................................... </w:t>
      </w:r>
      <w:r w:rsidR="00FC0218">
        <w:t>6</w:t>
      </w:r>
      <w:r>
        <w:br/>
        <w:t xml:space="preserve">1.5 Chapter Conclusion .......................................................................................... </w:t>
      </w:r>
      <w:r w:rsidR="00FC0218">
        <w:t>6</w:t>
      </w:r>
    </w:p>
    <w:p w:rsidR="00C556CB" w:rsidRDefault="00405D8A" w:rsidP="00C556CB">
      <w:r>
        <w:rPr>
          <w:noProof/>
          <w14:ligatures w14:val="standardContextual"/>
        </w:rPr>
        <w:lastRenderedPageBreak/>
        <w:pict>
          <v:rect id="_x0000_i1025" alt="" style="width:451.3pt;height:.05pt;mso-width-percent:0;mso-height-percent:0;mso-width-percent:0;mso-height-percent:0" o:hralign="center" o:hrstd="t" o:hr="t" fillcolor="#a0a0a0" stroked="f"/>
        </w:pict>
      </w:r>
    </w:p>
    <w:p w:rsidR="00C556CB" w:rsidRDefault="00C556CB" w:rsidP="00C556CB">
      <w:pPr>
        <w:pStyle w:val="Heading2"/>
      </w:pPr>
      <w:r>
        <w:rPr>
          <w:rStyle w:val="Strong"/>
          <w:b/>
          <w:bCs/>
        </w:rPr>
        <w:t>Chapter 2: Background Information and Analysis</w:t>
      </w:r>
    </w:p>
    <w:p w:rsidR="00C556CB" w:rsidRDefault="00C556CB" w:rsidP="00C556CB">
      <w:pPr>
        <w:pStyle w:val="NormalWeb"/>
      </w:pPr>
      <w:r>
        <w:t xml:space="preserve">2.1 Introduction ........................................................................................................ </w:t>
      </w:r>
      <w:r w:rsidR="00FC0218">
        <w:t>7</w:t>
      </w:r>
      <w:r>
        <w:br/>
        <w:t xml:space="preserve">2.2 Historical Background ...................................................................................... </w:t>
      </w:r>
      <w:r w:rsidR="00FC0218">
        <w:t>7</w:t>
      </w:r>
      <w:r>
        <w:br/>
        <w:t xml:space="preserve">2.3 Theoretical Background ................................................................................... </w:t>
      </w:r>
      <w:r w:rsidR="00FC0218">
        <w:t>8</w:t>
      </w:r>
      <w:r>
        <w:br/>
        <w:t>2.4 International Context ....................................................................................... 1</w:t>
      </w:r>
      <w:r w:rsidR="00FC0218">
        <w:t>1</w:t>
      </w:r>
      <w:r>
        <w:br/>
        <w:t>2.5 National/Local UK Context ............................................................................. 1</w:t>
      </w:r>
      <w:r w:rsidR="00FC0218">
        <w:t>2</w:t>
      </w:r>
      <w:r>
        <w:br/>
        <w:t xml:space="preserve">2.6 Chapter Conclusion ......................................................................................... </w:t>
      </w:r>
      <w:r w:rsidR="00FC0218">
        <w:t>13</w:t>
      </w:r>
    </w:p>
    <w:p w:rsidR="00C556CB" w:rsidRDefault="00405D8A" w:rsidP="00C556CB">
      <w:r>
        <w:rPr>
          <w:noProof/>
          <w14:ligatures w14:val="standardContextual"/>
        </w:rPr>
        <w:pict>
          <v:rect id="_x0000_i1026" alt="" style="width:451.3pt;height:.05pt;mso-width-percent:0;mso-height-percent:0;mso-width-percent:0;mso-height-percent:0" o:hralign="center" o:hrstd="t" o:hr="t" fillcolor="#a0a0a0" stroked="f"/>
        </w:pict>
      </w:r>
    </w:p>
    <w:p w:rsidR="00C556CB" w:rsidRDefault="00C556CB" w:rsidP="00C556CB">
      <w:pPr>
        <w:pStyle w:val="Heading2"/>
      </w:pPr>
      <w:r>
        <w:rPr>
          <w:rStyle w:val="Strong"/>
          <w:b/>
          <w:bCs/>
        </w:rPr>
        <w:t>Chapter 3: Methods and Search Strategy</w:t>
      </w:r>
    </w:p>
    <w:p w:rsidR="00C556CB" w:rsidRDefault="00C556CB" w:rsidP="00C556CB">
      <w:pPr>
        <w:pStyle w:val="NormalWeb"/>
      </w:pPr>
      <w:r>
        <w:t xml:space="preserve">3.1 Introduction ....................................................................................................... </w:t>
      </w:r>
      <w:r w:rsidR="00FC0218">
        <w:t>14</w:t>
      </w:r>
      <w:r>
        <w:br/>
        <w:t xml:space="preserve">3.2 Search Strategy ................................................................................................ </w:t>
      </w:r>
      <w:r w:rsidR="00FC0218">
        <w:t>15</w:t>
      </w:r>
      <w:r>
        <w:br/>
        <w:t xml:space="preserve">3.3 Searching for Information ................................................................................ </w:t>
      </w:r>
      <w:r w:rsidR="00FC0218">
        <w:t>15</w:t>
      </w:r>
      <w:r>
        <w:br/>
        <w:t xml:space="preserve">3.4 Research Validation ........................................................................................ </w:t>
      </w:r>
      <w:r w:rsidR="00FC0218">
        <w:t>16</w:t>
      </w:r>
      <w:r>
        <w:br/>
        <w:t xml:space="preserve">3.5 Inclusion and Exclusion Criteria ...................................................................... </w:t>
      </w:r>
      <w:r w:rsidR="00FC0218">
        <w:t>16</w:t>
      </w:r>
      <w:r>
        <w:br/>
        <w:t>3.6 Analysing Research ........................................................................................ 2</w:t>
      </w:r>
      <w:r w:rsidR="00FC0218">
        <w:t>7</w:t>
      </w:r>
      <w:r>
        <w:br/>
        <w:t xml:space="preserve">3.7 Ethical Considerations .................................................................................... </w:t>
      </w:r>
      <w:r w:rsidR="00FC0218">
        <w:t>18</w:t>
      </w:r>
      <w:r>
        <w:br/>
        <w:t xml:space="preserve">3.8 Chapter Conclusion ........................................................................................ </w:t>
      </w:r>
      <w:r w:rsidR="00FC0218">
        <w:t>18</w:t>
      </w:r>
    </w:p>
    <w:p w:rsidR="00C556CB" w:rsidRDefault="00405D8A" w:rsidP="00C556CB">
      <w:r>
        <w:rPr>
          <w:noProof/>
          <w14:ligatures w14:val="standardContextual"/>
        </w:rPr>
        <w:pict>
          <v:rect id="_x0000_i1027" alt="" style="width:451.3pt;height:.05pt;mso-width-percent:0;mso-height-percent:0;mso-width-percent:0;mso-height-percent:0" o:hralign="center" o:hrstd="t" o:hr="t" fillcolor="#a0a0a0" stroked="f"/>
        </w:pict>
      </w:r>
    </w:p>
    <w:p w:rsidR="00C556CB" w:rsidRDefault="00C556CB" w:rsidP="00C556CB">
      <w:pPr>
        <w:pStyle w:val="Heading2"/>
      </w:pPr>
      <w:r>
        <w:rPr>
          <w:rStyle w:val="Strong"/>
          <w:b/>
          <w:bCs/>
        </w:rPr>
        <w:t>Chapter 4: Findings and Discussion</w:t>
      </w:r>
    </w:p>
    <w:p w:rsidR="00C556CB" w:rsidRDefault="00C556CB" w:rsidP="00C556CB">
      <w:pPr>
        <w:pStyle w:val="NormalWeb"/>
      </w:pPr>
      <w:r>
        <w:t xml:space="preserve">4.1 Introduction ....................................................................................................... </w:t>
      </w:r>
      <w:r w:rsidR="003F1C17">
        <w:t>19</w:t>
      </w:r>
      <w:r>
        <w:br/>
        <w:t xml:space="preserve">4.2 Thematic Analysis Process ............................................................................. </w:t>
      </w:r>
      <w:r w:rsidR="003F1C17">
        <w:t>19</w:t>
      </w:r>
      <w:r>
        <w:br/>
        <w:t xml:space="preserve">4.3 Theme 1: Autonomy and Independence ........................................................ </w:t>
      </w:r>
      <w:r w:rsidR="003F1C17">
        <w:t>20</w:t>
      </w:r>
      <w:r>
        <w:br/>
        <w:t xml:space="preserve">4.4 Theme 2: Social Interaction and Emotional Wellbeing ................................... </w:t>
      </w:r>
      <w:r w:rsidR="003F1C17">
        <w:t>22</w:t>
      </w:r>
      <w:r>
        <w:br/>
        <w:t xml:space="preserve">4.5 Theme 3: Quality and Continuity of Care ....................................................... </w:t>
      </w:r>
      <w:r w:rsidR="003F1C17">
        <w:t>26</w:t>
      </w:r>
      <w:r>
        <w:br/>
        <w:t xml:space="preserve">4.6 Chapter Conclusion ......................................................................................... </w:t>
      </w:r>
      <w:r w:rsidR="003F1C17">
        <w:t>2</w:t>
      </w:r>
      <w:r>
        <w:t>7</w:t>
      </w:r>
    </w:p>
    <w:p w:rsidR="00C556CB" w:rsidRDefault="00405D8A" w:rsidP="00C556CB">
      <w:r>
        <w:rPr>
          <w:noProof/>
          <w14:ligatures w14:val="standardContextual"/>
        </w:rPr>
        <w:pict>
          <v:rect id="_x0000_i1028" alt="" style="width:451.3pt;height:.05pt;mso-width-percent:0;mso-height-percent:0;mso-width-percent:0;mso-height-percent:0" o:hralign="center" o:hrstd="t" o:hr="t" fillcolor="#a0a0a0" stroked="f"/>
        </w:pict>
      </w:r>
    </w:p>
    <w:p w:rsidR="00C556CB" w:rsidRDefault="00C556CB" w:rsidP="00C556CB">
      <w:pPr>
        <w:pStyle w:val="Heading2"/>
      </w:pPr>
      <w:r>
        <w:rPr>
          <w:rStyle w:val="Strong"/>
          <w:b/>
          <w:bCs/>
        </w:rPr>
        <w:t>Chapter 5: Conclusion and Recommendations</w:t>
      </w:r>
    </w:p>
    <w:p w:rsidR="00C556CB" w:rsidRDefault="00C556CB" w:rsidP="00C556CB">
      <w:pPr>
        <w:pStyle w:val="NormalWeb"/>
      </w:pPr>
      <w:r>
        <w:t xml:space="preserve">5.1 Overall Conclusion .......................................................................................... </w:t>
      </w:r>
      <w:r w:rsidR="003F1C17">
        <w:t>28</w:t>
      </w:r>
      <w:r>
        <w:br/>
        <w:t xml:space="preserve">5.2 Recommendations .......................................................................................... </w:t>
      </w:r>
      <w:r w:rsidR="003F1C17">
        <w:t>29</w:t>
      </w:r>
      <w:r>
        <w:br/>
      </w:r>
      <w:r>
        <w:t> </w:t>
      </w:r>
      <w:r>
        <w:t xml:space="preserve">5.2.1 Recommendation 1 .................................................................................. </w:t>
      </w:r>
      <w:r w:rsidR="003F1C17">
        <w:t>30</w:t>
      </w:r>
      <w:r>
        <w:br/>
      </w:r>
      <w:r>
        <w:t> </w:t>
      </w:r>
      <w:r>
        <w:t xml:space="preserve">5.2.2 Recommendation 2 .................................................................................. </w:t>
      </w:r>
      <w:r w:rsidR="003F1C17">
        <w:t>31</w:t>
      </w:r>
      <w:r>
        <w:br/>
      </w:r>
      <w:r>
        <w:t> </w:t>
      </w:r>
      <w:r>
        <w:t xml:space="preserve">5.2.3 Recommendation 3 .................................................................................. </w:t>
      </w:r>
      <w:r w:rsidR="003F1C17">
        <w:t>31</w:t>
      </w:r>
      <w:r>
        <w:br/>
        <w:t xml:space="preserve">5.3 Final Reflection ................................................................................................. </w:t>
      </w:r>
      <w:r w:rsidR="003F1C17">
        <w:t>32</w:t>
      </w:r>
    </w:p>
    <w:p w:rsidR="00C556CB" w:rsidRDefault="00405D8A" w:rsidP="00C556CB">
      <w:r>
        <w:rPr>
          <w:noProof/>
          <w14:ligatures w14:val="standardContextual"/>
        </w:rPr>
        <w:pict>
          <v:rect id="_x0000_i1029" alt="" style="width:451.3pt;height:.05pt;mso-width-percent:0;mso-height-percent:0;mso-width-percent:0;mso-height-percent:0" o:hralign="center" o:hrstd="t" o:hr="t" fillcolor="#a0a0a0" stroked="f"/>
        </w:pict>
      </w:r>
    </w:p>
    <w:p w:rsidR="00C556CB" w:rsidRPr="003F1C17" w:rsidRDefault="00C556CB" w:rsidP="00C556CB">
      <w:pPr>
        <w:pStyle w:val="Heading2"/>
      </w:pPr>
      <w:r w:rsidRPr="003F1C17">
        <w:rPr>
          <w:rStyle w:val="Strong"/>
        </w:rPr>
        <w:lastRenderedPageBreak/>
        <w:t>References</w:t>
      </w:r>
      <w:r w:rsidRPr="003F1C17">
        <w:t xml:space="preserve"> ...................................................................................................</w:t>
      </w:r>
      <w:r w:rsidR="003F1C17" w:rsidRPr="003F1C17">
        <w:t>33</w:t>
      </w: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C556CB" w:rsidRDefault="00C556CB" w:rsidP="00C556CB">
      <w:pPr>
        <w:spacing w:before="100" w:beforeAutospacing="1" w:after="100" w:afterAutospacing="1" w:line="360" w:lineRule="auto"/>
        <w:jc w:val="both"/>
        <w:outlineLvl w:val="0"/>
        <w:rPr>
          <w:b/>
          <w:bCs/>
          <w:kern w:val="36"/>
        </w:rPr>
      </w:pPr>
    </w:p>
    <w:p w:rsidR="00FC0218" w:rsidRDefault="00FC0218" w:rsidP="00C556CB">
      <w:pPr>
        <w:spacing w:before="100" w:beforeAutospacing="1" w:after="100" w:afterAutospacing="1" w:line="360" w:lineRule="auto"/>
        <w:jc w:val="both"/>
        <w:outlineLvl w:val="0"/>
        <w:rPr>
          <w:b/>
          <w:bCs/>
          <w:kern w:val="36"/>
        </w:rPr>
      </w:pPr>
    </w:p>
    <w:p w:rsidR="00FC0218" w:rsidRDefault="00FC0218" w:rsidP="00C556CB">
      <w:pPr>
        <w:spacing w:before="100" w:beforeAutospacing="1" w:after="100" w:afterAutospacing="1" w:line="360" w:lineRule="auto"/>
        <w:jc w:val="both"/>
        <w:outlineLvl w:val="0"/>
        <w:rPr>
          <w:b/>
          <w:bCs/>
          <w:kern w:val="36"/>
        </w:rPr>
      </w:pPr>
    </w:p>
    <w:p w:rsidR="00FC0218" w:rsidRDefault="00FC0218" w:rsidP="00C556CB">
      <w:pPr>
        <w:spacing w:before="100" w:beforeAutospacing="1" w:after="100" w:afterAutospacing="1" w:line="360" w:lineRule="auto"/>
        <w:jc w:val="both"/>
        <w:outlineLvl w:val="0"/>
        <w:rPr>
          <w:b/>
          <w:bCs/>
          <w:kern w:val="36"/>
        </w:rPr>
      </w:pPr>
    </w:p>
    <w:p w:rsidR="003F1C17" w:rsidRDefault="003F1C17" w:rsidP="00C556CB">
      <w:pPr>
        <w:spacing w:before="100" w:beforeAutospacing="1" w:after="100" w:afterAutospacing="1" w:line="360" w:lineRule="auto"/>
        <w:jc w:val="both"/>
        <w:outlineLvl w:val="0"/>
        <w:rPr>
          <w:b/>
          <w:bCs/>
          <w:kern w:val="36"/>
        </w:rPr>
      </w:pPr>
    </w:p>
    <w:p w:rsidR="003F1C17" w:rsidRPr="00C556CB" w:rsidRDefault="003F1C17" w:rsidP="00C556CB">
      <w:pPr>
        <w:spacing w:before="100" w:beforeAutospacing="1" w:after="100" w:afterAutospacing="1" w:line="360" w:lineRule="auto"/>
        <w:jc w:val="both"/>
        <w:outlineLvl w:val="0"/>
        <w:rPr>
          <w:b/>
          <w:bCs/>
          <w:kern w:val="36"/>
        </w:rPr>
      </w:pPr>
    </w:p>
    <w:p w:rsidR="0020411A" w:rsidRPr="00C556CB" w:rsidRDefault="0020411A" w:rsidP="00C556CB">
      <w:pPr>
        <w:spacing w:before="100" w:beforeAutospacing="1" w:after="100" w:afterAutospacing="1" w:line="360" w:lineRule="auto"/>
        <w:jc w:val="center"/>
        <w:outlineLvl w:val="0"/>
        <w:rPr>
          <w:b/>
          <w:bCs/>
          <w:kern w:val="36"/>
        </w:rPr>
      </w:pPr>
      <w:r w:rsidRPr="00C556CB">
        <w:rPr>
          <w:b/>
          <w:bCs/>
          <w:kern w:val="36"/>
        </w:rPr>
        <w:t>CHAPTER 1: INTRODUCTION</w:t>
      </w:r>
    </w:p>
    <w:p w:rsidR="0020411A" w:rsidRPr="00C556CB" w:rsidRDefault="0020411A" w:rsidP="00C556CB">
      <w:pPr>
        <w:spacing w:before="100" w:beforeAutospacing="1" w:after="100" w:afterAutospacing="1" w:line="360" w:lineRule="auto"/>
        <w:jc w:val="both"/>
        <w:outlineLvl w:val="1"/>
        <w:rPr>
          <w:b/>
          <w:bCs/>
        </w:rPr>
      </w:pPr>
      <w:r w:rsidRPr="00C556CB">
        <w:rPr>
          <w:b/>
          <w:bCs/>
        </w:rPr>
        <w:t>1.1 Introduction</w:t>
      </w:r>
    </w:p>
    <w:p w:rsidR="0020411A" w:rsidRPr="00C556CB" w:rsidRDefault="0020411A" w:rsidP="00C556CB">
      <w:pPr>
        <w:spacing w:before="100" w:beforeAutospacing="1" w:after="100" w:afterAutospacing="1" w:line="360" w:lineRule="auto"/>
        <w:jc w:val="both"/>
      </w:pPr>
      <w:r w:rsidRPr="00C556CB">
        <w:t xml:space="preserve">The United Kingdom is facing a significant demographic shift, with the proportion of older adults steadily increasing. According to the Office for National Statistics (2023), over 25% of the UK population is expected to be aged 65 and above by the year 2043. </w:t>
      </w:r>
      <w:r w:rsidR="00276A5C" w:rsidRPr="00C556CB">
        <w:t>These growing elderly</w:t>
      </w:r>
      <w:r w:rsidRPr="00C556CB">
        <w:t xml:space="preserve"> population presents substantial challenges for health and social care services, </w:t>
      </w:r>
      <w:r w:rsidRPr="00C556CB">
        <w:lastRenderedPageBreak/>
        <w:t>particularly regarding long-term care options. Among the most common forms of elder care are residential care homes, which provide round-the-clock institutional support, and domiciliary (home) care, which allows individuals to remain in their own homes while receiving assistance.</w:t>
      </w:r>
    </w:p>
    <w:p w:rsidR="0020411A" w:rsidRPr="00C556CB" w:rsidRDefault="0020411A" w:rsidP="00C556CB">
      <w:pPr>
        <w:spacing w:before="100" w:beforeAutospacing="1" w:after="100" w:afterAutospacing="1" w:line="360" w:lineRule="auto"/>
        <w:jc w:val="both"/>
      </w:pPr>
      <w:r w:rsidRPr="00C556CB">
        <w:t>Each model presents unique benefits and limitations. Residential care can offer structured support and social engagement, yet may lead to institutionalisation and loss of personal autonomy. On the other hand, home care supports independence and familiarity, but often raises concerns about social isolation and inconsistent service delivery (Glendinning et al., 2021; Woolford et al., 2020).</w:t>
      </w:r>
    </w:p>
    <w:p w:rsidR="0020411A" w:rsidRPr="00C556CB" w:rsidRDefault="0020411A" w:rsidP="00C556CB">
      <w:pPr>
        <w:spacing w:before="100" w:beforeAutospacing="1" w:after="100" w:afterAutospacing="1" w:line="360" w:lineRule="auto"/>
        <w:jc w:val="both"/>
      </w:pPr>
      <w:r w:rsidRPr="00C556CB">
        <w:t>This dissertation will explore and compare the quality of life (QoL) experienced by older adults in these two settings within the UK. The study is based on a qualitative secondary research approach using thematic analysis, aiming to identify key emotional, social, and environmental factors influencing wellbeing. This research is both timely and relevant, offering valuable insights to practitioners, policymakers, and caregivers committed to improving outcomes for elderly individuals in care.</w:t>
      </w:r>
    </w:p>
    <w:p w:rsidR="0020411A" w:rsidRPr="00C556CB" w:rsidRDefault="0020411A" w:rsidP="00C556CB">
      <w:pPr>
        <w:spacing w:before="100" w:beforeAutospacing="1" w:after="100" w:afterAutospacing="1" w:line="360" w:lineRule="auto"/>
        <w:jc w:val="both"/>
        <w:outlineLvl w:val="1"/>
        <w:rPr>
          <w:b/>
          <w:bCs/>
        </w:rPr>
      </w:pPr>
      <w:r w:rsidRPr="00C556CB">
        <w:rPr>
          <w:b/>
          <w:bCs/>
        </w:rPr>
        <w:t>1.2 Definitions and Terminology</w:t>
      </w:r>
    </w:p>
    <w:p w:rsidR="0020411A" w:rsidRPr="00C556CB" w:rsidRDefault="0020411A" w:rsidP="00C556CB">
      <w:pPr>
        <w:spacing w:before="100" w:beforeAutospacing="1" w:after="100" w:afterAutospacing="1" w:line="360" w:lineRule="auto"/>
        <w:jc w:val="both"/>
      </w:pPr>
      <w:r w:rsidRPr="00C556CB">
        <w:t>To ensure clarity throughout this dissertation, several key terms are defined:</w:t>
      </w:r>
    </w:p>
    <w:p w:rsidR="0020411A" w:rsidRPr="00C556CB" w:rsidRDefault="0020411A" w:rsidP="00C556CB">
      <w:pPr>
        <w:numPr>
          <w:ilvl w:val="0"/>
          <w:numId w:val="1"/>
        </w:numPr>
        <w:spacing w:before="100" w:beforeAutospacing="1" w:after="100" w:afterAutospacing="1" w:line="360" w:lineRule="auto"/>
        <w:jc w:val="both"/>
      </w:pPr>
      <w:r w:rsidRPr="00C556CB">
        <w:rPr>
          <w:b/>
          <w:bCs/>
        </w:rPr>
        <w:t>Quality of Life (QoL):</w:t>
      </w:r>
      <w:r w:rsidRPr="00C556CB">
        <w:t xml:space="preserve"> The World Health Organization (1997) defines QoL as an individual's perception of their position in life, in the context of their culture and value systems, and in relation to their goals, expectations, standards, and concerns. It encompasses physical health, psychological state, independence, social relationships, and environment.</w:t>
      </w:r>
    </w:p>
    <w:p w:rsidR="0020411A" w:rsidRPr="00C556CB" w:rsidRDefault="0020411A" w:rsidP="00C556CB">
      <w:pPr>
        <w:numPr>
          <w:ilvl w:val="0"/>
          <w:numId w:val="1"/>
        </w:numPr>
        <w:spacing w:before="100" w:beforeAutospacing="1" w:after="100" w:afterAutospacing="1" w:line="360" w:lineRule="auto"/>
        <w:jc w:val="both"/>
      </w:pPr>
      <w:r w:rsidRPr="00C556CB">
        <w:rPr>
          <w:b/>
          <w:bCs/>
        </w:rPr>
        <w:t>Residential Care:</w:t>
      </w:r>
      <w:r w:rsidRPr="00C556CB">
        <w:t xml:space="preserve"> Refers to long-term care provided in a structured facility where individuals live and receive assistance with daily living, healthcare, and social needs.</w:t>
      </w:r>
    </w:p>
    <w:p w:rsidR="0020411A" w:rsidRPr="00C556CB" w:rsidRDefault="0020411A" w:rsidP="00C556CB">
      <w:pPr>
        <w:numPr>
          <w:ilvl w:val="0"/>
          <w:numId w:val="1"/>
        </w:numPr>
        <w:spacing w:before="100" w:beforeAutospacing="1" w:after="100" w:afterAutospacing="1" w:line="360" w:lineRule="auto"/>
        <w:jc w:val="both"/>
      </w:pPr>
      <w:r w:rsidRPr="00C556CB">
        <w:rPr>
          <w:b/>
          <w:bCs/>
        </w:rPr>
        <w:t>Domiciliary (Home) Care:</w:t>
      </w:r>
      <w:r w:rsidRPr="00C556CB">
        <w:t xml:space="preserve"> Involves services delivered to individuals in their own homes, including personal care, meal preparation, medication assistance, and companionship.</w:t>
      </w:r>
    </w:p>
    <w:p w:rsidR="0020411A" w:rsidRPr="00C556CB" w:rsidRDefault="0020411A" w:rsidP="00C556CB">
      <w:pPr>
        <w:numPr>
          <w:ilvl w:val="0"/>
          <w:numId w:val="1"/>
        </w:numPr>
        <w:spacing w:before="100" w:beforeAutospacing="1" w:after="100" w:afterAutospacing="1" w:line="360" w:lineRule="auto"/>
        <w:jc w:val="both"/>
      </w:pPr>
      <w:r w:rsidRPr="00C556CB">
        <w:rPr>
          <w:b/>
          <w:bCs/>
        </w:rPr>
        <w:lastRenderedPageBreak/>
        <w:t>Person-Centred Care:</w:t>
      </w:r>
      <w:r w:rsidRPr="00C556CB">
        <w:t xml:space="preserve"> A holistic model of care that respects and responds to individuals' preferences, needs, and values. It involves treating service users as active participants in their care decisions (NICE, 2022).</w:t>
      </w:r>
    </w:p>
    <w:p w:rsidR="0020411A" w:rsidRPr="00C556CB" w:rsidRDefault="0020411A" w:rsidP="00C556CB">
      <w:pPr>
        <w:numPr>
          <w:ilvl w:val="0"/>
          <w:numId w:val="1"/>
        </w:numPr>
        <w:spacing w:before="100" w:beforeAutospacing="1" w:after="100" w:afterAutospacing="1" w:line="360" w:lineRule="auto"/>
        <w:jc w:val="both"/>
      </w:pPr>
      <w:r w:rsidRPr="00C556CB">
        <w:rPr>
          <w:b/>
          <w:bCs/>
        </w:rPr>
        <w:t>Thematic Analysis:</w:t>
      </w:r>
      <w:r w:rsidRPr="00C556CB">
        <w:t xml:space="preserve"> A method of analysing qualitative data to identify patterns or “themes” within the material. It provides a structured yet flexible approach to data interpretation (Braun &amp; Clarke, 2006).</w:t>
      </w:r>
    </w:p>
    <w:p w:rsidR="0020411A" w:rsidRPr="00C556CB" w:rsidRDefault="0020411A" w:rsidP="00C556CB">
      <w:pPr>
        <w:spacing w:before="100" w:beforeAutospacing="1" w:after="100" w:afterAutospacing="1" w:line="360" w:lineRule="auto"/>
        <w:jc w:val="both"/>
      </w:pPr>
      <w:r w:rsidRPr="00C556CB">
        <w:rPr>
          <w:b/>
          <w:bCs/>
        </w:rPr>
        <w:t>Acronyms Used:</w:t>
      </w:r>
    </w:p>
    <w:p w:rsidR="0020411A" w:rsidRPr="00C556CB" w:rsidRDefault="0020411A" w:rsidP="00C556CB">
      <w:pPr>
        <w:numPr>
          <w:ilvl w:val="0"/>
          <w:numId w:val="2"/>
        </w:numPr>
        <w:spacing w:before="100" w:beforeAutospacing="1" w:after="100" w:afterAutospacing="1" w:line="360" w:lineRule="auto"/>
        <w:jc w:val="both"/>
      </w:pPr>
      <w:r w:rsidRPr="00C556CB">
        <w:rPr>
          <w:b/>
          <w:bCs/>
        </w:rPr>
        <w:t>QoL</w:t>
      </w:r>
      <w:r w:rsidRPr="00C556CB">
        <w:t xml:space="preserve"> – Quality of Life</w:t>
      </w:r>
    </w:p>
    <w:p w:rsidR="0020411A" w:rsidRPr="00C556CB" w:rsidRDefault="0020411A" w:rsidP="00C556CB">
      <w:pPr>
        <w:numPr>
          <w:ilvl w:val="0"/>
          <w:numId w:val="2"/>
        </w:numPr>
        <w:spacing w:before="100" w:beforeAutospacing="1" w:after="100" w:afterAutospacing="1" w:line="360" w:lineRule="auto"/>
        <w:jc w:val="both"/>
      </w:pPr>
      <w:r w:rsidRPr="00C556CB">
        <w:rPr>
          <w:b/>
          <w:bCs/>
        </w:rPr>
        <w:t>ONS</w:t>
      </w:r>
      <w:r w:rsidRPr="00C556CB">
        <w:t xml:space="preserve"> – Office for National Statistics</w:t>
      </w:r>
    </w:p>
    <w:p w:rsidR="0020411A" w:rsidRPr="00C556CB" w:rsidRDefault="0020411A" w:rsidP="00C556CB">
      <w:pPr>
        <w:numPr>
          <w:ilvl w:val="0"/>
          <w:numId w:val="2"/>
        </w:numPr>
        <w:spacing w:before="100" w:beforeAutospacing="1" w:after="100" w:afterAutospacing="1" w:line="360" w:lineRule="auto"/>
        <w:jc w:val="both"/>
      </w:pPr>
      <w:r w:rsidRPr="00C556CB">
        <w:rPr>
          <w:b/>
          <w:bCs/>
        </w:rPr>
        <w:t>CQC</w:t>
      </w:r>
      <w:r w:rsidRPr="00C556CB">
        <w:t xml:space="preserve"> – Care Quality Commission</w:t>
      </w:r>
    </w:p>
    <w:p w:rsidR="0020411A" w:rsidRPr="00C556CB" w:rsidRDefault="0020411A" w:rsidP="00C556CB">
      <w:pPr>
        <w:numPr>
          <w:ilvl w:val="0"/>
          <w:numId w:val="2"/>
        </w:numPr>
        <w:spacing w:before="100" w:beforeAutospacing="1" w:after="100" w:afterAutospacing="1" w:line="360" w:lineRule="auto"/>
        <w:jc w:val="both"/>
      </w:pPr>
      <w:r w:rsidRPr="00C556CB">
        <w:rPr>
          <w:b/>
          <w:bCs/>
        </w:rPr>
        <w:t>NICE</w:t>
      </w:r>
      <w:r w:rsidRPr="00C556CB">
        <w:t xml:space="preserve"> – National Institute for Health and Care Excellence</w:t>
      </w:r>
    </w:p>
    <w:p w:rsidR="0020411A" w:rsidRPr="00C556CB" w:rsidRDefault="0020411A" w:rsidP="00C556CB">
      <w:pPr>
        <w:numPr>
          <w:ilvl w:val="0"/>
          <w:numId w:val="2"/>
        </w:numPr>
        <w:spacing w:before="100" w:beforeAutospacing="1" w:after="100" w:afterAutospacing="1" w:line="360" w:lineRule="auto"/>
        <w:jc w:val="both"/>
      </w:pPr>
      <w:r w:rsidRPr="00C556CB">
        <w:rPr>
          <w:b/>
          <w:bCs/>
        </w:rPr>
        <w:t>WHO</w:t>
      </w:r>
      <w:r w:rsidRPr="00C556CB">
        <w:t xml:space="preserve"> – World Health Organization</w:t>
      </w:r>
    </w:p>
    <w:p w:rsidR="0020411A" w:rsidRPr="00C556CB" w:rsidRDefault="0020411A" w:rsidP="00C556CB">
      <w:pPr>
        <w:spacing w:before="100" w:beforeAutospacing="1" w:after="100" w:afterAutospacing="1" w:line="360" w:lineRule="auto"/>
        <w:jc w:val="both"/>
      </w:pPr>
      <w:r w:rsidRPr="00C556CB">
        <w:t>These definitions and acronyms provide a foundation for the rest of the research.</w:t>
      </w:r>
    </w:p>
    <w:p w:rsidR="0020411A" w:rsidRPr="00C556CB" w:rsidRDefault="0020411A" w:rsidP="00C556CB">
      <w:pPr>
        <w:spacing w:before="100" w:beforeAutospacing="1" w:after="100" w:afterAutospacing="1" w:line="360" w:lineRule="auto"/>
        <w:jc w:val="both"/>
        <w:outlineLvl w:val="1"/>
        <w:rPr>
          <w:b/>
          <w:bCs/>
        </w:rPr>
      </w:pPr>
      <w:r w:rsidRPr="00C556CB">
        <w:rPr>
          <w:b/>
          <w:bCs/>
        </w:rPr>
        <w:t>1.3 Rationale for Research</w:t>
      </w:r>
    </w:p>
    <w:p w:rsidR="0020411A" w:rsidRPr="00C556CB" w:rsidRDefault="0020411A" w:rsidP="00C556CB">
      <w:pPr>
        <w:spacing w:before="100" w:beforeAutospacing="1" w:after="100" w:afterAutospacing="1" w:line="360" w:lineRule="auto"/>
        <w:jc w:val="both"/>
      </w:pPr>
      <w:r w:rsidRPr="00C556CB">
        <w:t>This study is driven by the need to better understand how care settings affect the wellbeing of older adults in the UK. The increasing demand for both residential and home care services, alongside growing financial pressures on the National Health Service and local councils, makes it vital to determine which models deliver better outcomes in terms of quality of life.</w:t>
      </w:r>
    </w:p>
    <w:p w:rsidR="0020411A" w:rsidRPr="00C556CB" w:rsidRDefault="0020411A" w:rsidP="00C556CB">
      <w:pPr>
        <w:spacing w:before="100" w:beforeAutospacing="1" w:after="100" w:afterAutospacing="1" w:line="360" w:lineRule="auto"/>
        <w:jc w:val="both"/>
      </w:pPr>
      <w:r w:rsidRPr="00C556CB">
        <w:t>Existing literature presents contrasting evidence. For instance, Woolford et al. (2020) report that care home residents often benefit from immediate medical support and structured routines, but may suffer from a loss of privacy and autonomy. Conversely, Glendinning et al. (2021) note that home care users maintain a stronger sense of independence, yet may experience loneliness, delays in services, or inconsistent care due to staff shortages.</w:t>
      </w:r>
    </w:p>
    <w:p w:rsidR="0020411A" w:rsidRPr="00C556CB" w:rsidRDefault="0020411A" w:rsidP="00C556CB">
      <w:pPr>
        <w:spacing w:before="100" w:beforeAutospacing="1" w:after="100" w:afterAutospacing="1" w:line="360" w:lineRule="auto"/>
        <w:jc w:val="both"/>
      </w:pPr>
      <w:r w:rsidRPr="00C556CB">
        <w:t xml:space="preserve">Despite the wealth of individual studies, a comparative synthesis of the two models is lacking—especially one grounded in a UK context. By reviewing and analysing UK-based literature from 2018 to 2025, this dissertation aims to provide up-to-date, policy-relevant findings that can inform better care strategies and resource allocation. The results may </w:t>
      </w:r>
      <w:r w:rsidRPr="00C556CB">
        <w:lastRenderedPageBreak/>
        <w:t>support a shift towards integrated or hybrid models of care that combine the strengths of both approaches.</w:t>
      </w:r>
    </w:p>
    <w:p w:rsidR="0020411A" w:rsidRPr="00C556CB" w:rsidRDefault="0020411A" w:rsidP="00C556CB">
      <w:pPr>
        <w:spacing w:before="100" w:beforeAutospacing="1" w:after="100" w:afterAutospacing="1" w:line="360" w:lineRule="auto"/>
        <w:jc w:val="both"/>
        <w:outlineLvl w:val="1"/>
        <w:rPr>
          <w:b/>
          <w:bCs/>
        </w:rPr>
      </w:pPr>
      <w:r w:rsidRPr="00C556CB">
        <w:rPr>
          <w:b/>
          <w:bCs/>
        </w:rPr>
        <w:t>1.4 Aim and Objectives</w:t>
      </w:r>
    </w:p>
    <w:p w:rsidR="0020411A" w:rsidRPr="00C556CB" w:rsidRDefault="0020411A" w:rsidP="00C556CB">
      <w:pPr>
        <w:spacing w:before="100" w:beforeAutospacing="1" w:after="100" w:afterAutospacing="1" w:line="360" w:lineRule="auto"/>
        <w:jc w:val="both"/>
        <w:outlineLvl w:val="2"/>
        <w:rPr>
          <w:b/>
          <w:bCs/>
        </w:rPr>
      </w:pPr>
      <w:r w:rsidRPr="00C556CB">
        <w:rPr>
          <w:b/>
          <w:bCs/>
        </w:rPr>
        <w:t>Research Aim</w:t>
      </w:r>
    </w:p>
    <w:p w:rsidR="0020411A" w:rsidRPr="00C556CB" w:rsidRDefault="0020411A" w:rsidP="00C556CB">
      <w:pPr>
        <w:spacing w:before="100" w:beforeAutospacing="1" w:after="100" w:afterAutospacing="1" w:line="360" w:lineRule="auto"/>
        <w:jc w:val="both"/>
      </w:pPr>
      <w:r w:rsidRPr="00C556CB">
        <w:t>To explore and compare the quality of life experienced by older adults in residential care homes and those receiving domiciliary (home-based) care in the United Kingdom.</w:t>
      </w:r>
    </w:p>
    <w:p w:rsidR="0020411A" w:rsidRPr="00C556CB" w:rsidRDefault="0020411A" w:rsidP="00C556CB">
      <w:pPr>
        <w:spacing w:before="100" w:beforeAutospacing="1" w:after="100" w:afterAutospacing="1" w:line="360" w:lineRule="auto"/>
        <w:jc w:val="both"/>
        <w:outlineLvl w:val="2"/>
        <w:rPr>
          <w:b/>
          <w:bCs/>
        </w:rPr>
      </w:pPr>
      <w:r w:rsidRPr="00C556CB">
        <w:rPr>
          <w:b/>
          <w:bCs/>
        </w:rPr>
        <w:t>Research Objectives</w:t>
      </w:r>
    </w:p>
    <w:p w:rsidR="0020411A" w:rsidRPr="00C556CB" w:rsidRDefault="0020411A" w:rsidP="00C556CB">
      <w:pPr>
        <w:numPr>
          <w:ilvl w:val="0"/>
          <w:numId w:val="3"/>
        </w:numPr>
        <w:spacing w:before="100" w:beforeAutospacing="1" w:after="100" w:afterAutospacing="1" w:line="360" w:lineRule="auto"/>
        <w:jc w:val="both"/>
      </w:pPr>
      <w:r w:rsidRPr="00C556CB">
        <w:t>To critically define the concept of ‘quality of life’ within the context of older adult care provision.</w:t>
      </w:r>
    </w:p>
    <w:p w:rsidR="0020411A" w:rsidRPr="00C556CB" w:rsidRDefault="0020411A" w:rsidP="00C556CB">
      <w:pPr>
        <w:numPr>
          <w:ilvl w:val="0"/>
          <w:numId w:val="3"/>
        </w:numPr>
        <w:spacing w:before="100" w:beforeAutospacing="1" w:after="100" w:afterAutospacing="1" w:line="360" w:lineRule="auto"/>
        <w:jc w:val="both"/>
      </w:pPr>
      <w:r w:rsidRPr="00C556CB">
        <w:t>To explore the lived experiences of older adults receiving care in residential and home settings.</w:t>
      </w:r>
    </w:p>
    <w:p w:rsidR="0020411A" w:rsidRPr="00C556CB" w:rsidRDefault="0020411A" w:rsidP="00C556CB">
      <w:pPr>
        <w:numPr>
          <w:ilvl w:val="0"/>
          <w:numId w:val="3"/>
        </w:numPr>
        <w:spacing w:before="100" w:beforeAutospacing="1" w:after="100" w:afterAutospacing="1" w:line="360" w:lineRule="auto"/>
        <w:jc w:val="both"/>
      </w:pPr>
      <w:r w:rsidRPr="00C556CB">
        <w:t>To identify and evaluate the social, emotional, environmental, and healthcare-related factors affecting quality of life in each model.</w:t>
      </w:r>
    </w:p>
    <w:p w:rsidR="0020411A" w:rsidRPr="00C556CB" w:rsidRDefault="0020411A" w:rsidP="00C556CB">
      <w:pPr>
        <w:numPr>
          <w:ilvl w:val="0"/>
          <w:numId w:val="3"/>
        </w:numPr>
        <w:spacing w:before="100" w:beforeAutospacing="1" w:after="100" w:afterAutospacing="1" w:line="360" w:lineRule="auto"/>
        <w:jc w:val="both"/>
      </w:pPr>
      <w:r w:rsidRPr="00C556CB">
        <w:t>To synthesise findings from UK-based research to develop recommendations aimed at improving quality of life across both care settings.</w:t>
      </w:r>
    </w:p>
    <w:p w:rsidR="0020411A" w:rsidRPr="00C556CB" w:rsidRDefault="0020411A" w:rsidP="00C556CB">
      <w:pPr>
        <w:spacing w:before="100" w:beforeAutospacing="1" w:after="100" w:afterAutospacing="1" w:line="360" w:lineRule="auto"/>
        <w:jc w:val="both"/>
      </w:pPr>
      <w:r w:rsidRPr="00C556CB">
        <w:t>These objectives will be addressed through a qualitative thematic literature review, with findings presented in later chapters.</w:t>
      </w:r>
    </w:p>
    <w:p w:rsidR="0020411A" w:rsidRPr="00C556CB" w:rsidRDefault="0020411A" w:rsidP="00C556CB">
      <w:pPr>
        <w:spacing w:before="100" w:beforeAutospacing="1" w:after="100" w:afterAutospacing="1" w:line="360" w:lineRule="auto"/>
        <w:jc w:val="both"/>
        <w:outlineLvl w:val="1"/>
        <w:rPr>
          <w:b/>
          <w:bCs/>
        </w:rPr>
      </w:pPr>
      <w:r w:rsidRPr="00C556CB">
        <w:rPr>
          <w:b/>
          <w:bCs/>
        </w:rPr>
        <w:t>1.5 Conclusion</w:t>
      </w:r>
    </w:p>
    <w:p w:rsidR="0020411A" w:rsidRPr="00C556CB" w:rsidRDefault="0020411A" w:rsidP="00C556CB">
      <w:pPr>
        <w:spacing w:before="100" w:beforeAutospacing="1" w:after="100" w:afterAutospacing="1" w:line="360" w:lineRule="auto"/>
        <w:jc w:val="both"/>
      </w:pPr>
      <w:r w:rsidRPr="00C556CB">
        <w:t>This chapter has introduced the key themes and structure of the dissertation. It provided a contextual overview of the topic, defined core terminology, explained the relevance and necessity of the study, and outlined the research aim and objectives. The comparison of quality of life in care homes versus home care is an essential inquiry in the context of an ageing UK population and evolving care strategies.</w:t>
      </w:r>
    </w:p>
    <w:p w:rsidR="0020411A" w:rsidRPr="00C556CB" w:rsidRDefault="0020411A" w:rsidP="00C556CB">
      <w:pPr>
        <w:spacing w:before="100" w:beforeAutospacing="1" w:after="100" w:afterAutospacing="1" w:line="360" w:lineRule="auto"/>
        <w:jc w:val="both"/>
      </w:pPr>
      <w:r w:rsidRPr="00C556CB">
        <w:t>The following chapter, Chapter 2: Background Information and Analysis, will explore the historical development of elder care services, the theoretical frameworks underpinning this study, and the international and UK-specific policy contexts that shape care delivery today.</w:t>
      </w:r>
    </w:p>
    <w:p w:rsidR="0020411A" w:rsidRPr="00C556CB" w:rsidRDefault="0020411A" w:rsidP="00FC0218">
      <w:pPr>
        <w:spacing w:before="100" w:beforeAutospacing="1" w:after="100" w:afterAutospacing="1" w:line="360" w:lineRule="auto"/>
        <w:jc w:val="center"/>
        <w:outlineLvl w:val="0"/>
        <w:rPr>
          <w:b/>
          <w:bCs/>
          <w:kern w:val="36"/>
        </w:rPr>
      </w:pPr>
      <w:r w:rsidRPr="00C556CB">
        <w:rPr>
          <w:b/>
          <w:bCs/>
          <w:kern w:val="36"/>
        </w:rPr>
        <w:lastRenderedPageBreak/>
        <w:t>CHAPTER 2: BACKGROUND INFORMATION AND ANALYSIS</w:t>
      </w:r>
    </w:p>
    <w:p w:rsidR="0020411A" w:rsidRPr="00C556CB" w:rsidRDefault="0020411A" w:rsidP="00C556CB">
      <w:pPr>
        <w:spacing w:before="100" w:beforeAutospacing="1" w:after="100" w:afterAutospacing="1" w:line="360" w:lineRule="auto"/>
        <w:jc w:val="both"/>
        <w:outlineLvl w:val="1"/>
        <w:rPr>
          <w:b/>
          <w:bCs/>
        </w:rPr>
      </w:pPr>
      <w:r w:rsidRPr="00C556CB">
        <w:rPr>
          <w:b/>
          <w:bCs/>
        </w:rPr>
        <w:t>2.1 Introduction</w:t>
      </w:r>
    </w:p>
    <w:p w:rsidR="0020411A" w:rsidRPr="00C556CB" w:rsidRDefault="0020411A" w:rsidP="00C556CB">
      <w:pPr>
        <w:spacing w:before="100" w:beforeAutospacing="1" w:after="100" w:afterAutospacing="1" w:line="360" w:lineRule="auto"/>
        <w:jc w:val="both"/>
      </w:pPr>
      <w:r w:rsidRPr="00C556CB">
        <w:t>The purpose of this chapter is to provide the broader context for the research by exploring the historical development, theoretical underpinnings, and geographical variations in care provision for older adults. It will outline how care homes and domiciliary (home-based) care have evolved both globally and nationally. This contextual foundation is essential to understand the key factors that influence older adults’ quality of life and supports the rationale for the dissertation’s comparative approach.</w:t>
      </w:r>
    </w:p>
    <w:p w:rsidR="0020411A" w:rsidRPr="00C556CB" w:rsidRDefault="0020411A" w:rsidP="00C556CB">
      <w:pPr>
        <w:spacing w:before="100" w:beforeAutospacing="1" w:after="100" w:afterAutospacing="1" w:line="360" w:lineRule="auto"/>
        <w:jc w:val="both"/>
        <w:outlineLvl w:val="1"/>
        <w:rPr>
          <w:b/>
          <w:bCs/>
        </w:rPr>
      </w:pPr>
      <w:r w:rsidRPr="00C556CB">
        <w:rPr>
          <w:b/>
          <w:bCs/>
        </w:rPr>
        <w:t>2.2 Historical Background</w:t>
      </w:r>
    </w:p>
    <w:p w:rsidR="0020411A" w:rsidRPr="00C556CB" w:rsidRDefault="0020411A" w:rsidP="00C556CB">
      <w:pPr>
        <w:spacing w:before="100" w:beforeAutospacing="1" w:after="100" w:afterAutospacing="1" w:line="360" w:lineRule="auto"/>
        <w:jc w:val="both"/>
      </w:pPr>
      <w:r w:rsidRPr="00C556CB">
        <w:t>The provision of care for older adults in the UK has undergone considerable transformation over the last century. In earlier decades, elder care was primarily the responsibility of families, supported by local parishes and informal community networks. However, industrialisation, urbanisation, and the rise of the nuclear family reduced the feasibility of traditional caregiving arrangements (Means &amp; Smith, 2018).</w:t>
      </w:r>
    </w:p>
    <w:p w:rsidR="0020411A" w:rsidRPr="00C556CB" w:rsidRDefault="0020411A" w:rsidP="00C556CB">
      <w:pPr>
        <w:spacing w:before="100" w:beforeAutospacing="1" w:after="100" w:afterAutospacing="1" w:line="360" w:lineRule="auto"/>
        <w:jc w:val="both"/>
      </w:pPr>
      <w:r w:rsidRPr="00C556CB">
        <w:t>In 1948, the introduction of the National Assistance Act formally established the state’s role in supporting vulnerable older adults through residential care homes. These facilities provided shelter and medical support for those unable to live independently. Over time, criticisms emerged that care homes were overly institutionalised, reducing autonomy and personal dignity (Johnson et al., 2019).</w:t>
      </w:r>
    </w:p>
    <w:p w:rsidR="0020411A" w:rsidRPr="00C556CB" w:rsidRDefault="0020411A" w:rsidP="00C556CB">
      <w:pPr>
        <w:spacing w:before="100" w:beforeAutospacing="1" w:after="100" w:afterAutospacing="1" w:line="360" w:lineRule="auto"/>
        <w:jc w:val="both"/>
      </w:pPr>
      <w:r w:rsidRPr="00C556CB">
        <w:t>By the 1980s and 1990s, the UK government began to promote "care in the community" models, leading to the growth of domiciliary care services. The Community Care Act 1990 was pivotal in encouraging local authorities to support care at home whenever possible.</w:t>
      </w:r>
    </w:p>
    <w:p w:rsidR="0020411A" w:rsidRPr="00C556CB" w:rsidRDefault="0020411A" w:rsidP="00C556CB">
      <w:pPr>
        <w:spacing w:before="100" w:beforeAutospacing="1" w:after="100" w:afterAutospacing="1" w:line="360" w:lineRule="auto"/>
        <w:jc w:val="both"/>
      </w:pPr>
      <w:r w:rsidRPr="00C556CB">
        <w:t>The Care Act 2014 then established a legal framework focused on wellbeing, personalisation, and independence, reinforcing the principle that individuals should be supported to live at home if that is their preference and if safe and feasible. Nonetheless, residential care remains essential for those with complex needs.</w:t>
      </w:r>
    </w:p>
    <w:p w:rsidR="0020411A" w:rsidRPr="00C556CB" w:rsidRDefault="0020411A" w:rsidP="00C556CB">
      <w:pPr>
        <w:spacing w:before="100" w:beforeAutospacing="1" w:after="100" w:afterAutospacing="1" w:line="360" w:lineRule="auto"/>
        <w:jc w:val="both"/>
      </w:pPr>
      <w:r w:rsidRPr="00C556CB">
        <w:lastRenderedPageBreak/>
        <w:t>Charities such as Age UK and oversight bodies like the Care Quality Commission (CQC) have played major roles in monitoring service quality and advocating for rights and dignity in both settings.</w:t>
      </w:r>
    </w:p>
    <w:p w:rsidR="0020411A" w:rsidRPr="00C556CB" w:rsidRDefault="0020411A" w:rsidP="00C556CB">
      <w:pPr>
        <w:spacing w:before="100" w:beforeAutospacing="1" w:after="100" w:afterAutospacing="1" w:line="360" w:lineRule="auto"/>
        <w:jc w:val="both"/>
        <w:outlineLvl w:val="1"/>
        <w:rPr>
          <w:b/>
          <w:bCs/>
        </w:rPr>
      </w:pPr>
      <w:r w:rsidRPr="00C556CB">
        <w:rPr>
          <w:b/>
          <w:bCs/>
        </w:rPr>
        <w:t>2.3 Theoretical Background</w:t>
      </w:r>
    </w:p>
    <w:p w:rsidR="0020411A" w:rsidRPr="00C556CB" w:rsidRDefault="0020411A" w:rsidP="00C556CB">
      <w:pPr>
        <w:spacing w:before="100" w:beforeAutospacing="1" w:after="100" w:afterAutospacing="1" w:line="360" w:lineRule="auto"/>
        <w:jc w:val="both"/>
        <w:outlineLvl w:val="1"/>
        <w:rPr>
          <w:b/>
          <w:bCs/>
        </w:rPr>
      </w:pPr>
      <w:r w:rsidRPr="00C556CB">
        <w:rPr>
          <w:b/>
          <w:bCs/>
        </w:rPr>
        <w:t xml:space="preserve">Theoretical Background </w:t>
      </w:r>
    </w:p>
    <w:p w:rsidR="0020411A" w:rsidRPr="00C556CB" w:rsidRDefault="0020411A" w:rsidP="00C556CB">
      <w:pPr>
        <w:spacing w:before="100" w:beforeAutospacing="1" w:after="100" w:afterAutospacing="1" w:line="360" w:lineRule="auto"/>
        <w:jc w:val="both"/>
      </w:pPr>
      <w:r w:rsidRPr="00C556CB">
        <w:t>Understanding quality of life in care settings necessitates a theoretical foundation that accounts for human development, wellbeing, and autonomy in later life. Theoretical frameworks help interpret how different care environments either support or hinder older adults' holistic needs. This section focuses on two central theories underpinning this dissertation: Maslow’s Hierarchy of Needs and Kitwood’s Person-Centred Care Theory. These models are relevant in both residential and domiciliary care contexts and help analyse the effectiveness of services in promoting emotional, psychological, and physical wellbeing.</w:t>
      </w:r>
    </w:p>
    <w:p w:rsidR="0020411A" w:rsidRPr="00C556CB" w:rsidRDefault="0020411A" w:rsidP="00C556CB">
      <w:pPr>
        <w:spacing w:before="100" w:beforeAutospacing="1" w:after="100" w:afterAutospacing="1" w:line="360" w:lineRule="auto"/>
        <w:jc w:val="both"/>
        <w:outlineLvl w:val="2"/>
        <w:rPr>
          <w:b/>
          <w:bCs/>
        </w:rPr>
      </w:pPr>
      <w:r w:rsidRPr="00C556CB">
        <w:rPr>
          <w:b/>
          <w:bCs/>
        </w:rPr>
        <w:t>Maslow’s Hierarchy of Needs</w:t>
      </w:r>
    </w:p>
    <w:p w:rsidR="0020411A" w:rsidRPr="00C556CB" w:rsidRDefault="0020411A" w:rsidP="00C556CB">
      <w:pPr>
        <w:spacing w:before="100" w:beforeAutospacing="1" w:after="100" w:afterAutospacing="1" w:line="360" w:lineRule="auto"/>
        <w:jc w:val="both"/>
      </w:pPr>
      <w:r w:rsidRPr="00C556CB">
        <w:t>First introduced by psychologist Abraham Maslow (1943), the Hierarchy of Needs is a motivational theory structured as a five-tier pyramid. From the bottom up, it comprises: physiological needs, safety, love/belonging, esteem, and self-actualisation. Maslow argued that individuals must satisfy lower-level needs before they can progress toward higher levels of psychological and emotional fulfillment.</w:t>
      </w:r>
    </w:p>
    <w:p w:rsidR="0020411A" w:rsidRPr="00C556CB" w:rsidRDefault="0020411A" w:rsidP="00C556CB">
      <w:pPr>
        <w:spacing w:before="100" w:beforeAutospacing="1" w:after="100" w:afterAutospacing="1" w:line="360" w:lineRule="auto"/>
        <w:jc w:val="both"/>
      </w:pPr>
    </w:p>
    <w:p w:rsidR="0020411A" w:rsidRPr="00C556CB" w:rsidRDefault="0020411A" w:rsidP="00C556CB">
      <w:pPr>
        <w:spacing w:before="100" w:beforeAutospacing="1" w:after="100" w:afterAutospacing="1" w:line="360" w:lineRule="auto"/>
        <w:jc w:val="both"/>
      </w:pPr>
      <w:r w:rsidRPr="00C556CB">
        <w:t>In the context of elder care:</w:t>
      </w:r>
    </w:p>
    <w:p w:rsidR="0020411A" w:rsidRPr="00C556CB" w:rsidRDefault="0020411A" w:rsidP="00C556CB">
      <w:pPr>
        <w:numPr>
          <w:ilvl w:val="0"/>
          <w:numId w:val="5"/>
        </w:numPr>
        <w:spacing w:before="100" w:beforeAutospacing="1" w:after="100" w:afterAutospacing="1" w:line="360" w:lineRule="auto"/>
        <w:jc w:val="both"/>
      </w:pPr>
      <w:r w:rsidRPr="00C556CB">
        <w:rPr>
          <w:b/>
          <w:bCs/>
        </w:rPr>
        <w:t>Physiological needs</w:t>
      </w:r>
      <w:r w:rsidRPr="00C556CB">
        <w:t xml:space="preserve"> include essentials such as food, sleep, hygiene, and medical attention.</w:t>
      </w:r>
    </w:p>
    <w:p w:rsidR="0020411A" w:rsidRPr="00C556CB" w:rsidRDefault="0020411A" w:rsidP="00C556CB">
      <w:pPr>
        <w:numPr>
          <w:ilvl w:val="0"/>
          <w:numId w:val="5"/>
        </w:numPr>
        <w:spacing w:before="100" w:beforeAutospacing="1" w:after="100" w:afterAutospacing="1" w:line="360" w:lineRule="auto"/>
        <w:jc w:val="both"/>
      </w:pPr>
      <w:r w:rsidRPr="00C556CB">
        <w:rPr>
          <w:b/>
          <w:bCs/>
        </w:rPr>
        <w:t>Safety needs</w:t>
      </w:r>
      <w:r w:rsidRPr="00C556CB">
        <w:t xml:space="preserve"> involve both physical security and health, as well as emotional safety and predictability in daily routines.</w:t>
      </w:r>
    </w:p>
    <w:p w:rsidR="0020411A" w:rsidRPr="00C556CB" w:rsidRDefault="0020411A" w:rsidP="00C556CB">
      <w:pPr>
        <w:numPr>
          <w:ilvl w:val="0"/>
          <w:numId w:val="5"/>
        </w:numPr>
        <w:spacing w:before="100" w:beforeAutospacing="1" w:after="100" w:afterAutospacing="1" w:line="360" w:lineRule="auto"/>
        <w:jc w:val="both"/>
      </w:pPr>
      <w:r w:rsidRPr="00C556CB">
        <w:rPr>
          <w:b/>
          <w:bCs/>
        </w:rPr>
        <w:t>Love and belonging</w:t>
      </w:r>
      <w:r w:rsidRPr="00C556CB">
        <w:t xml:space="preserve"> relate to meaningful social connections and the experience of companionship and care.</w:t>
      </w:r>
    </w:p>
    <w:p w:rsidR="0020411A" w:rsidRPr="00C556CB" w:rsidRDefault="0020411A" w:rsidP="00C556CB">
      <w:pPr>
        <w:numPr>
          <w:ilvl w:val="0"/>
          <w:numId w:val="5"/>
        </w:numPr>
        <w:spacing w:before="100" w:beforeAutospacing="1" w:after="100" w:afterAutospacing="1" w:line="360" w:lineRule="auto"/>
        <w:jc w:val="both"/>
      </w:pPr>
      <w:r w:rsidRPr="00C556CB">
        <w:rPr>
          <w:b/>
          <w:bCs/>
        </w:rPr>
        <w:t>Esteem needs</w:t>
      </w:r>
      <w:r w:rsidRPr="00C556CB">
        <w:t xml:space="preserve"> include self-respect, independence, and the feeling of being valued.</w:t>
      </w:r>
    </w:p>
    <w:p w:rsidR="0020411A" w:rsidRPr="00C556CB" w:rsidRDefault="0020411A" w:rsidP="00C556CB">
      <w:pPr>
        <w:numPr>
          <w:ilvl w:val="0"/>
          <w:numId w:val="5"/>
        </w:numPr>
        <w:spacing w:before="100" w:beforeAutospacing="1" w:after="100" w:afterAutospacing="1" w:line="360" w:lineRule="auto"/>
        <w:jc w:val="both"/>
      </w:pPr>
      <w:r w:rsidRPr="00C556CB">
        <w:rPr>
          <w:b/>
          <w:bCs/>
        </w:rPr>
        <w:lastRenderedPageBreak/>
        <w:t>Self-actualisation</w:t>
      </w:r>
      <w:r w:rsidRPr="00C556CB">
        <w:t xml:space="preserve"> reflects the ability to pursue personal growth, purpose, and self-expression, even in old age.</w:t>
      </w:r>
    </w:p>
    <w:p w:rsidR="0020411A" w:rsidRPr="00C556CB" w:rsidRDefault="0020411A" w:rsidP="00C556CB">
      <w:pPr>
        <w:spacing w:before="100" w:beforeAutospacing="1" w:after="100" w:afterAutospacing="1" w:line="360" w:lineRule="auto"/>
        <w:jc w:val="both"/>
        <w:rPr>
          <w:b/>
          <w:bCs/>
        </w:rPr>
      </w:pPr>
      <w:r w:rsidRPr="00C556CB">
        <w:rPr>
          <w:b/>
          <w:bCs/>
        </w:rPr>
        <w:t xml:space="preserve">Application in Residential Care: </w:t>
      </w:r>
      <w:r w:rsidRPr="00C556CB">
        <w:t>Residential care homes are designed to address basic needs efficiently, particularly physiological and safety needs, due to 24/7 supervision, access to medication, structured meals, and professional staff. However, research shows that higher-level needs, such as autonomy, individual identity, and social belonging, are often compromised due to rigid schedules, limited personal choice, and institutionalisation (Woolford et al., 2020). For example, standardised routines may prevent residents from making simple decisions like choosing their meal time or clothing, leading to a sense of loss of control and identity.</w:t>
      </w:r>
    </w:p>
    <w:p w:rsidR="0020411A" w:rsidRPr="00C556CB" w:rsidRDefault="0020411A" w:rsidP="00C556CB">
      <w:pPr>
        <w:spacing w:before="100" w:beforeAutospacing="1" w:after="100" w:afterAutospacing="1" w:line="360" w:lineRule="auto"/>
        <w:jc w:val="both"/>
        <w:rPr>
          <w:b/>
          <w:bCs/>
        </w:rPr>
      </w:pPr>
      <w:r w:rsidRPr="00C556CB">
        <w:rPr>
          <w:b/>
          <w:bCs/>
        </w:rPr>
        <w:t xml:space="preserve">Application in Domiciliary (Home) Care: </w:t>
      </w:r>
      <w:r w:rsidRPr="00C556CB">
        <w:t xml:space="preserve">Home care enables older adults to remain in familiar environments, often preserving routines, personal possessions, and neighbourhood ties. This supports </w:t>
      </w:r>
      <w:r w:rsidRPr="00C556CB">
        <w:rPr>
          <w:b/>
          <w:bCs/>
        </w:rPr>
        <w:t>esteem</w:t>
      </w:r>
      <w:r w:rsidRPr="00C556CB">
        <w:t xml:space="preserve"> and </w:t>
      </w:r>
      <w:r w:rsidRPr="00C556CB">
        <w:rPr>
          <w:b/>
          <w:bCs/>
        </w:rPr>
        <w:t>belonging</w:t>
      </w:r>
      <w:r w:rsidRPr="00C556CB">
        <w:t xml:space="preserve">, which are critical for psychological wellbeing. The ability to maintain a pet, garden, or sleep in one’s own bed often contributes positively to a person’s sense of purpose and emotional stability (Glendinning et al., 2021). However, </w:t>
      </w:r>
      <w:r w:rsidRPr="00C556CB">
        <w:rPr>
          <w:b/>
          <w:bCs/>
        </w:rPr>
        <w:t>safety and medical needs</w:t>
      </w:r>
      <w:r w:rsidRPr="00C556CB">
        <w:t xml:space="preserve"> may be inconsistently met due to irregular visits, staff shortages, or lack of specialist equipment in the home.</w:t>
      </w:r>
    </w:p>
    <w:p w:rsidR="0020411A" w:rsidRPr="00C556CB" w:rsidRDefault="0020411A" w:rsidP="00C556CB">
      <w:pPr>
        <w:spacing w:before="100" w:beforeAutospacing="1" w:after="100" w:afterAutospacing="1" w:line="360" w:lineRule="auto"/>
        <w:jc w:val="both"/>
      </w:pPr>
      <w:r w:rsidRPr="00C556CB">
        <w:rPr>
          <w:b/>
          <w:bCs/>
        </w:rPr>
        <w:t>Criticisms of Maslow’s Theory:</w:t>
      </w:r>
      <w:r w:rsidRPr="00C556CB">
        <w:t xml:space="preserve"> Although Maslow’s model provides a useful framework for categorising needs, it has been criticised for its cultural bias and lack of flexibility. Critics argue that the hierarchical structure assumes a universal path of development, which may not apply to older adults or those in declining health (Neher, 1991). In later life, individuals often re-prioritise needs, placing greater importance on relationships, spirituality, and legacy, rather than traditional markers of self-actualisation. Maslow’s model also pays limited attention to contextual factors such as socio-economic inequality, gender, ethnicity, and historical trauma—all of which can influence how needs are perceived and met in old age.</w:t>
      </w:r>
    </w:p>
    <w:p w:rsidR="0020411A" w:rsidRPr="00C556CB" w:rsidRDefault="0020411A" w:rsidP="00C556CB">
      <w:pPr>
        <w:spacing w:before="100" w:beforeAutospacing="1" w:after="100" w:afterAutospacing="1" w:line="360" w:lineRule="auto"/>
        <w:jc w:val="both"/>
      </w:pPr>
      <w:r w:rsidRPr="00C556CB">
        <w:t>Despite these limitations, Maslow’s theory offers a valuable lens to evaluate whether care models meet a full range of human needs or merely the most basic ones.</w:t>
      </w:r>
    </w:p>
    <w:p w:rsidR="0020411A" w:rsidRPr="00C556CB" w:rsidRDefault="0020411A" w:rsidP="00C556CB">
      <w:pPr>
        <w:spacing w:line="360" w:lineRule="auto"/>
        <w:jc w:val="both"/>
      </w:pPr>
    </w:p>
    <w:p w:rsidR="0020411A" w:rsidRPr="00C556CB" w:rsidRDefault="0020411A" w:rsidP="00C556CB">
      <w:pPr>
        <w:spacing w:before="100" w:beforeAutospacing="1" w:after="100" w:afterAutospacing="1" w:line="360" w:lineRule="auto"/>
        <w:jc w:val="both"/>
        <w:outlineLvl w:val="2"/>
        <w:rPr>
          <w:b/>
          <w:bCs/>
        </w:rPr>
      </w:pPr>
      <w:r w:rsidRPr="00C556CB">
        <w:rPr>
          <w:b/>
          <w:bCs/>
        </w:rPr>
        <w:t>Kitwood’s Person-Centred Care Theory</w:t>
      </w:r>
    </w:p>
    <w:p w:rsidR="0020411A" w:rsidRPr="00C556CB" w:rsidRDefault="0020411A" w:rsidP="00C556CB">
      <w:pPr>
        <w:spacing w:before="100" w:beforeAutospacing="1" w:after="100" w:afterAutospacing="1" w:line="360" w:lineRule="auto"/>
        <w:jc w:val="both"/>
      </w:pPr>
      <w:r w:rsidRPr="00C556CB">
        <w:lastRenderedPageBreak/>
        <w:t>Tom Kitwood (1997) introduced the concept of person-centred care in the context of dementia support, but his principles have been widely adopted in broader elder care. Kitwood challenged the traditional medical model, which viewed older people—especially those with cognitive decline—mainly in terms of their deficits or disease. Instead, he proposed that personhood is central to care quality and that all individuals deserve to be recognised, valued, and engaged with as unique human beings.</w:t>
      </w:r>
    </w:p>
    <w:p w:rsidR="0020411A" w:rsidRPr="00C556CB" w:rsidRDefault="0020411A" w:rsidP="00C556CB">
      <w:pPr>
        <w:spacing w:before="100" w:beforeAutospacing="1" w:after="100" w:afterAutospacing="1" w:line="360" w:lineRule="auto"/>
        <w:jc w:val="both"/>
      </w:pPr>
      <w:r w:rsidRPr="00C556CB">
        <w:rPr>
          <w:b/>
          <w:bCs/>
        </w:rPr>
        <w:t>Core Principles of Person-Centred Care:</w:t>
      </w:r>
    </w:p>
    <w:p w:rsidR="0020411A" w:rsidRPr="00C556CB" w:rsidRDefault="0020411A" w:rsidP="00C556CB">
      <w:pPr>
        <w:numPr>
          <w:ilvl w:val="0"/>
          <w:numId w:val="6"/>
        </w:numPr>
        <w:spacing w:before="100" w:beforeAutospacing="1" w:after="100" w:afterAutospacing="1" w:line="360" w:lineRule="auto"/>
        <w:jc w:val="both"/>
      </w:pPr>
      <w:r w:rsidRPr="00C556CB">
        <w:t>Valuing individuals regardless of cognitive or physical limitations.</w:t>
      </w:r>
    </w:p>
    <w:p w:rsidR="0020411A" w:rsidRPr="00C556CB" w:rsidRDefault="0020411A" w:rsidP="00C556CB">
      <w:pPr>
        <w:numPr>
          <w:ilvl w:val="0"/>
          <w:numId w:val="6"/>
        </w:numPr>
        <w:spacing w:before="100" w:beforeAutospacing="1" w:after="100" w:afterAutospacing="1" w:line="360" w:lineRule="auto"/>
        <w:jc w:val="both"/>
      </w:pPr>
      <w:r w:rsidRPr="00C556CB">
        <w:t>Understanding their life history, identity, preferences, and emotional needs.</w:t>
      </w:r>
    </w:p>
    <w:p w:rsidR="0020411A" w:rsidRPr="00C556CB" w:rsidRDefault="0020411A" w:rsidP="00C556CB">
      <w:pPr>
        <w:numPr>
          <w:ilvl w:val="0"/>
          <w:numId w:val="6"/>
        </w:numPr>
        <w:spacing w:before="100" w:beforeAutospacing="1" w:after="100" w:afterAutospacing="1" w:line="360" w:lineRule="auto"/>
        <w:jc w:val="both"/>
      </w:pPr>
      <w:r w:rsidRPr="00C556CB">
        <w:t>Promoting relationships, social inclusion, and empathy.</w:t>
      </w:r>
    </w:p>
    <w:p w:rsidR="0020411A" w:rsidRPr="00C556CB" w:rsidRDefault="0020411A" w:rsidP="00C556CB">
      <w:pPr>
        <w:numPr>
          <w:ilvl w:val="0"/>
          <w:numId w:val="6"/>
        </w:numPr>
        <w:spacing w:before="100" w:beforeAutospacing="1" w:after="100" w:afterAutospacing="1" w:line="360" w:lineRule="auto"/>
        <w:jc w:val="both"/>
      </w:pPr>
      <w:r w:rsidRPr="00C556CB">
        <w:t>Treating the care experience as a collaborative partnership rather than a top-down service delivery.</w:t>
      </w:r>
    </w:p>
    <w:p w:rsidR="0020411A" w:rsidRPr="00C556CB" w:rsidRDefault="0020411A" w:rsidP="00C556CB">
      <w:pPr>
        <w:spacing w:before="100" w:beforeAutospacing="1" w:after="100" w:afterAutospacing="1" w:line="360" w:lineRule="auto"/>
        <w:jc w:val="both"/>
        <w:rPr>
          <w:b/>
          <w:bCs/>
        </w:rPr>
      </w:pPr>
      <w:r w:rsidRPr="00C556CB">
        <w:rPr>
          <w:b/>
          <w:bCs/>
        </w:rPr>
        <w:t xml:space="preserve">Application in Residential Care: </w:t>
      </w:r>
      <w:r w:rsidRPr="00C556CB">
        <w:t>When implemented well, person-centred care in residential homes can transform the environment from institutional to relational. For instance, staff trained in Kitwood’s principles often encourage residents to participate in daily decisions, personalise their living spaces, and maintain hobbies. Care becomes a shared process based on trust and respect. However, person-centred approaches can be undermined by systemic pressures such as staff shortages, time constraints, and underfunding (NICE, 2022). In such settings, task-based routines often take precedence over meaningful interactions.</w:t>
      </w:r>
    </w:p>
    <w:p w:rsidR="0020411A" w:rsidRPr="00C556CB" w:rsidRDefault="0020411A" w:rsidP="00C556CB">
      <w:pPr>
        <w:spacing w:before="100" w:beforeAutospacing="1" w:after="100" w:afterAutospacing="1" w:line="360" w:lineRule="auto"/>
        <w:jc w:val="both"/>
        <w:rPr>
          <w:b/>
          <w:bCs/>
        </w:rPr>
      </w:pPr>
      <w:r w:rsidRPr="00C556CB">
        <w:rPr>
          <w:b/>
          <w:bCs/>
        </w:rPr>
        <w:t xml:space="preserve">Application in Domiciliary Care: </w:t>
      </w:r>
      <w:r w:rsidRPr="00C556CB">
        <w:t>In home care settings, person-centred care may be more naturally aligned due to the individual's control over their physical space and daily routines. Caregivers often build one-to-one relationships over time, allowing for consistent, personalised support. However, issues arise when services are commissioned in short time blocks, leading to rushed visits and fragmented support (CQC, 2023). Moreover, continuity of care can be compromised by high staff turnover in home care agencies, affecting relationship-building and consistency.</w:t>
      </w:r>
    </w:p>
    <w:p w:rsidR="0020411A" w:rsidRPr="00C556CB" w:rsidRDefault="0020411A" w:rsidP="00C556CB">
      <w:pPr>
        <w:spacing w:before="100" w:beforeAutospacing="1" w:after="100" w:afterAutospacing="1" w:line="360" w:lineRule="auto"/>
        <w:jc w:val="both"/>
        <w:rPr>
          <w:b/>
          <w:bCs/>
        </w:rPr>
      </w:pPr>
      <w:r w:rsidRPr="00C556CB">
        <w:rPr>
          <w:b/>
          <w:bCs/>
        </w:rPr>
        <w:t xml:space="preserve">Broader Impact: </w:t>
      </w:r>
      <w:r w:rsidRPr="00C556CB">
        <w:t xml:space="preserve">Kitwood’s theory has led to widespread changes in policy and practice across the UK. It has influenced the NICE Quality Standards for Adult Social Care, which </w:t>
      </w:r>
      <w:r w:rsidRPr="00C556CB">
        <w:lastRenderedPageBreak/>
        <w:t>explicitly endorse person-centred principles as best practice. It also underpins modern assessments of care quality by regulators like the Care Quality Commission, which now examine whether services promote dignity, autonomy, and respect.</w:t>
      </w:r>
    </w:p>
    <w:p w:rsidR="0020411A" w:rsidRPr="00C556CB" w:rsidRDefault="0020411A" w:rsidP="00C556CB">
      <w:pPr>
        <w:spacing w:before="100" w:beforeAutospacing="1" w:after="100" w:afterAutospacing="1" w:line="360" w:lineRule="auto"/>
        <w:jc w:val="both"/>
        <w:rPr>
          <w:b/>
          <w:bCs/>
        </w:rPr>
      </w:pPr>
      <w:r w:rsidRPr="00C556CB">
        <w:rPr>
          <w:b/>
          <w:bCs/>
        </w:rPr>
        <w:t xml:space="preserve">Critique of Kitwood’s Theory: </w:t>
      </w:r>
      <w:r w:rsidRPr="00C556CB">
        <w:t>While person-centred care is widely celebrated, some critics argue that the concept is often misused or oversimplified in policy documents. Its implementation requires structural support—such as adequate funding, appropriate staffing levels, and training—that is not always present. Without these, person-centred care risks becoming rhetorical rather than real.</w:t>
      </w:r>
    </w:p>
    <w:p w:rsidR="0020411A" w:rsidRPr="00C556CB" w:rsidRDefault="0020411A" w:rsidP="00C556CB">
      <w:pPr>
        <w:spacing w:line="360" w:lineRule="auto"/>
        <w:jc w:val="both"/>
      </w:pPr>
    </w:p>
    <w:p w:rsidR="00504CF8" w:rsidRPr="00C556CB" w:rsidRDefault="00504CF8" w:rsidP="00C556CB">
      <w:pPr>
        <w:spacing w:before="100" w:beforeAutospacing="1" w:after="100" w:afterAutospacing="1" w:line="360" w:lineRule="auto"/>
        <w:jc w:val="both"/>
        <w:outlineLvl w:val="2"/>
        <w:rPr>
          <w:b/>
          <w:bCs/>
        </w:rPr>
      </w:pPr>
    </w:p>
    <w:p w:rsidR="0020411A" w:rsidRPr="00C556CB" w:rsidRDefault="0020411A" w:rsidP="00C556CB">
      <w:pPr>
        <w:spacing w:before="100" w:beforeAutospacing="1" w:after="100" w:afterAutospacing="1" w:line="360" w:lineRule="auto"/>
        <w:jc w:val="both"/>
        <w:outlineLvl w:val="2"/>
        <w:rPr>
          <w:b/>
          <w:bCs/>
        </w:rPr>
      </w:pPr>
      <w:r w:rsidRPr="00C556CB">
        <w:rPr>
          <w:b/>
          <w:bCs/>
        </w:rPr>
        <w:t>Integration of Theories into This Study</w:t>
      </w:r>
    </w:p>
    <w:p w:rsidR="0020411A" w:rsidRPr="00C556CB" w:rsidRDefault="0020411A" w:rsidP="00C556CB">
      <w:pPr>
        <w:spacing w:before="100" w:beforeAutospacing="1" w:after="100" w:afterAutospacing="1" w:line="360" w:lineRule="auto"/>
        <w:jc w:val="both"/>
      </w:pPr>
      <w:r w:rsidRPr="00C556CB">
        <w:t>Both Maslow’s and Kitwood’s frameworks are instrumental in assessing the quality of life among older adults in care settings:</w:t>
      </w:r>
    </w:p>
    <w:p w:rsidR="0020411A" w:rsidRPr="00C556CB" w:rsidRDefault="0020411A" w:rsidP="00C556CB">
      <w:pPr>
        <w:numPr>
          <w:ilvl w:val="0"/>
          <w:numId w:val="7"/>
        </w:numPr>
        <w:spacing w:before="100" w:beforeAutospacing="1" w:after="100" w:afterAutospacing="1" w:line="360" w:lineRule="auto"/>
        <w:jc w:val="both"/>
      </w:pPr>
      <w:r w:rsidRPr="00C556CB">
        <w:t>Maslow provides a hierarchical view of needs that allows assessment of whether physical, emotional, and social needs are being met in each care model.</w:t>
      </w:r>
    </w:p>
    <w:p w:rsidR="0020411A" w:rsidRPr="00C556CB" w:rsidRDefault="0020411A" w:rsidP="00C556CB">
      <w:pPr>
        <w:numPr>
          <w:ilvl w:val="0"/>
          <w:numId w:val="7"/>
        </w:numPr>
        <w:spacing w:before="100" w:beforeAutospacing="1" w:after="100" w:afterAutospacing="1" w:line="360" w:lineRule="auto"/>
        <w:jc w:val="both"/>
      </w:pPr>
      <w:r w:rsidRPr="00C556CB">
        <w:t>Kitwood introduces a values-based framework, focused on identity, autonomy, and relationships, helping to assess whether care settings treat older adults as individuals with agency and dignity.</w:t>
      </w:r>
    </w:p>
    <w:p w:rsidR="0020411A" w:rsidRPr="00C556CB" w:rsidRDefault="0020411A" w:rsidP="00C556CB">
      <w:pPr>
        <w:spacing w:before="100" w:beforeAutospacing="1" w:after="100" w:afterAutospacing="1" w:line="360" w:lineRule="auto"/>
        <w:jc w:val="both"/>
      </w:pPr>
      <w:r w:rsidRPr="00C556CB">
        <w:t>By integrating both theories, this dissertation develops a comprehensive framework for analysing care quality—not just in clinical or functional terms, but also in emotional, relational, and existential dimensions. This will guide the thematic analysis in later chapters.</w:t>
      </w:r>
    </w:p>
    <w:p w:rsidR="0020411A" w:rsidRPr="00C556CB" w:rsidRDefault="0020411A" w:rsidP="00C556CB">
      <w:pPr>
        <w:spacing w:before="100" w:beforeAutospacing="1" w:after="100" w:afterAutospacing="1" w:line="360" w:lineRule="auto"/>
        <w:jc w:val="both"/>
        <w:outlineLvl w:val="1"/>
        <w:rPr>
          <w:b/>
          <w:bCs/>
        </w:rPr>
      </w:pPr>
      <w:r w:rsidRPr="00C556CB">
        <w:rPr>
          <w:b/>
          <w:bCs/>
        </w:rPr>
        <w:t>2.4 International Context</w:t>
      </w:r>
    </w:p>
    <w:p w:rsidR="0020411A" w:rsidRPr="00C556CB" w:rsidRDefault="0020411A" w:rsidP="00C556CB">
      <w:pPr>
        <w:spacing w:before="100" w:beforeAutospacing="1" w:after="100" w:afterAutospacing="1" w:line="360" w:lineRule="auto"/>
        <w:jc w:val="both"/>
      </w:pPr>
      <w:r w:rsidRPr="00C556CB">
        <w:t>Globally, different nations have adopted varied approaches to elder care, influenced by cultural norms, funding mechanisms, and healthcare infrastructure.</w:t>
      </w:r>
    </w:p>
    <w:p w:rsidR="0020411A" w:rsidRPr="00C556CB" w:rsidRDefault="0020411A" w:rsidP="00C556CB">
      <w:pPr>
        <w:spacing w:before="100" w:beforeAutospacing="1" w:after="100" w:afterAutospacing="1" w:line="360" w:lineRule="auto"/>
        <w:jc w:val="both"/>
        <w:outlineLvl w:val="2"/>
        <w:rPr>
          <w:b/>
          <w:bCs/>
        </w:rPr>
      </w:pPr>
      <w:r w:rsidRPr="00C556CB">
        <w:rPr>
          <w:b/>
          <w:bCs/>
        </w:rPr>
        <w:t>Nordic Countries (e.g. Sweden, Denmark)</w:t>
      </w:r>
    </w:p>
    <w:p w:rsidR="0020411A" w:rsidRPr="00C556CB" w:rsidRDefault="0020411A" w:rsidP="00C556CB">
      <w:pPr>
        <w:spacing w:before="100" w:beforeAutospacing="1" w:after="100" w:afterAutospacing="1" w:line="360" w:lineRule="auto"/>
        <w:jc w:val="both"/>
      </w:pPr>
      <w:r w:rsidRPr="00C556CB">
        <w:lastRenderedPageBreak/>
        <w:t>These nations prioritise publicly funded home care and operate on strong principles of autonomy and social equity. For example, Sweden’s elder care system integrates housing, health, and social care services under local authorities, leading to seamless support and high levels of satisfaction (Szebehely &amp; Meagher, 2018).</w:t>
      </w:r>
    </w:p>
    <w:p w:rsidR="0020411A" w:rsidRPr="00C556CB" w:rsidRDefault="0020411A" w:rsidP="00C556CB">
      <w:pPr>
        <w:spacing w:before="100" w:beforeAutospacing="1" w:after="100" w:afterAutospacing="1" w:line="360" w:lineRule="auto"/>
        <w:jc w:val="both"/>
        <w:outlineLvl w:val="2"/>
        <w:rPr>
          <w:b/>
          <w:bCs/>
        </w:rPr>
      </w:pPr>
      <w:r w:rsidRPr="00C556CB">
        <w:rPr>
          <w:b/>
          <w:bCs/>
        </w:rPr>
        <w:t>United States</w:t>
      </w:r>
    </w:p>
    <w:p w:rsidR="0020411A" w:rsidRPr="00C556CB" w:rsidRDefault="0020411A" w:rsidP="00C556CB">
      <w:pPr>
        <w:spacing w:before="100" w:beforeAutospacing="1" w:after="100" w:afterAutospacing="1" w:line="360" w:lineRule="auto"/>
        <w:jc w:val="both"/>
      </w:pPr>
      <w:r w:rsidRPr="00C556CB">
        <w:t>In contrast, the US relies more heavily on privately funded residential care, resulting in considerable disparities in quality and access based on income and insurance coverage. While home care is growing, it often lacks consistency and regulation (Stone, 2019).</w:t>
      </w:r>
    </w:p>
    <w:p w:rsidR="00504CF8" w:rsidRPr="00C556CB" w:rsidRDefault="00504CF8" w:rsidP="00C556CB">
      <w:pPr>
        <w:spacing w:before="100" w:beforeAutospacing="1" w:after="100" w:afterAutospacing="1" w:line="360" w:lineRule="auto"/>
        <w:jc w:val="both"/>
        <w:outlineLvl w:val="2"/>
        <w:rPr>
          <w:b/>
          <w:bCs/>
        </w:rPr>
      </w:pPr>
    </w:p>
    <w:p w:rsidR="00504CF8" w:rsidRPr="00C556CB" w:rsidRDefault="00504CF8" w:rsidP="00C556CB">
      <w:pPr>
        <w:spacing w:before="100" w:beforeAutospacing="1" w:after="100" w:afterAutospacing="1" w:line="360" w:lineRule="auto"/>
        <w:jc w:val="both"/>
        <w:outlineLvl w:val="2"/>
        <w:rPr>
          <w:b/>
          <w:bCs/>
        </w:rPr>
      </w:pPr>
    </w:p>
    <w:p w:rsidR="0020411A" w:rsidRPr="00C556CB" w:rsidRDefault="0020411A" w:rsidP="00C556CB">
      <w:pPr>
        <w:spacing w:before="100" w:beforeAutospacing="1" w:after="100" w:afterAutospacing="1" w:line="360" w:lineRule="auto"/>
        <w:jc w:val="both"/>
        <w:outlineLvl w:val="2"/>
        <w:rPr>
          <w:b/>
          <w:bCs/>
        </w:rPr>
      </w:pPr>
      <w:r w:rsidRPr="00C556CB">
        <w:rPr>
          <w:b/>
          <w:bCs/>
        </w:rPr>
        <w:t>Japan</w:t>
      </w:r>
    </w:p>
    <w:p w:rsidR="0020411A" w:rsidRPr="00C556CB" w:rsidRDefault="0020411A" w:rsidP="00C556CB">
      <w:pPr>
        <w:spacing w:before="100" w:beforeAutospacing="1" w:after="100" w:afterAutospacing="1" w:line="360" w:lineRule="auto"/>
        <w:jc w:val="both"/>
      </w:pPr>
      <w:r w:rsidRPr="00C556CB">
        <w:t>As the world’s most aged society, Japan introduced the Community-Based Integrated Care System, which combines medical care, prevention, and daily support services, often delivered at home or in the community. Japan's model has been praised for its holistic and preventive approach (Kato, 2020).</w:t>
      </w:r>
    </w:p>
    <w:p w:rsidR="0020411A" w:rsidRPr="00C556CB" w:rsidRDefault="0020411A" w:rsidP="00C556CB">
      <w:pPr>
        <w:spacing w:before="100" w:beforeAutospacing="1" w:after="100" w:afterAutospacing="1" w:line="360" w:lineRule="auto"/>
        <w:jc w:val="both"/>
      </w:pPr>
      <w:r w:rsidRPr="00C556CB">
        <w:t>These international examples reveal the growing preference for home-based services, yet they also highlight the need for robust infrastructure, regulation, and funding to make such services viable and sustainable.</w:t>
      </w:r>
    </w:p>
    <w:p w:rsidR="0020411A" w:rsidRPr="00C556CB" w:rsidRDefault="0020411A" w:rsidP="00C556CB">
      <w:pPr>
        <w:spacing w:line="360" w:lineRule="auto"/>
        <w:jc w:val="both"/>
      </w:pPr>
    </w:p>
    <w:p w:rsidR="0020411A" w:rsidRPr="00C556CB" w:rsidRDefault="0020411A" w:rsidP="00C556CB">
      <w:pPr>
        <w:spacing w:before="100" w:beforeAutospacing="1" w:after="100" w:afterAutospacing="1" w:line="360" w:lineRule="auto"/>
        <w:jc w:val="both"/>
        <w:outlineLvl w:val="1"/>
        <w:rPr>
          <w:b/>
          <w:bCs/>
        </w:rPr>
      </w:pPr>
      <w:r w:rsidRPr="00C556CB">
        <w:rPr>
          <w:b/>
          <w:bCs/>
        </w:rPr>
        <w:t>2.5 National/Local UK Context</w:t>
      </w:r>
    </w:p>
    <w:p w:rsidR="0020411A" w:rsidRPr="00C556CB" w:rsidRDefault="0020411A" w:rsidP="00C556CB">
      <w:pPr>
        <w:spacing w:before="100" w:beforeAutospacing="1" w:after="100" w:afterAutospacing="1" w:line="360" w:lineRule="auto"/>
        <w:jc w:val="both"/>
      </w:pPr>
      <w:r w:rsidRPr="00C556CB">
        <w:t>In the UK, elder care is provided through a combination of public sector services, private providers, and voluntary organisations. The Care Act 2014 places a legal duty on local authorities to promote wellbeing and offer care that is both personalised and preventative.</w:t>
      </w:r>
    </w:p>
    <w:p w:rsidR="0020411A" w:rsidRPr="00C556CB" w:rsidRDefault="0020411A" w:rsidP="00C556CB">
      <w:pPr>
        <w:spacing w:before="100" w:beforeAutospacing="1" w:after="100" w:afterAutospacing="1" w:line="360" w:lineRule="auto"/>
        <w:jc w:val="both"/>
        <w:outlineLvl w:val="2"/>
        <w:rPr>
          <w:b/>
          <w:bCs/>
        </w:rPr>
      </w:pPr>
      <w:r w:rsidRPr="00C556CB">
        <w:rPr>
          <w:b/>
          <w:bCs/>
        </w:rPr>
        <w:t>Policy Trends</w:t>
      </w:r>
    </w:p>
    <w:p w:rsidR="0020411A" w:rsidRPr="00C556CB" w:rsidRDefault="0020411A" w:rsidP="00C556CB">
      <w:pPr>
        <w:spacing w:before="100" w:beforeAutospacing="1" w:after="100" w:afterAutospacing="1" w:line="360" w:lineRule="auto"/>
        <w:jc w:val="both"/>
      </w:pPr>
      <w:r w:rsidRPr="00C556CB">
        <w:lastRenderedPageBreak/>
        <w:t>Recent government policies emphasise "ageing in place", which refers to supporting older adults to remain in their own homes for as long as possible. This aligns with findings from NICE (2022), which show that most older adults prefer to stay in familiar environments. However, this model depends heavily on adequate staffing, training, and funding, which are often inconsistent across local authorities.</w:t>
      </w:r>
    </w:p>
    <w:p w:rsidR="0020411A" w:rsidRPr="00C556CB" w:rsidRDefault="0020411A" w:rsidP="00C556CB">
      <w:pPr>
        <w:spacing w:before="100" w:beforeAutospacing="1" w:after="100" w:afterAutospacing="1" w:line="360" w:lineRule="auto"/>
        <w:jc w:val="both"/>
        <w:outlineLvl w:val="2"/>
        <w:rPr>
          <w:b/>
          <w:bCs/>
        </w:rPr>
      </w:pPr>
      <w:r w:rsidRPr="00C556CB">
        <w:rPr>
          <w:b/>
          <w:bCs/>
        </w:rPr>
        <w:t>Quality Oversight</w:t>
      </w:r>
    </w:p>
    <w:p w:rsidR="0020411A" w:rsidRPr="00C556CB" w:rsidRDefault="0020411A" w:rsidP="00C556CB">
      <w:pPr>
        <w:spacing w:before="100" w:beforeAutospacing="1" w:after="100" w:afterAutospacing="1" w:line="360" w:lineRule="auto"/>
        <w:jc w:val="both"/>
      </w:pPr>
      <w:r w:rsidRPr="00C556CB">
        <w:t>The Care Quality Commission (CQC) monitors and rates care providers. Their 2023 report indicated wide variability in care quality, with both home and residential services having examples of excellence and failure (CQC, 2023).</w:t>
      </w:r>
    </w:p>
    <w:p w:rsidR="00504CF8" w:rsidRPr="00C556CB" w:rsidRDefault="00504CF8" w:rsidP="00C556CB">
      <w:pPr>
        <w:spacing w:before="100" w:beforeAutospacing="1" w:after="100" w:afterAutospacing="1" w:line="360" w:lineRule="auto"/>
        <w:jc w:val="both"/>
        <w:outlineLvl w:val="2"/>
        <w:rPr>
          <w:b/>
          <w:bCs/>
        </w:rPr>
      </w:pPr>
    </w:p>
    <w:p w:rsidR="00504CF8" w:rsidRPr="00C556CB" w:rsidRDefault="00504CF8" w:rsidP="00C556CB">
      <w:pPr>
        <w:spacing w:before="100" w:beforeAutospacing="1" w:after="100" w:afterAutospacing="1" w:line="360" w:lineRule="auto"/>
        <w:jc w:val="both"/>
        <w:outlineLvl w:val="2"/>
        <w:rPr>
          <w:b/>
          <w:bCs/>
        </w:rPr>
      </w:pPr>
    </w:p>
    <w:p w:rsidR="0020411A" w:rsidRPr="00C556CB" w:rsidRDefault="0020411A" w:rsidP="00C556CB">
      <w:pPr>
        <w:spacing w:before="100" w:beforeAutospacing="1" w:after="100" w:afterAutospacing="1" w:line="360" w:lineRule="auto"/>
        <w:jc w:val="both"/>
        <w:outlineLvl w:val="2"/>
        <w:rPr>
          <w:b/>
          <w:bCs/>
        </w:rPr>
      </w:pPr>
      <w:r w:rsidRPr="00C556CB">
        <w:rPr>
          <w:b/>
          <w:bCs/>
        </w:rPr>
        <w:t>Local Initiatives</w:t>
      </w:r>
    </w:p>
    <w:p w:rsidR="0020411A" w:rsidRPr="00C556CB" w:rsidRDefault="0020411A" w:rsidP="00C556CB">
      <w:pPr>
        <w:spacing w:before="100" w:beforeAutospacing="1" w:after="100" w:afterAutospacing="1" w:line="360" w:lineRule="auto"/>
        <w:jc w:val="both"/>
      </w:pPr>
      <w:r w:rsidRPr="00C556CB">
        <w:t>Some local authorities, such as those in Manchester and Birmingham, have piloted home reablement services short-term support packages designed to restore independence after hospital discharge. These initiatives have shown promise in reducing long-term dependency, yet challenges around workforce shortages and fragmented service delivery persist (Glendinning et al., 2021).</w:t>
      </w:r>
    </w:p>
    <w:p w:rsidR="0020411A" w:rsidRPr="00C556CB" w:rsidRDefault="0020411A" w:rsidP="00C556CB">
      <w:pPr>
        <w:spacing w:before="100" w:beforeAutospacing="1" w:after="100" w:afterAutospacing="1" w:line="360" w:lineRule="auto"/>
        <w:jc w:val="both"/>
      </w:pPr>
      <w:r w:rsidRPr="00C556CB">
        <w:t>Ultimately, while UK policy strongly supports person-centred and home-based care, limitations in practical delivery often constrain outcomes, particularly for vulnerable and isolated older adults.</w:t>
      </w:r>
    </w:p>
    <w:p w:rsidR="0020411A" w:rsidRPr="00C556CB" w:rsidRDefault="0020411A" w:rsidP="00C556CB">
      <w:pPr>
        <w:spacing w:line="360" w:lineRule="auto"/>
        <w:jc w:val="both"/>
      </w:pPr>
    </w:p>
    <w:p w:rsidR="0020411A" w:rsidRPr="00C556CB" w:rsidRDefault="0020411A" w:rsidP="00C556CB">
      <w:pPr>
        <w:spacing w:before="100" w:beforeAutospacing="1" w:after="100" w:afterAutospacing="1" w:line="360" w:lineRule="auto"/>
        <w:jc w:val="both"/>
        <w:outlineLvl w:val="1"/>
        <w:rPr>
          <w:b/>
          <w:bCs/>
        </w:rPr>
      </w:pPr>
      <w:r w:rsidRPr="00C556CB">
        <w:rPr>
          <w:b/>
          <w:bCs/>
        </w:rPr>
        <w:t>2.6 Conclusion</w:t>
      </w:r>
    </w:p>
    <w:p w:rsidR="0020411A" w:rsidRPr="00C556CB" w:rsidRDefault="0020411A" w:rsidP="00C556CB">
      <w:pPr>
        <w:spacing w:before="100" w:beforeAutospacing="1" w:after="100" w:afterAutospacing="1" w:line="360" w:lineRule="auto"/>
        <w:jc w:val="both"/>
      </w:pPr>
      <w:r w:rsidRPr="00C556CB">
        <w:t>This chapter has examined the background and context of elder care provision, including its historical development, theoretical underpinnings, international comparisons, and the current UK landscape. Globally, there is a trend toward integrated and home-based care models, while the UK has embraced similar policies, though delivery remains inconsistent.</w:t>
      </w:r>
    </w:p>
    <w:p w:rsidR="0020411A" w:rsidRPr="00C556CB" w:rsidRDefault="0020411A" w:rsidP="00C556CB">
      <w:pPr>
        <w:spacing w:before="100" w:beforeAutospacing="1" w:after="100" w:afterAutospacing="1" w:line="360" w:lineRule="auto"/>
        <w:jc w:val="both"/>
      </w:pPr>
      <w:r w:rsidRPr="00C556CB">
        <w:lastRenderedPageBreak/>
        <w:t>The theoretical models discussed Maslow’s hierarchy and Kitwood’s person-centred care will be essential in evaluating which care model most effectively supports older adults’ quality of life. The next chapter will explain the methodology used in this research, particularly how secondary literature was sourced, selected, and analysed to inform the thematic findings.</w:t>
      </w:r>
    </w:p>
    <w:p w:rsidR="002A489C" w:rsidRPr="00C556CB" w:rsidRDefault="002A489C" w:rsidP="00FC0218">
      <w:pPr>
        <w:pStyle w:val="Heading2"/>
        <w:spacing w:line="360" w:lineRule="auto"/>
        <w:jc w:val="center"/>
        <w:rPr>
          <w:sz w:val="24"/>
          <w:szCs w:val="24"/>
        </w:rPr>
      </w:pPr>
      <w:r w:rsidRPr="00C556CB">
        <w:rPr>
          <w:rStyle w:val="Strong"/>
          <w:b/>
          <w:bCs/>
          <w:sz w:val="24"/>
          <w:szCs w:val="24"/>
        </w:rPr>
        <w:t>CHAPTER 3: METHODS AND SEARCH STRATEGY</w:t>
      </w:r>
    </w:p>
    <w:p w:rsidR="00B87065" w:rsidRPr="00BE2F65" w:rsidRDefault="00B87065" w:rsidP="00C556CB">
      <w:pPr>
        <w:spacing w:before="100" w:beforeAutospacing="1" w:after="100" w:afterAutospacing="1" w:line="360" w:lineRule="auto"/>
        <w:jc w:val="both"/>
        <w:outlineLvl w:val="1"/>
        <w:rPr>
          <w:b/>
          <w:bCs/>
        </w:rPr>
      </w:pPr>
      <w:r w:rsidRPr="00BE2F65">
        <w:rPr>
          <w:b/>
          <w:bCs/>
        </w:rPr>
        <w:t>3.1 Introduction</w:t>
      </w:r>
    </w:p>
    <w:p w:rsidR="00B87065" w:rsidRPr="00C556CB" w:rsidRDefault="00B87065" w:rsidP="00C556CB">
      <w:pPr>
        <w:pStyle w:val="NormalWeb"/>
        <w:spacing w:line="360" w:lineRule="auto"/>
        <w:jc w:val="both"/>
      </w:pPr>
      <w:r w:rsidRPr="00C556CB">
        <w:t>The methodologyopic receding approach rooted in qualitative</w:t>
      </w:r>
      <w:r w:rsidRPr="00C556CB">
        <w:t> </w:t>
      </w:r>
      <w:r w:rsidRPr="00C556CB">
        <w:t>research is discussed in this chapter. This methodology was developed to measure quality of life in care homes for older people</w:t>
      </w:r>
      <w:r w:rsidRPr="00C556CB">
        <w:t> </w:t>
      </w:r>
      <w:r w:rsidRPr="00C556CB">
        <w:t>alongside that being delivered in their own home setting (USA) and our aim here also is to develop dimensions capable of drawing distinctions between these two forms of long-term care. Since primary data was not collected, the study engaged review and analysis of extant literatures, research work and document from credible academic and</w:t>
      </w:r>
      <w:r w:rsidRPr="00C556CB">
        <w:t> </w:t>
      </w:r>
      <w:r w:rsidRPr="00C556CB">
        <w:t>professional sources.</w:t>
      </w:r>
    </w:p>
    <w:p w:rsidR="00B87065" w:rsidRPr="00C556CB" w:rsidRDefault="00B87065" w:rsidP="00C556CB">
      <w:pPr>
        <w:pStyle w:val="NormalWeb"/>
        <w:spacing w:line="360" w:lineRule="auto"/>
        <w:jc w:val="both"/>
      </w:pPr>
      <w:r w:rsidRPr="00C556CB">
        <w:t>Each step of the research process is described, detailing the search strategy, databases searched, inclusion/exclusion criteria and application of validation</w:t>
      </w:r>
      <w:r w:rsidRPr="00C556CB">
        <w:t> </w:t>
      </w:r>
      <w:r w:rsidRPr="00C556CB">
        <w:t>tools to review trustworthiness of included materials. The chapter also describes how findings</w:t>
      </w:r>
      <w:r w:rsidRPr="00C556CB">
        <w:t> </w:t>
      </w:r>
      <w:r w:rsidRPr="00C556CB">
        <w:t>across studies were synthesised and interpreted through thematic analysis. Ethical issues related to secondary</w:t>
      </w:r>
      <w:r w:rsidRPr="00C556CB">
        <w:t> </w:t>
      </w:r>
      <w:r w:rsidRPr="00C556CB">
        <w:t>research are outlined in order to indicate transparency and academic honesty. It was on the basis of these methodological procedures, that some general thematic descriptions were offered</w:t>
      </w:r>
      <w:r w:rsidRPr="00C556CB">
        <w:t> </w:t>
      </w:r>
      <w:r w:rsidRPr="00C556CB">
        <w:t>in Chapter Four.</w:t>
      </w:r>
    </w:p>
    <w:p w:rsidR="00B87065" w:rsidRPr="00C556CB" w:rsidRDefault="00B87065" w:rsidP="00C556CB">
      <w:pPr>
        <w:pStyle w:val="NormalWeb"/>
        <w:spacing w:line="360" w:lineRule="auto"/>
        <w:jc w:val="both"/>
        <w:rPr>
          <w:b/>
          <w:bCs/>
        </w:rPr>
      </w:pPr>
      <w:r w:rsidRPr="00C556CB">
        <w:rPr>
          <w:b/>
          <w:bCs/>
        </w:rPr>
        <w:t>3.2 Search Strategy</w:t>
      </w:r>
    </w:p>
    <w:p w:rsidR="00B87065" w:rsidRPr="00C556CB" w:rsidRDefault="00B87065" w:rsidP="00C556CB">
      <w:pPr>
        <w:pStyle w:val="NormalWeb"/>
        <w:spacing w:line="360" w:lineRule="auto"/>
        <w:jc w:val="both"/>
      </w:pPr>
      <w:r w:rsidRPr="00C556CB">
        <w:t>We</w:t>
      </w:r>
      <w:r w:rsidRPr="00C556CB">
        <w:t> </w:t>
      </w:r>
      <w:r w:rsidRPr="00C556CB">
        <w:t>have devised a structured search strategy in order to ensure transparency, replicability and inclusion of all the relevant literature. The</w:t>
      </w:r>
      <w:r w:rsidRPr="00C556CB">
        <w:t> </w:t>
      </w:r>
      <w:r w:rsidRPr="00C556CB">
        <w:t>search terms were based on the research title, aim and objectives in order to ensure congruence between the research question and data obtained. Core keywords were: “quality of life”; “older people”; care homes; residential care; domiciliary care; home care; ageing; elderly; United</w:t>
      </w:r>
      <w:r w:rsidRPr="00C556CB">
        <w:t> </w:t>
      </w:r>
      <w:r w:rsidRPr="00C556CB">
        <w:t>Kingdom and social care.</w:t>
      </w:r>
    </w:p>
    <w:p w:rsidR="00B87065" w:rsidRPr="00C556CB" w:rsidRDefault="00B87065" w:rsidP="00C556CB">
      <w:pPr>
        <w:pStyle w:val="NormalWeb"/>
        <w:spacing w:line="360" w:lineRule="auto"/>
        <w:jc w:val="both"/>
      </w:pPr>
      <w:r w:rsidRPr="00C556CB">
        <w:t>The searches were narrowed</w:t>
      </w:r>
      <w:r w:rsidRPr="00C556CB">
        <w:t> </w:t>
      </w:r>
      <w:r w:rsidRPr="00C556CB">
        <w:t>by the use of Boolean operators in order to improve precision. For example, the search expression:</w:t>
      </w:r>
    </w:p>
    <w:p w:rsidR="00B87065" w:rsidRPr="00C556CB" w:rsidRDefault="00B87065" w:rsidP="00C556CB">
      <w:pPr>
        <w:pStyle w:val="NormalWeb"/>
        <w:spacing w:line="360" w:lineRule="auto"/>
        <w:jc w:val="both"/>
      </w:pPr>
      <w:r w:rsidRPr="00C556CB">
        <w:lastRenderedPageBreak/>
        <w:t>“quality of life” AND “older adults” AND (“care home”</w:t>
      </w:r>
      <w:r w:rsidRPr="00C556CB">
        <w:t> </w:t>
      </w:r>
      <w:r w:rsidRPr="00C556CB">
        <w:t>OR “home care”) AND “UK”*</w:t>
      </w:r>
    </w:p>
    <w:p w:rsidR="00B87065" w:rsidRPr="00C556CB" w:rsidRDefault="00B87065" w:rsidP="00C556CB">
      <w:pPr>
        <w:pStyle w:val="NormalWeb"/>
        <w:spacing w:line="360" w:lineRule="auto"/>
        <w:jc w:val="both"/>
      </w:pPr>
      <w:r w:rsidRPr="00C556CB">
        <w:t>facilitated the selection of literature directly relevant to how older people</w:t>
      </w:r>
      <w:r w:rsidRPr="00C556CB">
        <w:t> </w:t>
      </w:r>
      <w:r w:rsidRPr="00C556CB">
        <w:t>fare in relation to both care types. Truncation terms (e.g.</w:t>
      </w:r>
      <w:r w:rsidRPr="00C556CB">
        <w:t> </w:t>
      </w:r>
      <w:r w:rsidRPr="00C556CB">
        <w:t>care home) were used to account for the variety of terminology used.</w:t>
      </w:r>
    </w:p>
    <w:p w:rsidR="00B87065" w:rsidRPr="00C556CB" w:rsidRDefault="00B87065" w:rsidP="00C556CB">
      <w:pPr>
        <w:pStyle w:val="NormalWeb"/>
        <w:spacing w:line="360" w:lineRule="auto"/>
        <w:jc w:val="both"/>
      </w:pPr>
      <w:r w:rsidRPr="00C556CB">
        <w:t>DatabasesA comprehensive search of the academic databases CINAHL, PubMed/MEDLINE, Scopus and Web of Science (WoS) was completed for this study following a scoping review using these databases</w:t>
      </w:r>
      <w:r w:rsidRPr="00C556CB">
        <w:t> </w:t>
      </w:r>
      <w:r w:rsidRPr="00C556CB">
        <w:t>to identify relevant published research around health and social care. Grey literature was retrieved from relevant agencies such as CQC, Royal College of Nursing, NICE, Department of Health and Social Care, and Age</w:t>
      </w:r>
      <w:r w:rsidRPr="00C556CB">
        <w:t> </w:t>
      </w:r>
      <w:r w:rsidRPr="00C556CB">
        <w:t>UK to maintain policy relevance and new information sources. The combination of peer reviewed and grey literature promote the balance between breadth and depth, adding credibility to research</w:t>
      </w:r>
      <w:r w:rsidRPr="00C556CB">
        <w:t> </w:t>
      </w:r>
      <w:r w:rsidRPr="00C556CB">
        <w:t>findings.</w:t>
      </w:r>
    </w:p>
    <w:p w:rsidR="00B87065" w:rsidRPr="00C556CB" w:rsidRDefault="00B87065" w:rsidP="00C556CB">
      <w:pPr>
        <w:pStyle w:val="NormalWeb"/>
        <w:spacing w:line="360" w:lineRule="auto"/>
        <w:jc w:val="both"/>
        <w:rPr>
          <w:b/>
          <w:bCs/>
        </w:rPr>
      </w:pPr>
      <w:r w:rsidRPr="00C556CB">
        <w:rPr>
          <w:b/>
          <w:bCs/>
        </w:rPr>
        <w:t>3.3 Searching for Information</w:t>
      </w:r>
    </w:p>
    <w:p w:rsidR="00B87065" w:rsidRPr="00C556CB" w:rsidRDefault="00B87065" w:rsidP="00C556CB">
      <w:pPr>
        <w:pStyle w:val="NormalWeb"/>
        <w:spacing w:line="360" w:lineRule="auto"/>
        <w:jc w:val="both"/>
      </w:pPr>
      <w:r w:rsidRPr="00C556CB">
        <w:t>The search was specifically interested in reviewing the material which emerged between 2018</w:t>
      </w:r>
      <w:r w:rsidRPr="00C556CB">
        <w:t> </w:t>
      </w:r>
      <w:r w:rsidRPr="00C556CB">
        <w:t>and 2025 because of the ongoing developments affecting UK adult social care, such as workforce related difficulties, policy changes and impacts due to demographic shifts. Limiting searches to</w:t>
      </w:r>
      <w:r w:rsidRPr="00C556CB">
        <w:t> </w:t>
      </w:r>
      <w:r w:rsidRPr="00C556CB">
        <w:t>articles published in English reduced barriers to access and translation bias. We further chose to only include studies specifically targeting the older population, defined with an age of 65 and</w:t>
      </w:r>
      <w:r w:rsidRPr="00C556CB">
        <w:t> </w:t>
      </w:r>
      <w:r w:rsidRPr="00C556CB">
        <w:t>above in our final review which remained relevant to the older population focused on in this thesis.</w:t>
      </w:r>
    </w:p>
    <w:p w:rsidR="00B87065" w:rsidRPr="00C556CB" w:rsidRDefault="00B87065" w:rsidP="00C556CB">
      <w:pPr>
        <w:pStyle w:val="NormalWeb"/>
        <w:spacing w:line="360" w:lineRule="auto"/>
        <w:jc w:val="both"/>
      </w:pPr>
      <w:r w:rsidRPr="00C556CB">
        <w:t>A structured search record was kept at each stage detailing the databases screened, and search terms identified along with the filters used and number</w:t>
      </w:r>
      <w:r w:rsidRPr="00C556CB">
        <w:t> </w:t>
      </w:r>
      <w:r w:rsidRPr="00C556CB">
        <w:t>of records found. This log was beneficial in creating transparency</w:t>
      </w:r>
      <w:r w:rsidRPr="00C556CB">
        <w:t> </w:t>
      </w:r>
      <w:r w:rsidRPr="00C556CB">
        <w:t>and being able to iteratively work on the searches. A separate source-tracking spreadsheet was also maintained, which documented author(s), year, methodology, research setting and applicability</w:t>
      </w:r>
      <w:r w:rsidRPr="00C556CB">
        <w:t> </w:t>
      </w:r>
      <w:r w:rsidRPr="00C556CB">
        <w:t>in relation to the research objectives for all articles.</w:t>
      </w:r>
    </w:p>
    <w:p w:rsidR="00B87065" w:rsidRPr="00C556CB" w:rsidRDefault="00B87065" w:rsidP="00C556CB">
      <w:pPr>
        <w:pStyle w:val="NormalWeb"/>
        <w:spacing w:line="360" w:lineRule="auto"/>
        <w:jc w:val="both"/>
      </w:pPr>
      <w:r w:rsidRPr="00C556CB">
        <w:t>According to Braun and Clarke (2006), this process facilitated systematic familiarisation with the data in readiness</w:t>
      </w:r>
      <w:r w:rsidRPr="00C556CB">
        <w:t> </w:t>
      </w:r>
      <w:r w:rsidRPr="00C556CB">
        <w:t>for thematic analysis. Results: As initial searches identified a large number of papers, results were also refined using date-upper limiters, UK filters, peer-review</w:t>
      </w:r>
      <w:r w:rsidRPr="00C556CB">
        <w:t> </w:t>
      </w:r>
      <w:r w:rsidRPr="00C556CB">
        <w:lastRenderedPageBreak/>
        <w:t>criteria and relevance to older adult care. An initial collection of more than 300 studies was</w:t>
      </w:r>
      <w:r w:rsidRPr="00C556CB">
        <w:t> </w:t>
      </w:r>
      <w:r w:rsidRPr="00C556CB">
        <w:t>sifted down through this iterative process to a manageable and focused sample.</w:t>
      </w:r>
    </w:p>
    <w:p w:rsidR="00B87065" w:rsidRPr="00C556CB" w:rsidRDefault="00B87065" w:rsidP="00C556CB">
      <w:pPr>
        <w:pStyle w:val="NormalWeb"/>
        <w:spacing w:line="360" w:lineRule="auto"/>
        <w:jc w:val="both"/>
        <w:rPr>
          <w:b/>
          <w:bCs/>
        </w:rPr>
      </w:pPr>
      <w:r w:rsidRPr="00C556CB">
        <w:rPr>
          <w:b/>
          <w:bCs/>
        </w:rPr>
        <w:t>3.4 Research Validation</w:t>
      </w:r>
    </w:p>
    <w:p w:rsidR="00B87065" w:rsidRPr="00C556CB" w:rsidRDefault="00B87065" w:rsidP="00C556CB">
      <w:pPr>
        <w:pStyle w:val="NormalWeb"/>
        <w:spacing w:line="360" w:lineRule="auto"/>
        <w:jc w:val="both"/>
      </w:pPr>
      <w:r w:rsidRPr="00C556CB">
        <w:t>The CRAAP test (Blakeslee, 2004) for Currency, Relevance, Authority, Accuracy and Purpose was used to evaluate the</w:t>
      </w:r>
      <w:r w:rsidRPr="00C556CB">
        <w:t> </w:t>
      </w:r>
      <w:r w:rsidRPr="00C556CB">
        <w:t>credibility and dependability of sources. This methodology made it possible to determine if</w:t>
      </w:r>
      <w:r w:rsidRPr="00C556CB">
        <w:t> </w:t>
      </w:r>
      <w:r w:rsidRPr="00C556CB">
        <w:t>each source was of sufficient academic standard to be included.</w:t>
      </w:r>
    </w:p>
    <w:p w:rsidR="00B87065" w:rsidRPr="00C556CB" w:rsidRDefault="00B87065" w:rsidP="00C556CB">
      <w:pPr>
        <w:pStyle w:val="NormalWeb"/>
        <w:numPr>
          <w:ilvl w:val="0"/>
          <w:numId w:val="18"/>
        </w:numPr>
        <w:spacing w:line="360" w:lineRule="auto"/>
        <w:jc w:val="both"/>
      </w:pPr>
      <w:r w:rsidRPr="00C556CB">
        <w:t>Money guaranteed</w:t>
      </w:r>
      <w:r w:rsidRPr="00C556CB">
        <w:t> </w:t>
      </w:r>
      <w:r w:rsidRPr="00C556CB">
        <w:t>that sources aligned with new policy and practice.</w:t>
      </w:r>
    </w:p>
    <w:p w:rsidR="00B87065" w:rsidRPr="00C556CB" w:rsidRDefault="00B87065" w:rsidP="00C556CB">
      <w:pPr>
        <w:pStyle w:val="NormalWeb"/>
        <w:numPr>
          <w:ilvl w:val="0"/>
          <w:numId w:val="18"/>
        </w:numPr>
        <w:spacing w:line="360" w:lineRule="auto"/>
        <w:jc w:val="both"/>
      </w:pPr>
      <w:r w:rsidRPr="00C556CB">
        <w:t>Relevance: Studies directly related to quality</w:t>
      </w:r>
      <w:r w:rsidRPr="00C556CB">
        <w:t> </w:t>
      </w:r>
      <w:r w:rsidRPr="00C556CB">
        <w:t>of life, experiences of care or older adult wellbeing.</w:t>
      </w:r>
    </w:p>
    <w:p w:rsidR="00B87065" w:rsidRPr="00C556CB" w:rsidRDefault="00B87065" w:rsidP="00C556CB">
      <w:pPr>
        <w:pStyle w:val="NormalWeb"/>
        <w:numPr>
          <w:ilvl w:val="0"/>
          <w:numId w:val="18"/>
        </w:numPr>
        <w:spacing w:line="360" w:lineRule="auto"/>
        <w:jc w:val="both"/>
      </w:pPr>
      <w:r w:rsidRPr="00C556CB">
        <w:t>Effectiveness of interventions – ranked by authority Authority selected peer</w:t>
      </w:r>
      <w:r w:rsidRPr="00C556CB">
        <w:t> </w:t>
      </w:r>
      <w:r w:rsidRPr="00C556CB">
        <w:t>reviewed journals, Government reports and reputable organisation publications.</w:t>
      </w:r>
    </w:p>
    <w:p w:rsidR="00B87065" w:rsidRPr="00C556CB" w:rsidRDefault="00B87065" w:rsidP="00C556CB">
      <w:pPr>
        <w:pStyle w:val="NormalWeb"/>
        <w:numPr>
          <w:ilvl w:val="0"/>
          <w:numId w:val="18"/>
        </w:numPr>
        <w:spacing w:line="360" w:lineRule="auto"/>
        <w:jc w:val="both"/>
      </w:pPr>
      <w:r w:rsidRPr="00C556CB">
        <w:t>•</w:t>
      </w:r>
      <w:r w:rsidRPr="00C556CB">
        <w:t> </w:t>
      </w:r>
      <w:r w:rsidRPr="00C556CB">
        <w:t>Reliability assessed methodological quality and the use of evidence.</w:t>
      </w:r>
    </w:p>
    <w:p w:rsidR="00B87065" w:rsidRPr="00C556CB" w:rsidRDefault="00B87065" w:rsidP="00C556CB">
      <w:pPr>
        <w:pStyle w:val="NormalWeb"/>
        <w:numPr>
          <w:ilvl w:val="0"/>
          <w:numId w:val="18"/>
        </w:numPr>
        <w:spacing w:line="360" w:lineRule="auto"/>
        <w:jc w:val="both"/>
      </w:pPr>
      <w:r w:rsidRPr="00C556CB">
        <w:t>•Purpose was useful in identifying and steering clear of biased or</w:t>
      </w:r>
      <w:r w:rsidRPr="00C556CB">
        <w:t> </w:t>
      </w:r>
      <w:r w:rsidRPr="00C556CB">
        <w:t>commercially motivated content.</w:t>
      </w:r>
    </w:p>
    <w:p w:rsidR="00B87065" w:rsidRPr="00C556CB" w:rsidRDefault="00B87065" w:rsidP="00C556CB">
      <w:pPr>
        <w:pStyle w:val="NormalWeb"/>
        <w:spacing w:line="360" w:lineRule="auto"/>
        <w:jc w:val="both"/>
      </w:pPr>
      <w:r w:rsidRPr="00C556CB">
        <w:t>All the sources were first filtered by</w:t>
      </w:r>
      <w:r w:rsidRPr="00C556CB">
        <w:t> </w:t>
      </w:r>
      <w:r w:rsidRPr="00C556CB">
        <w:t>title, abstract and introduction. General article review was undertaken for any that sounded</w:t>
      </w:r>
      <w:r w:rsidRPr="00C556CB">
        <w:t> </w:t>
      </w:r>
      <w:r w:rsidRPr="00C556CB">
        <w:t>relevant. Sources which satisfied at least three out of five the CRAAP criterions, and preferably Currency, Relevance and Authority were selected in for the</w:t>
      </w:r>
      <w:r w:rsidRPr="00C556CB">
        <w:t> </w:t>
      </w:r>
      <w:r w:rsidRPr="00C556CB">
        <w:t>corpus. For instance, the</w:t>
      </w:r>
      <w:r w:rsidRPr="00C556CB">
        <w:t> </w:t>
      </w:r>
      <w:r w:rsidRPr="00C556CB">
        <w:t>CQC (2023) annual report and NICE (2022) guideline were related to national policy and regulation, while research studies like Woolford et al. (2020) and Glendinning et al. (2021) were added for their methodological strength</w:t>
      </w:r>
      <w:r w:rsidRPr="00C556CB">
        <w:t> </w:t>
      </w:r>
      <w:r w:rsidRPr="00C556CB">
        <w:t>and direct applicability to care home and home care settings.</w:t>
      </w:r>
    </w:p>
    <w:p w:rsidR="00B87065" w:rsidRPr="00C556CB" w:rsidRDefault="00B87065" w:rsidP="00C556CB">
      <w:pPr>
        <w:pStyle w:val="NormalWeb"/>
        <w:spacing w:line="360" w:lineRule="auto"/>
        <w:jc w:val="both"/>
        <w:rPr>
          <w:b/>
          <w:bCs/>
        </w:rPr>
      </w:pPr>
      <w:r w:rsidRPr="00C556CB">
        <w:rPr>
          <w:b/>
          <w:bCs/>
        </w:rPr>
        <w:t>3.5 Inclusion and Exclusion Criteria</w:t>
      </w:r>
    </w:p>
    <w:p w:rsidR="00B87065" w:rsidRPr="00C556CB" w:rsidRDefault="00B87065" w:rsidP="00C556CB">
      <w:pPr>
        <w:pStyle w:val="NormalWeb"/>
        <w:spacing w:line="360" w:lineRule="auto"/>
        <w:jc w:val="both"/>
      </w:pPr>
      <w:r w:rsidRPr="00C556CB">
        <w:t>Transparent inclusion and exclusion criteria helped to ensure that appropriate literature of the highest quality was selected for</w:t>
      </w:r>
      <w:r w:rsidRPr="00C556CB">
        <w:t> </w:t>
      </w:r>
      <w:r w:rsidRPr="00C556CB">
        <w:t>this review based on the study purpose.</w:t>
      </w:r>
    </w:p>
    <w:p w:rsidR="00B87065" w:rsidRPr="00C556CB" w:rsidRDefault="00B87065" w:rsidP="00C556CB">
      <w:pPr>
        <w:pStyle w:val="NormalWeb"/>
        <w:numPr>
          <w:ilvl w:val="0"/>
          <w:numId w:val="19"/>
        </w:numPr>
        <w:spacing w:line="360" w:lineRule="auto"/>
        <w:jc w:val="both"/>
        <w:rPr>
          <w:b/>
          <w:bCs/>
        </w:rPr>
      </w:pPr>
      <w:r w:rsidRPr="00C556CB">
        <w:rPr>
          <w:b/>
          <w:bCs/>
        </w:rPr>
        <w:t>Inclusion criteria</w:t>
      </w:r>
    </w:p>
    <w:p w:rsidR="00B87065" w:rsidRPr="00C556CB" w:rsidRDefault="00B87065" w:rsidP="00C556CB">
      <w:pPr>
        <w:pStyle w:val="NormalWeb"/>
        <w:numPr>
          <w:ilvl w:val="0"/>
          <w:numId w:val="19"/>
        </w:numPr>
        <w:spacing w:line="360" w:lineRule="auto"/>
        <w:jc w:val="both"/>
      </w:pPr>
      <w:r w:rsidRPr="00C556CB">
        <w:t>Published between 2018–2025</w:t>
      </w:r>
    </w:p>
    <w:p w:rsidR="00B87065" w:rsidRPr="00C556CB" w:rsidRDefault="00B87065" w:rsidP="00C556CB">
      <w:pPr>
        <w:pStyle w:val="NormalWeb"/>
        <w:numPr>
          <w:ilvl w:val="0"/>
          <w:numId w:val="19"/>
        </w:numPr>
        <w:spacing w:line="360" w:lineRule="auto"/>
        <w:jc w:val="both"/>
      </w:pPr>
      <w:r w:rsidRPr="00C556CB">
        <w:t>Older adults, age 65 and</w:t>
      </w:r>
      <w:r w:rsidRPr="00C556CB">
        <w:t> </w:t>
      </w:r>
      <w:r w:rsidRPr="00C556CB">
        <w:t>older</w:t>
      </w:r>
    </w:p>
    <w:p w:rsidR="00B87065" w:rsidRPr="00C556CB" w:rsidRDefault="00B87065" w:rsidP="00C556CB">
      <w:pPr>
        <w:pStyle w:val="NormalWeb"/>
        <w:numPr>
          <w:ilvl w:val="0"/>
          <w:numId w:val="19"/>
        </w:numPr>
        <w:spacing w:line="360" w:lineRule="auto"/>
        <w:jc w:val="both"/>
      </w:pPr>
      <w:r w:rsidRPr="00C556CB">
        <w:lastRenderedPageBreak/>
        <w:t>UK-based research or policy context</w:t>
      </w:r>
    </w:p>
    <w:p w:rsidR="00B87065" w:rsidRPr="00C556CB" w:rsidRDefault="00B87065" w:rsidP="00C556CB">
      <w:pPr>
        <w:pStyle w:val="NormalWeb"/>
        <w:numPr>
          <w:ilvl w:val="0"/>
          <w:numId w:val="19"/>
        </w:numPr>
        <w:spacing w:line="360" w:lineRule="auto"/>
        <w:jc w:val="both"/>
      </w:pPr>
      <w:r w:rsidRPr="00C556CB">
        <w:t>Academic papers, official reports</w:t>
      </w:r>
      <w:r w:rsidRPr="00C556CB">
        <w:t> </w:t>
      </w:r>
      <w:r w:rsidRPr="00C556CB">
        <w:t>and reputable third-sector studies</w:t>
      </w:r>
    </w:p>
    <w:p w:rsidR="00B87065" w:rsidRPr="00C556CB" w:rsidRDefault="00B87065" w:rsidP="00C556CB">
      <w:pPr>
        <w:pStyle w:val="NormalWeb"/>
        <w:numPr>
          <w:ilvl w:val="0"/>
          <w:numId w:val="19"/>
        </w:numPr>
        <w:spacing w:line="360" w:lineRule="auto"/>
        <w:jc w:val="both"/>
      </w:pPr>
      <w:r w:rsidRPr="00C556CB">
        <w:t>Studies</w:t>
      </w:r>
      <w:r w:rsidRPr="00C556CB">
        <w:t> </w:t>
      </w:r>
      <w:r w:rsidRPr="00C556CB">
        <w:t>related to QoL, residents care or home care less relevant.</w:t>
      </w:r>
    </w:p>
    <w:p w:rsidR="00B87065" w:rsidRPr="00C556CB" w:rsidRDefault="00B87065" w:rsidP="00C556CB">
      <w:pPr>
        <w:pStyle w:val="NormalWeb"/>
        <w:numPr>
          <w:ilvl w:val="0"/>
          <w:numId w:val="19"/>
        </w:numPr>
        <w:spacing w:line="360" w:lineRule="auto"/>
        <w:jc w:val="both"/>
      </w:pPr>
      <w:r w:rsidRPr="00C556CB">
        <w:t>Full-text availability in English</w:t>
      </w:r>
    </w:p>
    <w:p w:rsidR="00B87065" w:rsidRPr="00C556CB" w:rsidRDefault="00B87065" w:rsidP="00C556CB">
      <w:pPr>
        <w:pStyle w:val="NormalWeb"/>
        <w:spacing w:line="360" w:lineRule="auto"/>
        <w:jc w:val="both"/>
        <w:rPr>
          <w:b/>
          <w:bCs/>
        </w:rPr>
      </w:pPr>
      <w:r w:rsidRPr="00C556CB">
        <w:rPr>
          <w:b/>
          <w:bCs/>
        </w:rPr>
        <w:t>Exclusion criteria</w:t>
      </w:r>
    </w:p>
    <w:p w:rsidR="00B87065" w:rsidRPr="00C556CB" w:rsidRDefault="00B87065" w:rsidP="00C556CB">
      <w:pPr>
        <w:pStyle w:val="NormalWeb"/>
        <w:numPr>
          <w:ilvl w:val="0"/>
          <w:numId w:val="19"/>
        </w:numPr>
        <w:spacing w:line="360" w:lineRule="auto"/>
        <w:jc w:val="both"/>
      </w:pPr>
      <w:r w:rsidRPr="00C556CB">
        <w:t>Studies based outside the UK</w:t>
      </w:r>
    </w:p>
    <w:p w:rsidR="00B87065" w:rsidRPr="00C556CB" w:rsidRDefault="00B87065" w:rsidP="00C556CB">
      <w:pPr>
        <w:pStyle w:val="NormalWeb"/>
        <w:numPr>
          <w:ilvl w:val="0"/>
          <w:numId w:val="19"/>
        </w:numPr>
        <w:spacing w:line="360" w:lineRule="auto"/>
        <w:jc w:val="both"/>
      </w:pPr>
      <w:r w:rsidRPr="00C556CB">
        <w:t>Research involving participants under 65</w:t>
      </w:r>
    </w:p>
    <w:p w:rsidR="00B87065" w:rsidRPr="00C556CB" w:rsidRDefault="00B87065" w:rsidP="00C556CB">
      <w:pPr>
        <w:pStyle w:val="NormalWeb"/>
        <w:numPr>
          <w:ilvl w:val="0"/>
          <w:numId w:val="19"/>
        </w:numPr>
        <w:spacing w:line="360" w:lineRule="auto"/>
        <w:jc w:val="both"/>
      </w:pPr>
      <w:r w:rsidRPr="00C556CB">
        <w:t>Opinion pieces lacking empirical evidence</w:t>
      </w:r>
    </w:p>
    <w:p w:rsidR="00B87065" w:rsidRPr="00C556CB" w:rsidRDefault="00B87065" w:rsidP="00C556CB">
      <w:pPr>
        <w:pStyle w:val="NormalWeb"/>
        <w:numPr>
          <w:ilvl w:val="0"/>
          <w:numId w:val="19"/>
        </w:numPr>
        <w:spacing w:line="360" w:lineRule="auto"/>
        <w:jc w:val="both"/>
      </w:pPr>
      <w:r w:rsidRPr="00C556CB">
        <w:t>Non-English language sources</w:t>
      </w:r>
    </w:p>
    <w:p w:rsidR="00B87065" w:rsidRPr="00C556CB" w:rsidRDefault="00B87065" w:rsidP="00C556CB">
      <w:pPr>
        <w:pStyle w:val="NormalWeb"/>
        <w:numPr>
          <w:ilvl w:val="0"/>
          <w:numId w:val="19"/>
        </w:numPr>
        <w:spacing w:line="360" w:lineRule="auto"/>
        <w:jc w:val="both"/>
      </w:pPr>
      <w:r w:rsidRPr="00C556CB">
        <w:t>Articles published before 2018</w:t>
      </w:r>
    </w:p>
    <w:p w:rsidR="00B87065" w:rsidRPr="00C556CB" w:rsidRDefault="00B87065" w:rsidP="00C556CB">
      <w:pPr>
        <w:pStyle w:val="NormalWeb"/>
        <w:spacing w:line="360" w:lineRule="auto"/>
        <w:jc w:val="both"/>
      </w:pPr>
      <w:r w:rsidRPr="00C556CB">
        <w:t>These two standards guaranteed the reliability and relevance of selected</w:t>
      </w:r>
      <w:r w:rsidRPr="00C556CB">
        <w:t> </w:t>
      </w:r>
      <w:r w:rsidRPr="00C556CB">
        <w:t>literature to this research’s topic, which was strictly academic.</w:t>
      </w:r>
    </w:p>
    <w:p w:rsidR="00B87065" w:rsidRPr="00C556CB" w:rsidRDefault="00B87065" w:rsidP="00C556CB">
      <w:pPr>
        <w:pStyle w:val="NormalWeb"/>
        <w:spacing w:line="360" w:lineRule="auto"/>
        <w:jc w:val="both"/>
        <w:rPr>
          <w:b/>
          <w:bCs/>
        </w:rPr>
      </w:pPr>
      <w:r w:rsidRPr="00C556CB">
        <w:rPr>
          <w:b/>
          <w:bCs/>
        </w:rPr>
        <w:t>3.6 Analysing Research</w:t>
      </w:r>
    </w:p>
    <w:p w:rsidR="00B87065" w:rsidRPr="00C556CB" w:rsidRDefault="00B87065" w:rsidP="00C556CB">
      <w:pPr>
        <w:pStyle w:val="NormalWeb"/>
        <w:spacing w:line="360" w:lineRule="auto"/>
        <w:jc w:val="both"/>
        <w:rPr>
          <w:b/>
          <w:bCs/>
        </w:rPr>
      </w:pPr>
      <w:r w:rsidRPr="00C556CB">
        <w:t>Thematic analysis was employed to integrate</w:t>
      </w:r>
      <w:r w:rsidRPr="00C556CB">
        <w:t> </w:t>
      </w:r>
      <w:r w:rsidRPr="00C556CB">
        <w:t>findings from the literature. Analyses were conducted according to the six-phase process proposed by Braun and</w:t>
      </w:r>
      <w:r w:rsidRPr="00C556CB">
        <w:t> </w:t>
      </w:r>
      <w:r w:rsidRPr="00C556CB">
        <w:t>Clarke (2006):</w:t>
      </w:r>
    </w:p>
    <w:p w:rsidR="00B87065" w:rsidRPr="00C556CB" w:rsidRDefault="00B87065" w:rsidP="00C556CB">
      <w:pPr>
        <w:pStyle w:val="NormalWeb"/>
        <w:numPr>
          <w:ilvl w:val="0"/>
          <w:numId w:val="17"/>
        </w:numPr>
        <w:spacing w:line="360" w:lineRule="auto"/>
        <w:jc w:val="both"/>
      </w:pPr>
      <w:r w:rsidRPr="00C556CB">
        <w:t>Familiarisation</w:t>
      </w:r>
      <w:r w:rsidRPr="00C556CB">
        <w:t> </w:t>
      </w:r>
      <w:r w:rsidRPr="00C556CB">
        <w:t>– reading and re-reading the studies to identify key themes.</w:t>
      </w:r>
    </w:p>
    <w:p w:rsidR="00B87065" w:rsidRPr="00C556CB" w:rsidRDefault="00B87065" w:rsidP="00C556CB">
      <w:pPr>
        <w:pStyle w:val="NormalWeb"/>
        <w:numPr>
          <w:ilvl w:val="0"/>
          <w:numId w:val="17"/>
        </w:numPr>
        <w:spacing w:line="360" w:lineRule="auto"/>
        <w:jc w:val="both"/>
      </w:pPr>
      <w:r w:rsidRPr="00C556CB">
        <w:t>First-level coding – assigning codes to</w:t>
      </w:r>
      <w:r w:rsidRPr="00C556CB">
        <w:t> </w:t>
      </w:r>
      <w:r w:rsidRPr="00C556CB">
        <w:t>re-occurring ideas, with the assistance of detailed notes.</w:t>
      </w:r>
    </w:p>
    <w:p w:rsidR="00B87065" w:rsidRPr="00C556CB" w:rsidRDefault="00B87065" w:rsidP="00C556CB">
      <w:pPr>
        <w:pStyle w:val="NormalWeb"/>
        <w:numPr>
          <w:ilvl w:val="0"/>
          <w:numId w:val="17"/>
        </w:numPr>
        <w:spacing w:line="360" w:lineRule="auto"/>
        <w:jc w:val="both"/>
      </w:pPr>
      <w:r w:rsidRPr="00C556CB">
        <w:t>Extracting themes – arranging</w:t>
      </w:r>
      <w:r w:rsidRPr="00C556CB">
        <w:t> </w:t>
      </w:r>
      <w:r w:rsidRPr="00C556CB">
        <w:t>similar codes under more inclusive thematic categories.</w:t>
      </w:r>
    </w:p>
    <w:p w:rsidR="00B87065" w:rsidRPr="00C556CB" w:rsidRDefault="00B87065" w:rsidP="00C556CB">
      <w:pPr>
        <w:pStyle w:val="NormalWeb"/>
        <w:numPr>
          <w:ilvl w:val="0"/>
          <w:numId w:val="17"/>
        </w:numPr>
        <w:spacing w:line="360" w:lineRule="auto"/>
        <w:jc w:val="both"/>
      </w:pPr>
      <w:r w:rsidRPr="00C556CB">
        <w:t>Theme</w:t>
      </w:r>
      <w:r w:rsidRPr="00C556CB">
        <w:t> </w:t>
      </w:r>
      <w:r w:rsidRPr="00C556CB">
        <w:t>Review – clarification and modification of themes for internal coherence.</w:t>
      </w:r>
    </w:p>
    <w:p w:rsidR="00B87065" w:rsidRPr="00C556CB" w:rsidRDefault="00B87065" w:rsidP="00C556CB">
      <w:pPr>
        <w:pStyle w:val="NormalWeb"/>
        <w:numPr>
          <w:ilvl w:val="0"/>
          <w:numId w:val="17"/>
        </w:numPr>
        <w:spacing w:line="360" w:lineRule="auto"/>
        <w:jc w:val="both"/>
      </w:pPr>
      <w:r w:rsidRPr="00C556CB">
        <w:t>Defining and identifying</w:t>
      </w:r>
      <w:r w:rsidRPr="00C556CB">
        <w:t> </w:t>
      </w:r>
      <w:r w:rsidRPr="00C556CB">
        <w:t>themes – defining specific bounds for each theme.</w:t>
      </w:r>
    </w:p>
    <w:p w:rsidR="00B87065" w:rsidRPr="00C556CB" w:rsidRDefault="00B87065" w:rsidP="00C556CB">
      <w:pPr>
        <w:pStyle w:val="NormalWeb"/>
        <w:numPr>
          <w:ilvl w:val="0"/>
          <w:numId w:val="17"/>
        </w:numPr>
        <w:spacing w:line="360" w:lineRule="auto"/>
        <w:jc w:val="both"/>
      </w:pPr>
      <w:r w:rsidRPr="00C556CB">
        <w:t>Writing of the report – translating themes into</w:t>
      </w:r>
      <w:r w:rsidRPr="00C556CB">
        <w:t> </w:t>
      </w:r>
      <w:r w:rsidRPr="00C556CB">
        <w:t>an analytical story.</w:t>
      </w:r>
    </w:p>
    <w:p w:rsidR="00B87065" w:rsidRPr="00C556CB" w:rsidRDefault="00B87065" w:rsidP="00C556CB">
      <w:pPr>
        <w:pStyle w:val="NormalWeb"/>
        <w:spacing w:line="360" w:lineRule="auto"/>
        <w:jc w:val="both"/>
      </w:pPr>
      <w:r w:rsidRPr="00C556CB">
        <w:t>These were initial codes,</w:t>
      </w:r>
      <w:r w:rsidRPr="00C556CB">
        <w:t> </w:t>
      </w:r>
      <w:r w:rsidRPr="00C556CB">
        <w:t>including autonomy, continuity of care, social contact, welfare and        staff; and safety. These codes were further</w:t>
      </w:r>
      <w:r w:rsidRPr="00C556CB">
        <w:t> </w:t>
      </w:r>
      <w:r w:rsidRPr="00C556CB">
        <w:t>organised into three higher-level themes that echo  Chapter 4: Autonomy and Independence, Social Interaction and Emotional Wellbeing, Quality and Continuity of Care.</w:t>
      </w:r>
    </w:p>
    <w:p w:rsidR="00B87065" w:rsidRPr="00C556CB" w:rsidRDefault="00B87065" w:rsidP="00C556CB">
      <w:pPr>
        <w:pStyle w:val="NormalWeb"/>
        <w:spacing w:line="360" w:lineRule="auto"/>
        <w:jc w:val="both"/>
      </w:pPr>
      <w:r w:rsidRPr="00C556CB">
        <w:lastRenderedPageBreak/>
        <w:t>The use of Microsoft Excel facilitated the coding through colour</w:t>
      </w:r>
      <w:r w:rsidRPr="00C556CB">
        <w:t> </w:t>
      </w:r>
      <w:r w:rsidRPr="00C556CB">
        <w:t>remarks, categorized spread sheets and cross-referencing between data sources. This approach allowed for increased organisation and minimised researcher bias, as</w:t>
      </w:r>
      <w:r w:rsidRPr="00C556CB">
        <w:t> </w:t>
      </w:r>
      <w:r w:rsidRPr="00C556CB">
        <w:t>well as facilitated systematic comparison between multiple studies.</w:t>
      </w:r>
    </w:p>
    <w:p w:rsidR="00B87065" w:rsidRPr="00BE2F65" w:rsidRDefault="00B87065" w:rsidP="00C556CB">
      <w:pPr>
        <w:spacing w:line="360" w:lineRule="auto"/>
        <w:jc w:val="both"/>
      </w:pPr>
    </w:p>
    <w:p w:rsidR="00B87065" w:rsidRPr="00C556CB" w:rsidRDefault="00B87065" w:rsidP="00C556CB">
      <w:pPr>
        <w:pStyle w:val="NormalWeb"/>
        <w:spacing w:line="360" w:lineRule="auto"/>
        <w:jc w:val="both"/>
        <w:rPr>
          <w:b/>
          <w:bCs/>
        </w:rPr>
      </w:pPr>
      <w:r w:rsidRPr="00C556CB">
        <w:rPr>
          <w:b/>
          <w:bCs/>
        </w:rPr>
        <w:t>3.7 Ethical Consideration</w:t>
      </w:r>
    </w:p>
    <w:p w:rsidR="00B87065" w:rsidRPr="00C556CB" w:rsidRDefault="00B87065" w:rsidP="00C556CB">
      <w:pPr>
        <w:pStyle w:val="NormalWeb"/>
        <w:spacing w:line="360" w:lineRule="auto"/>
        <w:jc w:val="both"/>
      </w:pPr>
      <w:r w:rsidRPr="00C556CB">
        <w:t>No</w:t>
      </w:r>
      <w:r w:rsidRPr="00C556CB">
        <w:t> </w:t>
      </w:r>
      <w:r w:rsidRPr="00C556CB">
        <w:t>direct contact with human participants was involved as the study was a secondary analysis, and thus, ethical clearance from the university did not apply. However, ethics</w:t>
      </w:r>
      <w:r w:rsidRPr="00C556CB">
        <w:t> </w:t>
      </w:r>
      <w:r w:rsidRPr="00C556CB">
        <w:t>were not forgotten at any time; they played a mediating role.</w:t>
      </w:r>
    </w:p>
    <w:p w:rsidR="00B87065" w:rsidRPr="00C556CB" w:rsidRDefault="00B87065" w:rsidP="00C556CB">
      <w:pPr>
        <w:pStyle w:val="NormalWeb"/>
        <w:spacing w:line="360" w:lineRule="auto"/>
        <w:jc w:val="both"/>
      </w:pPr>
      <w:r w:rsidRPr="00C556CB">
        <w:t>All literature was analyzed neutrally, with no bias in selective reporting and</w:t>
      </w:r>
      <w:r w:rsidRPr="00C556CB">
        <w:t> </w:t>
      </w:r>
      <w:r w:rsidRPr="00C556CB">
        <w:t>presentation. The UWTSD Harvard referencing style was used throughout, allowing</w:t>
      </w:r>
      <w:r w:rsidRPr="00C556CB">
        <w:t> </w:t>
      </w:r>
      <w:r w:rsidRPr="00C556CB">
        <w:t>academic honesty and traceability to be supported. We made of all the possible efforts to respect copyright and</w:t>
      </w:r>
      <w:r w:rsidRPr="00C556CB">
        <w:t> </w:t>
      </w:r>
      <w:r w:rsidRPr="00C556CB">
        <w:t>intellectual properties as well as the integrity of authors’ works. The dissertation was written in accordance with the university's regulations, however, and we maintain that "academic work"</w:t>
      </w:r>
      <w:r w:rsidRPr="00C556CB">
        <w:t> </w:t>
      </w:r>
      <w:r w:rsidRPr="00C556CB">
        <w:t>did not rely on generative AI as specified by BMHP6020 module regulations (BMHP6020 IP C2, 2025).</w:t>
      </w:r>
    </w:p>
    <w:p w:rsidR="00B87065" w:rsidRPr="00C556CB" w:rsidRDefault="00B87065" w:rsidP="00C556CB">
      <w:pPr>
        <w:pStyle w:val="NormalWeb"/>
        <w:spacing w:line="360" w:lineRule="auto"/>
        <w:jc w:val="both"/>
        <w:rPr>
          <w:b/>
          <w:bCs/>
        </w:rPr>
      </w:pPr>
      <w:r w:rsidRPr="00C556CB">
        <w:rPr>
          <w:b/>
          <w:bCs/>
        </w:rPr>
        <w:t>3.8 Chapter Conclusion</w:t>
      </w:r>
    </w:p>
    <w:p w:rsidR="00B87065" w:rsidRPr="00C556CB" w:rsidRDefault="00B87065" w:rsidP="00C556CB">
      <w:pPr>
        <w:pStyle w:val="NormalWeb"/>
        <w:spacing w:line="360" w:lineRule="auto"/>
        <w:jc w:val="both"/>
      </w:pPr>
      <w:r w:rsidRPr="00C556CB">
        <w:t>This chapter has described in detail the methodology which underpins this</w:t>
      </w:r>
      <w:r w:rsidRPr="00C556CB">
        <w:t> </w:t>
      </w:r>
      <w:r w:rsidRPr="00C556CB">
        <w:t>investigation. The rigorous, structured search strategy with specific inclusion and exclusion criteria combined with thorough validation using the CRAAP checklists and systematic use of thematic</w:t>
      </w:r>
      <w:r w:rsidRPr="00C556CB">
        <w:t> </w:t>
      </w:r>
      <w:r w:rsidRPr="00C556CB">
        <w:t>analysis helped to ensure that only relevant, high-quality literature was included. The methodological framework supported the trustworthiness of the study’s results and enabled thematic analysis, presented in Chapter 4, which compares elderly care home residents with</w:t>
      </w:r>
      <w:r w:rsidRPr="00C556CB">
        <w:t> </w:t>
      </w:r>
      <w:r w:rsidRPr="00C556CB">
        <w:t>those receiving domiciliary care in the UK: how quality of life is understood by older people living in both these positions.</w:t>
      </w:r>
    </w:p>
    <w:p w:rsidR="00B87065" w:rsidRPr="00BE2F65" w:rsidRDefault="00B87065" w:rsidP="00C556CB">
      <w:pPr>
        <w:spacing w:line="360" w:lineRule="auto"/>
        <w:jc w:val="both"/>
      </w:pPr>
    </w:p>
    <w:p w:rsidR="00B87065" w:rsidRPr="00C556CB" w:rsidRDefault="00B87065" w:rsidP="00C556CB">
      <w:pPr>
        <w:spacing w:line="360" w:lineRule="auto"/>
        <w:jc w:val="both"/>
      </w:pPr>
    </w:p>
    <w:p w:rsidR="002A489C" w:rsidRPr="00C556CB" w:rsidRDefault="002A489C" w:rsidP="00C556CB">
      <w:pPr>
        <w:spacing w:line="360" w:lineRule="auto"/>
        <w:jc w:val="center"/>
      </w:pPr>
    </w:p>
    <w:p w:rsidR="00FC0218" w:rsidRDefault="00FC0218" w:rsidP="00FC0218">
      <w:pPr>
        <w:pStyle w:val="Heading2"/>
        <w:spacing w:line="360" w:lineRule="auto"/>
        <w:rPr>
          <w:rStyle w:val="Strong"/>
          <w:b/>
          <w:bCs/>
          <w:sz w:val="24"/>
          <w:szCs w:val="24"/>
        </w:rPr>
      </w:pPr>
    </w:p>
    <w:p w:rsidR="00185FF3" w:rsidRPr="00C556CB" w:rsidRDefault="00185FF3" w:rsidP="00FC0218">
      <w:pPr>
        <w:pStyle w:val="Heading2"/>
        <w:spacing w:line="360" w:lineRule="auto"/>
        <w:jc w:val="center"/>
        <w:rPr>
          <w:sz w:val="24"/>
          <w:szCs w:val="24"/>
        </w:rPr>
      </w:pPr>
      <w:r w:rsidRPr="00C556CB">
        <w:rPr>
          <w:rStyle w:val="Strong"/>
          <w:b/>
          <w:bCs/>
          <w:sz w:val="24"/>
          <w:szCs w:val="24"/>
        </w:rPr>
        <w:t>CHAPTER 4: FINDINGS AND DISCUSSION</w:t>
      </w:r>
    </w:p>
    <w:p w:rsidR="00185FF3" w:rsidRPr="00C556CB" w:rsidRDefault="00185FF3" w:rsidP="00C556CB">
      <w:pPr>
        <w:pStyle w:val="Heading3"/>
        <w:spacing w:line="360" w:lineRule="auto"/>
        <w:jc w:val="both"/>
        <w:rPr>
          <w:sz w:val="24"/>
          <w:szCs w:val="24"/>
        </w:rPr>
      </w:pPr>
      <w:r w:rsidRPr="00C556CB">
        <w:rPr>
          <w:rStyle w:val="Strong"/>
          <w:b/>
          <w:bCs/>
          <w:sz w:val="24"/>
          <w:szCs w:val="24"/>
        </w:rPr>
        <w:t>4.1 Introduction</w:t>
      </w:r>
    </w:p>
    <w:p w:rsidR="00185FF3" w:rsidRPr="00C556CB" w:rsidRDefault="00185FF3" w:rsidP="00C556CB">
      <w:pPr>
        <w:pStyle w:val="NormalWeb"/>
        <w:spacing w:line="360" w:lineRule="auto"/>
        <w:jc w:val="both"/>
      </w:pPr>
      <w:r w:rsidRPr="00C556CB">
        <w:t>This chapter presents and critically examines the findings from a thematic analysis of secondary literature on the quality of life experienced by older adults in care homes compared to those receiving domiciliary (home-based) care in the United Kingdom. By synthesising a range of UK-based academic studies, policy documents, and third-sector reports, this chapter identifies key similarities and differences in service-user experiences across both settings. The analysis draws on person-centred care theory (Kitwood, 1997), Maslow’s hierarchy of needs (1943), and relevant policy frameworks such as the Care Act 2014 and NICE (2022) guidelines.</w:t>
      </w:r>
    </w:p>
    <w:p w:rsidR="00185FF3" w:rsidRPr="00C556CB" w:rsidRDefault="00185FF3" w:rsidP="00C556CB">
      <w:pPr>
        <w:pStyle w:val="NormalWeb"/>
        <w:spacing w:line="360" w:lineRule="auto"/>
        <w:jc w:val="both"/>
      </w:pPr>
      <w:r w:rsidRPr="00C556CB">
        <w:t>Three overarching themes emerged during the thematic analysis:</w:t>
      </w:r>
    </w:p>
    <w:p w:rsidR="00185FF3" w:rsidRPr="00C556CB" w:rsidRDefault="00185FF3" w:rsidP="00C556CB">
      <w:pPr>
        <w:pStyle w:val="NormalWeb"/>
        <w:numPr>
          <w:ilvl w:val="0"/>
          <w:numId w:val="10"/>
        </w:numPr>
        <w:spacing w:line="360" w:lineRule="auto"/>
        <w:jc w:val="both"/>
      </w:pPr>
      <w:r w:rsidRPr="00C556CB">
        <w:rPr>
          <w:rStyle w:val="Strong"/>
        </w:rPr>
        <w:t>Autonomy and Independence</w:t>
      </w:r>
    </w:p>
    <w:p w:rsidR="00185FF3" w:rsidRPr="00C556CB" w:rsidRDefault="00185FF3" w:rsidP="00C556CB">
      <w:pPr>
        <w:pStyle w:val="NormalWeb"/>
        <w:numPr>
          <w:ilvl w:val="0"/>
          <w:numId w:val="10"/>
        </w:numPr>
        <w:spacing w:line="360" w:lineRule="auto"/>
        <w:jc w:val="both"/>
      </w:pPr>
      <w:r w:rsidRPr="00C556CB">
        <w:rPr>
          <w:rStyle w:val="Strong"/>
        </w:rPr>
        <w:t>Social Interaction and Emotional Wellbeing</w:t>
      </w:r>
    </w:p>
    <w:p w:rsidR="00185FF3" w:rsidRPr="00C556CB" w:rsidRDefault="00185FF3" w:rsidP="00C556CB">
      <w:pPr>
        <w:pStyle w:val="NormalWeb"/>
        <w:numPr>
          <w:ilvl w:val="0"/>
          <w:numId w:val="10"/>
        </w:numPr>
        <w:spacing w:line="360" w:lineRule="auto"/>
        <w:jc w:val="both"/>
      </w:pPr>
      <w:r w:rsidRPr="00C556CB">
        <w:rPr>
          <w:rStyle w:val="Strong"/>
        </w:rPr>
        <w:t>Quality and Continuity of Care</w:t>
      </w:r>
    </w:p>
    <w:p w:rsidR="00185FF3" w:rsidRPr="00C556CB" w:rsidRDefault="00185FF3" w:rsidP="00C556CB">
      <w:pPr>
        <w:pStyle w:val="NormalWeb"/>
        <w:spacing w:line="360" w:lineRule="auto"/>
        <w:jc w:val="both"/>
      </w:pPr>
      <w:r w:rsidRPr="00C556CB">
        <w:t>Each theme is discussed below, with reference to current literature, theoretical insights, and implications for service quality.</w:t>
      </w:r>
    </w:p>
    <w:p w:rsidR="00185FF3" w:rsidRPr="00C556CB" w:rsidRDefault="00FC0218" w:rsidP="00C556CB">
      <w:pPr>
        <w:pStyle w:val="Heading3"/>
        <w:spacing w:line="360" w:lineRule="auto"/>
        <w:jc w:val="both"/>
        <w:rPr>
          <w:sz w:val="24"/>
          <w:szCs w:val="24"/>
        </w:rPr>
      </w:pPr>
      <w:r>
        <w:rPr>
          <w:rStyle w:val="Strong"/>
          <w:b/>
          <w:bCs/>
          <w:sz w:val="24"/>
          <w:szCs w:val="24"/>
        </w:rPr>
        <w:t xml:space="preserve"> </w:t>
      </w:r>
      <w:r w:rsidR="00185FF3" w:rsidRPr="00C556CB">
        <w:rPr>
          <w:rStyle w:val="Strong"/>
          <w:b/>
          <w:bCs/>
          <w:sz w:val="24"/>
          <w:szCs w:val="24"/>
        </w:rPr>
        <w:t>4.2 Thematic Analysis Process</w:t>
      </w:r>
    </w:p>
    <w:p w:rsidR="00185FF3" w:rsidRPr="00C556CB" w:rsidRDefault="00185FF3" w:rsidP="00C556CB">
      <w:pPr>
        <w:pStyle w:val="NormalWeb"/>
        <w:spacing w:line="360" w:lineRule="auto"/>
        <w:jc w:val="both"/>
      </w:pPr>
      <w:r w:rsidRPr="00C556CB">
        <w:t>The analysis followed Braun and Clarke’s (2006) six-phase framework: familiarisation with data, generating initial codes, searching for themes, reviewing themes, defining and naming themes, and producing the report. This method allowed for the identification of recurring patterns across multiple sources and supported a flexible, inductive approach suited to qualitative secondary research.</w:t>
      </w:r>
    </w:p>
    <w:p w:rsidR="00185FF3" w:rsidRPr="00C556CB" w:rsidRDefault="00185FF3" w:rsidP="00C556CB">
      <w:pPr>
        <w:pStyle w:val="NormalWeb"/>
        <w:spacing w:line="360" w:lineRule="auto"/>
        <w:jc w:val="both"/>
      </w:pPr>
      <w:r w:rsidRPr="00C556CB">
        <w:t>Initial codes were derived from repeated ideas and experiences documented in the literature. These were refined into three primary themes which represent central aspects of quality of life in both care environments. The themes serve as a structure for discussing how care home and home care arrangements influence older adults’ wellbeing.</w:t>
      </w:r>
    </w:p>
    <w:p w:rsidR="00185FF3" w:rsidRPr="00C556CB" w:rsidRDefault="00185FF3" w:rsidP="00C556CB">
      <w:pPr>
        <w:spacing w:line="360" w:lineRule="auto"/>
        <w:jc w:val="both"/>
      </w:pPr>
    </w:p>
    <w:p w:rsidR="00185FF3" w:rsidRPr="00C556CB" w:rsidRDefault="00185FF3" w:rsidP="00C556CB">
      <w:pPr>
        <w:pStyle w:val="Heading3"/>
        <w:spacing w:line="360" w:lineRule="auto"/>
        <w:jc w:val="both"/>
        <w:rPr>
          <w:rStyle w:val="Strong"/>
          <w:b/>
          <w:bCs/>
          <w:sz w:val="24"/>
          <w:szCs w:val="24"/>
        </w:rPr>
      </w:pPr>
      <w:r w:rsidRPr="00C556CB">
        <w:rPr>
          <w:rStyle w:val="Strong"/>
          <w:b/>
          <w:bCs/>
          <w:sz w:val="24"/>
          <w:szCs w:val="24"/>
        </w:rPr>
        <w:t>4.3 Theme 1: Autonomy and Independence</w:t>
      </w:r>
    </w:p>
    <w:p w:rsidR="00185FF3" w:rsidRPr="00C556CB" w:rsidRDefault="00185FF3" w:rsidP="00C556CB">
      <w:pPr>
        <w:pStyle w:val="Heading3"/>
        <w:spacing w:line="360" w:lineRule="auto"/>
        <w:jc w:val="both"/>
        <w:rPr>
          <w:b w:val="0"/>
          <w:bCs w:val="0"/>
          <w:sz w:val="24"/>
          <w:szCs w:val="24"/>
        </w:rPr>
      </w:pPr>
      <w:r w:rsidRPr="00C556CB">
        <w:rPr>
          <w:b w:val="0"/>
          <w:bCs w:val="0"/>
          <w:sz w:val="24"/>
          <w:szCs w:val="24"/>
        </w:rPr>
        <w:t>A consistent and prominent finding across the reviewed literature is the crucial role that autonomy and independence play in shaping the quality of life for older adults. Both constructs are deeply embedded in social care policy and ethical frameworks, particularly those promoting dignity, rights, and self-determination in later life. In practical terms, autonomy refers to an individual’s ability to make decisions about their own life, while independence relates to their capacity to perform daily tasks without undue reliance on others (Sixsmith et al., 2014).</w:t>
      </w:r>
    </w:p>
    <w:p w:rsidR="00185FF3" w:rsidRPr="00C556CB" w:rsidRDefault="00185FF3" w:rsidP="00C556CB">
      <w:pPr>
        <w:pStyle w:val="NormalWeb"/>
        <w:spacing w:line="360" w:lineRule="auto"/>
        <w:jc w:val="both"/>
      </w:pPr>
      <w:r w:rsidRPr="00C556CB">
        <w:t>Domiciliary care—when adequately resourced—often supports higher levels of autonomy compared to residential care. By allowing older people to remain in their familiar home environment, it enables the preservation of routines, preferences, and personal identity (Glendinning et al., 2021). Individuals receiving care at home can often make decisions about the timing of meals, clothing choices, or when to go to bed—seemingly minor decisions that cumulatively foster a sense of control and dignity. These freedoms also encourage continued engagement with domestic roles, such as light cooking or watering plants, which can maintain a sense of purpose.</w:t>
      </w:r>
    </w:p>
    <w:p w:rsidR="00185FF3" w:rsidRPr="00C556CB" w:rsidRDefault="00185FF3" w:rsidP="00C556CB">
      <w:pPr>
        <w:pStyle w:val="NormalWeb"/>
        <w:spacing w:line="360" w:lineRule="auto"/>
        <w:jc w:val="both"/>
      </w:pPr>
      <w:r w:rsidRPr="00C556CB">
        <w:t>The psychological benefits of autonomy are supported by Maslow’s (1943) hierarchy of human needs. In this model, autonomy aligns closely with esteem and self-actualisation, the higher-order needs that are only met when foundational requirements such as safety and physiological wellbeing have been addressed. In domiciliary care, when individuals are supported in maintaining self-governance, they are more likely to report feelings of respect, satisfaction, and worth. This, in turn, contributes positively to mental health outcomes, including lower levels of anxiety and depression (Age UK, 2024).</w:t>
      </w:r>
    </w:p>
    <w:p w:rsidR="00185FF3" w:rsidRPr="00C556CB" w:rsidRDefault="00185FF3" w:rsidP="00C556CB">
      <w:pPr>
        <w:pStyle w:val="NormalWeb"/>
        <w:spacing w:line="360" w:lineRule="auto"/>
        <w:jc w:val="both"/>
      </w:pPr>
      <w:r w:rsidRPr="00C556CB">
        <w:t xml:space="preserve">Nevertheless, while home-based care offers the theoretical space for autonomy, in practice it can be restricted by the realities of the service delivery system. The literature highlights that many local authority-commissioned home care services operate under strict time constraints, often scheduling visits as short as 15 minutes (CQC, 2023). Such brevity not only limits the ability of carers to engage meaningfully but also forces them to prioritise essential physical </w:t>
      </w:r>
      <w:r w:rsidRPr="00C556CB">
        <w:lastRenderedPageBreak/>
        <w:t>tasks, leaving little room for promoting independence. In these circumstances, carers may choose the quickest method of support—such as dressing or feeding a client—rather than encouraging or enabling the person to perform these tasks themselves.</w:t>
      </w:r>
    </w:p>
    <w:p w:rsidR="00185FF3" w:rsidRPr="00C556CB" w:rsidRDefault="00185FF3" w:rsidP="00C556CB">
      <w:pPr>
        <w:pStyle w:val="NormalWeb"/>
        <w:spacing w:line="360" w:lineRule="auto"/>
        <w:jc w:val="both"/>
      </w:pPr>
      <w:r w:rsidRPr="00C556CB">
        <w:t>This tension between autonomy and efficiency is also mirrored in residential care. Although care homes are intended to provide round-the-clock support in a safe environment, the regimented nature of daily schedules often results in a diminished sense of control for residents. Meals may be served at fixed times, personal care may follow a strict rota, and shared rooms or communal facilities may reduce privacy (Woolford et al., 2020). While such structures may facilitate operational efficiency and meet basic needs, they risk undermining psychological wellbeing if not balanced with personal choice.</w:t>
      </w:r>
    </w:p>
    <w:p w:rsidR="00185FF3" w:rsidRPr="00C556CB" w:rsidRDefault="00185FF3" w:rsidP="00C556CB">
      <w:pPr>
        <w:pStyle w:val="NormalWeb"/>
        <w:spacing w:line="360" w:lineRule="auto"/>
        <w:jc w:val="both"/>
      </w:pPr>
      <w:r w:rsidRPr="00C556CB">
        <w:t>Kitwood’s (1997) theory of person-centred care is particularly relevant here. Kitwood argues that true care is not simply about meeting physical needs but about recognising and valuing the personhood of each individual. Person-centred care involves tailoring support to an individual’s life history, preferences, and values. When residents in care homes are included in decisions about their daily routine—such as choosing when to wake, what to wear, or how to spend their leisure time—they are more likely to feel respected and involved in their own care planning.</w:t>
      </w:r>
    </w:p>
    <w:p w:rsidR="00185FF3" w:rsidRPr="00C556CB" w:rsidRDefault="00185FF3" w:rsidP="00C556CB">
      <w:pPr>
        <w:pStyle w:val="NormalWeb"/>
        <w:spacing w:line="360" w:lineRule="auto"/>
        <w:jc w:val="both"/>
      </w:pPr>
      <w:r w:rsidRPr="00C556CB">
        <w:t>However, Kitwood (1997) also warns against the prevalence of 'malignant social psychology' in institutional environments, where carers may unintentionally infantilise or ignore residents' preferences. Such dynamics erode autonomy and can lead to passivity, frustration, or a sense of uselessness among older adults, particularly those with cognitive impairments such as dementia. While training and policy guidance advocate for inclusive, enabling care practices, high staff turnover, low pay, and lack of training often hinder the consistent application of these values (NICE, 2022).</w:t>
      </w:r>
    </w:p>
    <w:p w:rsidR="00185FF3" w:rsidRPr="00C556CB" w:rsidRDefault="00185FF3" w:rsidP="00C556CB">
      <w:pPr>
        <w:pStyle w:val="NormalWeb"/>
        <w:spacing w:line="360" w:lineRule="auto"/>
        <w:jc w:val="both"/>
      </w:pPr>
      <w:r w:rsidRPr="00C556CB">
        <w:t>Cultural expectations also shape perceptions of autonomy. Some older adults, particularly those from collectivist or family-oriented backgrounds, may view care as a shared responsibility and place less emphasis on strict independence. Conversely, others may equate autonomy with pride and self-reliance, experiencing care as a threat to their identity. Thus, autonomy must be understood not only in functional terms but also as a deeply personal and culturally contingent value (Milne and Larkin, 2015).</w:t>
      </w:r>
    </w:p>
    <w:p w:rsidR="00185FF3" w:rsidRPr="00C556CB" w:rsidRDefault="00185FF3" w:rsidP="00C556CB">
      <w:pPr>
        <w:pStyle w:val="NormalWeb"/>
        <w:spacing w:line="360" w:lineRule="auto"/>
        <w:jc w:val="both"/>
      </w:pPr>
      <w:r w:rsidRPr="00C556CB">
        <w:lastRenderedPageBreak/>
        <w:t>A further consideration is the impact of cognitive decline. In both care settings, older adults living with dementia face unique challenges regarding autonomy. Risk-averse practices in residential care often lead to restrictions on movement or decision-making in the name of safety, while home care may rely heavily on family members or carers to interpret preferences. The Mental Capacity Act 2005 provides a legal framework for supporting individuals to make their own decisions wherever possible and requires that any action taken on their behalf be in their best interest and in the least restrictive way. However, the implementation of this framework varies widely and depends heavily on staff training, awareness, and the organisational culture of care providers.</w:t>
      </w:r>
    </w:p>
    <w:p w:rsidR="00185FF3" w:rsidRPr="00C556CB" w:rsidRDefault="00185FF3" w:rsidP="00C556CB">
      <w:pPr>
        <w:pStyle w:val="NormalWeb"/>
        <w:spacing w:line="360" w:lineRule="auto"/>
        <w:jc w:val="both"/>
      </w:pPr>
      <w:r w:rsidRPr="00C556CB">
        <w:t>Importantly, technology has emerged as both a facilitator and a potential barrier to autonomy. Telecare systems, fall detectors, and automated medication dispensers can support independence in the home, particularly when individuals live alone. However, these devices must be implemented sensitively, as excessive monitoring may feel intrusive or reinforce a sense of dependency. Moreover, older adults’ ability to use and trust such technologies varies, and assumptions about digital literacy should be avoided (Greenhalgh et al., 2013).</w:t>
      </w:r>
    </w:p>
    <w:p w:rsidR="00185FF3" w:rsidRPr="00C556CB" w:rsidRDefault="00185FF3" w:rsidP="00C556CB">
      <w:pPr>
        <w:pStyle w:val="NormalWeb"/>
        <w:spacing w:line="360" w:lineRule="auto"/>
        <w:jc w:val="both"/>
      </w:pPr>
      <w:r w:rsidRPr="00C556CB">
        <w:t>In sum, autonomy and independence are widely regarded as pillars of quality of life in later life. The literature suggests that home care—when well-resourced and delivered consistently—offers a more conducive environment for maintaining these values. It allows older adults to continue shaping their daily lives in accordance with their preferences, cultural background, and lifestyle. However, systemic issues such as time pressures, fragmented services, and inadequate training limit the extent to which this potential is realised.</w:t>
      </w:r>
    </w:p>
    <w:p w:rsidR="00185FF3" w:rsidRPr="00C556CB" w:rsidRDefault="00185FF3" w:rsidP="00C556CB">
      <w:pPr>
        <w:pStyle w:val="NormalWeb"/>
        <w:spacing w:line="360" w:lineRule="auto"/>
        <w:jc w:val="both"/>
      </w:pPr>
      <w:r w:rsidRPr="00C556CB">
        <w:t>Residential care, by contrast, often offers less scope for autonomy due to institutional routines, but with appropriate training, staffing, and leadership, it can still deliver person-centred, enabling care. Encouraging residents to participate in decisions, enabling them to take minor risks, and supporting expression of identity can go a long way in enhancing their sense of self and agency. Ultimately, autonomy should not be treated as a luxury but as a right central to the dignity and humanity of older adults.</w:t>
      </w:r>
    </w:p>
    <w:p w:rsidR="00276A5C" w:rsidRPr="00C556CB" w:rsidRDefault="00276A5C" w:rsidP="00C556CB">
      <w:pPr>
        <w:pStyle w:val="Heading3"/>
        <w:spacing w:line="360" w:lineRule="auto"/>
        <w:jc w:val="both"/>
        <w:rPr>
          <w:sz w:val="24"/>
          <w:szCs w:val="24"/>
        </w:rPr>
      </w:pPr>
      <w:r w:rsidRPr="00C556CB">
        <w:rPr>
          <w:rStyle w:val="Strong"/>
          <w:b/>
          <w:bCs/>
          <w:sz w:val="24"/>
          <w:szCs w:val="24"/>
        </w:rPr>
        <w:t>4.4 Theme 2: Social Interaction and Emotional Wellbeing</w:t>
      </w:r>
    </w:p>
    <w:p w:rsidR="00276A5C" w:rsidRPr="00C556CB" w:rsidRDefault="00276A5C" w:rsidP="00C556CB">
      <w:pPr>
        <w:pStyle w:val="NormalWeb"/>
        <w:spacing w:line="360" w:lineRule="auto"/>
        <w:jc w:val="both"/>
      </w:pPr>
      <w:r w:rsidRPr="00C556CB">
        <w:lastRenderedPageBreak/>
        <w:t>Emotional wellbeing and opportunities for social engagement emerged as a core determinant of quality of life across both domiciliary and residential care settings. The literature consistently highlights that older adults’ emotional health is profoundly shaped by the availability, quality, and authenticity of their social interactions. Social isolation and loneliness are not only distressing but are linked with serious health consequences such as depression, cognitive decline, and even increased mortality risk (NICE, 2022; Age UK, 2024). Therefore, the extent to which care environments promote and sustain meaningful relationships is central to overall wellbeing and life satisfaction in later life.</w:t>
      </w:r>
    </w:p>
    <w:p w:rsidR="00276A5C" w:rsidRPr="00C556CB" w:rsidRDefault="00276A5C" w:rsidP="00C556CB">
      <w:pPr>
        <w:pStyle w:val="NormalWeb"/>
        <w:spacing w:line="360" w:lineRule="auto"/>
        <w:jc w:val="both"/>
      </w:pPr>
      <w:r w:rsidRPr="00C556CB">
        <w:t>In residential care, social interaction is often structured and facilitated through organised activities, shared living arrangements, and communal dining spaces. Such environments provide regular opportunities for engagement and can play a critical role in reducing loneliness. Johnson et al. (2019) found that many residents appreciated the companionship and peer contact available in care homes, particularly those who had previously lived alone. This transition can represent a positive shift from isolation to community life, where shared experiences and group activities provide stimulation, conversation, and emotional comfort.</w:t>
      </w:r>
    </w:p>
    <w:p w:rsidR="00276A5C" w:rsidRPr="00C556CB" w:rsidRDefault="00276A5C" w:rsidP="00C556CB">
      <w:pPr>
        <w:pStyle w:val="NormalWeb"/>
        <w:spacing w:line="360" w:lineRule="auto"/>
        <w:jc w:val="both"/>
      </w:pPr>
      <w:r w:rsidRPr="00C556CB">
        <w:t>However, the benefits of residential social interaction are highly contingent upon the culture and management of the care setting. Woolford et al. (2020) note that while some care homes provide vibrant and inclusive social environments, others offer limited or repetitive activities that fail to engage residents meaningfully. In homes with low staffing levels or limited training, social care is often deprioritised in favour of physical support tasks such as feeding and medication administration. This imbalance risks reducing care to a set of functional duties, rather than a holistic human relationship. As a result, residents may feel neglected or depersonalised, even when surrounded by others (CQC, 2023).</w:t>
      </w:r>
    </w:p>
    <w:p w:rsidR="00276A5C" w:rsidRPr="00C556CB" w:rsidRDefault="00276A5C" w:rsidP="00C556CB">
      <w:pPr>
        <w:pStyle w:val="NormalWeb"/>
        <w:spacing w:line="360" w:lineRule="auto"/>
        <w:jc w:val="both"/>
      </w:pPr>
      <w:r w:rsidRPr="00C556CB">
        <w:t xml:space="preserve">The concept of </w:t>
      </w:r>
      <w:r w:rsidRPr="00C556CB">
        <w:rPr>
          <w:rStyle w:val="Strong"/>
          <w:b w:val="0"/>
          <w:bCs w:val="0"/>
        </w:rPr>
        <w:t>“institutional loneliness</w:t>
      </w:r>
      <w:r w:rsidRPr="00C556CB">
        <w:rPr>
          <w:rStyle w:val="Strong"/>
        </w:rPr>
        <w:t>”</w:t>
      </w:r>
      <w:r w:rsidRPr="00C556CB">
        <w:t xml:space="preserve"> captures this paradox—individuals may be physically surrounded by people yet still experience profound emotional isolation if interactions lack warmth, familiarity, or genuine empathy (Prieto-Flores et al., 2011). Emotional wellbeing depends not only on the frequency of social contact but also on its quality and reciprocity. Genuine connections, in which residents feel listened to, respected, and valued, are far more beneficial than superficial exchanges.</w:t>
      </w:r>
    </w:p>
    <w:p w:rsidR="00276A5C" w:rsidRPr="00C556CB" w:rsidRDefault="00276A5C" w:rsidP="00C556CB">
      <w:pPr>
        <w:pStyle w:val="NormalWeb"/>
        <w:spacing w:line="360" w:lineRule="auto"/>
        <w:jc w:val="both"/>
      </w:pPr>
      <w:r w:rsidRPr="00C556CB">
        <w:lastRenderedPageBreak/>
        <w:t>Institutional environments can also be challenging for individuals with specific needs or personalities. Residents living with dementia or sensory impairments may find group settings overwhelming or confusing (Kitwood, 1997). Similarly, introverted individuals or those who prefer quiet environments may struggle with the constant presence of others. Thus, while residential care has the potential to combat loneliness, it must simultaneously respect the diversity of personal preferences. Person-centred care approaches should therefore balance communal activity with opportunities for privacy and reflection.</w:t>
      </w:r>
    </w:p>
    <w:p w:rsidR="00276A5C" w:rsidRPr="00C556CB" w:rsidRDefault="00276A5C" w:rsidP="00C556CB">
      <w:pPr>
        <w:pStyle w:val="NormalWeb"/>
        <w:spacing w:line="360" w:lineRule="auto"/>
        <w:jc w:val="both"/>
      </w:pPr>
      <w:r w:rsidRPr="00C556CB">
        <w:t>In contrast, domiciliary care allows older adults to remain within familiar social contexts—close to family, neighbours, and local communities. This continuity of place supports a sense of belonging and identity, both of which are essential components of emotional wellbeing (Sixsmith and Sixsmith, 2008). Being surrounded by familiar objects, pets, and community landmarks helps maintain connections to one’s past and reinforces feelings of stability and purpose. Home-based living also enables individuals to preserve their preferred lifestyle rhythms and social relationships, which may not be replicable in institutional environments.</w:t>
      </w:r>
    </w:p>
    <w:p w:rsidR="00276A5C" w:rsidRPr="00C556CB" w:rsidRDefault="00276A5C" w:rsidP="00C556CB">
      <w:pPr>
        <w:pStyle w:val="NormalWeb"/>
        <w:spacing w:line="360" w:lineRule="auto"/>
        <w:jc w:val="both"/>
      </w:pPr>
      <w:r w:rsidRPr="00C556CB">
        <w:t xml:space="preserve">However, the reality for many individuals receiving home care is that their primary, or sometimes only, social contact is with visiting care workers (Age UK, 2024). When visits are brief—often 15 to 30 minutes—and heavily task-oriented, carers may have little opportunity to engage in meaningful conversation or emotional support. NICE (2022) emphasises that emotional care should be considered as integral to service provision as physical assistance, yet time pressures, underfunding, and workforce shortages often prevent this from occurring in practice. The transactional nature of such visits can result in what Kitwood (1997) terms </w:t>
      </w:r>
      <w:r w:rsidRPr="00C556CB">
        <w:rPr>
          <w:rStyle w:val="Emphasis"/>
        </w:rPr>
        <w:t>malignant social psychology</w:t>
      </w:r>
      <w:r w:rsidRPr="00C556CB">
        <w:t>, where the person is reduced to a task or object of care rather than an individual with emotional depth and history.</w:t>
      </w:r>
    </w:p>
    <w:p w:rsidR="00276A5C" w:rsidRPr="00C556CB" w:rsidRDefault="00276A5C" w:rsidP="00C556CB">
      <w:pPr>
        <w:pStyle w:val="NormalWeb"/>
        <w:spacing w:line="360" w:lineRule="auto"/>
        <w:jc w:val="both"/>
      </w:pPr>
      <w:r w:rsidRPr="00C556CB">
        <w:t>Continuity of relationships plays a crucial role in emotional stability. Research consistently shows that when care recipients are supported by the same care workers over time, trust and rapport develop, fostering a sense of emotional security and belonging (Wilson et al., 2020). Conversely, frequent changes in staff can cause anxiety, confusion, and sadness, particularly among individuals with cognitive impairment. In domiciliary care, staff turnover is a significant problem, with many workers leaving due to low pay and challenging conditions (Skills for Care, 2023). These systemic issues directly affect the emotional wellbeing of service users.</w:t>
      </w:r>
    </w:p>
    <w:p w:rsidR="00276A5C" w:rsidRPr="00C556CB" w:rsidRDefault="00276A5C" w:rsidP="00C556CB">
      <w:pPr>
        <w:pStyle w:val="NormalWeb"/>
        <w:spacing w:line="360" w:lineRule="auto"/>
        <w:jc w:val="both"/>
      </w:pPr>
      <w:r w:rsidRPr="00C556CB">
        <w:lastRenderedPageBreak/>
        <w:t>A similar issue exists in residential care, where the emotional bonds between residents and staff are often disrupted by high turnover or reliance on agency staff. Stable staffing enables continuity of emotional connection—an essential foundation for compassionate care. Kitwood’s (1997) emphasis on relationship-centred care suggests that such consistency is vital for maintaining personhood, particularly for residents with dementia who rely on routine and familiarity to make sense of their environment.</w:t>
      </w:r>
    </w:p>
    <w:p w:rsidR="00276A5C" w:rsidRPr="00C556CB" w:rsidRDefault="00276A5C" w:rsidP="00C556CB">
      <w:pPr>
        <w:pStyle w:val="NormalWeb"/>
        <w:spacing w:line="360" w:lineRule="auto"/>
        <w:jc w:val="both"/>
      </w:pPr>
      <w:r w:rsidRPr="00C556CB">
        <w:t>Social wellbeing is also influenced by the broader organisational culture of care. According to Brooker and Latham (2016), care settings that embed the principles of person-centredness—respect, empathy, and individual recognition—are more likely to promote emotional wellbeing. Conversely, hierarchical or task-driven cultures tend to depersonalise care, diminishing emotional fulfilment for both residents and staff. Staff morale is closely tied to residents’ experiences; when carers feel valued, supported, and emotionally connected to their work, this positive energy transfers to those they support (McCormack and McCance, 2017).</w:t>
      </w:r>
    </w:p>
    <w:p w:rsidR="00276A5C" w:rsidRPr="00C556CB" w:rsidRDefault="00276A5C" w:rsidP="00C556CB">
      <w:pPr>
        <w:pStyle w:val="NormalWeb"/>
        <w:spacing w:line="360" w:lineRule="auto"/>
        <w:jc w:val="both"/>
      </w:pPr>
      <w:r w:rsidRPr="00C556CB">
        <w:t>For home care, community integration and social participation are equally important. Some local councils and voluntary organisations have developed innovative community-based schemes that link older adults with befriending services, volunteer visitors, and social clubs. Evidence from the CQC (2023) indicates that such initiatives can significantly reduce feelings of isolation among older adults living at home, especially when these services complement formal care provision. However, access remains uneven across regions, with rural and deprived areas often experiencing gaps in community provision.</w:t>
      </w:r>
    </w:p>
    <w:p w:rsidR="00276A5C" w:rsidRPr="00C556CB" w:rsidRDefault="00276A5C" w:rsidP="00C556CB">
      <w:pPr>
        <w:pStyle w:val="NormalWeb"/>
        <w:spacing w:line="360" w:lineRule="auto"/>
        <w:jc w:val="both"/>
      </w:pPr>
      <w:r w:rsidRPr="00C556CB">
        <w:t>Technology also plays an increasing role in supporting emotional wellbeing and social contact. Video calling platforms, online social groups, and digital reminiscence tools can help older adults stay connected with family and friends, particularly when mobility or geography restricts visits. Yet digital inclusion remains a major challenge; many older people lack the skills, confidence, or financial means to use such technology effectively (Greenhalgh et al., 2013). Thus, while technology can enhance social connectedness, it cannot replace the human warmth that underpins true emotional wellbeing.</w:t>
      </w:r>
    </w:p>
    <w:p w:rsidR="00276A5C" w:rsidRPr="00C556CB" w:rsidRDefault="00276A5C" w:rsidP="00C556CB">
      <w:pPr>
        <w:pStyle w:val="NormalWeb"/>
        <w:spacing w:line="360" w:lineRule="auto"/>
        <w:jc w:val="both"/>
      </w:pPr>
      <w:r w:rsidRPr="00C556CB">
        <w:t xml:space="preserve">Policy frameworks in the UK, such as the </w:t>
      </w:r>
      <w:r w:rsidRPr="00C556CB">
        <w:rPr>
          <w:rStyle w:val="Emphasis"/>
        </w:rPr>
        <w:t>Care Act 2014</w:t>
      </w:r>
      <w:r w:rsidRPr="00C556CB">
        <w:t xml:space="preserve"> and the </w:t>
      </w:r>
      <w:r w:rsidRPr="00C556CB">
        <w:rPr>
          <w:rStyle w:val="Emphasis"/>
        </w:rPr>
        <w:t>NICE Quality Standard for Older People’s Care</w:t>
      </w:r>
      <w:r w:rsidRPr="00C556CB">
        <w:t xml:space="preserve"> (2022), underscore the importance of promoting wellbeing through </w:t>
      </w:r>
      <w:r w:rsidRPr="00C556CB">
        <w:lastRenderedPageBreak/>
        <w:t>social inclusion, participation, and relationships. These frameworks call for integrated approaches that consider emotional and psychological dimensions of health alongside physical care. Despite these ambitions, ongoing challenges such as workforce shortages, financial pressures, and limited cross-sector collaboration continue to hinder effective implementation (Department of Health and Social Care, 2022).</w:t>
      </w:r>
    </w:p>
    <w:p w:rsidR="00276A5C" w:rsidRPr="00C556CB" w:rsidRDefault="00276A5C" w:rsidP="00C556CB">
      <w:pPr>
        <w:pStyle w:val="NormalWeb"/>
        <w:spacing w:line="360" w:lineRule="auto"/>
        <w:jc w:val="both"/>
      </w:pPr>
      <w:r w:rsidRPr="00C556CB">
        <w:t>In conclusion, both residential and domiciliary care environments have the potential to enhance or impair emotional wellbeing, depending on how care is delivered and organised. Residential settings may provide structured opportunities for social engagement and companionship, but the quality of these interactions is crucial. When care is impersonal or rushed, residents can experience “institutional loneliness” despite being surrounded by others. Conversely, home care supports emotional wellbeing through familiarity and community connections, but risks profound isolation if social contact is limited to brief, functional visits. Consistent, empathetic relationships with carers, supported by adequate staffing, training, and community links, are essential for fostering emotional security and fulfilment in both settings.</w:t>
      </w:r>
    </w:p>
    <w:p w:rsidR="00185FF3" w:rsidRPr="00C556CB" w:rsidRDefault="00185FF3" w:rsidP="00C556CB">
      <w:pPr>
        <w:pStyle w:val="Heading3"/>
        <w:spacing w:line="360" w:lineRule="auto"/>
        <w:jc w:val="both"/>
        <w:rPr>
          <w:sz w:val="24"/>
          <w:szCs w:val="24"/>
        </w:rPr>
      </w:pPr>
      <w:r w:rsidRPr="00C556CB">
        <w:rPr>
          <w:rStyle w:val="Strong"/>
          <w:b/>
          <w:bCs/>
          <w:sz w:val="24"/>
          <w:szCs w:val="24"/>
        </w:rPr>
        <w:t>4.5 Theme 3: Quality and Continuity of Care</w:t>
      </w:r>
    </w:p>
    <w:p w:rsidR="00185FF3" w:rsidRPr="00C556CB" w:rsidRDefault="00185FF3" w:rsidP="00C556CB">
      <w:pPr>
        <w:pStyle w:val="NormalWeb"/>
        <w:spacing w:line="360" w:lineRule="auto"/>
        <w:jc w:val="both"/>
      </w:pPr>
      <w:r w:rsidRPr="00C556CB">
        <w:t>The quality and consistency of care provided were identified as critical dimensions of quality of life across both care models. Residential care is typically staffed by trained personnel and supervised continuously, which facilitates 24-hour support, medication management, and access to emergency assistance (CQC, 2023). These features can contribute to safety and peace of mind for both residents and their families.</w:t>
      </w:r>
    </w:p>
    <w:p w:rsidR="00185FF3" w:rsidRPr="00C556CB" w:rsidRDefault="00185FF3" w:rsidP="00C556CB">
      <w:pPr>
        <w:pStyle w:val="NormalWeb"/>
        <w:spacing w:line="360" w:lineRule="auto"/>
        <w:jc w:val="both"/>
      </w:pPr>
      <w:r w:rsidRPr="00C556CB">
        <w:t>However, despite regulatory oversight, care quality in residential settings is inconsistent. Understaffing, poor leadership, and high staff turnover often compromise standards (Woolford et al., 2020). In some care homes, staff are not trained to provide culturally competent or dementia-sensitive care, leading to poor outcomes for residents with specific needs. Personalisation—though promoted in policy—may not always be implemented effectively on the ground.</w:t>
      </w:r>
    </w:p>
    <w:p w:rsidR="00185FF3" w:rsidRPr="00C556CB" w:rsidRDefault="00185FF3" w:rsidP="00C556CB">
      <w:pPr>
        <w:pStyle w:val="NormalWeb"/>
        <w:spacing w:line="360" w:lineRule="auto"/>
        <w:jc w:val="both"/>
      </w:pPr>
      <w:r w:rsidRPr="00C556CB">
        <w:t xml:space="preserve">Home care is often perceived as more flexible and personalised, particularly when the same care workers support individuals over time. Older people value being known and understood by their carers, which promotes dignity and trust (Glendinning et al., 2021). However, the </w:t>
      </w:r>
      <w:r w:rsidRPr="00C556CB">
        <w:lastRenderedPageBreak/>
        <w:t>reality is that home care services across the UK are severely stretched. Visits may be limited to 15 minutes, carers are often late or unfamiliar, and service coordination is fragmented (NICE, 2022). These issues are particularly acute in rural or underfunded areas.</w:t>
      </w:r>
    </w:p>
    <w:p w:rsidR="00185FF3" w:rsidRPr="00C556CB" w:rsidRDefault="00185FF3" w:rsidP="00C556CB">
      <w:pPr>
        <w:pStyle w:val="NormalWeb"/>
        <w:spacing w:line="360" w:lineRule="auto"/>
        <w:jc w:val="both"/>
      </w:pPr>
      <w:r w:rsidRPr="00C556CB">
        <w:t>The Care Act 2014 places a duty on local authorities to provide coordinated, outcome-focused support that promotes wellbeing. Yet, a CQC (2023) review found widespread inequalities in the availability and quality of home care provision. Some regions offer outstanding personalised support, while others fail to meet basic care standards due to funding constraints and workforce shortages.</w:t>
      </w:r>
    </w:p>
    <w:p w:rsidR="00185FF3" w:rsidRPr="00C556CB" w:rsidRDefault="00185FF3" w:rsidP="00C556CB">
      <w:pPr>
        <w:pStyle w:val="NormalWeb"/>
        <w:spacing w:line="360" w:lineRule="auto"/>
        <w:jc w:val="both"/>
      </w:pPr>
      <w:r w:rsidRPr="00C556CB">
        <w:t>Continuity of care—receiving support from the same staff over time—was repeatedly cited in the literature as a defining feature of high-quality care (Wilson et al., 2020). Where continuity is achieved, older people report feeling safer, more respected, and more confident in their care. Discontinuity, by contrast, leads to confusion, mistrust, and emotional distress.</w:t>
      </w:r>
    </w:p>
    <w:p w:rsidR="00185FF3" w:rsidRPr="00C556CB" w:rsidRDefault="00185FF3" w:rsidP="00C556CB">
      <w:pPr>
        <w:pStyle w:val="NormalWeb"/>
        <w:spacing w:line="360" w:lineRule="auto"/>
        <w:jc w:val="both"/>
      </w:pPr>
      <w:r w:rsidRPr="00C556CB">
        <w:t>Quality of life is not merely about physical safety or cleanliness but also about emotional connection, recognition, and agency. Whether in a care home or a person’s own home, these aspects depend on care being delivered in a manner that is not only competent but also compassionate.</w:t>
      </w:r>
    </w:p>
    <w:p w:rsidR="00185FF3" w:rsidRPr="00C556CB" w:rsidRDefault="00185FF3" w:rsidP="00C556CB">
      <w:pPr>
        <w:pStyle w:val="Heading3"/>
        <w:spacing w:line="360" w:lineRule="auto"/>
        <w:jc w:val="both"/>
        <w:rPr>
          <w:sz w:val="24"/>
          <w:szCs w:val="24"/>
        </w:rPr>
      </w:pPr>
      <w:r w:rsidRPr="00C556CB">
        <w:rPr>
          <w:rStyle w:val="Strong"/>
          <w:b/>
          <w:bCs/>
          <w:sz w:val="24"/>
          <w:szCs w:val="24"/>
        </w:rPr>
        <w:t>4.6 Chapter Conclusion</w:t>
      </w:r>
    </w:p>
    <w:p w:rsidR="00185FF3" w:rsidRPr="00C556CB" w:rsidRDefault="00185FF3" w:rsidP="00C556CB">
      <w:pPr>
        <w:pStyle w:val="NormalWeb"/>
        <w:spacing w:line="360" w:lineRule="auto"/>
        <w:jc w:val="both"/>
      </w:pPr>
      <w:r w:rsidRPr="00C556CB">
        <w:t>This chapter has explored three core themes influencing the quality of life of older adults in care homes and domiciliary settings: autonomy and independence, social interaction and emotional wellbeing, and quality and continuity of care. Domiciliary care was shown to better support autonomy and self-identity, provided the service was consistent and of high quality. Residential care, while offering structured social engagement and 24-hour support, risked depersonalisation and institutionalisation if not underpinned by a strong person-centred ethos.</w:t>
      </w:r>
    </w:p>
    <w:p w:rsidR="00185FF3" w:rsidRPr="00C556CB" w:rsidRDefault="00185FF3" w:rsidP="00C556CB">
      <w:pPr>
        <w:pStyle w:val="NormalWeb"/>
        <w:spacing w:line="360" w:lineRule="auto"/>
        <w:jc w:val="both"/>
      </w:pPr>
      <w:r w:rsidRPr="00C556CB">
        <w:t>Across both models, continuity of relationships and emotional care emerged as key enablers of wellbeing. These findings underline the importance of relationship-centred approaches, adequate staffing, and flexible, individualised care planning. Ultimately, quality of life in older age is shaped as much by how care is delivered as where it is delivered.</w:t>
      </w:r>
    </w:p>
    <w:p w:rsidR="00185FF3" w:rsidRPr="00C556CB" w:rsidRDefault="00185FF3" w:rsidP="00C556CB">
      <w:pPr>
        <w:pStyle w:val="NormalWeb"/>
        <w:spacing w:line="360" w:lineRule="auto"/>
        <w:jc w:val="both"/>
      </w:pPr>
      <w:r w:rsidRPr="00C556CB">
        <w:lastRenderedPageBreak/>
        <w:t>The next chapter will consolidate these findings into clear conclusions and offer evidence-based recommendations for improving service provision in both care contexts.</w:t>
      </w:r>
    </w:p>
    <w:p w:rsidR="00FC0218" w:rsidRDefault="00276A5C" w:rsidP="00C556CB">
      <w:pPr>
        <w:pStyle w:val="Heading2"/>
        <w:spacing w:line="360" w:lineRule="auto"/>
        <w:rPr>
          <w:rStyle w:val="Strong"/>
          <w:b/>
          <w:bCs/>
          <w:sz w:val="24"/>
          <w:szCs w:val="24"/>
        </w:rPr>
      </w:pPr>
      <w:r w:rsidRPr="00C556CB">
        <w:rPr>
          <w:rStyle w:val="Strong"/>
          <w:b/>
          <w:bCs/>
          <w:sz w:val="24"/>
          <w:szCs w:val="24"/>
        </w:rPr>
        <w:t xml:space="preserve">     </w:t>
      </w:r>
    </w:p>
    <w:p w:rsidR="00FC0218" w:rsidRDefault="00FC0218" w:rsidP="00C556CB">
      <w:pPr>
        <w:pStyle w:val="Heading2"/>
        <w:spacing w:line="360" w:lineRule="auto"/>
        <w:rPr>
          <w:rStyle w:val="Strong"/>
          <w:b/>
          <w:bCs/>
          <w:sz w:val="24"/>
          <w:szCs w:val="24"/>
        </w:rPr>
      </w:pPr>
    </w:p>
    <w:p w:rsidR="00FC0218" w:rsidRDefault="00FC0218" w:rsidP="00C556CB">
      <w:pPr>
        <w:pStyle w:val="Heading2"/>
        <w:spacing w:line="360" w:lineRule="auto"/>
        <w:rPr>
          <w:rStyle w:val="Strong"/>
          <w:b/>
          <w:bCs/>
          <w:sz w:val="24"/>
          <w:szCs w:val="24"/>
        </w:rPr>
      </w:pPr>
    </w:p>
    <w:p w:rsidR="00276A5C" w:rsidRPr="00C556CB" w:rsidRDefault="00276A5C" w:rsidP="00C556CB">
      <w:pPr>
        <w:pStyle w:val="Heading2"/>
        <w:spacing w:line="360" w:lineRule="auto"/>
        <w:rPr>
          <w:b w:val="0"/>
          <w:bCs w:val="0"/>
          <w:sz w:val="24"/>
          <w:szCs w:val="24"/>
        </w:rPr>
      </w:pPr>
      <w:r w:rsidRPr="00C556CB">
        <w:rPr>
          <w:rStyle w:val="Strong"/>
          <w:b/>
          <w:bCs/>
          <w:sz w:val="24"/>
          <w:szCs w:val="24"/>
        </w:rPr>
        <w:t xml:space="preserve"> CHAPTER 5: CONCLUSION AND RECOMMENDATIONS</w:t>
      </w:r>
    </w:p>
    <w:p w:rsidR="00C556CB" w:rsidRPr="00C556CB" w:rsidRDefault="00C556CB" w:rsidP="00C556CB">
      <w:pPr>
        <w:pStyle w:val="NormalWeb"/>
        <w:spacing w:line="360" w:lineRule="auto"/>
        <w:jc w:val="both"/>
        <w:rPr>
          <w:b/>
          <w:bCs/>
        </w:rPr>
      </w:pPr>
      <w:r w:rsidRPr="00C556CB">
        <w:rPr>
          <w:b/>
          <w:bCs/>
        </w:rPr>
        <w:t>5.1 Overall Conclusion</w:t>
      </w:r>
    </w:p>
    <w:p w:rsidR="00C556CB" w:rsidRPr="00C556CB" w:rsidRDefault="00C556CB" w:rsidP="00C556CB">
      <w:pPr>
        <w:pStyle w:val="NormalWeb"/>
        <w:spacing w:line="360" w:lineRule="auto"/>
        <w:jc w:val="both"/>
      </w:pPr>
      <w:r w:rsidRPr="00C556CB">
        <w:t>This thesis investigated the relative QoL of elderly residents in care home settings and those receiving</w:t>
      </w:r>
      <w:r w:rsidRPr="00C556CB">
        <w:t> </w:t>
      </w:r>
      <w:r w:rsidRPr="00C556CB">
        <w:t>care at home, in the UK. The research was based on a body of current academic literature, policy documentation and industry reports to consider theoretical perspectives on autonomy, socialising, emotional</w:t>
      </w:r>
      <w:r w:rsidRPr="00C556CB">
        <w:t> </w:t>
      </w:r>
      <w:r w:rsidRPr="00C556CB">
        <w:t>wellbeing and continuity of care in the lives of older people within each model. Thematic analysis of published data indicated that QoL is determined by a wide</w:t>
      </w:r>
      <w:r w:rsidRPr="00C556CB">
        <w:t> </w:t>
      </w:r>
      <w:r w:rsidRPr="00C556CB">
        <w:t>range, far beyond clinical/physical issues. Psychological needs, personal identity, relationships and the exercising of meaningful choice were seen to be key components that directly influence well being consistent with person centred care as proposed by Kitwood (1997) and a holistic appreciation of needs proposed in</w:t>
      </w:r>
      <w:r w:rsidRPr="00C556CB">
        <w:t> </w:t>
      </w:r>
      <w:r w:rsidRPr="00C556CB">
        <w:t>Maslow’s hierarchy (Maslow 1943).</w:t>
      </w:r>
    </w:p>
    <w:p w:rsidR="00C556CB" w:rsidRPr="00C556CB" w:rsidRDefault="00C556CB" w:rsidP="00C556CB">
      <w:pPr>
        <w:pStyle w:val="NormalWeb"/>
        <w:spacing w:line="360" w:lineRule="auto"/>
        <w:jc w:val="both"/>
      </w:pPr>
      <w:r w:rsidRPr="00C556CB">
        <w:t>The research objective ​to investigate and compare QoL for older adults in CHCs with that at HC-was covered by three principal</w:t>
      </w:r>
      <w:r w:rsidRPr="00C556CB">
        <w:t> </w:t>
      </w:r>
      <w:r w:rsidRPr="00C556CB">
        <w:t>themes. The first theme, of autonomy and independence, showed that the majority of people preferred home care as it facilitated them being in charge of their lives and living arrangement; nonetheless, this comes at a cost with respect to workforce continuity and service</w:t>
      </w:r>
      <w:r w:rsidRPr="00C556CB">
        <w:t> </w:t>
      </w:r>
      <w:r w:rsidRPr="00C556CB">
        <w:t>credibility. The second theme, social relationships and emotional well-being, suggested the quality of staff–resident communication and relief from institutional routines rather than residential care</w:t>
      </w:r>
      <w:r w:rsidRPr="00C556CB">
        <w:t> </w:t>
      </w:r>
      <w:r w:rsidRPr="00C556CB">
        <w:t>per se may be important in promoting meaningful emotional well-being. Home-based care offers continuity in a familiar environment, yet it has the potential to increase loneliness when patients do not have strong social</w:t>
      </w:r>
      <w:r w:rsidRPr="00C556CB">
        <w:t> </w:t>
      </w:r>
      <w:r w:rsidRPr="00C556CB">
        <w:t xml:space="preserve">networks and receive short, task-oriented home visits. The third theme, quality and continuity of care, revealed that there were challenges in both environments concerning the </w:t>
      </w:r>
      <w:r w:rsidRPr="00C556CB">
        <w:lastRenderedPageBreak/>
        <w:t>workforce, where they felt understaffed (and had high turnover) and underfunded (with the organisation then exerting further pressure), replicating national concerns expressed by Skills for Care (2023) and</w:t>
      </w:r>
      <w:r w:rsidRPr="00C556CB">
        <w:t> </w:t>
      </w:r>
      <w:r w:rsidRPr="00C556CB">
        <w:t>the Care Quality Commission.</w:t>
      </w:r>
    </w:p>
    <w:p w:rsidR="00C556CB" w:rsidRPr="00C556CB" w:rsidRDefault="00C556CB" w:rsidP="00C556CB">
      <w:pPr>
        <w:pStyle w:val="NormalWeb"/>
        <w:spacing w:line="360" w:lineRule="auto"/>
        <w:jc w:val="both"/>
      </w:pPr>
      <w:r w:rsidRPr="00C556CB">
        <w:t>In general, the study suggests that neither care home nor home care provision</w:t>
      </w:r>
      <w:r w:rsidRPr="00C556CB">
        <w:t> </w:t>
      </w:r>
      <w:r w:rsidRPr="00C556CB">
        <w:t>is intrinsically 'better', and that QoL depends on how (rather than where) care is delivered. What is needed to help older people in A personalised, relational approach – driven by staff recruitment, training and connection with community services</w:t>
      </w:r>
      <w:r w:rsidRPr="00C556CB">
        <w:t> </w:t>
      </w:r>
      <w:r w:rsidRPr="00C556CB">
        <w:t>will be key to ensuring better later life. These lessons provide a foundation</w:t>
      </w:r>
      <w:r w:rsidRPr="00C556CB">
        <w:t> </w:t>
      </w:r>
      <w:r w:rsidRPr="00C556CB">
        <w:t>for the following practice, policy and research recommendations.</w:t>
      </w:r>
    </w:p>
    <w:p w:rsidR="00C556CB" w:rsidRPr="00C556CB" w:rsidRDefault="00C556CB" w:rsidP="00C556CB">
      <w:pPr>
        <w:pStyle w:val="NormalWeb"/>
        <w:spacing w:line="360" w:lineRule="auto"/>
        <w:jc w:val="both"/>
        <w:rPr>
          <w:b/>
          <w:bCs/>
        </w:rPr>
      </w:pPr>
    </w:p>
    <w:p w:rsidR="00C556CB" w:rsidRPr="00C556CB" w:rsidRDefault="00C556CB" w:rsidP="00C556CB">
      <w:pPr>
        <w:pStyle w:val="NormalWeb"/>
        <w:spacing w:line="360" w:lineRule="auto"/>
        <w:jc w:val="both"/>
        <w:rPr>
          <w:b/>
          <w:bCs/>
        </w:rPr>
      </w:pPr>
      <w:r w:rsidRPr="00C556CB">
        <w:rPr>
          <w:b/>
          <w:bCs/>
        </w:rPr>
        <w:t>5.2 Recommendations</w:t>
      </w:r>
    </w:p>
    <w:p w:rsidR="00C556CB" w:rsidRPr="00C556CB" w:rsidRDefault="00C556CB" w:rsidP="00C556CB">
      <w:pPr>
        <w:pStyle w:val="NormalWeb"/>
        <w:spacing w:line="360" w:lineRule="auto"/>
        <w:jc w:val="both"/>
        <w:rPr>
          <w:b/>
          <w:bCs/>
        </w:rPr>
      </w:pPr>
      <w:r w:rsidRPr="00C556CB">
        <w:rPr>
          <w:b/>
          <w:bCs/>
        </w:rPr>
        <w:t>5.2.1 Recommendation 1:</w:t>
      </w:r>
      <w:r w:rsidRPr="00C556CB">
        <w:rPr>
          <w:b/>
          <w:bCs/>
        </w:rPr>
        <w:t> </w:t>
      </w:r>
      <w:r w:rsidRPr="00C556CB">
        <w:rPr>
          <w:b/>
          <w:bCs/>
        </w:rPr>
        <w:t>Enhance Staff Training, Support, and Stability</w:t>
      </w:r>
    </w:p>
    <w:p w:rsidR="00C556CB" w:rsidRPr="00C556CB" w:rsidRDefault="00C556CB" w:rsidP="00C556CB">
      <w:pPr>
        <w:pStyle w:val="NormalWeb"/>
        <w:spacing w:line="360" w:lineRule="auto"/>
        <w:jc w:val="both"/>
      </w:pPr>
      <w:r w:rsidRPr="00C556CB">
        <w:t>Quality care</w:t>
      </w:r>
      <w:r w:rsidRPr="00C556CB">
        <w:t> </w:t>
      </w:r>
      <w:r w:rsidRPr="00C556CB">
        <w:t>requires a competent, stable and well-supported workforce. There is a growing body of evidence that demonstrates the relationship between continual staff and trust, emotional security and personalised care (Wilson et al., 2014; Skills for</w:t>
      </w:r>
      <w:r w:rsidRPr="00C556CB">
        <w:t> </w:t>
      </w:r>
      <w:r w:rsidRPr="00C556CB">
        <w:t>Care, 2020). Spending on workforce development should focus particularly on advanced communication</w:t>
      </w:r>
      <w:r w:rsidRPr="00C556CB">
        <w:t> </w:t>
      </w:r>
      <w:r w:rsidRPr="00C556CB">
        <w:t>skills, dementia awareness and cultural competency, all from a relationship-centred care perspective. Better induction, continuing education and mentorship is required to ensure staff have the confidence and</w:t>
      </w:r>
      <w:r w:rsidRPr="00C556CB">
        <w:t> </w:t>
      </w:r>
      <w:r w:rsidRPr="00C556CB">
        <w:t>knowledge needed to be able to engage constructively with older people.</w:t>
      </w:r>
    </w:p>
    <w:p w:rsidR="00C556CB" w:rsidRPr="00C556CB" w:rsidRDefault="00C556CB" w:rsidP="00C556CB">
      <w:pPr>
        <w:pStyle w:val="NormalWeb"/>
        <w:spacing w:line="360" w:lineRule="auto"/>
        <w:jc w:val="both"/>
      </w:pPr>
      <w:r w:rsidRPr="00C556CB">
        <w:t>Better pay, travel time that is paid</w:t>
      </w:r>
      <w:r w:rsidRPr="00C556CB">
        <w:t> </w:t>
      </w:r>
      <w:r w:rsidRPr="00C556CB">
        <w:t>for domiciliary carers and career progression are also key in terms of lowering turnover as low retention rates can be a significant factor that blocks comprehensive care support (Skills for Care, 2023). Such approach corresponds to the Department of Health and Social Care’s (DHSC, 2022)</w:t>
      </w:r>
      <w:r w:rsidRPr="00C556CB">
        <w:t> </w:t>
      </w:r>
      <w:r w:rsidRPr="00C556CB">
        <w:t>aim for a “well-trained, valued and supported workforce” in their adult social care reform strategy.</w:t>
      </w:r>
    </w:p>
    <w:p w:rsidR="00C556CB" w:rsidRPr="00C556CB" w:rsidRDefault="00C556CB" w:rsidP="00C556CB">
      <w:pPr>
        <w:pStyle w:val="NormalWeb"/>
        <w:spacing w:line="360" w:lineRule="auto"/>
        <w:jc w:val="both"/>
        <w:rPr>
          <w:b/>
          <w:bCs/>
        </w:rPr>
      </w:pPr>
      <w:r w:rsidRPr="00C556CB">
        <w:rPr>
          <w:b/>
          <w:bCs/>
        </w:rPr>
        <w:t>Barriers:</w:t>
      </w:r>
    </w:p>
    <w:p w:rsidR="00C556CB" w:rsidRPr="00C556CB" w:rsidRDefault="00C556CB" w:rsidP="00C556CB">
      <w:pPr>
        <w:pStyle w:val="NormalWeb"/>
        <w:numPr>
          <w:ilvl w:val="0"/>
          <w:numId w:val="21"/>
        </w:numPr>
        <w:spacing w:line="360" w:lineRule="auto"/>
        <w:jc w:val="both"/>
      </w:pPr>
      <w:r w:rsidRPr="00C556CB">
        <w:t>Local authority budget constraints</w:t>
      </w:r>
    </w:p>
    <w:p w:rsidR="00C556CB" w:rsidRPr="00C556CB" w:rsidRDefault="00C556CB" w:rsidP="00C556CB">
      <w:pPr>
        <w:pStyle w:val="NormalWeb"/>
        <w:numPr>
          <w:ilvl w:val="0"/>
          <w:numId w:val="21"/>
        </w:numPr>
        <w:spacing w:line="360" w:lineRule="auto"/>
        <w:jc w:val="both"/>
      </w:pPr>
      <w:r w:rsidRPr="00C556CB">
        <w:lastRenderedPageBreak/>
        <w:t>Competitive labour market and</w:t>
      </w:r>
      <w:r w:rsidRPr="00C556CB">
        <w:t> </w:t>
      </w:r>
      <w:r w:rsidRPr="00C556CB">
        <w:t>low social care pay</w:t>
      </w:r>
    </w:p>
    <w:p w:rsidR="00C556CB" w:rsidRPr="00C556CB" w:rsidRDefault="00C556CB" w:rsidP="00C556CB">
      <w:pPr>
        <w:pStyle w:val="NormalWeb"/>
        <w:numPr>
          <w:ilvl w:val="0"/>
          <w:numId w:val="21"/>
        </w:numPr>
        <w:spacing w:line="360" w:lineRule="auto"/>
        <w:jc w:val="both"/>
      </w:pPr>
      <w:r w:rsidRPr="00C556CB">
        <w:t>Time constraints</w:t>
      </w:r>
      <w:r w:rsidRPr="00C556CB">
        <w:t> </w:t>
      </w:r>
      <w:r w:rsidRPr="00C556CB">
        <w:t>on training from under-resourced organisations</w:t>
      </w:r>
    </w:p>
    <w:p w:rsidR="00C556CB" w:rsidRPr="00C556CB" w:rsidRDefault="00C556CB" w:rsidP="00C556CB">
      <w:pPr>
        <w:pStyle w:val="NormalWeb"/>
        <w:numPr>
          <w:ilvl w:val="0"/>
          <w:numId w:val="20"/>
        </w:numPr>
        <w:spacing w:line="360" w:lineRule="auto"/>
        <w:jc w:val="both"/>
      </w:pPr>
      <w:r w:rsidRPr="00C556CB">
        <w:t>Overcoming strategies:</w:t>
      </w:r>
    </w:p>
    <w:p w:rsidR="00C556CB" w:rsidRPr="00C556CB" w:rsidRDefault="00C556CB" w:rsidP="00C556CB">
      <w:pPr>
        <w:pStyle w:val="NormalWeb"/>
        <w:numPr>
          <w:ilvl w:val="0"/>
          <w:numId w:val="20"/>
        </w:numPr>
        <w:spacing w:line="360" w:lineRule="auto"/>
        <w:jc w:val="both"/>
      </w:pPr>
      <w:r w:rsidRPr="00C556CB">
        <w:t>Nationwide investment tied to</w:t>
      </w:r>
      <w:r w:rsidRPr="00C556CB">
        <w:t> </w:t>
      </w:r>
      <w:r w:rsidRPr="00C556CB">
        <w:t>jobs training</w:t>
      </w:r>
    </w:p>
    <w:p w:rsidR="00C556CB" w:rsidRPr="00C556CB" w:rsidRDefault="00C556CB" w:rsidP="00C556CB">
      <w:pPr>
        <w:pStyle w:val="NormalWeb"/>
        <w:numPr>
          <w:ilvl w:val="0"/>
          <w:numId w:val="20"/>
        </w:numPr>
        <w:spacing w:line="360" w:lineRule="auto"/>
        <w:jc w:val="both"/>
      </w:pPr>
      <w:r w:rsidRPr="00C556CB">
        <w:t>Commissioning standards that demand evidence of staff training</w:t>
      </w:r>
      <w:r w:rsidRPr="00C556CB">
        <w:t> </w:t>
      </w:r>
      <w:r w:rsidRPr="00C556CB">
        <w:t>and retention</w:t>
      </w:r>
    </w:p>
    <w:p w:rsidR="00C556CB" w:rsidRPr="00C556CB" w:rsidRDefault="00C556CB" w:rsidP="00C556CB">
      <w:pPr>
        <w:pStyle w:val="NormalWeb"/>
        <w:numPr>
          <w:ilvl w:val="0"/>
          <w:numId w:val="20"/>
        </w:numPr>
        <w:spacing w:line="360" w:lineRule="auto"/>
        <w:jc w:val="both"/>
      </w:pPr>
      <w:r w:rsidRPr="00C556CB">
        <w:t>•</w:t>
      </w:r>
      <w:r w:rsidRPr="00C556CB">
        <w:t> </w:t>
      </w:r>
      <w:r w:rsidRPr="00C556CB">
        <w:t>Colleges and training providers providing accredited programs.EditorButton:In partnership with colleges and training providers</w:t>
      </w:r>
    </w:p>
    <w:p w:rsidR="00C556CB" w:rsidRPr="00C556CB" w:rsidRDefault="00C556CB" w:rsidP="00C556CB">
      <w:pPr>
        <w:pStyle w:val="NormalWeb"/>
        <w:numPr>
          <w:ilvl w:val="0"/>
          <w:numId w:val="20"/>
        </w:numPr>
        <w:spacing w:line="360" w:lineRule="auto"/>
        <w:jc w:val="both"/>
      </w:pPr>
      <w:r w:rsidRPr="00C556CB">
        <w:t>Statutory recognition frameworks to</w:t>
      </w:r>
      <w:r w:rsidRPr="00C556CB">
        <w:t> </w:t>
      </w:r>
      <w:r w:rsidRPr="00C556CB">
        <w:t>raise the status and retention of jobs</w:t>
      </w:r>
    </w:p>
    <w:p w:rsidR="00C556CB" w:rsidRPr="00C556CB" w:rsidRDefault="00C556CB" w:rsidP="00C556CB">
      <w:pPr>
        <w:pStyle w:val="NormalWeb"/>
        <w:numPr>
          <w:ilvl w:val="0"/>
          <w:numId w:val="20"/>
        </w:numPr>
        <w:spacing w:line="360" w:lineRule="auto"/>
        <w:jc w:val="both"/>
      </w:pPr>
      <w:r w:rsidRPr="00C556CB">
        <w:t>A better skilled workforce would improve relational care</w:t>
      </w:r>
      <w:r w:rsidRPr="00C556CB">
        <w:t> </w:t>
      </w:r>
      <w:r w:rsidRPr="00C556CB">
        <w:t>quality and continuity as well as emotional support for older people.</w:t>
      </w:r>
    </w:p>
    <w:p w:rsidR="00C556CB" w:rsidRPr="00E725B9" w:rsidRDefault="00C556CB" w:rsidP="00C556CB">
      <w:pPr>
        <w:spacing w:line="360" w:lineRule="auto"/>
        <w:jc w:val="both"/>
      </w:pPr>
    </w:p>
    <w:p w:rsidR="00C556CB" w:rsidRPr="00C556CB" w:rsidRDefault="00C556CB" w:rsidP="00C556CB">
      <w:pPr>
        <w:pStyle w:val="NormalWeb"/>
        <w:spacing w:line="360" w:lineRule="auto"/>
        <w:jc w:val="both"/>
        <w:rPr>
          <w:b/>
          <w:bCs/>
        </w:rPr>
      </w:pPr>
      <w:r w:rsidRPr="00C556CB">
        <w:rPr>
          <w:b/>
          <w:bCs/>
        </w:rPr>
        <w:t>5.2.2 Recommendation 2: Move Beyond Flexible,</w:t>
      </w:r>
      <w:r w:rsidRPr="00C556CB">
        <w:rPr>
          <w:b/>
          <w:bCs/>
        </w:rPr>
        <w:t> </w:t>
      </w:r>
      <w:r w:rsidRPr="00C556CB">
        <w:rPr>
          <w:b/>
          <w:bCs/>
        </w:rPr>
        <w:t>Client-Centred Models of Care</w:t>
      </w:r>
    </w:p>
    <w:p w:rsidR="00C556CB" w:rsidRPr="00C556CB" w:rsidRDefault="00C556CB" w:rsidP="00C556CB">
      <w:pPr>
        <w:pStyle w:val="NormalWeb"/>
        <w:spacing w:line="360" w:lineRule="auto"/>
        <w:jc w:val="both"/>
      </w:pPr>
      <w:r w:rsidRPr="00C556CB">
        <w:t>The results suggest that autonomy, dignity and emotional wellbeing are highly enhanced when older people have control over the time of their day and build deep relationships with</w:t>
      </w:r>
      <w:r w:rsidRPr="00C556CB">
        <w:t> </w:t>
      </w:r>
      <w:r w:rsidRPr="00C556CB">
        <w:t>caring staff. Those</w:t>
      </w:r>
      <w:r w:rsidRPr="00C556CB">
        <w:t> </w:t>
      </w:r>
      <w:r w:rsidRPr="00C556CB">
        <w:t>who plan care around relationships have helped further our understanding of what the promotion and maintenance of emotional contacts and personal selves are crucial components in QoL (SCIE, 2020).</w:t>
      </w:r>
    </w:p>
    <w:p w:rsidR="00C556CB" w:rsidRPr="00C556CB" w:rsidRDefault="00C556CB" w:rsidP="00C556CB">
      <w:pPr>
        <w:pStyle w:val="NormalWeb"/>
        <w:spacing w:line="360" w:lineRule="auto"/>
        <w:jc w:val="both"/>
      </w:pPr>
      <w:r w:rsidRPr="00C556CB">
        <w:t>Task-orientated commissioning</w:t>
      </w:r>
      <w:r w:rsidRPr="00C556CB">
        <w:t> </w:t>
      </w:r>
      <w:r w:rsidRPr="00C556CB">
        <w:t>leads to pressured 15-minute visits, leaving no space for conversation and relationship building in home care. Flexibility in</w:t>
      </w:r>
      <w:r w:rsidRPr="00C556CB">
        <w:t> </w:t>
      </w:r>
      <w:r w:rsidRPr="00C556CB">
        <w:t>scheduling would enable caregivers to develop a trusting relationship, support autonomy and offer emotional comfort. In residential settings, promoting empowerment and shared</w:t>
      </w:r>
      <w:r w:rsidRPr="00C556CB">
        <w:t> </w:t>
      </w:r>
      <w:r w:rsidRPr="00C556CB">
        <w:t>decision making around meals, schedules, activities and personal preferences support residents coming up against institutionalisation (Woolford et al., 2020).</w:t>
      </w:r>
    </w:p>
    <w:p w:rsidR="00C556CB" w:rsidRPr="00C556CB" w:rsidRDefault="00C556CB" w:rsidP="00C556CB">
      <w:pPr>
        <w:pStyle w:val="NormalWeb"/>
        <w:spacing w:line="360" w:lineRule="auto"/>
        <w:jc w:val="both"/>
        <w:rPr>
          <w:b/>
          <w:bCs/>
        </w:rPr>
      </w:pPr>
      <w:r w:rsidRPr="00C556CB">
        <w:rPr>
          <w:b/>
          <w:bCs/>
        </w:rPr>
        <w:t>Barriers:</w:t>
      </w:r>
    </w:p>
    <w:p w:rsidR="00C556CB" w:rsidRPr="00C556CB" w:rsidRDefault="00C556CB" w:rsidP="00C556CB">
      <w:pPr>
        <w:pStyle w:val="NormalWeb"/>
        <w:numPr>
          <w:ilvl w:val="0"/>
          <w:numId w:val="20"/>
        </w:numPr>
        <w:spacing w:line="360" w:lineRule="auto"/>
        <w:jc w:val="both"/>
      </w:pPr>
      <w:r w:rsidRPr="00C556CB">
        <w:t>Provision of systems which</w:t>
      </w:r>
      <w:r w:rsidRPr="00C556CB">
        <w:t> </w:t>
      </w:r>
      <w:r w:rsidRPr="00C556CB">
        <w:t>are time and task based</w:t>
      </w:r>
    </w:p>
    <w:p w:rsidR="00C556CB" w:rsidRPr="00C556CB" w:rsidRDefault="00C556CB" w:rsidP="00C556CB">
      <w:pPr>
        <w:pStyle w:val="NormalWeb"/>
        <w:numPr>
          <w:ilvl w:val="0"/>
          <w:numId w:val="20"/>
        </w:numPr>
        <w:spacing w:line="360" w:lineRule="auto"/>
        <w:jc w:val="both"/>
      </w:pPr>
      <w:r w:rsidRPr="00C556CB">
        <w:t>Staffing shortages restricting flexibility</w:t>
      </w:r>
    </w:p>
    <w:p w:rsidR="00C556CB" w:rsidRPr="00C556CB" w:rsidRDefault="00C556CB" w:rsidP="00C556CB">
      <w:pPr>
        <w:pStyle w:val="NormalWeb"/>
        <w:numPr>
          <w:ilvl w:val="0"/>
          <w:numId w:val="20"/>
        </w:numPr>
        <w:spacing w:line="360" w:lineRule="auto"/>
        <w:jc w:val="both"/>
      </w:pPr>
      <w:r w:rsidRPr="00C556CB">
        <w:t>Care home processes that emphasize task</w:t>
      </w:r>
      <w:r w:rsidRPr="00C556CB">
        <w:t> </w:t>
      </w:r>
      <w:r w:rsidRPr="00C556CB">
        <w:t>efficiency</w:t>
      </w:r>
    </w:p>
    <w:p w:rsidR="00C556CB" w:rsidRPr="00C556CB" w:rsidRDefault="00C556CB" w:rsidP="00C556CB">
      <w:pPr>
        <w:pStyle w:val="NormalWeb"/>
        <w:numPr>
          <w:ilvl w:val="0"/>
          <w:numId w:val="22"/>
        </w:numPr>
        <w:spacing w:line="360" w:lineRule="auto"/>
        <w:jc w:val="both"/>
      </w:pPr>
      <w:r w:rsidRPr="00C556CB">
        <w:lastRenderedPageBreak/>
        <w:t>Overcoming strategies:</w:t>
      </w:r>
    </w:p>
    <w:p w:rsidR="00C556CB" w:rsidRPr="00C556CB" w:rsidRDefault="00C556CB" w:rsidP="00C556CB">
      <w:pPr>
        <w:pStyle w:val="NormalWeb"/>
        <w:numPr>
          <w:ilvl w:val="0"/>
          <w:numId w:val="22"/>
        </w:numPr>
        <w:spacing w:line="360" w:lineRule="auto"/>
        <w:jc w:val="both"/>
      </w:pPr>
      <w:r w:rsidRPr="00C556CB">
        <w:t>Change the commissioning of services from task-oriented to outcomes-based</w:t>
      </w:r>
      <w:r w:rsidRPr="00C556CB">
        <w:t> </w:t>
      </w:r>
      <w:r w:rsidRPr="00C556CB">
        <w:t>models</w:t>
      </w:r>
    </w:p>
    <w:p w:rsidR="00C556CB" w:rsidRPr="00C556CB" w:rsidRDefault="00C556CB" w:rsidP="00C556CB">
      <w:pPr>
        <w:pStyle w:val="NormalWeb"/>
        <w:numPr>
          <w:ilvl w:val="0"/>
          <w:numId w:val="22"/>
        </w:numPr>
        <w:spacing w:line="360" w:lineRule="auto"/>
        <w:jc w:val="both"/>
      </w:pPr>
      <w:r w:rsidRPr="00C556CB">
        <w:t>Integrate relational</w:t>
      </w:r>
      <w:r w:rsidRPr="00C556CB">
        <w:t> </w:t>
      </w:r>
      <w:r w:rsidRPr="00C556CB">
        <w:t>care into CQC quality evaluations</w:t>
      </w:r>
    </w:p>
    <w:p w:rsidR="00C556CB" w:rsidRPr="00C556CB" w:rsidRDefault="00C556CB" w:rsidP="00C556CB">
      <w:pPr>
        <w:pStyle w:val="NormalWeb"/>
        <w:spacing w:line="360" w:lineRule="auto"/>
        <w:jc w:val="both"/>
      </w:pPr>
      <w:r w:rsidRPr="00C556CB">
        <w:t>Encourage small household or “Green House” models that decrease the</w:t>
      </w:r>
      <w:r w:rsidRPr="00C556CB">
        <w:t> </w:t>
      </w:r>
      <w:r w:rsidRPr="00C556CB">
        <w:t>institutionalization culture</w:t>
      </w:r>
    </w:p>
    <w:p w:rsidR="00C556CB" w:rsidRPr="00C556CB" w:rsidRDefault="00C556CB" w:rsidP="00C556CB">
      <w:pPr>
        <w:pStyle w:val="NormalWeb"/>
        <w:spacing w:line="360" w:lineRule="auto"/>
        <w:jc w:val="both"/>
      </w:pPr>
      <w:r w:rsidRPr="00C556CB">
        <w:t>• Increase staffing ratios where feasible</w:t>
      </w:r>
    </w:p>
    <w:p w:rsidR="00C556CB" w:rsidRPr="00C556CB" w:rsidRDefault="00C556CB" w:rsidP="00C556CB">
      <w:pPr>
        <w:pStyle w:val="NormalWeb"/>
        <w:spacing w:line="360" w:lineRule="auto"/>
        <w:jc w:val="both"/>
      </w:pPr>
      <w:r w:rsidRPr="00C556CB">
        <w:t>Integral relational practice across the two systems would contribute much to these people’s emotional and psychological wellbeing in their</w:t>
      </w:r>
      <w:r w:rsidRPr="00C556CB">
        <w:t> </w:t>
      </w:r>
      <w:r w:rsidRPr="00C556CB">
        <w:t>later years.</w:t>
      </w:r>
    </w:p>
    <w:p w:rsidR="003F1C17" w:rsidRDefault="003F1C17" w:rsidP="00C556CB">
      <w:pPr>
        <w:pStyle w:val="NormalWeb"/>
        <w:spacing w:line="360" w:lineRule="auto"/>
        <w:jc w:val="both"/>
        <w:rPr>
          <w:b/>
          <w:bCs/>
        </w:rPr>
      </w:pPr>
    </w:p>
    <w:p w:rsidR="00C556CB" w:rsidRPr="00C556CB" w:rsidRDefault="00C556CB" w:rsidP="00C556CB">
      <w:pPr>
        <w:pStyle w:val="NormalWeb"/>
        <w:spacing w:line="360" w:lineRule="auto"/>
        <w:jc w:val="both"/>
        <w:rPr>
          <w:b/>
          <w:bCs/>
        </w:rPr>
      </w:pPr>
      <w:r w:rsidRPr="00C556CB">
        <w:rPr>
          <w:b/>
          <w:bCs/>
        </w:rPr>
        <w:t>5.2.3 Guidance 3: Enhance integration of health,</w:t>
      </w:r>
      <w:r w:rsidRPr="00C556CB">
        <w:rPr>
          <w:b/>
          <w:bCs/>
        </w:rPr>
        <w:t> </w:t>
      </w:r>
      <w:r w:rsidRPr="00C556CB">
        <w:rPr>
          <w:b/>
          <w:bCs/>
        </w:rPr>
        <w:t>social care and community aid</w:t>
      </w:r>
    </w:p>
    <w:p w:rsidR="00C556CB" w:rsidRPr="00C556CB" w:rsidRDefault="00C556CB" w:rsidP="00C556CB">
      <w:pPr>
        <w:pStyle w:val="NormalWeb"/>
        <w:spacing w:line="360" w:lineRule="auto"/>
        <w:jc w:val="both"/>
      </w:pPr>
      <w:r w:rsidRPr="00C556CB">
        <w:t>Broken lines of coordination between the NHS, local authorities,</w:t>
      </w:r>
      <w:r w:rsidRPr="00C556CB">
        <w:t> </w:t>
      </w:r>
      <w:r w:rsidRPr="00C556CB">
        <w:t>voluntary sector and community groups were still impacting on continuity of care for older people (CQC, 2023; DHSC, 2022). ICSS present an opportunity to communicate better, avoid duplication and ensure that older people receive joined up, holistic</w:t>
      </w:r>
      <w:r w:rsidRPr="00C556CB">
        <w:t> </w:t>
      </w:r>
      <w:r w:rsidRPr="00C556CB">
        <w:t>care. For instance, cooperation between home care providers and voluntary organizations can also alleviate loneliness through befriending schemes, community clubs, and intergenerational work</w:t>
      </w:r>
      <w:r w:rsidRPr="00C556CB">
        <w:t> </w:t>
      </w:r>
      <w:r w:rsidRPr="00C556CB">
        <w:t>(Age UK, 2024).</w:t>
      </w:r>
    </w:p>
    <w:p w:rsidR="00C556CB" w:rsidRPr="00C556CB" w:rsidRDefault="00C556CB" w:rsidP="00C556CB">
      <w:pPr>
        <w:pStyle w:val="NormalWeb"/>
        <w:spacing w:line="360" w:lineRule="auto"/>
        <w:jc w:val="both"/>
      </w:pPr>
      <w:r w:rsidRPr="00C556CB">
        <w:t>Better integration would also cut down on hospital stays, provide more immediate support and make for seamless transitions between services for those transitioning between home care and hospital but</w:t>
      </w:r>
      <w:r w:rsidRPr="00C556CB">
        <w:t> </w:t>
      </w:r>
      <w:r w:rsidRPr="00C556CB">
        <w:t>also from hospital to residential care settings.</w:t>
      </w:r>
    </w:p>
    <w:p w:rsidR="00C556CB" w:rsidRPr="00C556CB" w:rsidRDefault="00C556CB" w:rsidP="00C556CB">
      <w:pPr>
        <w:pStyle w:val="NormalWeb"/>
        <w:spacing w:line="360" w:lineRule="auto"/>
        <w:jc w:val="both"/>
        <w:rPr>
          <w:b/>
          <w:bCs/>
        </w:rPr>
      </w:pPr>
      <w:r w:rsidRPr="00C556CB">
        <w:rPr>
          <w:b/>
          <w:bCs/>
        </w:rPr>
        <w:t>Barriers:</w:t>
      </w:r>
    </w:p>
    <w:p w:rsidR="00C556CB" w:rsidRPr="00C556CB" w:rsidRDefault="00C556CB" w:rsidP="00C556CB">
      <w:pPr>
        <w:pStyle w:val="NormalWeb"/>
        <w:numPr>
          <w:ilvl w:val="0"/>
          <w:numId w:val="22"/>
        </w:numPr>
        <w:spacing w:line="360" w:lineRule="auto"/>
        <w:jc w:val="both"/>
      </w:pPr>
      <w:r w:rsidRPr="00C556CB">
        <w:t>Siloed funding arrangements</w:t>
      </w:r>
    </w:p>
    <w:p w:rsidR="00C556CB" w:rsidRPr="00C556CB" w:rsidRDefault="00C556CB" w:rsidP="00C556CB">
      <w:pPr>
        <w:pStyle w:val="NormalWeb"/>
        <w:numPr>
          <w:ilvl w:val="0"/>
          <w:numId w:val="22"/>
        </w:numPr>
        <w:spacing w:line="360" w:lineRule="auto"/>
        <w:jc w:val="both"/>
      </w:pPr>
      <w:r w:rsidRPr="00C556CB">
        <w:t>Variable capacity across regions</w:t>
      </w:r>
    </w:p>
    <w:p w:rsidR="00C556CB" w:rsidRPr="00C556CB" w:rsidRDefault="00C556CB" w:rsidP="00C556CB">
      <w:pPr>
        <w:pStyle w:val="NormalWeb"/>
        <w:numPr>
          <w:ilvl w:val="0"/>
          <w:numId w:val="22"/>
        </w:numPr>
        <w:spacing w:line="360" w:lineRule="auto"/>
        <w:jc w:val="both"/>
      </w:pPr>
      <w:r w:rsidRPr="00C556CB">
        <w:t>Lack of coordinated data sharing</w:t>
      </w:r>
    </w:p>
    <w:p w:rsidR="00C556CB" w:rsidRPr="00C556CB" w:rsidRDefault="00C556CB" w:rsidP="00C556CB">
      <w:pPr>
        <w:pStyle w:val="NormalWeb"/>
        <w:numPr>
          <w:ilvl w:val="0"/>
          <w:numId w:val="23"/>
        </w:numPr>
        <w:spacing w:line="360" w:lineRule="auto"/>
        <w:jc w:val="both"/>
      </w:pPr>
      <w:r w:rsidRPr="00C556CB">
        <w:t>Overcoming strategies:</w:t>
      </w:r>
    </w:p>
    <w:p w:rsidR="00C556CB" w:rsidRPr="00C556CB" w:rsidRDefault="00C556CB" w:rsidP="00C556CB">
      <w:pPr>
        <w:pStyle w:val="NormalWeb"/>
        <w:numPr>
          <w:ilvl w:val="0"/>
          <w:numId w:val="23"/>
        </w:numPr>
        <w:spacing w:line="360" w:lineRule="auto"/>
        <w:jc w:val="both"/>
      </w:pPr>
      <w:r w:rsidRPr="00C556CB">
        <w:t>Decentralized local ICS</w:t>
      </w:r>
      <w:r w:rsidRPr="00C556CB">
        <w:t> </w:t>
      </w:r>
      <w:r w:rsidRPr="00C556CB">
        <w:t>led co-ordination between health and social care</w:t>
      </w:r>
    </w:p>
    <w:p w:rsidR="00C556CB" w:rsidRPr="00C556CB" w:rsidRDefault="00C556CB" w:rsidP="00C556CB">
      <w:pPr>
        <w:pStyle w:val="NormalWeb"/>
        <w:numPr>
          <w:ilvl w:val="0"/>
          <w:numId w:val="23"/>
        </w:numPr>
        <w:spacing w:line="360" w:lineRule="auto"/>
        <w:jc w:val="both"/>
      </w:pPr>
      <w:r w:rsidRPr="00C556CB">
        <w:t>Investment in community-based preventive services</w:t>
      </w:r>
    </w:p>
    <w:p w:rsidR="00C556CB" w:rsidRPr="00C556CB" w:rsidRDefault="00C556CB" w:rsidP="00C556CB">
      <w:pPr>
        <w:pStyle w:val="NormalWeb"/>
        <w:numPr>
          <w:ilvl w:val="0"/>
          <w:numId w:val="23"/>
        </w:numPr>
        <w:spacing w:line="360" w:lineRule="auto"/>
        <w:jc w:val="both"/>
      </w:pPr>
      <w:r w:rsidRPr="00C556CB">
        <w:lastRenderedPageBreak/>
        <w:t>Enhanced</w:t>
      </w:r>
      <w:r w:rsidRPr="00C556CB">
        <w:t> </w:t>
      </w:r>
      <w:r w:rsidRPr="00C556CB">
        <w:t>digital communications systems between agencies</w:t>
      </w:r>
    </w:p>
    <w:p w:rsidR="00C556CB" w:rsidRPr="00C556CB" w:rsidRDefault="00C556CB" w:rsidP="00C556CB">
      <w:pPr>
        <w:pStyle w:val="NormalWeb"/>
        <w:numPr>
          <w:ilvl w:val="0"/>
          <w:numId w:val="23"/>
        </w:numPr>
        <w:spacing w:line="360" w:lineRule="auto"/>
        <w:jc w:val="both"/>
      </w:pPr>
      <w:r w:rsidRPr="00C556CB">
        <w:t>Joint commissioning to reduce fragmentation</w:t>
      </w:r>
    </w:p>
    <w:p w:rsidR="00C556CB" w:rsidRPr="00C556CB" w:rsidRDefault="00C556CB" w:rsidP="00C556CB">
      <w:pPr>
        <w:pStyle w:val="NormalWeb"/>
        <w:spacing w:line="360" w:lineRule="auto"/>
        <w:jc w:val="both"/>
      </w:pPr>
      <w:r w:rsidRPr="00C556CB">
        <w:t>More integration would</w:t>
      </w:r>
      <w:r w:rsidRPr="00C556CB">
        <w:t> </w:t>
      </w:r>
      <w:r w:rsidRPr="00C556CB">
        <w:t>allow older people to benefit from a more holistic care that addresses their cultural, emotional and social needs.</w:t>
      </w:r>
    </w:p>
    <w:p w:rsidR="00C556CB" w:rsidRPr="00C556CB" w:rsidRDefault="00C556CB" w:rsidP="00C556CB">
      <w:pPr>
        <w:pStyle w:val="NormalWeb"/>
        <w:spacing w:line="360" w:lineRule="auto"/>
        <w:jc w:val="both"/>
        <w:rPr>
          <w:b/>
          <w:bCs/>
        </w:rPr>
      </w:pPr>
      <w:r w:rsidRPr="00C556CB">
        <w:rPr>
          <w:b/>
          <w:bCs/>
        </w:rPr>
        <w:t>5.2.4 Recommendation 4</w:t>
      </w:r>
      <w:r w:rsidRPr="00C556CB">
        <w:rPr>
          <w:b/>
          <w:bCs/>
        </w:rPr>
        <w:t> </w:t>
      </w:r>
      <w:r w:rsidRPr="00C556CB">
        <w:rPr>
          <w:b/>
          <w:bCs/>
        </w:rPr>
        <w:t>Encourage Sensitive Use of Digital and Assistive Technology</w:t>
      </w:r>
    </w:p>
    <w:p w:rsidR="00C556CB" w:rsidRPr="00C556CB" w:rsidRDefault="00C556CB" w:rsidP="00C556CB">
      <w:pPr>
        <w:pStyle w:val="NormalWeb"/>
        <w:spacing w:line="360" w:lineRule="auto"/>
        <w:jc w:val="both"/>
      </w:pPr>
      <w:r w:rsidRPr="00C556CB">
        <w:t>These technologies, which include telecare systems with fall detectors and remote monitoring devices, but</w:t>
      </w:r>
      <w:r w:rsidRPr="00C556CB">
        <w:t> </w:t>
      </w:r>
      <w:r w:rsidRPr="00C556CB">
        <w:t>also video communication tools amongst others, can help to facilitate autonomy and safety among older adults, especially those who are living alone or have mobility problems. The literature indicates that there may be a potential for</w:t>
      </w:r>
      <w:r w:rsidRPr="00C556CB">
        <w:t> </w:t>
      </w:r>
      <w:r w:rsidRPr="00C556CB">
        <w:t>technology to mitigate risks towards emotional well-being by reinforcing family connection (Greenhalgh et al., 2013). For all of that, the digital divide is a</w:t>
      </w:r>
      <w:r w:rsidRPr="00C556CB">
        <w:t> </w:t>
      </w:r>
      <w:r w:rsidRPr="00C556CB">
        <w:t>major issue.</w:t>
      </w:r>
    </w:p>
    <w:p w:rsidR="00C556CB" w:rsidRPr="00C556CB" w:rsidRDefault="00C556CB" w:rsidP="00C556CB">
      <w:pPr>
        <w:pStyle w:val="NormalWeb"/>
        <w:spacing w:line="360" w:lineRule="auto"/>
        <w:jc w:val="both"/>
      </w:pPr>
      <w:r w:rsidRPr="00C556CB">
        <w:t>Technology then is</w:t>
      </w:r>
      <w:r w:rsidRPr="00C556CB">
        <w:t> </w:t>
      </w:r>
      <w:r w:rsidRPr="00C556CB">
        <w:t>not a substitute for human care, it must add to it. Older people should be trained in and</w:t>
      </w:r>
      <w:r w:rsidRPr="00C556CB">
        <w:t> </w:t>
      </w:r>
      <w:r w:rsidRPr="00C556CB">
        <w:t>provided with sustained support to use appliances confidently, while staff need to receive training about how to embed technology as part of person-centred care.</w:t>
      </w:r>
    </w:p>
    <w:p w:rsidR="00C556CB" w:rsidRPr="00C556CB" w:rsidRDefault="00C556CB" w:rsidP="00C556CB">
      <w:pPr>
        <w:pStyle w:val="NormalWeb"/>
        <w:spacing w:line="360" w:lineRule="auto"/>
        <w:jc w:val="both"/>
        <w:rPr>
          <w:b/>
          <w:bCs/>
        </w:rPr>
      </w:pPr>
      <w:r w:rsidRPr="00C556CB">
        <w:rPr>
          <w:b/>
          <w:bCs/>
        </w:rPr>
        <w:t>Barriers:</w:t>
      </w:r>
    </w:p>
    <w:p w:rsidR="00C556CB" w:rsidRPr="00C556CB" w:rsidRDefault="00C556CB" w:rsidP="00C556CB">
      <w:pPr>
        <w:pStyle w:val="NormalWeb"/>
        <w:numPr>
          <w:ilvl w:val="0"/>
          <w:numId w:val="23"/>
        </w:numPr>
        <w:spacing w:line="360" w:lineRule="auto"/>
        <w:jc w:val="both"/>
      </w:pPr>
      <w:r w:rsidRPr="00C556CB">
        <w:t>Limited digital literacy</w:t>
      </w:r>
    </w:p>
    <w:p w:rsidR="00C556CB" w:rsidRPr="00C556CB" w:rsidRDefault="00C556CB" w:rsidP="00C556CB">
      <w:pPr>
        <w:pStyle w:val="NormalWeb"/>
        <w:numPr>
          <w:ilvl w:val="0"/>
          <w:numId w:val="23"/>
        </w:numPr>
        <w:spacing w:line="360" w:lineRule="auto"/>
        <w:jc w:val="both"/>
      </w:pPr>
      <w:r w:rsidRPr="00C556CB">
        <w:t>Cost of equipment and connectivity</w:t>
      </w:r>
    </w:p>
    <w:p w:rsidR="00C556CB" w:rsidRPr="00C556CB" w:rsidRDefault="00C556CB" w:rsidP="00C556CB">
      <w:pPr>
        <w:pStyle w:val="NormalWeb"/>
        <w:numPr>
          <w:ilvl w:val="0"/>
          <w:numId w:val="23"/>
        </w:numPr>
        <w:spacing w:line="360" w:lineRule="auto"/>
        <w:jc w:val="both"/>
      </w:pPr>
      <w:r w:rsidRPr="00C556CB">
        <w:t>Fears about</w:t>
      </w:r>
      <w:r w:rsidRPr="00C556CB">
        <w:t> </w:t>
      </w:r>
      <w:r w:rsidRPr="00C556CB">
        <w:t>the loss of privacy or snooping</w:t>
      </w:r>
    </w:p>
    <w:p w:rsidR="00C556CB" w:rsidRPr="00C556CB" w:rsidRDefault="00C556CB" w:rsidP="00C556CB">
      <w:pPr>
        <w:pStyle w:val="NormalWeb"/>
        <w:numPr>
          <w:ilvl w:val="0"/>
          <w:numId w:val="24"/>
        </w:numPr>
        <w:spacing w:line="360" w:lineRule="auto"/>
        <w:jc w:val="both"/>
      </w:pPr>
      <w:r w:rsidRPr="00C556CB">
        <w:t>Overcoming strategies:</w:t>
      </w:r>
    </w:p>
    <w:p w:rsidR="00C556CB" w:rsidRPr="00C556CB" w:rsidRDefault="00C556CB" w:rsidP="00C556CB">
      <w:pPr>
        <w:pStyle w:val="NormalWeb"/>
        <w:numPr>
          <w:ilvl w:val="0"/>
          <w:numId w:val="24"/>
        </w:numPr>
        <w:spacing w:line="360" w:lineRule="auto"/>
        <w:jc w:val="both"/>
      </w:pPr>
      <w:r w:rsidRPr="00C556CB">
        <w:t>Training programmes with a budget for older people and</w:t>
      </w:r>
      <w:r w:rsidRPr="00C556CB">
        <w:t> </w:t>
      </w:r>
      <w:r w:rsidRPr="00C556CB">
        <w:t>carers</w:t>
      </w:r>
    </w:p>
    <w:p w:rsidR="00C556CB" w:rsidRPr="00C556CB" w:rsidRDefault="00C556CB" w:rsidP="00C556CB">
      <w:pPr>
        <w:pStyle w:val="NormalWeb"/>
        <w:numPr>
          <w:ilvl w:val="0"/>
          <w:numId w:val="24"/>
        </w:numPr>
        <w:spacing w:line="360" w:lineRule="auto"/>
        <w:jc w:val="both"/>
      </w:pPr>
      <w:r w:rsidRPr="00C556CB">
        <w:t>Technology grants for low-income households</w:t>
      </w:r>
    </w:p>
    <w:p w:rsidR="00C556CB" w:rsidRPr="00C556CB" w:rsidRDefault="00C556CB" w:rsidP="00C556CB">
      <w:pPr>
        <w:pStyle w:val="NormalWeb"/>
        <w:numPr>
          <w:ilvl w:val="0"/>
          <w:numId w:val="24"/>
        </w:numPr>
        <w:spacing w:line="360" w:lineRule="auto"/>
        <w:jc w:val="both"/>
      </w:pPr>
      <w:r w:rsidRPr="00C556CB">
        <w:t>Co-design methods and the role of older people in</w:t>
      </w:r>
      <w:r w:rsidRPr="00C556CB">
        <w:t> </w:t>
      </w:r>
      <w:r w:rsidRPr="00C556CB">
        <w:t>technology choices</w:t>
      </w:r>
    </w:p>
    <w:p w:rsidR="00C556CB" w:rsidRPr="00C556CB" w:rsidRDefault="00C556CB" w:rsidP="00C556CB">
      <w:pPr>
        <w:pStyle w:val="NormalWeb"/>
        <w:spacing w:line="360" w:lineRule="auto"/>
        <w:jc w:val="both"/>
      </w:pPr>
      <w:r w:rsidRPr="00C556CB">
        <w:t>Digital tools which are used sensitively can support autonomy, communication and safety without</w:t>
      </w:r>
      <w:r w:rsidRPr="00C556CB">
        <w:t> </w:t>
      </w:r>
      <w:r w:rsidRPr="00C556CB">
        <w:t>compromising personal liberty.</w:t>
      </w:r>
    </w:p>
    <w:p w:rsidR="00276A5C" w:rsidRPr="00C556CB" w:rsidRDefault="00276A5C" w:rsidP="00C556CB">
      <w:pPr>
        <w:spacing w:line="360" w:lineRule="auto"/>
        <w:jc w:val="both"/>
      </w:pPr>
    </w:p>
    <w:p w:rsidR="00276A5C" w:rsidRPr="00C556CB" w:rsidRDefault="00276A5C" w:rsidP="00C556CB">
      <w:pPr>
        <w:pStyle w:val="Heading3"/>
        <w:spacing w:line="360" w:lineRule="auto"/>
        <w:jc w:val="both"/>
        <w:rPr>
          <w:sz w:val="24"/>
          <w:szCs w:val="24"/>
        </w:rPr>
      </w:pPr>
      <w:r w:rsidRPr="00C556CB">
        <w:rPr>
          <w:rStyle w:val="Strong"/>
          <w:b/>
          <w:bCs/>
          <w:sz w:val="24"/>
          <w:szCs w:val="24"/>
        </w:rPr>
        <w:t>5.6 Final Reflection</w:t>
      </w:r>
    </w:p>
    <w:p w:rsidR="00C556CB" w:rsidRPr="00C556CB" w:rsidRDefault="00C556CB" w:rsidP="00C556CB">
      <w:pPr>
        <w:pStyle w:val="NormalWeb"/>
        <w:spacing w:line="360" w:lineRule="auto"/>
        <w:jc w:val="both"/>
      </w:pPr>
      <w:r w:rsidRPr="00C556CB">
        <w:lastRenderedPageBreak/>
        <w:t>This result is vindication that the end-of-life quality of persons late in life has its origins more in relationship and affect</w:t>
      </w:r>
      <w:r w:rsidRPr="00C556CB">
        <w:t> </w:t>
      </w:r>
      <w:r w:rsidRPr="00C556CB">
        <w:t>than simply in having care given to them. Although physical care, safety and clinical understanding are still vital tasks, the profile of</w:t>
      </w:r>
      <w:r w:rsidRPr="00C556CB">
        <w:t> </w:t>
      </w:r>
      <w:r w:rsidRPr="00C556CB">
        <w:t>older people who are not living with dementia developed in this dissertation have indicated that recognition of these individuals as thinking persons with personal histories, likes or dislikes and a sense of identity is also valued highly (Kitwood, 1997). From living in a residential care home or needing domiciliary support, older</w:t>
      </w:r>
      <w:r w:rsidRPr="00C556CB">
        <w:t> </w:t>
      </w:r>
      <w:r w:rsidRPr="00C556CB">
        <w:t>people thrive where care is provided with respect and through meaningful relationships that are characterised by continuity of staff and opportunities to socialise.</w:t>
      </w:r>
    </w:p>
    <w:p w:rsidR="00C556CB" w:rsidRPr="00C556CB" w:rsidRDefault="00C556CB" w:rsidP="00C556CB">
      <w:pPr>
        <w:pStyle w:val="NormalWeb"/>
        <w:spacing w:line="360" w:lineRule="auto"/>
        <w:jc w:val="both"/>
      </w:pPr>
      <w:r w:rsidRPr="00C556CB">
        <w:t>The results illustrate that both residential and home care based approaches have inherent advantages along</w:t>
      </w:r>
      <w:r w:rsidRPr="00C556CB">
        <w:t> </w:t>
      </w:r>
      <w:r w:rsidRPr="00C556CB">
        <w:t>with common system barriers. Community or other residential environments can potentially provide structure, security and opportunities for social inclusion but may also face the danger of a “culture of the institution” that is not conducive people's autonomy</w:t>
      </w:r>
      <w:r w:rsidRPr="00C556CB">
        <w:t> </w:t>
      </w:r>
      <w:r w:rsidRPr="00C556CB">
        <w:t>(Woolford et al., 2020). By contrast, home care increases independence and enables a sense of continuity of familiar environments,</w:t>
      </w:r>
      <w:r w:rsidRPr="00C556CB">
        <w:t> </w:t>
      </w:r>
      <w:r w:rsidRPr="00C556CB">
        <w:t>although loneliness or intermittent support may result when visits are quick or patchy (Glendinning et al., 2021). These illuminate broader sector issues around workforce depletion, inconsistent quality, and the strain on local authority budgets</w:t>
      </w:r>
      <w:r w:rsidRPr="00C556CB">
        <w:t> </w:t>
      </w:r>
      <w:r w:rsidRPr="00C556CB">
        <w:t>(Skills for Care, 2023; CQC, 2023).</w:t>
      </w:r>
    </w:p>
    <w:p w:rsidR="00C556CB" w:rsidRPr="00C556CB" w:rsidRDefault="00C556CB" w:rsidP="00C556CB">
      <w:pPr>
        <w:pStyle w:val="NormalWeb"/>
        <w:spacing w:line="360" w:lineRule="auto"/>
        <w:jc w:val="both"/>
      </w:pPr>
      <w:r w:rsidRPr="00C556CB">
        <w:t>An important feature of this study is the focus on the care practice, workforce skill and support</w:t>
      </w:r>
      <w:r w:rsidRPr="00C556CB">
        <w:t> </w:t>
      </w:r>
      <w:r w:rsidRPr="00C556CB">
        <w:t>of the broader community as interconnected. The study indicates that the best quality of life is achieved through individualized, relationship-based and coordinated care systems</w:t>
      </w:r>
      <w:r w:rsidRPr="00C556CB">
        <w:t> </w:t>
      </w:r>
      <w:r w:rsidRPr="00C556CB">
        <w:t>involved in health and community services. This</w:t>
      </w:r>
      <w:r w:rsidRPr="00C556CB">
        <w:t> </w:t>
      </w:r>
      <w:r w:rsidRPr="00C556CB">
        <w:t>corresponds with current policy goals of enabling person-centred care, ageing in place and greater inter-sectorial collaboration (DHSC, 2022; SCIE, 2020).</w:t>
      </w:r>
    </w:p>
    <w:p w:rsidR="00C556CB" w:rsidRPr="00C556CB" w:rsidRDefault="00C556CB" w:rsidP="00C556CB">
      <w:pPr>
        <w:pStyle w:val="NormalWeb"/>
        <w:spacing w:line="360" w:lineRule="auto"/>
        <w:jc w:val="both"/>
      </w:pPr>
      <w:r w:rsidRPr="00C556CB">
        <w:t>The dissertation concludes by contending that adult care must move away from task-based and traditional models, to a practice that is rooted in the notions of dignity,</w:t>
      </w:r>
      <w:r w:rsidRPr="00C556CB">
        <w:t> </w:t>
      </w:r>
      <w:r w:rsidRPr="00C556CB">
        <w:t>autonomy and emotional well-being. Because the rights and experiences of</w:t>
      </w:r>
      <w:r w:rsidRPr="00C556CB">
        <w:t> </w:t>
      </w:r>
      <w:r w:rsidRPr="00C556CB">
        <w:t>older people — not institutional convenience — ought to be at the heart of all caregiving. As people in the UK get older, incorporating compassionate, relational and evidence-informed practice throughout residential and domiciliary care will be crucial to enabling a</w:t>
      </w:r>
      <w:r w:rsidRPr="00C556CB">
        <w:t> </w:t>
      </w:r>
      <w:r w:rsidRPr="00C556CB">
        <w:t>good later life.</w:t>
      </w:r>
    </w:p>
    <w:p w:rsidR="00504CF8" w:rsidRPr="00C556CB" w:rsidRDefault="00504CF8" w:rsidP="00C556CB">
      <w:pPr>
        <w:pStyle w:val="NormalWeb"/>
        <w:spacing w:line="360" w:lineRule="auto"/>
        <w:jc w:val="both"/>
      </w:pPr>
      <w:r w:rsidRPr="00C556CB">
        <w:rPr>
          <w:rStyle w:val="Strong"/>
        </w:rPr>
        <w:lastRenderedPageBreak/>
        <w:t xml:space="preserve">References </w:t>
      </w:r>
    </w:p>
    <w:p w:rsidR="00276A5C" w:rsidRDefault="00276A5C" w:rsidP="00C556CB">
      <w:pPr>
        <w:pStyle w:val="NormalWeb"/>
        <w:spacing w:line="360" w:lineRule="auto"/>
      </w:pPr>
      <w:r w:rsidRPr="00C556CB">
        <w:t xml:space="preserve">Age UK (2024) </w:t>
      </w:r>
      <w:r w:rsidRPr="00C556CB">
        <w:rPr>
          <w:rStyle w:val="Emphasis"/>
        </w:rPr>
        <w:t>Later Life in the United Kingdom: Key Facts</w:t>
      </w:r>
      <w:r w:rsidRPr="00C556CB">
        <w:t xml:space="preserve">. Available at: </w:t>
      </w:r>
      <w:hyperlink r:id="rId10" w:tgtFrame="_new" w:history="1">
        <w:r w:rsidRPr="00C556CB">
          <w:rPr>
            <w:rStyle w:val="Hyperlink"/>
          </w:rPr>
          <w:t>https://www.ageuk.org.uk</w:t>
        </w:r>
      </w:hyperlink>
      <w:r w:rsidRPr="00C556CB">
        <w:t xml:space="preserve"> (Accessed: 20 October 2025).</w:t>
      </w:r>
      <w:r w:rsidRPr="00C556CB">
        <w:br/>
        <w:t xml:space="preserve">Blakeslee, S. (2004) ‘The CRAAP Test’, </w:t>
      </w:r>
      <w:r w:rsidRPr="00C556CB">
        <w:rPr>
          <w:rStyle w:val="Emphasis"/>
        </w:rPr>
        <w:t>Loex Quarterly</w:t>
      </w:r>
      <w:r w:rsidRPr="00C556CB">
        <w:t>, 31(3), pp. 6–7.</w:t>
      </w:r>
      <w:r w:rsidRPr="00C556CB">
        <w:br/>
        <w:t xml:space="preserve">Braun, V. &amp; Clarke, V. (2006) ‘Using thematic analysis in psychology’, </w:t>
      </w:r>
      <w:r w:rsidRPr="00C556CB">
        <w:rPr>
          <w:rStyle w:val="Emphasis"/>
        </w:rPr>
        <w:t>Qualitative Research in Psychology</w:t>
      </w:r>
      <w:r w:rsidRPr="00C556CB">
        <w:t>, 3(2), pp. 77–101.</w:t>
      </w:r>
      <w:r w:rsidRPr="00C556CB">
        <w:br/>
        <w:t xml:space="preserve">Brooker, D. &amp; Latham, I. (2016) </w:t>
      </w:r>
      <w:r w:rsidRPr="00C556CB">
        <w:rPr>
          <w:rStyle w:val="Emphasis"/>
        </w:rPr>
        <w:t>Person</w:t>
      </w:r>
      <w:r w:rsidRPr="00C556CB">
        <w:rPr>
          <w:rStyle w:val="Emphasis"/>
        </w:rPr>
        <w:noBreakHyphen/>
        <w:t>Centred Dementia Care: Making Services Better</w:t>
      </w:r>
      <w:r w:rsidRPr="00C556CB">
        <w:t>. London: Jessica Kingsley.</w:t>
      </w:r>
      <w:r w:rsidRPr="00C556CB">
        <w:br/>
        <w:t xml:space="preserve">Care Quality Commission (CQC) (2023) </w:t>
      </w:r>
      <w:r w:rsidRPr="00C556CB">
        <w:rPr>
          <w:rStyle w:val="Emphasis"/>
        </w:rPr>
        <w:t>The State of Health Care and Adult Social Care in England 2022/23</w:t>
      </w:r>
      <w:r w:rsidRPr="00C556CB">
        <w:t>. London: CQC.</w:t>
      </w:r>
      <w:r w:rsidRPr="00C556CB">
        <w:br/>
        <w:t xml:space="preserve">Department of Health and Social Care (2022) </w:t>
      </w:r>
      <w:r w:rsidRPr="00C556CB">
        <w:rPr>
          <w:rStyle w:val="Emphasis"/>
        </w:rPr>
        <w:t>People at the Heart of Care: Adult Social Care Reform White Paper</w:t>
      </w:r>
      <w:r w:rsidRPr="00C556CB">
        <w:t>. London: DHSC.</w:t>
      </w:r>
      <w:r w:rsidRPr="00C556CB">
        <w:br/>
        <w:t>Glendinning, C., Jones, K., Baxter, K. &amp; Rabiee, P. (2021) ‘Home care re</w:t>
      </w:r>
      <w:r w:rsidRPr="00C556CB">
        <w:noBreakHyphen/>
        <w:t xml:space="preserve">ablement services for older people in England: comparing costs, user outcomes and stakeholder views’, </w:t>
      </w:r>
      <w:r w:rsidRPr="00C556CB">
        <w:rPr>
          <w:rStyle w:val="Emphasis"/>
        </w:rPr>
        <w:t>Health &amp; Social Care in the Community</w:t>
      </w:r>
      <w:r w:rsidRPr="00C556CB">
        <w:t>, 29(1), pp. 77–87.</w:t>
      </w:r>
      <w:r w:rsidRPr="00C556CB">
        <w:br/>
        <w:t>Greenhalgh, T., Wherton, J., Sugarhood, P., Hinder, S. &amp; Procter, R. (2013) ‘What matters to older people with assisted living needs? A phenomenological analysis of the use and non</w:t>
      </w:r>
      <w:r w:rsidRPr="00C556CB">
        <w:noBreakHyphen/>
        <w:t xml:space="preserve">use of telehealth and telecare’, </w:t>
      </w:r>
      <w:r w:rsidRPr="00C556CB">
        <w:rPr>
          <w:rStyle w:val="Emphasis"/>
        </w:rPr>
        <w:t>Social Science &amp; Medicine</w:t>
      </w:r>
      <w:r w:rsidRPr="00C556CB">
        <w:t>, 93, pp. 86–94.</w:t>
      </w:r>
      <w:r w:rsidRPr="00C556CB">
        <w:br/>
        <w:t xml:space="preserve">Hall, A., Davey, V., McGarrigle, L., Astbury, J., Lazo Green, K., Ahmed, N., Williams, O., Beyer, F., Hanratty, B. &amp; Price, D. (2025) ‘The meaning of “quality” of homecare for older people: a scoping review’, </w:t>
      </w:r>
      <w:r w:rsidRPr="00C556CB">
        <w:rPr>
          <w:rStyle w:val="Emphasis"/>
        </w:rPr>
        <w:t>BMC Health Services Research</w:t>
      </w:r>
      <w:r w:rsidRPr="00C556CB">
        <w:t>, 25, Article number 1009.</w:t>
      </w:r>
      <w:r w:rsidRPr="00C556CB">
        <w:br/>
        <w:t xml:space="preserve">Johnson, E., Woolford, M. &amp; Steel, D. (2019) ‘The evolution of care homes in the UK: policy, practice, and personhood’, </w:t>
      </w:r>
      <w:r w:rsidRPr="00C556CB">
        <w:rPr>
          <w:rStyle w:val="Emphasis"/>
        </w:rPr>
        <w:t>British Journal of Social Work</w:t>
      </w:r>
      <w:r w:rsidRPr="00C556CB">
        <w:t>, 49(5), pp. 1263–1278.</w:t>
      </w:r>
      <w:r w:rsidRPr="00C556CB">
        <w:br/>
        <w:t xml:space="preserve">Kitwood, T. (1997) </w:t>
      </w:r>
      <w:r w:rsidRPr="00C556CB">
        <w:rPr>
          <w:rStyle w:val="Emphasis"/>
        </w:rPr>
        <w:t>Dementia Reconsidered: The Person Comes First</w:t>
      </w:r>
      <w:r w:rsidRPr="00C556CB">
        <w:t>. Buckingham: Open University Press.</w:t>
      </w:r>
      <w:r w:rsidRPr="00C556CB">
        <w:br/>
        <w:t xml:space="preserve">Maslow, A.H. (1943) ‘A Theory of Human Motivation’, </w:t>
      </w:r>
      <w:r w:rsidRPr="00C556CB">
        <w:rPr>
          <w:rStyle w:val="Emphasis"/>
        </w:rPr>
        <w:t>Psychological Review</w:t>
      </w:r>
      <w:r w:rsidRPr="00C556CB">
        <w:t>, 50(4), pp. 370–396.</w:t>
      </w:r>
      <w:r w:rsidRPr="00C556CB">
        <w:br/>
        <w:t xml:space="preserve">McCormack, B. &amp; McCance, T. (2017) </w:t>
      </w:r>
      <w:r w:rsidRPr="00C556CB">
        <w:rPr>
          <w:rStyle w:val="Emphasis"/>
        </w:rPr>
        <w:t>Person</w:t>
      </w:r>
      <w:r w:rsidRPr="00C556CB">
        <w:rPr>
          <w:rStyle w:val="Emphasis"/>
        </w:rPr>
        <w:noBreakHyphen/>
        <w:t>Centred Practice in Nursing and Health Care: Theory and Practice</w:t>
      </w:r>
      <w:r w:rsidRPr="00C556CB">
        <w:t>. 2nd edn. Oxford: Wiley</w:t>
      </w:r>
      <w:r w:rsidRPr="00C556CB">
        <w:noBreakHyphen/>
        <w:t>Blackwell.</w:t>
      </w:r>
      <w:r w:rsidRPr="00C556CB">
        <w:br/>
        <w:t>Milne, A. &amp; Larkin, M. (2015) ‘Knowledge generation about care</w:t>
      </w:r>
      <w:r w:rsidRPr="00C556CB">
        <w:noBreakHyphen/>
        <w:t xml:space="preserve">giving in the UK: A critical review of research paradigms’, </w:t>
      </w:r>
      <w:r w:rsidRPr="00C556CB">
        <w:rPr>
          <w:rStyle w:val="Emphasis"/>
        </w:rPr>
        <w:t>Health &amp; Social Care in the Community</w:t>
      </w:r>
      <w:r w:rsidRPr="00C556CB">
        <w:t>, 23(1), pp. 4–13.</w:t>
      </w:r>
      <w:r w:rsidRPr="00C556CB">
        <w:br/>
      </w:r>
      <w:r w:rsidRPr="00C556CB">
        <w:lastRenderedPageBreak/>
        <w:t xml:space="preserve">National Institute for Health and Care Excellence (2022) </w:t>
      </w:r>
      <w:r w:rsidRPr="00C556CB">
        <w:rPr>
          <w:rStyle w:val="Emphasis"/>
        </w:rPr>
        <w:t>Home care: delivering personal care and practical support to older people living in their own homes</w:t>
      </w:r>
      <w:r w:rsidRPr="00C556CB">
        <w:t>. NICE guideline [NG21].</w:t>
      </w:r>
      <w:r w:rsidRPr="00C556CB">
        <w:br/>
        <w:t xml:space="preserve">O’Neill, M. (2020) ‘The primacy of “home”: An exploration of how older adults experience the transition from living at home to a care home’, </w:t>
      </w:r>
      <w:r w:rsidRPr="00C556CB">
        <w:rPr>
          <w:rStyle w:val="Emphasis"/>
        </w:rPr>
        <w:t>Ageing &amp; Society</w:t>
      </w:r>
      <w:r w:rsidRPr="00C556CB">
        <w:t>, (publication details to be added).</w:t>
      </w:r>
      <w:r w:rsidRPr="00C556CB">
        <w:br/>
        <w:t>Prieto</w:t>
      </w:r>
      <w:r w:rsidRPr="00C556CB">
        <w:noBreakHyphen/>
        <w:t>Flores, M.E., Fernandez</w:t>
      </w:r>
      <w:r w:rsidRPr="00C556CB">
        <w:noBreakHyphen/>
        <w:t>Mayoralas, G., Forjaz, M.J. &amp; Rojo</w:t>
      </w:r>
      <w:r w:rsidRPr="00C556CB">
        <w:noBreakHyphen/>
        <w:t xml:space="preserve">Pérez, F. (2011) ‘Residential satisfaction, sense of belonging and loneliness among older adults living in the community and in care facilities’, </w:t>
      </w:r>
      <w:r w:rsidRPr="00C556CB">
        <w:rPr>
          <w:rStyle w:val="Emphasis"/>
        </w:rPr>
        <w:t>Health &amp; Place</w:t>
      </w:r>
      <w:r w:rsidRPr="00C556CB">
        <w:t>, 17(6), pp. 1183–1190.</w:t>
      </w:r>
      <w:r w:rsidRPr="00C556CB">
        <w:br/>
        <w:t xml:space="preserve">Sixsmith, J. &amp; Sixsmith, A. (2008) ‘Ageing in place in the United Kingdom’, </w:t>
      </w:r>
      <w:r w:rsidRPr="00C556CB">
        <w:rPr>
          <w:rStyle w:val="Emphasis"/>
        </w:rPr>
        <w:t>Ageing International</w:t>
      </w:r>
      <w:r w:rsidRPr="00C556CB">
        <w:t>, 32(3), pp. 219–235.</w:t>
      </w:r>
      <w:r w:rsidRPr="00C556CB">
        <w:br/>
        <w:t xml:space="preserve">Skills for Care (2023) </w:t>
      </w:r>
      <w:r w:rsidRPr="00C556CB">
        <w:rPr>
          <w:rStyle w:val="Emphasis"/>
        </w:rPr>
        <w:t>The State of the Adult Social Care Sector and Workforce in England 2023</w:t>
      </w:r>
      <w:r w:rsidRPr="00C556CB">
        <w:t>. Leeds: Skills for Care.</w:t>
      </w:r>
      <w:r w:rsidRPr="00C556CB">
        <w:br/>
        <w:t>Wilson, C., Graham, M. &amp; Singh, K. (2020) ‘Continuity and consistency in community</w:t>
      </w:r>
      <w:r w:rsidRPr="00C556CB">
        <w:noBreakHyphen/>
        <w:t xml:space="preserve">based elder care: qualitative perspectives from service users’, </w:t>
      </w:r>
      <w:r w:rsidRPr="00C556CB">
        <w:rPr>
          <w:rStyle w:val="Emphasis"/>
        </w:rPr>
        <w:t>British Journal of Community Nursing</w:t>
      </w:r>
      <w:r w:rsidRPr="00C556CB">
        <w:t>, 25(8), pp. 382–388.</w:t>
      </w:r>
      <w:r w:rsidRPr="00C556CB">
        <w:br/>
        <w:t xml:space="preserve">Woolford, M., Steel, D. &amp; Johnson, E. (2020) ‘Older people’s perspectives on life in care homes: a qualitative review’, </w:t>
      </w:r>
      <w:r w:rsidRPr="00C556CB">
        <w:rPr>
          <w:rStyle w:val="Emphasis"/>
        </w:rPr>
        <w:t>British Journal of Social Work</w:t>
      </w:r>
      <w:r w:rsidRPr="00C556CB">
        <w:t>, 50(4), pp. 1123–1141.</w:t>
      </w:r>
      <w:r w:rsidRPr="00C556CB">
        <w:br/>
        <w:t xml:space="preserve">Owen, T., &amp; Meyer, J. (2012) My Home Life: </w:t>
      </w:r>
      <w:r w:rsidRPr="00C556CB">
        <w:rPr>
          <w:rStyle w:val="Emphasis"/>
        </w:rPr>
        <w:t>Promoting Quality of Life in Care Homes</w:t>
      </w:r>
      <w:r w:rsidRPr="00C556CB">
        <w:t>. Joseph Rowntree Foundation (JRF).</w:t>
      </w:r>
      <w:r w:rsidRPr="00C556CB">
        <w:br/>
        <w:t xml:space="preserve">Sykes, W. (2011) ‘Older people’s experiences of home care in England’, </w:t>
      </w:r>
      <w:r w:rsidRPr="00C556CB">
        <w:rPr>
          <w:rStyle w:val="Emphasis"/>
        </w:rPr>
        <w:t>Equality and Human Rights Commission Report</w:t>
      </w:r>
      <w:r w:rsidRPr="00C556CB">
        <w:t>.</w:t>
      </w:r>
    </w:p>
    <w:p w:rsidR="00C556CB" w:rsidRDefault="00C556CB" w:rsidP="00C556CB">
      <w:pPr>
        <w:pStyle w:val="NormalWeb"/>
        <w:spacing w:line="360" w:lineRule="auto"/>
        <w:jc w:val="both"/>
      </w:pPr>
      <w:r>
        <w:t xml:space="preserve">Age UK (2024) </w:t>
      </w:r>
      <w:r>
        <w:rPr>
          <w:rStyle w:val="Emphasis"/>
        </w:rPr>
        <w:t>Later Life in the United Kingdom: Key Facts</w:t>
      </w:r>
      <w:r>
        <w:t>. London: Age UK.</w:t>
      </w:r>
    </w:p>
    <w:p w:rsidR="00C556CB" w:rsidRDefault="00C556CB" w:rsidP="00C556CB">
      <w:pPr>
        <w:pStyle w:val="NormalWeb"/>
        <w:spacing w:line="360" w:lineRule="auto"/>
        <w:jc w:val="both"/>
      </w:pPr>
      <w:r>
        <w:t xml:space="preserve">Department of Health and Social Care (DHSC) (2022) </w:t>
      </w:r>
      <w:r>
        <w:rPr>
          <w:rStyle w:val="Emphasis"/>
        </w:rPr>
        <w:t>People at the Heart of Care: Adult Social Care Reform White Paper</w:t>
      </w:r>
      <w:r>
        <w:t>. London: DHSC.</w:t>
      </w:r>
    </w:p>
    <w:p w:rsidR="00C556CB" w:rsidRDefault="00C556CB" w:rsidP="00C556CB">
      <w:pPr>
        <w:pStyle w:val="NormalWeb"/>
        <w:spacing w:line="360" w:lineRule="auto"/>
        <w:jc w:val="both"/>
      </w:pPr>
      <w:r>
        <w:t xml:space="preserve">Greenhalgh, T., Wherton, J., Sugarhood, P., Hinder, S. and Procter, R. (2013) ‘What matters to older people with assisted living needs? A phenomenological analysis’, </w:t>
      </w:r>
      <w:r>
        <w:rPr>
          <w:rStyle w:val="Emphasis"/>
        </w:rPr>
        <w:t>Social Science &amp; Medicine</w:t>
      </w:r>
      <w:r>
        <w:t>, 93, pp. 86–94.</w:t>
      </w:r>
    </w:p>
    <w:p w:rsidR="00C556CB" w:rsidRDefault="00C556CB" w:rsidP="00C556CB">
      <w:pPr>
        <w:pStyle w:val="NormalWeb"/>
        <w:spacing w:line="360" w:lineRule="auto"/>
        <w:jc w:val="both"/>
      </w:pPr>
      <w:r>
        <w:t xml:space="preserve">Skills for Care (2023) </w:t>
      </w:r>
      <w:r>
        <w:rPr>
          <w:rStyle w:val="Emphasis"/>
        </w:rPr>
        <w:t>The State of the Adult Social Care Sector and Workforce in England 2023</w:t>
      </w:r>
      <w:r>
        <w:t>. Leeds: Skills for Care.</w:t>
      </w:r>
    </w:p>
    <w:p w:rsidR="00C556CB" w:rsidRDefault="00C556CB" w:rsidP="00C556CB">
      <w:pPr>
        <w:pStyle w:val="NormalWeb"/>
        <w:spacing w:line="360" w:lineRule="auto"/>
        <w:jc w:val="both"/>
      </w:pPr>
      <w:r>
        <w:lastRenderedPageBreak/>
        <w:t xml:space="preserve">Social Care Institute for Excellence (SCIE) (2020) </w:t>
      </w:r>
      <w:r>
        <w:rPr>
          <w:rStyle w:val="Emphasis"/>
        </w:rPr>
        <w:t>Relationship-centred care in practice</w:t>
      </w:r>
      <w:r>
        <w:t>. London: SCIE.</w:t>
      </w:r>
    </w:p>
    <w:p w:rsidR="00C556CB" w:rsidRDefault="00C556CB" w:rsidP="00C556CB">
      <w:pPr>
        <w:pStyle w:val="NormalWeb"/>
        <w:spacing w:line="360" w:lineRule="auto"/>
        <w:jc w:val="both"/>
      </w:pPr>
      <w:r>
        <w:t xml:space="preserve">Wilson, C., Robertson, J. and Roberts, A. (2020) ‘Continuity and consistency in community-based elder care: The role of regular carers in improving wellbeing’, </w:t>
      </w:r>
      <w:r>
        <w:rPr>
          <w:rStyle w:val="Emphasis"/>
        </w:rPr>
        <w:t>British Journal of Community Nursing</w:t>
      </w:r>
      <w:r>
        <w:t>, 25(8), pp. 382–388.</w:t>
      </w:r>
    </w:p>
    <w:p w:rsidR="00C556CB" w:rsidRPr="00C556CB" w:rsidRDefault="00C556CB" w:rsidP="00C556CB">
      <w:pPr>
        <w:pStyle w:val="NormalWeb"/>
        <w:spacing w:line="360" w:lineRule="auto"/>
      </w:pPr>
    </w:p>
    <w:p w:rsidR="00276A5C" w:rsidRPr="00C556CB" w:rsidRDefault="00276A5C" w:rsidP="00C556CB">
      <w:pPr>
        <w:spacing w:line="360" w:lineRule="auto"/>
      </w:pPr>
    </w:p>
    <w:p w:rsidR="00504CF8" w:rsidRPr="00C556CB" w:rsidRDefault="00504CF8" w:rsidP="00C556CB">
      <w:pPr>
        <w:pStyle w:val="NormalWeb"/>
        <w:spacing w:line="360" w:lineRule="auto"/>
        <w:jc w:val="both"/>
      </w:pPr>
      <w:r w:rsidRPr="00C556CB">
        <w:t>.</w:t>
      </w:r>
    </w:p>
    <w:p w:rsidR="00504CF8" w:rsidRPr="00C556CB" w:rsidRDefault="00504CF8" w:rsidP="00C556CB">
      <w:pPr>
        <w:spacing w:line="360" w:lineRule="auto"/>
        <w:jc w:val="both"/>
      </w:pPr>
    </w:p>
    <w:sectPr w:rsidR="00504CF8" w:rsidRPr="00C556CB" w:rsidSect="0023602C">
      <w:footerReference w:type="even" r:id="rId11"/>
      <w:footerReference w:type="default" r:id="rId12"/>
      <w:pgSz w:w="11909" w:h="16834"/>
      <w:pgMar w:top="1440" w:right="1440" w:bottom="1800" w:left="1440" w:header="720" w:footer="720" w:gutter="0"/>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5D8A" w:rsidRDefault="00405D8A" w:rsidP="00C556CB">
      <w:r>
        <w:separator/>
      </w:r>
    </w:p>
  </w:endnote>
  <w:endnote w:type="continuationSeparator" w:id="0">
    <w:p w:rsidR="00405D8A" w:rsidRDefault="00405D8A" w:rsidP="00C55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831976116"/>
      <w:docPartObj>
        <w:docPartGallery w:val="Page Numbers (Bottom of Page)"/>
        <w:docPartUnique/>
      </w:docPartObj>
    </w:sdtPr>
    <w:sdtEndPr>
      <w:rPr>
        <w:rStyle w:val="PageNumber"/>
      </w:rPr>
    </w:sdtEndPr>
    <w:sdtContent>
      <w:p w:rsidR="00C556CB" w:rsidRDefault="00C556CB" w:rsidP="005B46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556CB" w:rsidRDefault="00C556CB" w:rsidP="00C556C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13551779"/>
      <w:docPartObj>
        <w:docPartGallery w:val="Page Numbers (Bottom of Page)"/>
        <w:docPartUnique/>
      </w:docPartObj>
    </w:sdtPr>
    <w:sdtEndPr>
      <w:rPr>
        <w:rStyle w:val="PageNumber"/>
      </w:rPr>
    </w:sdtEndPr>
    <w:sdtContent>
      <w:p w:rsidR="00C556CB" w:rsidRDefault="00C556CB" w:rsidP="005B46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A2DBD">
          <w:rPr>
            <w:rStyle w:val="PageNumber"/>
            <w:noProof/>
          </w:rPr>
          <w:t>3</w:t>
        </w:r>
        <w:r>
          <w:rPr>
            <w:rStyle w:val="PageNumber"/>
          </w:rPr>
          <w:fldChar w:fldCharType="end"/>
        </w:r>
      </w:p>
    </w:sdtContent>
  </w:sdt>
  <w:p w:rsidR="00C556CB" w:rsidRDefault="00C556CB" w:rsidP="00C556CB">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5D8A" w:rsidRDefault="00405D8A" w:rsidP="00C556CB">
      <w:r>
        <w:separator/>
      </w:r>
    </w:p>
  </w:footnote>
  <w:footnote w:type="continuationSeparator" w:id="0">
    <w:p w:rsidR="00405D8A" w:rsidRDefault="00405D8A" w:rsidP="00C556C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47680"/>
    <w:multiLevelType w:val="hybridMultilevel"/>
    <w:tmpl w:val="A72E1B76"/>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B76C31"/>
    <w:multiLevelType w:val="hybridMultilevel"/>
    <w:tmpl w:val="CC849574"/>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D90892"/>
    <w:multiLevelType w:val="multilevel"/>
    <w:tmpl w:val="CFB84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A71237E"/>
    <w:multiLevelType w:val="multilevel"/>
    <w:tmpl w:val="A0B26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A7E08BF"/>
    <w:multiLevelType w:val="multilevel"/>
    <w:tmpl w:val="7CAA2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B3334F1"/>
    <w:multiLevelType w:val="multilevel"/>
    <w:tmpl w:val="62D2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F5C2193"/>
    <w:multiLevelType w:val="multilevel"/>
    <w:tmpl w:val="7238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2FE7A0F"/>
    <w:multiLevelType w:val="multilevel"/>
    <w:tmpl w:val="E65CD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9791368"/>
    <w:multiLevelType w:val="hybridMultilevel"/>
    <w:tmpl w:val="DC4CDECE"/>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DA22469"/>
    <w:multiLevelType w:val="multilevel"/>
    <w:tmpl w:val="064CE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52C5F26"/>
    <w:multiLevelType w:val="multilevel"/>
    <w:tmpl w:val="161EC5F0"/>
    <w:lvl w:ilvl="0">
      <w:start w:val="1"/>
      <w:numFmt w:val="bullet"/>
      <w:lvlText w:val=""/>
      <w:lvlJc w:val="left"/>
      <w:pPr>
        <w:tabs>
          <w:tab w:val="num" w:pos="810"/>
        </w:tabs>
        <w:ind w:left="810" w:hanging="360"/>
      </w:pPr>
      <w:rPr>
        <w:rFonts w:ascii="Symbol" w:hAnsi="Symbol" w:hint="default"/>
        <w:sz w:val="20"/>
      </w:rPr>
    </w:lvl>
    <w:lvl w:ilvl="1" w:tentative="1">
      <w:start w:val="1"/>
      <w:numFmt w:val="bullet"/>
      <w:lvlText w:val="o"/>
      <w:lvlJc w:val="left"/>
      <w:pPr>
        <w:tabs>
          <w:tab w:val="num" w:pos="1530"/>
        </w:tabs>
        <w:ind w:left="1530" w:hanging="360"/>
      </w:pPr>
      <w:rPr>
        <w:rFonts w:ascii="Courier New" w:hAnsi="Courier New" w:hint="default"/>
        <w:sz w:val="20"/>
      </w:rPr>
    </w:lvl>
    <w:lvl w:ilvl="2" w:tentative="1">
      <w:start w:val="1"/>
      <w:numFmt w:val="bullet"/>
      <w:lvlText w:val=""/>
      <w:lvlJc w:val="left"/>
      <w:pPr>
        <w:tabs>
          <w:tab w:val="num" w:pos="2250"/>
        </w:tabs>
        <w:ind w:left="2250" w:hanging="360"/>
      </w:pPr>
      <w:rPr>
        <w:rFonts w:ascii="Wingdings" w:hAnsi="Wingdings" w:hint="default"/>
        <w:sz w:val="20"/>
      </w:rPr>
    </w:lvl>
    <w:lvl w:ilvl="3" w:tentative="1">
      <w:start w:val="1"/>
      <w:numFmt w:val="bullet"/>
      <w:lvlText w:val=""/>
      <w:lvlJc w:val="left"/>
      <w:pPr>
        <w:tabs>
          <w:tab w:val="num" w:pos="2970"/>
        </w:tabs>
        <w:ind w:left="2970" w:hanging="360"/>
      </w:pPr>
      <w:rPr>
        <w:rFonts w:ascii="Wingdings" w:hAnsi="Wingdings" w:hint="default"/>
        <w:sz w:val="20"/>
      </w:rPr>
    </w:lvl>
    <w:lvl w:ilvl="4" w:tentative="1">
      <w:start w:val="1"/>
      <w:numFmt w:val="bullet"/>
      <w:lvlText w:val=""/>
      <w:lvlJc w:val="left"/>
      <w:pPr>
        <w:tabs>
          <w:tab w:val="num" w:pos="3690"/>
        </w:tabs>
        <w:ind w:left="3690" w:hanging="360"/>
      </w:pPr>
      <w:rPr>
        <w:rFonts w:ascii="Wingdings" w:hAnsi="Wingdings" w:hint="default"/>
        <w:sz w:val="20"/>
      </w:rPr>
    </w:lvl>
    <w:lvl w:ilvl="5" w:tentative="1">
      <w:start w:val="1"/>
      <w:numFmt w:val="bullet"/>
      <w:lvlText w:val=""/>
      <w:lvlJc w:val="left"/>
      <w:pPr>
        <w:tabs>
          <w:tab w:val="num" w:pos="4410"/>
        </w:tabs>
        <w:ind w:left="4410" w:hanging="360"/>
      </w:pPr>
      <w:rPr>
        <w:rFonts w:ascii="Wingdings" w:hAnsi="Wingdings" w:hint="default"/>
        <w:sz w:val="20"/>
      </w:rPr>
    </w:lvl>
    <w:lvl w:ilvl="6" w:tentative="1">
      <w:start w:val="1"/>
      <w:numFmt w:val="bullet"/>
      <w:lvlText w:val=""/>
      <w:lvlJc w:val="left"/>
      <w:pPr>
        <w:tabs>
          <w:tab w:val="num" w:pos="5130"/>
        </w:tabs>
        <w:ind w:left="5130" w:hanging="360"/>
      </w:pPr>
      <w:rPr>
        <w:rFonts w:ascii="Wingdings" w:hAnsi="Wingdings" w:hint="default"/>
        <w:sz w:val="20"/>
      </w:rPr>
    </w:lvl>
    <w:lvl w:ilvl="7" w:tentative="1">
      <w:start w:val="1"/>
      <w:numFmt w:val="bullet"/>
      <w:lvlText w:val=""/>
      <w:lvlJc w:val="left"/>
      <w:pPr>
        <w:tabs>
          <w:tab w:val="num" w:pos="5850"/>
        </w:tabs>
        <w:ind w:left="5850" w:hanging="360"/>
      </w:pPr>
      <w:rPr>
        <w:rFonts w:ascii="Wingdings" w:hAnsi="Wingdings" w:hint="default"/>
        <w:sz w:val="20"/>
      </w:rPr>
    </w:lvl>
    <w:lvl w:ilvl="8" w:tentative="1">
      <w:start w:val="1"/>
      <w:numFmt w:val="bullet"/>
      <w:lvlText w:val=""/>
      <w:lvlJc w:val="left"/>
      <w:pPr>
        <w:tabs>
          <w:tab w:val="num" w:pos="6570"/>
        </w:tabs>
        <w:ind w:left="6570" w:hanging="360"/>
      </w:pPr>
      <w:rPr>
        <w:rFonts w:ascii="Wingdings" w:hAnsi="Wingdings" w:hint="default"/>
        <w:sz w:val="20"/>
      </w:rPr>
    </w:lvl>
  </w:abstractNum>
  <w:abstractNum w:abstractNumId="11">
    <w:nsid w:val="47177F9B"/>
    <w:multiLevelType w:val="multilevel"/>
    <w:tmpl w:val="5F5C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97A18B7"/>
    <w:multiLevelType w:val="multilevel"/>
    <w:tmpl w:val="8E92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F774D23"/>
    <w:multiLevelType w:val="multilevel"/>
    <w:tmpl w:val="F160B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2611106"/>
    <w:multiLevelType w:val="multilevel"/>
    <w:tmpl w:val="978C4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54D2055"/>
    <w:multiLevelType w:val="multilevel"/>
    <w:tmpl w:val="48684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3574818"/>
    <w:multiLevelType w:val="hybridMultilevel"/>
    <w:tmpl w:val="8DB02B00"/>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95C2B77"/>
    <w:multiLevelType w:val="multilevel"/>
    <w:tmpl w:val="838E5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9982A2D"/>
    <w:multiLevelType w:val="multilevel"/>
    <w:tmpl w:val="7D4E8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B875922"/>
    <w:multiLevelType w:val="multilevel"/>
    <w:tmpl w:val="5BC28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C857531"/>
    <w:multiLevelType w:val="multilevel"/>
    <w:tmpl w:val="52CA5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E185E7E"/>
    <w:multiLevelType w:val="hybridMultilevel"/>
    <w:tmpl w:val="99C81726"/>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FBF401B"/>
    <w:multiLevelType w:val="hybridMultilevel"/>
    <w:tmpl w:val="26D643B4"/>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CA05285"/>
    <w:multiLevelType w:val="hybridMultilevel"/>
    <w:tmpl w:val="1F1A8576"/>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2"/>
  </w:num>
  <w:num w:numId="3">
    <w:abstractNumId w:val="18"/>
  </w:num>
  <w:num w:numId="4">
    <w:abstractNumId w:val="17"/>
  </w:num>
  <w:num w:numId="5">
    <w:abstractNumId w:val="11"/>
  </w:num>
  <w:num w:numId="6">
    <w:abstractNumId w:val="19"/>
  </w:num>
  <w:num w:numId="7">
    <w:abstractNumId w:val="10"/>
  </w:num>
  <w:num w:numId="8">
    <w:abstractNumId w:val="4"/>
  </w:num>
  <w:num w:numId="9">
    <w:abstractNumId w:val="3"/>
  </w:num>
  <w:num w:numId="10">
    <w:abstractNumId w:val="9"/>
  </w:num>
  <w:num w:numId="11">
    <w:abstractNumId w:val="14"/>
  </w:num>
  <w:num w:numId="12">
    <w:abstractNumId w:val="2"/>
  </w:num>
  <w:num w:numId="13">
    <w:abstractNumId w:val="20"/>
  </w:num>
  <w:num w:numId="14">
    <w:abstractNumId w:val="13"/>
  </w:num>
  <w:num w:numId="15">
    <w:abstractNumId w:val="5"/>
  </w:num>
  <w:num w:numId="16">
    <w:abstractNumId w:val="6"/>
  </w:num>
  <w:num w:numId="17">
    <w:abstractNumId w:val="7"/>
  </w:num>
  <w:num w:numId="18">
    <w:abstractNumId w:val="8"/>
  </w:num>
  <w:num w:numId="19">
    <w:abstractNumId w:val="0"/>
  </w:num>
  <w:num w:numId="20">
    <w:abstractNumId w:val="1"/>
  </w:num>
  <w:num w:numId="21">
    <w:abstractNumId w:val="16"/>
  </w:num>
  <w:num w:numId="22">
    <w:abstractNumId w:val="23"/>
  </w:num>
  <w:num w:numId="23">
    <w:abstractNumId w:val="21"/>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411A"/>
    <w:rsid w:val="000935FF"/>
    <w:rsid w:val="001522DD"/>
    <w:rsid w:val="00185FF3"/>
    <w:rsid w:val="001D2A1E"/>
    <w:rsid w:val="001D5EE3"/>
    <w:rsid w:val="0020411A"/>
    <w:rsid w:val="0023602C"/>
    <w:rsid w:val="00276A5C"/>
    <w:rsid w:val="002A489C"/>
    <w:rsid w:val="003F1C17"/>
    <w:rsid w:val="00405D8A"/>
    <w:rsid w:val="00504CF8"/>
    <w:rsid w:val="00524B74"/>
    <w:rsid w:val="005637C0"/>
    <w:rsid w:val="008C1C7E"/>
    <w:rsid w:val="009A6273"/>
    <w:rsid w:val="00A9317E"/>
    <w:rsid w:val="00AF2EB7"/>
    <w:rsid w:val="00B57551"/>
    <w:rsid w:val="00B87065"/>
    <w:rsid w:val="00BA2DBD"/>
    <w:rsid w:val="00C556CB"/>
    <w:rsid w:val="00CA30FA"/>
    <w:rsid w:val="00E27F68"/>
    <w:rsid w:val="00FC0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489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0411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0411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0411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276A5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11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0411A"/>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20411A"/>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20411A"/>
    <w:rPr>
      <w:b/>
      <w:bCs/>
    </w:rPr>
  </w:style>
  <w:style w:type="paragraph" w:styleId="NormalWeb">
    <w:name w:val="Normal (Web)"/>
    <w:basedOn w:val="Normal"/>
    <w:uiPriority w:val="99"/>
    <w:unhideWhenUsed/>
    <w:rsid w:val="0020411A"/>
    <w:pPr>
      <w:spacing w:before="100" w:beforeAutospacing="1" w:after="100" w:afterAutospacing="1"/>
    </w:pPr>
  </w:style>
  <w:style w:type="character" w:styleId="Hyperlink">
    <w:name w:val="Hyperlink"/>
    <w:basedOn w:val="DefaultParagraphFont"/>
    <w:uiPriority w:val="99"/>
    <w:unhideWhenUsed/>
    <w:rsid w:val="00504CF8"/>
    <w:rPr>
      <w:color w:val="0563C1" w:themeColor="hyperlink"/>
      <w:u w:val="single"/>
    </w:rPr>
  </w:style>
  <w:style w:type="character" w:customStyle="1" w:styleId="UnresolvedMention">
    <w:name w:val="Unresolved Mention"/>
    <w:basedOn w:val="DefaultParagraphFont"/>
    <w:uiPriority w:val="99"/>
    <w:semiHidden/>
    <w:unhideWhenUsed/>
    <w:rsid w:val="00504CF8"/>
    <w:rPr>
      <w:color w:val="605E5C"/>
      <w:shd w:val="clear" w:color="auto" w:fill="E1DFDD"/>
    </w:rPr>
  </w:style>
  <w:style w:type="character" w:styleId="Emphasis">
    <w:name w:val="Emphasis"/>
    <w:basedOn w:val="DefaultParagraphFont"/>
    <w:uiPriority w:val="20"/>
    <w:qFormat/>
    <w:rsid w:val="00504CF8"/>
    <w:rPr>
      <w:i/>
      <w:iCs/>
    </w:rPr>
  </w:style>
  <w:style w:type="character" w:customStyle="1" w:styleId="Heading4Char">
    <w:name w:val="Heading 4 Char"/>
    <w:basedOn w:val="DefaultParagraphFont"/>
    <w:link w:val="Heading4"/>
    <w:uiPriority w:val="9"/>
    <w:semiHidden/>
    <w:rsid w:val="00276A5C"/>
    <w:rPr>
      <w:rFonts w:asciiTheme="majorHAnsi" w:eastAsiaTheme="majorEastAsia" w:hAnsiTheme="majorHAnsi" w:cstheme="majorBidi"/>
      <w:i/>
      <w:iCs/>
      <w:color w:val="2F5496" w:themeColor="accent1" w:themeShade="BF"/>
      <w:kern w:val="0"/>
      <w:lang w:eastAsia="en-GB"/>
      <w14:ligatures w14:val="none"/>
    </w:rPr>
  </w:style>
  <w:style w:type="paragraph" w:styleId="Footer">
    <w:name w:val="footer"/>
    <w:basedOn w:val="Normal"/>
    <w:link w:val="FooterChar"/>
    <w:uiPriority w:val="99"/>
    <w:unhideWhenUsed/>
    <w:rsid w:val="00C556CB"/>
    <w:pPr>
      <w:tabs>
        <w:tab w:val="center" w:pos="4513"/>
        <w:tab w:val="right" w:pos="9026"/>
      </w:tabs>
    </w:pPr>
  </w:style>
  <w:style w:type="character" w:customStyle="1" w:styleId="FooterChar">
    <w:name w:val="Footer Char"/>
    <w:basedOn w:val="DefaultParagraphFont"/>
    <w:link w:val="Footer"/>
    <w:uiPriority w:val="99"/>
    <w:rsid w:val="00C556CB"/>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556CB"/>
  </w:style>
  <w:style w:type="paragraph" w:styleId="BodyText">
    <w:name w:val="Body Text"/>
    <w:basedOn w:val="Normal"/>
    <w:link w:val="BodyTextChar"/>
    <w:uiPriority w:val="1"/>
    <w:unhideWhenUsed/>
    <w:qFormat/>
    <w:rsid w:val="001D2A1E"/>
    <w:pPr>
      <w:widowControl w:val="0"/>
      <w:autoSpaceDE w:val="0"/>
      <w:autoSpaceDN w:val="0"/>
    </w:pPr>
    <w:rPr>
      <w:rFonts w:ascii="Arial" w:eastAsia="Calibri Light" w:hAnsi="Arial" w:cs="Calibri Light"/>
      <w:sz w:val="22"/>
      <w:szCs w:val="22"/>
      <w:lang w:val="en-GB" w:bidi="en-GB"/>
    </w:rPr>
  </w:style>
  <w:style w:type="character" w:customStyle="1" w:styleId="BodyTextChar">
    <w:name w:val="Body Text Char"/>
    <w:basedOn w:val="DefaultParagraphFont"/>
    <w:link w:val="BodyText"/>
    <w:uiPriority w:val="1"/>
    <w:rsid w:val="001D2A1E"/>
    <w:rPr>
      <w:rFonts w:ascii="Arial" w:eastAsia="Calibri Light" w:hAnsi="Arial" w:cs="Calibri Light"/>
      <w:kern w:val="0"/>
      <w:sz w:val="22"/>
      <w:szCs w:val="22"/>
      <w:lang w:val="en-GB" w:eastAsia="en-GB" w:bidi="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489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0411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0411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0411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276A5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11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0411A"/>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20411A"/>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20411A"/>
    <w:rPr>
      <w:b/>
      <w:bCs/>
    </w:rPr>
  </w:style>
  <w:style w:type="paragraph" w:styleId="NormalWeb">
    <w:name w:val="Normal (Web)"/>
    <w:basedOn w:val="Normal"/>
    <w:uiPriority w:val="99"/>
    <w:unhideWhenUsed/>
    <w:rsid w:val="0020411A"/>
    <w:pPr>
      <w:spacing w:before="100" w:beforeAutospacing="1" w:after="100" w:afterAutospacing="1"/>
    </w:pPr>
  </w:style>
  <w:style w:type="character" w:styleId="Hyperlink">
    <w:name w:val="Hyperlink"/>
    <w:basedOn w:val="DefaultParagraphFont"/>
    <w:uiPriority w:val="99"/>
    <w:unhideWhenUsed/>
    <w:rsid w:val="00504CF8"/>
    <w:rPr>
      <w:color w:val="0563C1" w:themeColor="hyperlink"/>
      <w:u w:val="single"/>
    </w:rPr>
  </w:style>
  <w:style w:type="character" w:customStyle="1" w:styleId="UnresolvedMention">
    <w:name w:val="Unresolved Mention"/>
    <w:basedOn w:val="DefaultParagraphFont"/>
    <w:uiPriority w:val="99"/>
    <w:semiHidden/>
    <w:unhideWhenUsed/>
    <w:rsid w:val="00504CF8"/>
    <w:rPr>
      <w:color w:val="605E5C"/>
      <w:shd w:val="clear" w:color="auto" w:fill="E1DFDD"/>
    </w:rPr>
  </w:style>
  <w:style w:type="character" w:styleId="Emphasis">
    <w:name w:val="Emphasis"/>
    <w:basedOn w:val="DefaultParagraphFont"/>
    <w:uiPriority w:val="20"/>
    <w:qFormat/>
    <w:rsid w:val="00504CF8"/>
    <w:rPr>
      <w:i/>
      <w:iCs/>
    </w:rPr>
  </w:style>
  <w:style w:type="character" w:customStyle="1" w:styleId="Heading4Char">
    <w:name w:val="Heading 4 Char"/>
    <w:basedOn w:val="DefaultParagraphFont"/>
    <w:link w:val="Heading4"/>
    <w:uiPriority w:val="9"/>
    <w:semiHidden/>
    <w:rsid w:val="00276A5C"/>
    <w:rPr>
      <w:rFonts w:asciiTheme="majorHAnsi" w:eastAsiaTheme="majorEastAsia" w:hAnsiTheme="majorHAnsi" w:cstheme="majorBidi"/>
      <w:i/>
      <w:iCs/>
      <w:color w:val="2F5496" w:themeColor="accent1" w:themeShade="BF"/>
      <w:kern w:val="0"/>
      <w:lang w:eastAsia="en-GB"/>
      <w14:ligatures w14:val="none"/>
    </w:rPr>
  </w:style>
  <w:style w:type="paragraph" w:styleId="Footer">
    <w:name w:val="footer"/>
    <w:basedOn w:val="Normal"/>
    <w:link w:val="FooterChar"/>
    <w:uiPriority w:val="99"/>
    <w:unhideWhenUsed/>
    <w:rsid w:val="00C556CB"/>
    <w:pPr>
      <w:tabs>
        <w:tab w:val="center" w:pos="4513"/>
        <w:tab w:val="right" w:pos="9026"/>
      </w:tabs>
    </w:pPr>
  </w:style>
  <w:style w:type="character" w:customStyle="1" w:styleId="FooterChar">
    <w:name w:val="Footer Char"/>
    <w:basedOn w:val="DefaultParagraphFont"/>
    <w:link w:val="Footer"/>
    <w:uiPriority w:val="99"/>
    <w:rsid w:val="00C556CB"/>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556CB"/>
  </w:style>
  <w:style w:type="paragraph" w:styleId="BodyText">
    <w:name w:val="Body Text"/>
    <w:basedOn w:val="Normal"/>
    <w:link w:val="BodyTextChar"/>
    <w:uiPriority w:val="1"/>
    <w:unhideWhenUsed/>
    <w:qFormat/>
    <w:rsid w:val="001D2A1E"/>
    <w:pPr>
      <w:widowControl w:val="0"/>
      <w:autoSpaceDE w:val="0"/>
      <w:autoSpaceDN w:val="0"/>
    </w:pPr>
    <w:rPr>
      <w:rFonts w:ascii="Arial" w:eastAsia="Calibri Light" w:hAnsi="Arial" w:cs="Calibri Light"/>
      <w:sz w:val="22"/>
      <w:szCs w:val="22"/>
      <w:lang w:val="en-GB" w:bidi="en-GB"/>
    </w:rPr>
  </w:style>
  <w:style w:type="character" w:customStyle="1" w:styleId="BodyTextChar">
    <w:name w:val="Body Text Char"/>
    <w:basedOn w:val="DefaultParagraphFont"/>
    <w:link w:val="BodyText"/>
    <w:uiPriority w:val="1"/>
    <w:rsid w:val="001D2A1E"/>
    <w:rPr>
      <w:rFonts w:ascii="Arial" w:eastAsia="Calibri Light" w:hAnsi="Arial" w:cs="Calibri Light"/>
      <w:kern w:val="0"/>
      <w:sz w:val="22"/>
      <w:szCs w:val="22"/>
      <w:lang w:val="en-GB"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919017">
      <w:bodyDiv w:val="1"/>
      <w:marLeft w:val="0"/>
      <w:marRight w:val="0"/>
      <w:marTop w:val="0"/>
      <w:marBottom w:val="0"/>
      <w:divBdr>
        <w:top w:val="none" w:sz="0" w:space="0" w:color="auto"/>
        <w:left w:val="none" w:sz="0" w:space="0" w:color="auto"/>
        <w:bottom w:val="none" w:sz="0" w:space="0" w:color="auto"/>
        <w:right w:val="none" w:sz="0" w:space="0" w:color="auto"/>
      </w:divBdr>
    </w:div>
    <w:div w:id="311911796">
      <w:bodyDiv w:val="1"/>
      <w:marLeft w:val="0"/>
      <w:marRight w:val="0"/>
      <w:marTop w:val="0"/>
      <w:marBottom w:val="0"/>
      <w:divBdr>
        <w:top w:val="none" w:sz="0" w:space="0" w:color="auto"/>
        <w:left w:val="none" w:sz="0" w:space="0" w:color="auto"/>
        <w:bottom w:val="none" w:sz="0" w:space="0" w:color="auto"/>
        <w:right w:val="none" w:sz="0" w:space="0" w:color="auto"/>
      </w:divBdr>
    </w:div>
    <w:div w:id="471753172">
      <w:bodyDiv w:val="1"/>
      <w:marLeft w:val="0"/>
      <w:marRight w:val="0"/>
      <w:marTop w:val="0"/>
      <w:marBottom w:val="0"/>
      <w:divBdr>
        <w:top w:val="none" w:sz="0" w:space="0" w:color="auto"/>
        <w:left w:val="none" w:sz="0" w:space="0" w:color="auto"/>
        <w:bottom w:val="none" w:sz="0" w:space="0" w:color="auto"/>
        <w:right w:val="none" w:sz="0" w:space="0" w:color="auto"/>
      </w:divBdr>
    </w:div>
    <w:div w:id="890727404">
      <w:bodyDiv w:val="1"/>
      <w:marLeft w:val="0"/>
      <w:marRight w:val="0"/>
      <w:marTop w:val="0"/>
      <w:marBottom w:val="0"/>
      <w:divBdr>
        <w:top w:val="none" w:sz="0" w:space="0" w:color="auto"/>
        <w:left w:val="none" w:sz="0" w:space="0" w:color="auto"/>
        <w:bottom w:val="none" w:sz="0" w:space="0" w:color="auto"/>
        <w:right w:val="none" w:sz="0" w:space="0" w:color="auto"/>
      </w:divBdr>
    </w:div>
    <w:div w:id="1266768906">
      <w:bodyDiv w:val="1"/>
      <w:marLeft w:val="0"/>
      <w:marRight w:val="0"/>
      <w:marTop w:val="0"/>
      <w:marBottom w:val="0"/>
      <w:divBdr>
        <w:top w:val="none" w:sz="0" w:space="0" w:color="auto"/>
        <w:left w:val="none" w:sz="0" w:space="0" w:color="auto"/>
        <w:bottom w:val="none" w:sz="0" w:space="0" w:color="auto"/>
        <w:right w:val="none" w:sz="0" w:space="0" w:color="auto"/>
      </w:divBdr>
    </w:div>
    <w:div w:id="1385566560">
      <w:bodyDiv w:val="1"/>
      <w:marLeft w:val="0"/>
      <w:marRight w:val="0"/>
      <w:marTop w:val="0"/>
      <w:marBottom w:val="0"/>
      <w:divBdr>
        <w:top w:val="none" w:sz="0" w:space="0" w:color="auto"/>
        <w:left w:val="none" w:sz="0" w:space="0" w:color="auto"/>
        <w:bottom w:val="none" w:sz="0" w:space="0" w:color="auto"/>
        <w:right w:val="none" w:sz="0" w:space="0" w:color="auto"/>
      </w:divBdr>
    </w:div>
    <w:div w:id="1419130880">
      <w:bodyDiv w:val="1"/>
      <w:marLeft w:val="0"/>
      <w:marRight w:val="0"/>
      <w:marTop w:val="0"/>
      <w:marBottom w:val="0"/>
      <w:divBdr>
        <w:top w:val="none" w:sz="0" w:space="0" w:color="auto"/>
        <w:left w:val="none" w:sz="0" w:space="0" w:color="auto"/>
        <w:bottom w:val="none" w:sz="0" w:space="0" w:color="auto"/>
        <w:right w:val="none" w:sz="0" w:space="0" w:color="auto"/>
      </w:divBdr>
    </w:div>
    <w:div w:id="1472744204">
      <w:bodyDiv w:val="1"/>
      <w:marLeft w:val="0"/>
      <w:marRight w:val="0"/>
      <w:marTop w:val="0"/>
      <w:marBottom w:val="0"/>
      <w:divBdr>
        <w:top w:val="none" w:sz="0" w:space="0" w:color="auto"/>
        <w:left w:val="none" w:sz="0" w:space="0" w:color="auto"/>
        <w:bottom w:val="none" w:sz="0" w:space="0" w:color="auto"/>
        <w:right w:val="none" w:sz="0" w:space="0" w:color="auto"/>
      </w:divBdr>
    </w:div>
    <w:div w:id="1478036461">
      <w:bodyDiv w:val="1"/>
      <w:marLeft w:val="0"/>
      <w:marRight w:val="0"/>
      <w:marTop w:val="0"/>
      <w:marBottom w:val="0"/>
      <w:divBdr>
        <w:top w:val="none" w:sz="0" w:space="0" w:color="auto"/>
        <w:left w:val="none" w:sz="0" w:space="0" w:color="auto"/>
        <w:bottom w:val="none" w:sz="0" w:space="0" w:color="auto"/>
        <w:right w:val="none" w:sz="0" w:space="0" w:color="auto"/>
      </w:divBdr>
    </w:div>
    <w:div w:id="1646205097">
      <w:bodyDiv w:val="1"/>
      <w:marLeft w:val="0"/>
      <w:marRight w:val="0"/>
      <w:marTop w:val="0"/>
      <w:marBottom w:val="0"/>
      <w:divBdr>
        <w:top w:val="none" w:sz="0" w:space="0" w:color="auto"/>
        <w:left w:val="none" w:sz="0" w:space="0" w:color="auto"/>
        <w:bottom w:val="none" w:sz="0" w:space="0" w:color="auto"/>
        <w:right w:val="none" w:sz="0" w:space="0" w:color="auto"/>
      </w:divBdr>
    </w:div>
    <w:div w:id="1679313879">
      <w:bodyDiv w:val="1"/>
      <w:marLeft w:val="0"/>
      <w:marRight w:val="0"/>
      <w:marTop w:val="0"/>
      <w:marBottom w:val="0"/>
      <w:divBdr>
        <w:top w:val="none" w:sz="0" w:space="0" w:color="auto"/>
        <w:left w:val="none" w:sz="0" w:space="0" w:color="auto"/>
        <w:bottom w:val="none" w:sz="0" w:space="0" w:color="auto"/>
        <w:right w:val="none" w:sz="0" w:space="0" w:color="auto"/>
      </w:divBdr>
    </w:div>
    <w:div w:id="1817600721">
      <w:bodyDiv w:val="1"/>
      <w:marLeft w:val="0"/>
      <w:marRight w:val="0"/>
      <w:marTop w:val="0"/>
      <w:marBottom w:val="0"/>
      <w:divBdr>
        <w:top w:val="none" w:sz="0" w:space="0" w:color="auto"/>
        <w:left w:val="none" w:sz="0" w:space="0" w:color="auto"/>
        <w:bottom w:val="none" w:sz="0" w:space="0" w:color="auto"/>
        <w:right w:val="none" w:sz="0" w:space="0" w:color="auto"/>
      </w:divBdr>
    </w:div>
    <w:div w:id="1962883633">
      <w:bodyDiv w:val="1"/>
      <w:marLeft w:val="0"/>
      <w:marRight w:val="0"/>
      <w:marTop w:val="0"/>
      <w:marBottom w:val="0"/>
      <w:divBdr>
        <w:top w:val="none" w:sz="0" w:space="0" w:color="auto"/>
        <w:left w:val="none" w:sz="0" w:space="0" w:color="auto"/>
        <w:bottom w:val="none" w:sz="0" w:space="0" w:color="auto"/>
        <w:right w:val="none" w:sz="0" w:space="0" w:color="auto"/>
      </w:divBdr>
    </w:div>
    <w:div w:id="2024359948">
      <w:bodyDiv w:val="1"/>
      <w:marLeft w:val="0"/>
      <w:marRight w:val="0"/>
      <w:marTop w:val="0"/>
      <w:marBottom w:val="0"/>
      <w:divBdr>
        <w:top w:val="none" w:sz="0" w:space="0" w:color="auto"/>
        <w:left w:val="none" w:sz="0" w:space="0" w:color="auto"/>
        <w:bottom w:val="none" w:sz="0" w:space="0" w:color="auto"/>
        <w:right w:val="none" w:sz="0" w:space="0" w:color="auto"/>
      </w:divBdr>
    </w:div>
    <w:div w:id="207404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ageuk.org.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5F8BFC-5F58-4BC8-A097-C6A71184A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11223</Words>
  <Characters>63976</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75049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Syed Faisal Nadeem</cp:lastModifiedBy>
  <cp:revision>2</cp:revision>
  <dcterms:created xsi:type="dcterms:W3CDTF">2025-11-27T18:21:00Z</dcterms:created>
  <dcterms:modified xsi:type="dcterms:W3CDTF">2025-11-27T18:21:00Z</dcterms:modified>
</cp:coreProperties>
</file>